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FD13C6" w14:textId="77777777" w:rsidR="008B51D6" w:rsidRPr="001B43E4" w:rsidRDefault="008B51D6" w:rsidP="00E23AFA">
      <w:r w:rsidRPr="001B43E4">
        <w:rPr>
          <w:b/>
        </w:rPr>
        <w:t>Title</w:t>
      </w:r>
      <w:r w:rsidRPr="001B43E4">
        <w:t>: Saliva cell type DNA methylation reference panel for epidemiology studies in children</w:t>
      </w:r>
    </w:p>
    <w:p w14:paraId="28EC535F" w14:textId="77777777" w:rsidR="008B51D6" w:rsidRDefault="008B51D6" w:rsidP="00E23AFA">
      <w:pPr>
        <w:jc w:val="center"/>
        <w:rPr>
          <w:color w:val="000000"/>
        </w:rPr>
      </w:pPr>
    </w:p>
    <w:p w14:paraId="0D471F15" w14:textId="36BF3184" w:rsidR="008B51D6" w:rsidRPr="001B43E4" w:rsidRDefault="008B51D6" w:rsidP="00E23AFA">
      <w:pPr>
        <w:jc w:val="center"/>
      </w:pPr>
      <w:r>
        <w:rPr>
          <w:b/>
          <w:color w:val="000000"/>
        </w:rPr>
        <w:t xml:space="preserve">Authors: </w:t>
      </w:r>
      <w:r w:rsidRPr="001B43E4">
        <w:rPr>
          <w:color w:val="000000"/>
        </w:rPr>
        <w:t>Lauren Y. M. Middleton, John Dou, Jonah Fisher,</w:t>
      </w:r>
      <w:r>
        <w:rPr>
          <w:color w:val="000000"/>
        </w:rPr>
        <w:t xml:space="preserve"> </w:t>
      </w:r>
      <w:r w:rsidRPr="001B43E4">
        <w:rPr>
          <w:color w:val="000000"/>
        </w:rPr>
        <w:t xml:space="preserve">Jonathan A. </w:t>
      </w:r>
      <w:proofErr w:type="spellStart"/>
      <w:r w:rsidRPr="001B43E4">
        <w:rPr>
          <w:color w:val="000000"/>
        </w:rPr>
        <w:t>Heiss</w:t>
      </w:r>
      <w:proofErr w:type="spellEnd"/>
      <w:r w:rsidRPr="001B43E4">
        <w:rPr>
          <w:color w:val="000000"/>
        </w:rPr>
        <w:t xml:space="preserve">, </w:t>
      </w:r>
      <w:proofErr w:type="spellStart"/>
      <w:r>
        <w:rPr>
          <w:color w:val="000000"/>
        </w:rPr>
        <w:t>Vy</w:t>
      </w:r>
      <w:proofErr w:type="spellEnd"/>
      <w:r>
        <w:rPr>
          <w:color w:val="000000"/>
        </w:rPr>
        <w:t xml:space="preserve"> K. Nguyen,</w:t>
      </w:r>
      <w:r w:rsidRPr="001B43E4">
        <w:rPr>
          <w:color w:val="000000"/>
        </w:rPr>
        <w:t xml:space="preserve"> Allan C. Just, Jessica </w:t>
      </w:r>
      <w:proofErr w:type="spellStart"/>
      <w:r w:rsidRPr="001B43E4">
        <w:rPr>
          <w:color w:val="000000"/>
        </w:rPr>
        <w:t>Faul</w:t>
      </w:r>
      <w:proofErr w:type="spellEnd"/>
      <w:r w:rsidRPr="001B43E4">
        <w:rPr>
          <w:color w:val="000000"/>
        </w:rPr>
        <w:t xml:space="preserve">, Erin B. Ware, Colter Mitchell, Justin A. </w:t>
      </w:r>
      <w:proofErr w:type="spellStart"/>
      <w:r w:rsidRPr="001B43E4">
        <w:rPr>
          <w:color w:val="000000"/>
        </w:rPr>
        <w:t>Colacino</w:t>
      </w:r>
      <w:proofErr w:type="spellEnd"/>
      <w:r w:rsidRPr="001B43E4">
        <w:rPr>
          <w:color w:val="000000"/>
        </w:rPr>
        <w:t>, Kelly M. Bakulski</w:t>
      </w:r>
    </w:p>
    <w:p w14:paraId="41D7A2F7" w14:textId="7C802B9D" w:rsidR="00A66EBE" w:rsidRDefault="00E23AFA" w:rsidP="00E23AFA"/>
    <w:p w14:paraId="795E87E6" w14:textId="77777777" w:rsidR="008B51D6" w:rsidRDefault="008B51D6" w:rsidP="00E23AFA">
      <w:pPr>
        <w:rPr>
          <w:b/>
        </w:rPr>
      </w:pPr>
    </w:p>
    <w:p w14:paraId="532EF2A8" w14:textId="77777777" w:rsidR="008B51D6" w:rsidRDefault="008B51D6" w:rsidP="00E23AFA">
      <w:pPr>
        <w:rPr>
          <w:b/>
        </w:rPr>
      </w:pPr>
    </w:p>
    <w:p w14:paraId="243A433F" w14:textId="77777777" w:rsidR="008B51D6" w:rsidRDefault="008B51D6" w:rsidP="00E23AFA">
      <w:pPr>
        <w:rPr>
          <w:b/>
        </w:rPr>
      </w:pPr>
    </w:p>
    <w:p w14:paraId="5C160EB5" w14:textId="4B1FF657" w:rsidR="008B51D6" w:rsidRPr="008B51D6" w:rsidRDefault="008B51D6" w:rsidP="00E23AFA">
      <w:pPr>
        <w:rPr>
          <w:b/>
        </w:rPr>
      </w:pPr>
      <w:r w:rsidRPr="008B51D6">
        <w:rPr>
          <w:b/>
        </w:rPr>
        <w:t>Supplementary Information</w:t>
      </w:r>
    </w:p>
    <w:p w14:paraId="07DBE337" w14:textId="19A86490" w:rsidR="008B51D6" w:rsidRDefault="008B51D6" w:rsidP="00E23AFA"/>
    <w:p w14:paraId="6C26A8E6" w14:textId="06DEBDC1" w:rsidR="008B51D6" w:rsidRDefault="008B51D6" w:rsidP="00E23AFA">
      <w:r>
        <w:t>The following supplement contains nine supplemental figures.  Four supplemental tables are also available in an excel workbook.</w:t>
      </w:r>
    </w:p>
    <w:p w14:paraId="2A2243F2" w14:textId="7F95628B" w:rsidR="008B51D6" w:rsidRDefault="008B51D6" w:rsidP="00E23AFA"/>
    <w:p w14:paraId="25F25CE7" w14:textId="77777777" w:rsidR="00E23AFA" w:rsidRDefault="00E23AFA" w:rsidP="00E23AFA">
      <w:pPr>
        <w:rPr>
          <w:b/>
        </w:rPr>
      </w:pPr>
      <w:bookmarkStart w:id="0" w:name="Supplement"/>
    </w:p>
    <w:p w14:paraId="5298C0F6" w14:textId="5DE2C077" w:rsidR="008B51D6" w:rsidRDefault="008B51D6" w:rsidP="00E23AFA">
      <w:pPr>
        <w:rPr>
          <w:b/>
        </w:rPr>
      </w:pPr>
      <w:r w:rsidRPr="001B43E4">
        <w:rPr>
          <w:b/>
        </w:rPr>
        <w:t>Supplemental Figures</w:t>
      </w:r>
      <w:bookmarkEnd w:id="0"/>
    </w:p>
    <w:p w14:paraId="5EFE780F" w14:textId="77777777" w:rsidR="00E23AFA" w:rsidRDefault="00E23AFA" w:rsidP="00E23AFA"/>
    <w:p w14:paraId="61BA488E" w14:textId="715B599B" w:rsidR="008B51D6" w:rsidRPr="001B43E4" w:rsidRDefault="00E23AFA" w:rsidP="00E23AFA">
      <w:pPr>
        <w:rPr>
          <w:b/>
        </w:rPr>
      </w:pPr>
      <w:r>
        <w:rPr>
          <w:b/>
          <w:noProof/>
        </w:rPr>
        <w:drawing>
          <wp:inline distT="0" distB="0" distL="0" distR="0" wp14:anchorId="588987B8" wp14:editId="0D34FF7A">
            <wp:extent cx="5943600" cy="38468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emental Figure 1.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846830"/>
                    </a:xfrm>
                    <a:prstGeom prst="rect">
                      <a:avLst/>
                    </a:prstGeom>
                  </pic:spPr>
                </pic:pic>
              </a:graphicData>
            </a:graphic>
          </wp:inline>
        </w:drawing>
      </w:r>
    </w:p>
    <w:p w14:paraId="427E4933" w14:textId="77777777" w:rsidR="008B51D6" w:rsidRDefault="008B51D6" w:rsidP="00E23AFA">
      <w:pPr>
        <w:rPr>
          <w:bCs/>
        </w:rPr>
      </w:pPr>
      <w:r w:rsidRPr="001B43E4">
        <w:rPr>
          <w:b/>
        </w:rPr>
        <w:t xml:space="preserve">Supplemental Figure 1. </w:t>
      </w:r>
      <w:r w:rsidRPr="001B43E4">
        <w:rPr>
          <w:bCs/>
        </w:rPr>
        <w:t>Workflow to integrate three datasets.</w:t>
      </w:r>
      <w:r>
        <w:rPr>
          <w:bCs/>
        </w:rPr>
        <w:t xml:space="preserve"> The immune cell dataset processing is on the left, the saliva dataset processing is in the middle and the ENCODE dataset processing is on the right.</w:t>
      </w:r>
      <w:r w:rsidRPr="001B43E4">
        <w:rPr>
          <w:bCs/>
        </w:rPr>
        <w:t xml:space="preserve"> </w:t>
      </w:r>
      <w:r w:rsidRPr="005939CF">
        <w:rPr>
          <w:bCs/>
        </w:rPr>
        <w:t xml:space="preserve">The immune cell dataset included seven adult white blood cell types from </w:t>
      </w:r>
      <w:proofErr w:type="spellStart"/>
      <w:r w:rsidRPr="005939CF">
        <w:rPr>
          <w:bCs/>
        </w:rPr>
        <w:t>Reinius</w:t>
      </w:r>
      <w:proofErr w:type="spellEnd"/>
      <w:r w:rsidRPr="005939CF">
        <w:rPr>
          <w:bCs/>
        </w:rPr>
        <w:t xml:space="preserve"> </w:t>
      </w:r>
      <w:r w:rsidRPr="005939CF">
        <w:rPr>
          <w:bCs/>
          <w:i/>
          <w:iCs/>
        </w:rPr>
        <w:t>et al</w:t>
      </w:r>
      <w:r w:rsidRPr="005939CF">
        <w:rPr>
          <w:bCs/>
        </w:rPr>
        <w:t xml:space="preserve"> (2012).</w:t>
      </w:r>
      <w:r w:rsidRPr="005939CF">
        <w:rPr>
          <w:bCs/>
        </w:rPr>
        <w:fldChar w:fldCharType="begin" w:fldLock="1"/>
      </w:r>
      <w:r>
        <w:rPr>
          <w:bCs/>
        </w:rPr>
        <w:instrText>ADDIN CSL_CITATION {"citationItems":[{"id":"ITEM-1","itemData":{"DOI":"10.1371/journal.pone.0041361","ISSN":"1932-6203","abstract":"Methylation of cytosines at CpG sites is a common epigenetic DNA modification that can be measured by a large number of methods, now even in a genome-wide manner for hundreds of thousands of sites. The application of DNA methylation analysis is becoming widely popular in complex disorders, for example, to understand part of the “missing heritability”. The DNA samples most readily available for methylation studies are derived from whole blood. However, blood consists of many functionally and developmentally distinct cell populations in varying proportions. We studied whether such variation might affect the interpretation of methylation studies based on whole blood DNA. We found in healthy male blood donors there is important variation in the methylation profiles of whole blood, mononuclear cells, granulocytes, and cells from seven selected purified lineages. CpG methylation between mononuclear cells and granulocytes differed for 22% of the 8252 probes covering the selected 343 genes implicated in immune-related disorders by genome-wide association studies, and at least one probe was differentially methylated for 85% of the genes, indicating that whole blood methylation results might be unintelligible. For individual genes, even if the overall methylation patterns might appear similar, a few CpG sites in the regulatory regions may have opposite methylation patterns (i.e., hypo/hyper) in the main blood cell types. We conclude that interpretation of whole blood methylation profiles should be performed with great caution and for any differences implicated in a disorder, the differences resulting from varying proportions of white blood cell types should be considered.","author":[{"dropping-particle":"","family":"Reinius","given":"Lovisa E.","non-dropping-particle":"","parse-names":false,"suffix":""},{"dropping-particle":"","family":"Acevedo","given":"Nathalie","non-dropping-particle":"","parse-names":false,"suffix":""},{"dropping-particle":"","family":"Joerink","given":"Maaike","non-dropping-particle":"","parse-names":false,"suffix":""},{"dropping-particle":"","family":"Pershagen","given":"Göran","non-dropping-particle":"","parse-names":false,"suffix":""},{"dropping-particle":"","family":"Dahlén","given":"Sven-Erik","non-dropping-particle":"","parse-names":false,"suffix":""},{"dropping-particle":"","family":"Greco","given":"Dario","non-dropping-particle":"","parse-names":false,"suffix":""},{"dropping-particle":"","family":"Söderhäll","given":"Cilla","non-dropping-particle":"","parse-names":false,"suffix":""},{"dropping-particle":"","family":"Scheynius","given":"Annika","non-dropping-particle":"","parse-names":false,"suffix":""},{"dropping-particle":"","family":"Kere","given":"Juha","non-dropping-particle":"","parse-names":false,"suffix":""}],"container-title":"PLoS ONE","editor":[{"dropping-particle":"","family":"Ting","given":"Angela H.","non-dropping-particle":"","parse-names":false,"suffix":""}],"id":"ITEM-1","issue":"7","issued":{"date-parts":[["2012","7","25"]]},"page":"e41361","publisher":"Public Library of Science","title":"Differential DNA Methylation in Purified Human Blood Cells: Implications for Cell Lineage and Studies on Disease Susceptibility","type":"article-journal","volume":"7"},"uris":["http://www.mendeley.com/documents/?uuid=d5eda4a2-7d0f-3a21-bc87-c9b484cbd65c"]}],"mendeley":{"formattedCitation":"&lt;sup&gt;30&lt;/sup&gt;","plainTextFormattedCitation":"30","previouslyFormattedCitation":"&lt;sup&gt;30&lt;/sup&gt;"},"properties":{"noteIndex":0},"schema":"https://github.com/citation-style-language/schema/raw/master/csl-citation.json"}</w:instrText>
      </w:r>
      <w:r w:rsidRPr="005939CF">
        <w:rPr>
          <w:bCs/>
        </w:rPr>
        <w:fldChar w:fldCharType="separate"/>
      </w:r>
      <w:r w:rsidRPr="003514C1">
        <w:rPr>
          <w:bCs/>
          <w:noProof/>
          <w:vertAlign w:val="superscript"/>
        </w:rPr>
        <w:t>30</w:t>
      </w:r>
      <w:r w:rsidRPr="005939CF">
        <w:rPr>
          <w:bCs/>
        </w:rPr>
        <w:fldChar w:fldCharType="end"/>
      </w:r>
      <w:r w:rsidRPr="005939CF">
        <w:rPr>
          <w:bCs/>
        </w:rPr>
        <w:t xml:space="preserve"> Only the 11 normal epithelial tissue ENCODE DNA methylation data</w:t>
      </w:r>
      <w:r w:rsidRPr="005939CF">
        <w:rPr>
          <w:bCs/>
        </w:rPr>
        <w:fldChar w:fldCharType="begin" w:fldLock="1"/>
      </w:r>
      <w:r>
        <w:rPr>
          <w:bCs/>
        </w:rPr>
        <w:instrText>ADDIN CSL_CITATION {"citationItems":[{"id":"ITEM-1","itemData":{"DOI":"10.1093/nar/gkx1081","ISSN":"1362-4962","abstract":"The Encyclopedia of DNA Elements (ENCODE) Data Coordinating Center has developed the ENCODE Portal database and website as the source for the data and metadata generated by the ENCODE Consortium. Two principles have motivated the design. First, experimental protocols, analytical procedures and the data themselves should be made publicly accessible through a coherent, web-based search and download interface. Second, the same interface should serve carefully curated metadata that record the provenance of the data and justify its interpretation in biological terms. Since its initial release in 2013 and in response to recommendations from consortium members and the wider community of scientists who use the Portal to access ENCODE data, the Portal has been regularly updated to better reflect these design principles. Here we report on these updates, including results from new experiments, uniformly-processed data from other projects, new visualization tools and more comprehensive metadata to describe experiments and analyses. Additionally, the Portal is now home to meta(data) from related projects including Genomics of Gene Regulation, Roadmap Epigenome Project, Model organism ENCODE (modENCODE) and modERN. The Portal now makes available over 13000 datasets and their accompanying metadata and can be accessed at: https://www.encodeproject.org/.","author":[{"dropping-particle":"","family":"Davis","given":"Carrie A","non-dropping-particle":"","parse-names":false,"suffix":""},{"dropping-particle":"","family":"Hitz","given":"Benjamin C","non-dropping-particle":"","parse-names":false,"suffix":""},{"dropping-particle":"","family":"Sloan","given":"Cricket A","non-dropping-particle":"","parse-names":false,"suffix":""},{"dropping-particle":"","family":"Chan","given":"Esther T","non-dropping-particle":"","parse-names":false,"suffix":""},{"dropping-particle":"","family":"Davidson","given":"Jean M","non-dropping-particle":"","parse-names":false,"suffix":""},{"dropping-particle":"","family":"Gabdank","given":"Idan","non-dropping-particle":"","parse-names":false,"suffix":""},{"dropping-particle":"","family":"Hilton","given":"Jason A","non-dropping-particle":"","parse-names":false,"suffix":""},{"dropping-particle":"","family":"Jain","given":"Kriti","non-dropping-particle":"","parse-names":false,"suffix":""},{"dropping-particle":"","family":"Baymuradov","given":"Ulugbek K","non-dropping-particle":"","parse-names":false,"suffix":""},{"dropping-particle":"","family":"Narayanan","given":"Aditi K","non-dropping-particle":"","parse-names":false,"suffix":""},{"dropping-particle":"","family":"Onate","given":"Kathrina C","non-dropping-particle":"","parse-names":false,"suffix":""},{"dropping-particle":"","family":"Graham","given":"Keenan","non-dropping-particle":"","parse-names":false,"suffix":""},{"dropping-particle":"","family":"Miyasato","given":"Stuart R","non-dropping-particle":"","parse-names":false,"suffix":""},{"dropping-particle":"","family":"Dreszer","given":"Timothy R","non-dropping-particle":"","parse-names":false,"suffix":""},{"dropping-particle":"","family":"Strattan","given":"J Seth","non-dropping-particle":"","parse-names":false,"suffix":""},{"dropping-particle":"","family":"Jolanki","given":"Otto","non-dropping-particle":"","parse-names":false,"suffix":""},{"dropping-particle":"","family":"Tanaka","given":"Forrest Y","non-dropping-particle":"","parse-names":false,"suffix":""},{"dropping-particle":"","family":"Cherry","given":"J Michael","non-dropping-particle":"","parse-names":false,"suffix":""}],"container-title":"Nucleic acids research","id":"ITEM-1","issue":"D1","issued":{"date-parts":[["2018","1","4"]]},"language":"eng","page":"D794-D801","publisher":"Oxford University Press","title":"The Encyclopedia of DNA elements (ENCODE): data portal update","type":"article-journal","volume":"46"},"uris":["http://www.mendeley.com/documents/?uuid=24d14318-ba59-4e00-bea3-da723142cffb"]},{"id":"ITEM-2","itemData":{"DOI":"10.1038/nature11247","ISSN":"1476-4687","abstract":"The human genome encodes the blueprint of life, but the function of the vast majority of its nearly three billion bases is unknown. The Encyclopedia of DNA Elements (ENCODE) project has systematically mapped regions of transcription, transcription factor association, chromatin structure and histone modification. These data enabled us to assign biochemical functions for 80% of the genome, in particular outside of the well-studied protein-coding regions. Many discovered candidate regulatory elements are physically associated with one another and with expressed genes, providing new insights into the mechanisms of gene regulation. The newly identified elements also show a statistical correspondence to sequence variants linked to human disease, and can thereby guide interpretation of this variation. Overall, the project provides new insights into the organization and regulation of our genes and genome, and is an expansive resource of functional annotations for biomedical research.","author":[{"dropping-particle":"","family":"ENCODE Project Consortium","given":"","non-dropping-particle":"","parse-names":false,"suffix":""}],"container-title":"Nature","id":"ITEM-2","issue":"7414","issued":{"date-parts":[["2012","9","6"]]},"language":"eng","page":"57-74","title":"An integrated encyclopedia of DNA elements in the human genome","type":"article-journal","volume":"489"},"uris":["http://www.mendeley.com/documents/?uuid=95688380-ba79-4122-9d9e-6b8f1d335c2f"]}],"mendeley":{"formattedCitation":"&lt;sup&gt;29,31&lt;/sup&gt;","plainTextFormattedCitation":"29,31","previouslyFormattedCitation":"&lt;sup&gt;29,31&lt;/sup&gt;"},"properties":{"noteIndex":0},"schema":"https://github.com/citation-style-language/schema/raw/master/csl-citation.json"}</w:instrText>
      </w:r>
      <w:r w:rsidRPr="005939CF">
        <w:rPr>
          <w:bCs/>
        </w:rPr>
        <w:fldChar w:fldCharType="separate"/>
      </w:r>
      <w:r w:rsidRPr="003514C1">
        <w:rPr>
          <w:bCs/>
          <w:noProof/>
          <w:vertAlign w:val="superscript"/>
        </w:rPr>
        <w:t>29,31</w:t>
      </w:r>
      <w:r w:rsidRPr="005939CF">
        <w:rPr>
          <w:bCs/>
        </w:rPr>
        <w:fldChar w:fldCharType="end"/>
      </w:r>
      <w:r w:rsidRPr="005939CF">
        <w:rPr>
          <w:bCs/>
        </w:rPr>
        <w:t xml:space="preserve"> were included in our analysis</w:t>
      </w:r>
      <w:r w:rsidRPr="001B43E4">
        <w:rPr>
          <w:bCs/>
        </w:rPr>
        <w:t>. Following</w:t>
      </w:r>
      <w:r>
        <w:rPr>
          <w:bCs/>
        </w:rPr>
        <w:t xml:space="preserve"> data</w:t>
      </w:r>
      <w:r w:rsidRPr="001B43E4">
        <w:rPr>
          <w:bCs/>
        </w:rPr>
        <w:t xml:space="preserve"> processing, there were 42 immune cell fractions</w:t>
      </w:r>
      <w:r>
        <w:rPr>
          <w:bCs/>
        </w:rPr>
        <w:t xml:space="preserve"> of seven cell types</w:t>
      </w:r>
      <w:r w:rsidRPr="001B43E4">
        <w:rPr>
          <w:bCs/>
        </w:rPr>
        <w:t>, 1</w:t>
      </w:r>
      <w:r>
        <w:rPr>
          <w:bCs/>
        </w:rPr>
        <w:t>1</w:t>
      </w:r>
      <w:r w:rsidRPr="001B43E4">
        <w:rPr>
          <w:bCs/>
        </w:rPr>
        <w:t xml:space="preserve"> </w:t>
      </w:r>
      <w:r>
        <w:rPr>
          <w:bCs/>
        </w:rPr>
        <w:t>epithelial cell types</w:t>
      </w:r>
      <w:r w:rsidRPr="001B43E4">
        <w:rPr>
          <w:bCs/>
        </w:rPr>
        <w:t>, 38 saliva fractions, and 410,287 overlapping probes for analysis.</w:t>
      </w:r>
    </w:p>
    <w:p w14:paraId="01CB0CA9" w14:textId="77777777" w:rsidR="008B51D6" w:rsidRPr="00970141" w:rsidRDefault="008B51D6" w:rsidP="00E23AFA">
      <w:pPr>
        <w:rPr>
          <w:bCs/>
        </w:rPr>
      </w:pPr>
    </w:p>
    <w:p w14:paraId="3C4DA5D1" w14:textId="77777777" w:rsidR="008B51D6" w:rsidRDefault="008B51D6" w:rsidP="00E23AFA"/>
    <w:p w14:paraId="61FEA776" w14:textId="4539AE62" w:rsidR="008B51D6" w:rsidRDefault="008B51D6" w:rsidP="00E23AFA">
      <w:pPr>
        <w:rPr>
          <w:bCs/>
        </w:rPr>
      </w:pPr>
    </w:p>
    <w:p w14:paraId="016B538E" w14:textId="10FC4BC2" w:rsidR="008B51D6" w:rsidRPr="004B0B20" w:rsidRDefault="00E23AFA" w:rsidP="00E23AFA">
      <w:pPr>
        <w:rPr>
          <w:bCs/>
        </w:rPr>
      </w:pPr>
      <w:r>
        <w:rPr>
          <w:b/>
          <w:noProof/>
        </w:rPr>
        <w:drawing>
          <wp:inline distT="0" distB="0" distL="0" distR="0" wp14:anchorId="39F308A0" wp14:editId="7402BEFB">
            <wp:extent cx="5943600" cy="35115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emental Figure 2.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511550"/>
                    </a:xfrm>
                    <a:prstGeom prst="rect">
                      <a:avLst/>
                    </a:prstGeom>
                  </pic:spPr>
                </pic:pic>
              </a:graphicData>
            </a:graphic>
          </wp:inline>
        </w:drawing>
      </w:r>
      <w:r w:rsidR="008B51D6" w:rsidRPr="005939CF">
        <w:rPr>
          <w:b/>
        </w:rPr>
        <w:t>Supplemental Figure 2.</w:t>
      </w:r>
      <w:r w:rsidR="008B51D6" w:rsidRPr="005939CF">
        <w:rPr>
          <w:bCs/>
        </w:rPr>
        <w:t xml:space="preserve"> Workflow to compare our new reference panel to a reference panel generated using an existing dataset. The ENCODE epithelial cell and </w:t>
      </w:r>
      <w:proofErr w:type="spellStart"/>
      <w:r w:rsidR="008B51D6" w:rsidRPr="005939CF">
        <w:rPr>
          <w:bCs/>
        </w:rPr>
        <w:t>Reinius</w:t>
      </w:r>
      <w:proofErr w:type="spellEnd"/>
      <w:r w:rsidR="008B51D6" w:rsidRPr="005939CF">
        <w:rPr>
          <w:bCs/>
        </w:rPr>
        <w:t xml:space="preserve"> adult white blood cell DNA methylation data were passed through our QC pipeline for processing.</w:t>
      </w:r>
      <w:r w:rsidR="008B51D6" w:rsidRPr="005939CF">
        <w:rPr>
          <w:bCs/>
        </w:rPr>
        <w:fldChar w:fldCharType="begin" w:fldLock="1"/>
      </w:r>
      <w:r w:rsidR="008B51D6">
        <w:rPr>
          <w:bCs/>
        </w:rPr>
        <w:instrText>ADDIN CSL_CITATION {"citationItems":[{"id":"ITEM-1","itemData":{"DOI":"10.1093/nar/gkx1081","ISSN":"1362-4962","abstract":"The Encyclopedia of DNA Elements (ENCODE) Data Coordinating Center has developed the ENCODE Portal database and website as the source for the data and metadata generated by the ENCODE Consortium. Two principles have motivated the design. First, experimental protocols, analytical procedures and the data themselves should be made publicly accessible through a coherent, web-based search and download interface. Second, the same interface should serve carefully curated metadata that record the provenance of the data and justify its interpretation in biological terms. Since its initial release in 2013 and in response to recommendations from consortium members and the wider community of scientists who use the Portal to access ENCODE data, the Portal has been regularly updated to better reflect these design principles. Here we report on these updates, including results from new experiments, uniformly-processed data from other projects, new visualization tools and more comprehensive metadata to describe experiments and analyses. Additionally, the Portal is now home to meta(data) from related projects including Genomics of Gene Regulation, Roadmap Epigenome Project, Model organism ENCODE (modENCODE) and modERN. The Portal now makes available over 13000 datasets and their accompanying metadata and can be accessed at: https://www.encodeproject.org/.","author":[{"dropping-particle":"","family":"Davis","given":"Carrie A","non-dropping-particle":"","parse-names":false,"suffix":""},{"dropping-particle":"","family":"Hitz","given":"Benjamin C","non-dropping-particle":"","parse-names":false,"suffix":""},{"dropping-particle":"","family":"Sloan","given":"Cricket A","non-dropping-particle":"","parse-names":false,"suffix":""},{"dropping-particle":"","family":"Chan","given":"Esther T","non-dropping-particle":"","parse-names":false,"suffix":""},{"dropping-particle":"","family":"Davidson","given":"Jean M","non-dropping-particle":"","parse-names":false,"suffix":""},{"dropping-particle":"","family":"Gabdank","given":"Idan","non-dropping-particle":"","parse-names":false,"suffix":""},{"dropping-particle":"","family":"Hilton","given":"Jason A","non-dropping-particle":"","parse-names":false,"suffix":""},{"dropping-particle":"","family":"Jain","given":"Kriti","non-dropping-particle":"","parse-names":false,"suffix":""},{"dropping-particle":"","family":"Baymuradov","given":"Ulugbek K","non-dropping-particle":"","parse-names":false,"suffix":""},{"dropping-particle":"","family":"Narayanan","given":"Aditi K","non-dropping-particle":"","parse-names":false,"suffix":""},{"dropping-particle":"","family":"Onate","given":"Kathrina C","non-dropping-particle":"","parse-names":false,"suffix":""},{"dropping-particle":"","family":"Graham","given":"Keenan","non-dropping-particle":"","parse-names":false,"suffix":""},{"dropping-particle":"","family":"Miyasato","given":"Stuart R","non-dropping-particle":"","parse-names":false,"suffix":""},{"dropping-particle":"","family":"Dreszer","given":"Timothy R","non-dropping-particle":"","parse-names":false,"suffix":""},{"dropping-particle":"","family":"Strattan","given":"J Seth","non-dropping-particle":"","parse-names":false,"suffix":""},{"dropping-particle":"","family":"Jolanki","given":"Otto","non-dropping-particle":"","parse-names":false,"suffix":""},{"dropping-particle":"","family":"Tanaka","given":"Forrest Y","non-dropping-particle":"","parse-names":false,"suffix":""},{"dropping-particle":"","family":"Cherry","given":"J Michael","non-dropping-particle":"","parse-names":false,"suffix":""}],"container-title":"Nucleic acids research","id":"ITEM-1","issue":"D1","issued":{"date-parts":[["2018","1","4"]]},"language":"eng","page":"D794-D801","publisher":"Oxford University Press","title":"The Encyclopedia of DNA elements (ENCODE): data portal update","type":"article-journal","volume":"46"},"uris":["http://www.mendeley.com/documents/?uuid=24d14318-ba59-4e00-bea3-da723142cffb"]},{"id":"ITEM-2","itemData":{"DOI":"10.1038/nature11247","ISSN":"1476-4687","abstract":"The human genome encodes the blueprint of life, but the function of the vast majority of its nearly three billion bases is unknown. The Encyclopedia of DNA Elements (ENCODE) project has systematically mapped regions of transcription, transcription factor association, chromatin structure and histone modification. These data enabled us to assign biochemical functions for 80% of the genome, in particular outside of the well-studied protein-coding regions. Many discovered candidate regulatory elements are physically associated with one another and with expressed genes, providing new insights into the mechanisms of gene regulation. The newly identified elements also show a statistical correspondence to sequence variants linked to human disease, and can thereby guide interpretation of this variation. Overall, the project provides new insights into the organization and regulation of our genes and genome, and is an expansive resource of functional annotations for biomedical research.","author":[{"dropping-particle":"","family":"ENCODE Project Consortium","given":"","non-dropping-particle":"","parse-names":false,"suffix":""}],"container-title":"Nature","id":"ITEM-2","issue":"7414","issued":{"date-parts":[["2012","9","6"]]},"language":"eng","page":"57-74","title":"An integrated encyclopedia of DNA elements in the human genome","type":"article-journal","volume":"489"},"uris":["http://www.mendeley.com/documents/?uuid=95688380-ba79-4122-9d9e-6b8f1d335c2f"]},{"id":"ITEM-3","itemData":{"DOI":"10.1371/journal.pone.0041361","ISSN":"1932-6203","abstract":"Methylation of cytosines at CpG sites is a common epigenetic DNA modification that can be measured by a large number of methods, now even in a genome-wide manner for hundreds of thousands of sites. The application of DNA methylation analysis is becoming widely popular in complex disorders, for example, to understand part of the “missing heritability”. The DNA samples most readily available for methylation studies are derived from whole blood. However, blood consists of many functionally and developmentally distinct cell populations in varying proportions. We studied whether such variation might affect the interpretation of methylation studies based on whole blood DNA. We found in healthy male blood donors there is important variation in the methylation profiles of whole blood, mononuclear cells, granulocytes, and cells from seven selected purified lineages. CpG methylation between mononuclear cells and granulocytes differed for 22% of the 8252 probes covering the selected 343 genes implicated in immune-related disorders by genome-wide association studies, and at least one probe was differentially methylated for 85% of the genes, indicating that whole blood methylation results might be unintelligible. For individual genes, even if the overall methylation patterns might appear similar, a few CpG sites in the regulatory regions may have opposite methylation patterns (i.e., hypo/hyper) in the main blood cell types. We conclude that interpretation of whole blood methylation profiles should be performed with great caution and for any differences implicated in a disorder, the differences resulting from varying proportions of white blood cell types should be considered.","author":[{"dropping-particle":"","family":"Reinius","given":"Lovisa E.","non-dropping-particle":"","parse-names":false,"suffix":""},{"dropping-particle":"","family":"Acevedo","given":"Nathalie","non-dropping-particle":"","parse-names":false,"suffix":""},{"dropping-particle":"","family":"Joerink","given":"Maaike","non-dropping-particle":"","parse-names":false,"suffix":""},{"dropping-particle":"","family":"Pershagen","given":"Göran","non-dropping-particle":"","parse-names":false,"suffix":""},{"dropping-particle":"","family":"Dahlén","given":"Sven-Erik","non-dropping-particle":"","parse-names":false,"suffix":""},{"dropping-particle":"","family":"Greco","given":"Dario","non-dropping-particle":"","parse-names":false,"suffix":""},{"dropping-particle":"","family":"Söderhäll","given":"Cilla","non-dropping-particle":"","parse-names":false,"suffix":""},{"dropping-particle":"","family":"Scheynius","given":"Annika","non-dropping-particle":"","parse-names":false,"suffix":""},{"dropping-particle":"","family":"Kere","given":"Juha","non-dropping-particle":"","parse-names":false,"suffix":""}],"container-title":"PLoS ONE","editor":[{"dropping-particle":"","family":"Ting","given":"Angela H.","non-dropping-particle":"","parse-names":false,"suffix":""}],"id":"ITEM-3","issue":"7","issued":{"date-parts":[["2012","7","25"]]},"page":"e41361","publisher":"Public Library of Science","title":"Differential DNA Methylation in Purified Human Blood Cells: Implications for Cell Lineage and Studies on Disease Susceptibility","type":"article-journal","volume":"7"},"uris":["http://www.mendeley.com/documents/?uuid=d5eda4a2-7d0f-3a21-bc87-c9b484cbd65c"]}],"mendeley":{"formattedCitation":"&lt;sup&gt;29–31&lt;/sup&gt;","plainTextFormattedCitation":"29–31","previouslyFormattedCitation":"&lt;sup&gt;29–31&lt;/sup&gt;"},"properties":{"noteIndex":0},"schema":"https://github.com/citation-style-language/schema/raw/master/csl-citation.json"}</w:instrText>
      </w:r>
      <w:r w:rsidR="008B51D6" w:rsidRPr="005939CF">
        <w:rPr>
          <w:bCs/>
        </w:rPr>
        <w:fldChar w:fldCharType="separate"/>
      </w:r>
      <w:r w:rsidR="008B51D6" w:rsidRPr="003514C1">
        <w:rPr>
          <w:bCs/>
          <w:noProof/>
          <w:vertAlign w:val="superscript"/>
        </w:rPr>
        <w:t>29–31</w:t>
      </w:r>
      <w:r w:rsidR="008B51D6" w:rsidRPr="005939CF">
        <w:rPr>
          <w:bCs/>
        </w:rPr>
        <w:fldChar w:fldCharType="end"/>
      </w:r>
      <w:r w:rsidR="008B51D6" w:rsidRPr="005939CF">
        <w:rPr>
          <w:bCs/>
        </w:rPr>
        <w:t xml:space="preserve"> The QC steps were described in </w:t>
      </w:r>
      <w:r w:rsidR="008B51D6" w:rsidRPr="005939CF">
        <w:rPr>
          <w:b/>
        </w:rPr>
        <w:t>Figure 1b</w:t>
      </w:r>
      <w:r w:rsidR="008B51D6" w:rsidRPr="005939CF">
        <w:rPr>
          <w:bCs/>
        </w:rPr>
        <w:t>. The reference panels were constructed using the top 100 probes that were statistically significant from a t-test comparing epithelial and immune cell DNA methylation. Both our sorted saliva reference panel and the ENCODE/</w:t>
      </w:r>
      <w:proofErr w:type="spellStart"/>
      <w:r w:rsidR="008B51D6" w:rsidRPr="005939CF">
        <w:rPr>
          <w:bCs/>
        </w:rPr>
        <w:t>Reinius</w:t>
      </w:r>
      <w:proofErr w:type="spellEnd"/>
      <w:r w:rsidR="008B51D6" w:rsidRPr="005939CF">
        <w:rPr>
          <w:bCs/>
        </w:rPr>
        <w:t xml:space="preserve"> panel were integrated into </w:t>
      </w:r>
      <w:proofErr w:type="spellStart"/>
      <w:r w:rsidR="008B51D6" w:rsidRPr="005939CF">
        <w:rPr>
          <w:bCs/>
        </w:rPr>
        <w:t>ewastools</w:t>
      </w:r>
      <w:proofErr w:type="spellEnd"/>
      <w:r w:rsidR="008B51D6" w:rsidRPr="005939CF">
        <w:rPr>
          <w:bCs/>
        </w:rPr>
        <w:t xml:space="preserve"> and used to estimate the median variance explained by cell type in our whole saliva samples.</w:t>
      </w:r>
    </w:p>
    <w:p w14:paraId="0D712177" w14:textId="77777777" w:rsidR="008B51D6" w:rsidRPr="00970141" w:rsidRDefault="008B51D6" w:rsidP="00E23AFA">
      <w:pPr>
        <w:rPr>
          <w:bCs/>
        </w:rPr>
      </w:pPr>
      <w:r w:rsidRPr="00E35922">
        <w:rPr>
          <w:bCs/>
        </w:rPr>
        <w:br w:type="page"/>
      </w:r>
    </w:p>
    <w:p w14:paraId="41F44857" w14:textId="77777777" w:rsidR="008B51D6" w:rsidRDefault="008B51D6" w:rsidP="00E23AFA"/>
    <w:p w14:paraId="7710B5D0" w14:textId="571BF6CE" w:rsidR="008B51D6" w:rsidRDefault="008B51D6" w:rsidP="00E23AFA"/>
    <w:p w14:paraId="65BFC132" w14:textId="05F7D072" w:rsidR="008B51D6" w:rsidRDefault="00E23AFA" w:rsidP="00E23AFA">
      <w:pPr>
        <w:rPr>
          <w:bCs/>
        </w:rPr>
      </w:pPr>
      <w:r>
        <w:rPr>
          <w:bCs/>
          <w:noProof/>
        </w:rPr>
        <w:drawing>
          <wp:inline distT="0" distB="0" distL="0" distR="0" wp14:anchorId="66931350" wp14:editId="0F04590B">
            <wp:extent cx="4330700" cy="5715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lemental Figure 3.png"/>
                    <pic:cNvPicPr/>
                  </pic:nvPicPr>
                  <pic:blipFill>
                    <a:blip r:embed="rId6">
                      <a:extLst>
                        <a:ext uri="{28A0092B-C50C-407E-A947-70E740481C1C}">
                          <a14:useLocalDpi xmlns:a14="http://schemas.microsoft.com/office/drawing/2010/main" val="0"/>
                        </a:ext>
                      </a:extLst>
                    </a:blip>
                    <a:stretch>
                      <a:fillRect/>
                    </a:stretch>
                  </pic:blipFill>
                  <pic:spPr>
                    <a:xfrm>
                      <a:off x="0" y="0"/>
                      <a:ext cx="4330700" cy="5715000"/>
                    </a:xfrm>
                    <a:prstGeom prst="rect">
                      <a:avLst/>
                    </a:prstGeom>
                  </pic:spPr>
                </pic:pic>
              </a:graphicData>
            </a:graphic>
          </wp:inline>
        </w:drawing>
      </w:r>
    </w:p>
    <w:p w14:paraId="66D81B9E" w14:textId="0863985F" w:rsidR="008B51D6" w:rsidRDefault="008B51D6" w:rsidP="00E23AFA">
      <w:r>
        <w:rPr>
          <w:b/>
        </w:rPr>
        <w:t xml:space="preserve">Supplemental Figure 3. </w:t>
      </w:r>
      <w:r>
        <w:rPr>
          <w:bCs/>
        </w:rPr>
        <w:t xml:space="preserve">Comparison of global DNA methylation across all probes in saliva epithelial and immune cell fractions. </w:t>
      </w:r>
      <w:r>
        <w:t>Box plots were used to visualize the percent global DNA methylation by cell type.</w:t>
      </w:r>
    </w:p>
    <w:p w14:paraId="2E8B06C2" w14:textId="4EFA021C" w:rsidR="008B51D6" w:rsidRDefault="008B51D6" w:rsidP="00E23AFA"/>
    <w:p w14:paraId="762D2D32" w14:textId="22BA86D7" w:rsidR="008B51D6" w:rsidRPr="001B43E4" w:rsidRDefault="00E23AFA" w:rsidP="00E23AFA">
      <w:pPr>
        <w:rPr>
          <w:b/>
        </w:rPr>
      </w:pPr>
      <w:r>
        <w:rPr>
          <w:b/>
          <w:noProof/>
        </w:rPr>
        <w:lastRenderedPageBreak/>
        <w:drawing>
          <wp:inline distT="0" distB="0" distL="0" distR="0" wp14:anchorId="5573F5A3" wp14:editId="68D3B574">
            <wp:extent cx="5943600" cy="41249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plemental Figure 4.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124960"/>
                    </a:xfrm>
                    <a:prstGeom prst="rect">
                      <a:avLst/>
                    </a:prstGeom>
                  </pic:spPr>
                </pic:pic>
              </a:graphicData>
            </a:graphic>
          </wp:inline>
        </w:drawing>
      </w:r>
    </w:p>
    <w:p w14:paraId="682FCBDA" w14:textId="3E2BCBD4" w:rsidR="008B51D6" w:rsidRDefault="008B51D6" w:rsidP="00E23AFA">
      <w:r w:rsidRPr="00AB0591">
        <w:rPr>
          <w:b/>
        </w:rPr>
        <w:t xml:space="preserve">Supplemental Figure </w:t>
      </w:r>
      <w:r>
        <w:rPr>
          <w:b/>
        </w:rPr>
        <w:t>4</w:t>
      </w:r>
      <w:r w:rsidRPr="00AB0591">
        <w:rPr>
          <w:b/>
        </w:rPr>
        <w:t>.</w:t>
      </w:r>
      <w:r>
        <w:rPr>
          <w:b/>
        </w:rPr>
        <w:t xml:space="preserve"> </w:t>
      </w:r>
      <w:r>
        <w:t>Principal component analysis</w:t>
      </w:r>
      <w:r w:rsidRPr="00AB0591">
        <w:t xml:space="preserve"> of</w:t>
      </w:r>
      <w:r>
        <w:t xml:space="preserve"> DNA methylation datasets from ENCODE epithelial cells,</w:t>
      </w:r>
      <w:r>
        <w:fldChar w:fldCharType="begin" w:fldLock="1"/>
      </w:r>
      <w:r>
        <w:instrText>ADDIN CSL_CITATION {"citationItems":[{"id":"ITEM-1","itemData":{"DOI":"10.1093/nar/gkx1081","ISSN":"1362-4962","abstract":"The Encyclopedia of DNA Elements (ENCODE) Data Coordinating Center has developed the ENCODE Portal database and website as the source for the data and metadata generated by the ENCODE Consortium. Two principles have motivated the design. First, experimental protocols, analytical procedures and the data themselves should be made publicly accessible through a coherent, web-based search and download interface. Second, the same interface should serve carefully curated metadata that record the provenance of the data and justify its interpretation in biological terms. Since its initial release in 2013 and in response to recommendations from consortium members and the wider community of scientists who use the Portal to access ENCODE data, the Portal has been regularly updated to better reflect these design principles. Here we report on these updates, including results from new experiments, uniformly-processed data from other projects, new visualization tools and more comprehensive metadata to describe experiments and analyses. Additionally, the Portal is now home to meta(data) from related projects including Genomics of Gene Regulation, Roadmap Epigenome Project, Model organism ENCODE (modENCODE) and modERN. The Portal now makes available over 13000 datasets and their accompanying metadata and can be accessed at: https://www.encodeproject.org/.","author":[{"dropping-particle":"","family":"Davis","given":"Carrie A","non-dropping-particle":"","parse-names":false,"suffix":""},{"dropping-particle":"","family":"Hitz","given":"Benjamin C","non-dropping-particle":"","parse-names":false,"suffix":""},{"dropping-particle":"","family":"Sloan","given":"Cricket A","non-dropping-particle":"","parse-names":false,"suffix":""},{"dropping-particle":"","family":"Chan","given":"Esther T","non-dropping-particle":"","parse-names":false,"suffix":""},{"dropping-particle":"","family":"Davidson","given":"Jean M","non-dropping-particle":"","parse-names":false,"suffix":""},{"dropping-particle":"","family":"Gabdank","given":"Idan","non-dropping-particle":"","parse-names":false,"suffix":""},{"dropping-particle":"","family":"Hilton","given":"Jason A","non-dropping-particle":"","parse-names":false,"suffix":""},{"dropping-particle":"","family":"Jain","given":"Kriti","non-dropping-particle":"","parse-names":false,"suffix":""},{"dropping-particle":"","family":"Baymuradov","given":"Ulugbek K","non-dropping-particle":"","parse-names":false,"suffix":""},{"dropping-particle":"","family":"Narayanan","given":"Aditi K","non-dropping-particle":"","parse-names":false,"suffix":""},{"dropping-particle":"","family":"Onate","given":"Kathrina C","non-dropping-particle":"","parse-names":false,"suffix":""},{"dropping-particle":"","family":"Graham","given":"Keenan","non-dropping-particle":"","parse-names":false,"suffix":""},{"dropping-particle":"","family":"Miyasato","given":"Stuart R","non-dropping-particle":"","parse-names":false,"suffix":""},{"dropping-particle":"","family":"Dreszer","given":"Timothy R","non-dropping-particle":"","parse-names":false,"suffix":""},{"dropping-particle":"","family":"Strattan","given":"J Seth","non-dropping-particle":"","parse-names":false,"suffix":""},{"dropping-particle":"","family":"Jolanki","given":"Otto","non-dropping-particle":"","parse-names":false,"suffix":""},{"dropping-particle":"","family":"Tanaka","given":"Forrest Y","non-dropping-particle":"","parse-names":false,"suffix":""},{"dropping-particle":"","family":"Cherry","given":"J Michael","non-dropping-particle":"","parse-names":false,"suffix":""}],"container-title":"Nucleic acids research","id":"ITEM-1","issue":"D1","issued":{"date-parts":[["2018","1","4"]]},"language":"eng","page":"D794-D801","publisher":"Oxford University Press","title":"The Encyclopedia of DNA elements (ENCODE): data portal update","type":"article-journal","volume":"46"},"uris":["http://www.mendeley.com/documents/?uuid=24d14318-ba59-4e00-bea3-da723142cffb"]},{"id":"ITEM-2","itemData":{"DOI":"10.1038/nature11247","ISSN":"1476-4687","abstract":"The human genome encodes the blueprint of life, but the function of the vast majority of its nearly three billion bases is unknown. The Encyclopedia of DNA Elements (ENCODE) project has systematically mapped regions of transcription, transcription factor association, chromatin structure and histone modification. These data enabled us to assign biochemical functions for 80% of the genome, in particular outside of the well-studied protein-coding regions. Many discovered candidate regulatory elements are physically associated with one another and with expressed genes, providing new insights into the mechanisms of gene regulation. The newly identified elements also show a statistical correspondence to sequence variants linked to human disease, and can thereby guide interpretation of this variation. Overall, the project provides new insights into the organization and regulation of our genes and genome, and is an expansive resource of functional annotations for biomedical research.","author":[{"dropping-particle":"","family":"ENCODE Project Consortium","given":"","non-dropping-particle":"","parse-names":false,"suffix":""}],"container-title":"Nature","id":"ITEM-2","issue":"7414","issued":{"date-parts":[["2012","9","6"]]},"language":"eng","page":"57-74","title":"An integrated encyclopedia of DNA elements in the human genome","type":"article-journal","volume":"489"},"uris":["http://www.mendeley.com/documents/?uuid=95688380-ba79-4122-9d9e-6b8f1d335c2f"]}],"mendeley":{"formattedCitation":"&lt;sup&gt;29,31&lt;/sup&gt;","plainTextFormattedCitation":"29,31","previouslyFormattedCitation":"&lt;sup&gt;29,31&lt;/sup&gt;"},"properties":{"noteIndex":0},"schema":"https://github.com/citation-style-language/schema/raw/master/csl-citation.json"}</w:instrText>
      </w:r>
      <w:r>
        <w:fldChar w:fldCharType="separate"/>
      </w:r>
      <w:r w:rsidRPr="003514C1">
        <w:rPr>
          <w:noProof/>
          <w:vertAlign w:val="superscript"/>
        </w:rPr>
        <w:t>29,31</w:t>
      </w:r>
      <w:r>
        <w:fldChar w:fldCharType="end"/>
      </w:r>
      <w:r>
        <w:t xml:space="preserve"> adult white blood cells,</w:t>
      </w:r>
      <w:r>
        <w:fldChar w:fldCharType="begin" w:fldLock="1"/>
      </w:r>
      <w:r>
        <w:instrText>ADDIN CSL_CITATION {"citationItems":[{"id":"ITEM-1","itemData":{"DOI":"10.1371/journal.pone.0041361","ISSN":"1932-6203","abstract":"Methylation of cytosines at CpG sites is a common epigenetic DNA modification that can be measured by a large number of methods, now even in a genome-wide manner for hundreds of thousands of sites. The application of DNA methylation analysis is becoming widely popular in complex disorders, for example, to understand part of the “missing heritability”. The DNA samples most readily available for methylation studies are derived from whole blood. However, blood consists of many functionally and developmentally distinct cell populations in varying proportions. We studied whether such variation might affect the interpretation of methylation studies based on whole blood DNA. We found in healthy male blood donors there is important variation in the methylation profiles of whole blood, mononuclear cells, granulocytes, and cells from seven selected purified lineages. CpG methylation between mononuclear cells and granulocytes differed for 22% of the 8252 probes covering the selected 343 genes implicated in immune-related disorders by genome-wide association studies, and at least one probe was differentially methylated for 85% of the genes, indicating that whole blood methylation results might be unintelligible. For individual genes, even if the overall methylation patterns might appear similar, a few CpG sites in the regulatory regions may have opposite methylation patterns (i.e., hypo/hyper) in the main blood cell types. We conclude that interpretation of whole blood methylation profiles should be performed with great caution and for any differences implicated in a disorder, the differences resulting from varying proportions of white blood cell types should be considered.","author":[{"dropping-particle":"","family":"Reinius","given":"Lovisa E.","non-dropping-particle":"","parse-names":false,"suffix":""},{"dropping-particle":"","family":"Acevedo","given":"Nathalie","non-dropping-particle":"","parse-names":false,"suffix":""},{"dropping-particle":"","family":"Joerink","given":"Maaike","non-dropping-particle":"","parse-names":false,"suffix":""},{"dropping-particle":"","family":"Pershagen","given":"Göran","non-dropping-particle":"","parse-names":false,"suffix":""},{"dropping-particle":"","family":"Dahlén","given":"Sven-Erik","non-dropping-particle":"","parse-names":false,"suffix":""},{"dropping-particle":"","family":"Greco","given":"Dario","non-dropping-particle":"","parse-names":false,"suffix":""},{"dropping-particle":"","family":"Söderhäll","given":"Cilla","non-dropping-particle":"","parse-names":false,"suffix":""},{"dropping-particle":"","family":"Scheynius","given":"Annika","non-dropping-particle":"","parse-names":false,"suffix":""},{"dropping-particle":"","family":"Kere","given":"Juha","non-dropping-particle":"","parse-names":false,"suffix":""}],"container-title":"PLoS ONE","editor":[{"dropping-particle":"","family":"Ting","given":"Angela H.","non-dropping-particle":"","parse-names":false,"suffix":""}],"id":"ITEM-1","issue":"7","issued":{"date-parts":[["2012","7","25"]]},"page":"e41361","publisher":"Public Library of Science","title":"Differential DNA Methylation in Purified Human Blood Cells: Implications for Cell Lineage and Studies on Disease Susceptibility","type":"article-journal","volume":"7"},"uris":["http://www.mendeley.com/documents/?uuid=d5eda4a2-7d0f-3a21-bc87-c9b484cbd65c"]}],"mendeley":{"formattedCitation":"&lt;sup&gt;30&lt;/sup&gt;","plainTextFormattedCitation":"30","previouslyFormattedCitation":"&lt;sup&gt;30&lt;/sup&gt;"},"properties":{"noteIndex":0},"schema":"https://github.com/citation-style-language/schema/raw/master/csl-citation.json"}</w:instrText>
      </w:r>
      <w:r>
        <w:fldChar w:fldCharType="separate"/>
      </w:r>
      <w:r w:rsidRPr="003514C1">
        <w:rPr>
          <w:noProof/>
          <w:vertAlign w:val="superscript"/>
        </w:rPr>
        <w:t>30</w:t>
      </w:r>
      <w:r>
        <w:fldChar w:fldCharType="end"/>
      </w:r>
      <w:r>
        <w:t xml:space="preserve"> and our saliva samples.</w:t>
      </w:r>
      <w:r w:rsidRPr="00AB0591">
        <w:t xml:space="preserve"> </w:t>
      </w:r>
      <w:r>
        <w:t xml:space="preserve">The x- and y-axes show </w:t>
      </w:r>
      <w:r w:rsidRPr="00E35922">
        <w:rPr>
          <w:bCs/>
        </w:rPr>
        <w:t>DNA methylation principal components one and two, colored by</w:t>
      </w:r>
      <w:r>
        <w:rPr>
          <w:bCs/>
        </w:rPr>
        <w:t xml:space="preserve"> cell type with saliva</w:t>
      </w:r>
      <w:r w:rsidRPr="00E35922">
        <w:rPr>
          <w:bCs/>
        </w:rPr>
        <w:t xml:space="preserve"> immune cells in </w:t>
      </w:r>
      <w:r>
        <w:rPr>
          <w:bCs/>
        </w:rPr>
        <w:t>red,</w:t>
      </w:r>
      <w:r w:rsidRPr="00E35922">
        <w:rPr>
          <w:bCs/>
        </w:rPr>
        <w:t xml:space="preserve"> </w:t>
      </w:r>
      <w:r>
        <w:rPr>
          <w:bCs/>
        </w:rPr>
        <w:t>saliva</w:t>
      </w:r>
      <w:r w:rsidRPr="00E35922">
        <w:rPr>
          <w:bCs/>
        </w:rPr>
        <w:t xml:space="preserve"> epithelial cells in </w:t>
      </w:r>
      <w:r>
        <w:rPr>
          <w:bCs/>
        </w:rPr>
        <w:t xml:space="preserve">light blue, saliva whole samples in purple, saliva </w:t>
      </w:r>
      <w:proofErr w:type="spellStart"/>
      <w:r>
        <w:rPr>
          <w:bCs/>
        </w:rPr>
        <w:t>Oragene</w:t>
      </w:r>
      <w:proofErr w:type="spellEnd"/>
      <w:r>
        <w:rPr>
          <w:bCs/>
        </w:rPr>
        <w:t xml:space="preserve"> samples in pink, ENCODE epithelial cells in dark blue, and adult white blood cells in tan</w:t>
      </w:r>
      <w:r w:rsidRPr="00E35922">
        <w:rPr>
          <w:bCs/>
        </w:rPr>
        <w:t xml:space="preserve">. </w:t>
      </w:r>
      <w:r>
        <w:rPr>
          <w:bCs/>
        </w:rPr>
        <w:t>Principal component 1 explained 47.9% of the variation in the DNA methylation data. Principal component 2 explained 16.1% of the variation in the DNA methylation data.</w:t>
      </w:r>
    </w:p>
    <w:p w14:paraId="4D387FB3" w14:textId="77777777" w:rsidR="008B51D6" w:rsidRDefault="008B51D6" w:rsidP="00E23AFA"/>
    <w:p w14:paraId="6C8C2030" w14:textId="3AE9C925" w:rsidR="008B51D6" w:rsidRPr="005939CF" w:rsidRDefault="00E23AFA" w:rsidP="00E23AFA">
      <w:pPr>
        <w:rPr>
          <w:b/>
        </w:rPr>
      </w:pPr>
      <w:r>
        <w:rPr>
          <w:b/>
          <w:noProof/>
        </w:rPr>
        <w:lastRenderedPageBreak/>
        <w:drawing>
          <wp:inline distT="0" distB="0" distL="0" distR="0" wp14:anchorId="35D65168" wp14:editId="6D8F9CD7">
            <wp:extent cx="5943600" cy="62953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plemental Figure 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6295390"/>
                    </a:xfrm>
                    <a:prstGeom prst="rect">
                      <a:avLst/>
                    </a:prstGeom>
                  </pic:spPr>
                </pic:pic>
              </a:graphicData>
            </a:graphic>
          </wp:inline>
        </w:drawing>
      </w:r>
    </w:p>
    <w:p w14:paraId="56BBC44D" w14:textId="77777777" w:rsidR="008B51D6" w:rsidRDefault="008B51D6" w:rsidP="00E23AFA">
      <w:r w:rsidRPr="005939CF">
        <w:rPr>
          <w:b/>
          <w:bCs/>
        </w:rPr>
        <w:t>Supplemental Figure 5.</w:t>
      </w:r>
      <w:r w:rsidRPr="005939CF">
        <w:t xml:space="preserve"> Estimation of epithelial and immune cell proportions within whole saliva samples. </w:t>
      </w:r>
      <w:r w:rsidRPr="005939CF">
        <w:rPr>
          <w:b/>
          <w:bCs/>
        </w:rPr>
        <w:t xml:space="preserve">A) </w:t>
      </w:r>
      <w:r w:rsidRPr="005939CF">
        <w:t>The ENCODE and adult white blood cell reference panel, implemented through ewastools,</w:t>
      </w:r>
      <w:r w:rsidRPr="005939CF">
        <w:fldChar w:fldCharType="begin" w:fldLock="1"/>
      </w:r>
      <w:r>
        <w:instrText>ADDIN CSL_CITATION {"citationItems":[{"id":"ITEM-1","itemData":{"author":[{"dropping-particle":"","family":"Just","given":"Allan C","non-dropping-particle":"","parse-names":false,"suffix":""},{"dropping-particle":"","family":"Heiss","given":"Jonathan Alexander","non-dropping-particle":"","parse-names":false,"suffix":""}],"id":"ITEM-1","issued":{"date-parts":[["2018"]]},"number":"1.5","publisher":"R package","title":"ewastools: EWAS Tools.","type":"article"},"uris":["http://www.mendeley.com/documents/?uuid=d05eabfc-06ba-4b19-a69e-0a95f0b1056f"]}],"mendeley":{"formattedCitation":"&lt;sup&gt;23&lt;/sup&gt;","plainTextFormattedCitation":"23","previouslyFormattedCitation":"&lt;sup&gt;23&lt;/sup&gt;"},"properties":{"noteIndex":0},"schema":"https://github.com/citation-style-language/schema/raw/master/csl-citation.json"}</w:instrText>
      </w:r>
      <w:r w:rsidRPr="005939CF">
        <w:fldChar w:fldCharType="separate"/>
      </w:r>
      <w:r w:rsidRPr="003514C1">
        <w:rPr>
          <w:noProof/>
          <w:vertAlign w:val="superscript"/>
        </w:rPr>
        <w:t>23</w:t>
      </w:r>
      <w:r w:rsidRPr="005939CF">
        <w:fldChar w:fldCharType="end"/>
      </w:r>
      <w:r w:rsidRPr="005939CF">
        <w:t xml:space="preserve"> was used to estimate the epithelial and immune percent of each whole sample.</w:t>
      </w:r>
      <w:r w:rsidRPr="00BD24A5">
        <w:t xml:space="preserve"> </w:t>
      </w:r>
      <w:r>
        <w:t xml:space="preserve">Each set of dots connected by a line represents one whole saliva sample. </w:t>
      </w:r>
      <w:r>
        <w:rPr>
          <w:b/>
          <w:bCs/>
        </w:rPr>
        <w:t>B</w:t>
      </w:r>
      <w:r w:rsidRPr="001B43E4">
        <w:rPr>
          <w:b/>
          <w:bCs/>
        </w:rPr>
        <w:t>)</w:t>
      </w:r>
      <w:r w:rsidRPr="001B43E4">
        <w:t xml:space="preserve"> </w:t>
      </w:r>
      <w:proofErr w:type="spellStart"/>
      <w:r w:rsidRPr="001B43E4">
        <w:t>Ewastools</w:t>
      </w:r>
      <w:proofErr w:type="spellEnd"/>
      <w:r w:rsidRPr="001B43E4">
        <w:t xml:space="preserve"> with saliva as the reference dataset was used to </w:t>
      </w:r>
      <w:r>
        <w:t>estimate</w:t>
      </w:r>
      <w:r w:rsidRPr="001B43E4">
        <w:t xml:space="preserve"> the </w:t>
      </w:r>
      <w:r>
        <w:t>epithelial and immune</w:t>
      </w:r>
      <w:r w:rsidRPr="001B43E4">
        <w:t xml:space="preserve"> </w:t>
      </w:r>
      <w:r>
        <w:t>percent</w:t>
      </w:r>
      <w:r w:rsidRPr="001B43E4">
        <w:t xml:space="preserve"> of each whole sample.</w:t>
      </w:r>
      <w:r>
        <w:t xml:space="preserve"> Each set of dots connected by a line represents one whole saliva sample. </w:t>
      </w:r>
      <w:r>
        <w:rPr>
          <w:b/>
          <w:bCs/>
        </w:rPr>
        <w:t>C)</w:t>
      </w:r>
      <w:r>
        <w:t xml:space="preserve"> </w:t>
      </w:r>
      <w:r w:rsidRPr="001B43E4">
        <w:t xml:space="preserve">Comparison of immune cell </w:t>
      </w:r>
      <w:r>
        <w:t>percent</w:t>
      </w:r>
      <w:r w:rsidRPr="001B43E4">
        <w:t xml:space="preserve"> </w:t>
      </w:r>
      <w:r>
        <w:t>estimates</w:t>
      </w:r>
      <w:r w:rsidRPr="001B43E4">
        <w:t xml:space="preserve"> in whole and </w:t>
      </w:r>
      <w:proofErr w:type="spellStart"/>
      <w:r w:rsidRPr="001B43E4">
        <w:t>Oragene</w:t>
      </w:r>
      <w:proofErr w:type="spellEnd"/>
      <w:r w:rsidRPr="001B43E4">
        <w:t xml:space="preserve"> </w:t>
      </w:r>
      <w:r>
        <w:t xml:space="preserve">saliva </w:t>
      </w:r>
      <w:r w:rsidRPr="001B43E4">
        <w:t>samples collected from the same individual.</w:t>
      </w:r>
      <w:r>
        <w:t xml:space="preserve"> The estimates from the same participant are connected by a line.</w:t>
      </w:r>
    </w:p>
    <w:p w14:paraId="7C66A957" w14:textId="77777777" w:rsidR="008B51D6" w:rsidRPr="00970141" w:rsidRDefault="008B51D6" w:rsidP="00E23AFA"/>
    <w:p w14:paraId="6D38AA6D" w14:textId="7EAAB93F" w:rsidR="008B51D6" w:rsidRDefault="008B51D6" w:rsidP="00E23AFA"/>
    <w:p w14:paraId="7691A928" w14:textId="4D136CB9" w:rsidR="008B51D6" w:rsidRDefault="008B51D6" w:rsidP="00E23AFA"/>
    <w:p w14:paraId="0C7F6442" w14:textId="1356DC5B" w:rsidR="008B51D6" w:rsidRDefault="00E23AFA" w:rsidP="00E23AFA">
      <w:r>
        <w:rPr>
          <w:noProof/>
        </w:rPr>
        <w:lastRenderedPageBreak/>
        <w:drawing>
          <wp:inline distT="0" distB="0" distL="0" distR="0" wp14:anchorId="065050A0" wp14:editId="58AF7665">
            <wp:extent cx="5943600" cy="41198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pplemental Figure 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119880"/>
                    </a:xfrm>
                    <a:prstGeom prst="rect">
                      <a:avLst/>
                    </a:prstGeom>
                  </pic:spPr>
                </pic:pic>
              </a:graphicData>
            </a:graphic>
          </wp:inline>
        </w:drawing>
      </w:r>
    </w:p>
    <w:p w14:paraId="0E35FAF7" w14:textId="77777777" w:rsidR="008B51D6" w:rsidRDefault="008B51D6" w:rsidP="00E23AFA">
      <w:r w:rsidRPr="005939CF">
        <w:rPr>
          <w:b/>
          <w:bCs/>
        </w:rPr>
        <w:t>Supplemental Figure 6</w:t>
      </w:r>
      <w:r w:rsidRPr="005939CF">
        <w:t xml:space="preserve">. </w:t>
      </w:r>
      <w:r w:rsidRPr="00415BA1">
        <w:t xml:space="preserve">Frequency </w:t>
      </w:r>
      <w:proofErr w:type="spellStart"/>
      <w:r w:rsidRPr="00415BA1">
        <w:t>polygram</w:t>
      </w:r>
      <w:proofErr w:type="spellEnd"/>
      <w:r w:rsidRPr="00415BA1">
        <w:t xml:space="preserve"> plot of variance explained in DNA methylation from whole saliva samples by cell proportions. A reference panel was created using ENCODE epithelial and </w:t>
      </w:r>
      <w:r>
        <w:t>adult white blood cell</w:t>
      </w:r>
      <w:r w:rsidRPr="00415BA1">
        <w:t xml:space="preserve"> DNA methylation data. </w:t>
      </w:r>
      <w:r>
        <w:t>The f</w:t>
      </w:r>
      <w:r w:rsidRPr="00415BA1">
        <w:t>requency of R</w:t>
      </w:r>
      <w:r w:rsidRPr="00415BA1">
        <w:rPr>
          <w:vertAlign w:val="superscript"/>
        </w:rPr>
        <w:t>2</w:t>
      </w:r>
      <w:r w:rsidRPr="00415BA1">
        <w:t xml:space="preserve"> values was </w:t>
      </w:r>
      <w:r>
        <w:t>calculated</w:t>
      </w:r>
      <w:r w:rsidRPr="00415BA1">
        <w:t xml:space="preserve"> for all probes in the whole saliva samples (n = 795,694)</w:t>
      </w:r>
      <w:r>
        <w:t xml:space="preserve"> based on the ENCODE and adult white blood cell reference panel (pink)</w:t>
      </w:r>
      <w:r w:rsidRPr="00415BA1">
        <w:t xml:space="preserve">. </w:t>
      </w:r>
      <w:r>
        <w:t>Our new</w:t>
      </w:r>
      <w:r w:rsidRPr="00415BA1">
        <w:t xml:space="preserve"> reference panel was created using sorted saliva DNA methylation data. </w:t>
      </w:r>
      <w:r>
        <w:t>The f</w:t>
      </w:r>
      <w:r w:rsidRPr="00415BA1">
        <w:t>requency of R</w:t>
      </w:r>
      <w:r w:rsidRPr="00415BA1">
        <w:rPr>
          <w:vertAlign w:val="superscript"/>
        </w:rPr>
        <w:t>2</w:t>
      </w:r>
      <w:r w:rsidRPr="00415BA1">
        <w:t xml:space="preserve"> values was </w:t>
      </w:r>
      <w:r>
        <w:t>calculated</w:t>
      </w:r>
      <w:r w:rsidRPr="00415BA1">
        <w:t xml:space="preserve"> for all probes in the whole saliva samples (n = 795,694)</w:t>
      </w:r>
      <w:r>
        <w:t xml:space="preserve"> based on the saliva reference panel (blue)</w:t>
      </w:r>
      <w:r w:rsidRPr="00415BA1">
        <w:t>.</w:t>
      </w:r>
    </w:p>
    <w:p w14:paraId="47E9980B" w14:textId="77777777" w:rsidR="008B51D6" w:rsidRPr="00970141" w:rsidRDefault="008B51D6" w:rsidP="00E23AFA">
      <w:r>
        <w:rPr>
          <w:highlight w:val="yellow"/>
        </w:rPr>
        <w:br w:type="page"/>
      </w:r>
    </w:p>
    <w:p w14:paraId="7D3EE585" w14:textId="50A359C8" w:rsidR="008B51D6" w:rsidRDefault="008B51D6" w:rsidP="00E23AFA"/>
    <w:p w14:paraId="25B83908" w14:textId="3B81F694" w:rsidR="008B51D6" w:rsidRDefault="00E23AFA" w:rsidP="00E23AFA">
      <w:r>
        <w:rPr>
          <w:noProof/>
        </w:rPr>
        <w:drawing>
          <wp:inline distT="0" distB="0" distL="0" distR="0" wp14:anchorId="03DD5307" wp14:editId="31B49D58">
            <wp:extent cx="5943600" cy="28721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pplemental Figure 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872105"/>
                    </a:xfrm>
                    <a:prstGeom prst="rect">
                      <a:avLst/>
                    </a:prstGeom>
                  </pic:spPr>
                </pic:pic>
              </a:graphicData>
            </a:graphic>
          </wp:inline>
        </w:drawing>
      </w:r>
    </w:p>
    <w:p w14:paraId="7B7910A4" w14:textId="77777777" w:rsidR="008B51D6" w:rsidRDefault="008B51D6" w:rsidP="00E23AFA"/>
    <w:p w14:paraId="7C5A78D3" w14:textId="5E5DE8EA" w:rsidR="008B51D6" w:rsidRPr="001B43E4" w:rsidRDefault="008B51D6" w:rsidP="00E23AFA">
      <w:pPr>
        <w:rPr>
          <w:b/>
        </w:rPr>
      </w:pPr>
    </w:p>
    <w:p w14:paraId="35DA2074" w14:textId="77777777" w:rsidR="008B51D6" w:rsidRPr="005939CF" w:rsidRDefault="008B51D6" w:rsidP="00E23AFA">
      <w:r w:rsidRPr="005939CF">
        <w:rPr>
          <w:b/>
        </w:rPr>
        <w:t>Supplemental Figure 7.</w:t>
      </w:r>
      <w:r w:rsidRPr="005939CF">
        <w:rPr>
          <w:bCs/>
        </w:rPr>
        <w:t xml:space="preserve"> </w:t>
      </w:r>
      <w:r w:rsidRPr="005939CF">
        <w:t>ENCODE and adult white blood cell reference panel vs sorted saliva reference panel percent estimates from whole saliva samples. The x-axis represents the percent of the cell type that was estimated using our saliva reference panel.</w:t>
      </w:r>
      <w:r w:rsidRPr="005939CF">
        <w:fldChar w:fldCharType="begin" w:fldLock="1"/>
      </w:r>
      <w:r>
        <w:instrText>ADDIN CSL_CITATION {"citationItems":[{"id":"ITEM-1","itemData":{"author":[{"dropping-particle":"","family":"Just","given":"Allan C","non-dropping-particle":"","parse-names":false,"suffix":""},{"dropping-particle":"","family":"Heiss","given":"Jonathan Alexander","non-dropping-particle":"","parse-names":false,"suffix":""}],"id":"ITEM-1","issued":{"date-parts":[["2018"]]},"number":"1.5","publisher":"R package","title":"ewastools: EWAS Tools.","type":"article"},"uris":["http://www.mendeley.com/documents/?uuid=d05eabfc-06ba-4b19-a69e-0a95f0b1056f"]}],"mendeley":{"formattedCitation":"&lt;sup&gt;23&lt;/sup&gt;","plainTextFormattedCitation":"23","previouslyFormattedCitation":"&lt;sup&gt;23&lt;/sup&gt;"},"properties":{"noteIndex":0},"schema":"https://github.com/citation-style-language/schema/raw/master/csl-citation.json"}</w:instrText>
      </w:r>
      <w:r w:rsidRPr="005939CF">
        <w:fldChar w:fldCharType="separate"/>
      </w:r>
      <w:r w:rsidRPr="003514C1">
        <w:rPr>
          <w:noProof/>
          <w:vertAlign w:val="superscript"/>
        </w:rPr>
        <w:t>23</w:t>
      </w:r>
      <w:r w:rsidRPr="005939CF">
        <w:fldChar w:fldCharType="end"/>
      </w:r>
      <w:r w:rsidRPr="005939CF">
        <w:t xml:space="preserve"> The y-axis represents the percent of the cell type that was estimated using the ENCODE and adult white blood cell reference panel. </w:t>
      </w:r>
      <w:r w:rsidRPr="005939CF">
        <w:rPr>
          <w:b/>
          <w:bCs/>
        </w:rPr>
        <w:t>A)</w:t>
      </w:r>
      <w:r w:rsidRPr="005939CF">
        <w:t xml:space="preserve"> The proportion of immune cells in each whole saliva sample was estimated using the two reference panels integrated into ewastools.</w:t>
      </w:r>
      <w:r w:rsidRPr="005939CF">
        <w:fldChar w:fldCharType="begin" w:fldLock="1"/>
      </w:r>
      <w:r>
        <w:instrText>ADDIN CSL_CITATION {"citationItems":[{"id":"ITEM-1","itemData":{"author":[{"dropping-particle":"","family":"Just","given":"Allan C","non-dropping-particle":"","parse-names":false,"suffix":""},{"dropping-particle":"","family":"Heiss","given":"Jonathan Alexander","non-dropping-particle":"","parse-names":false,"suffix":""}],"id":"ITEM-1","issued":{"date-parts":[["2018"]]},"number":"1.5","publisher":"R package","title":"ewastools: EWAS Tools.","type":"article"},"uris":["http://www.mendeley.com/documents/?uuid=d05eabfc-06ba-4b19-a69e-0a95f0b1056f"]}],"mendeley":{"formattedCitation":"&lt;sup&gt;23&lt;/sup&gt;","plainTextFormattedCitation":"23","previouslyFormattedCitation":"&lt;sup&gt;23&lt;/sup&gt;"},"properties":{"noteIndex":0},"schema":"https://github.com/citation-style-language/schema/raw/master/csl-citation.json"}</w:instrText>
      </w:r>
      <w:r w:rsidRPr="005939CF">
        <w:fldChar w:fldCharType="separate"/>
      </w:r>
      <w:r w:rsidRPr="003514C1">
        <w:rPr>
          <w:noProof/>
          <w:vertAlign w:val="superscript"/>
        </w:rPr>
        <w:t>23</w:t>
      </w:r>
      <w:r w:rsidRPr="005939CF">
        <w:fldChar w:fldCharType="end"/>
      </w:r>
      <w:r w:rsidRPr="005939CF">
        <w:t xml:space="preserve"> </w:t>
      </w:r>
      <w:r w:rsidRPr="005939CF">
        <w:rPr>
          <w:b/>
          <w:bCs/>
        </w:rPr>
        <w:t>B)</w:t>
      </w:r>
      <w:r w:rsidRPr="005939CF">
        <w:t xml:space="preserve"> The proportion of epithelial cells in each whole saliva sample was the two reference panels integrated into ewastools.</w:t>
      </w:r>
      <w:r w:rsidRPr="005939CF">
        <w:fldChar w:fldCharType="begin" w:fldLock="1"/>
      </w:r>
      <w:r>
        <w:instrText>ADDIN CSL_CITATION {"citationItems":[{"id":"ITEM-1","itemData":{"author":[{"dropping-particle":"","family":"Just","given":"Allan C","non-dropping-particle":"","parse-names":false,"suffix":""},{"dropping-particle":"","family":"Heiss","given":"Jonathan Alexander","non-dropping-particle":"","parse-names":false,"suffix":""}],"id":"ITEM-1","issued":{"date-parts":[["2018"]]},"number":"1.5","publisher":"R package","title":"ewastools: EWAS Tools.","type":"article"},"uris":["http://www.mendeley.com/documents/?uuid=d05eabfc-06ba-4b19-a69e-0a95f0b1056f"]}],"mendeley":{"formattedCitation":"&lt;sup&gt;23&lt;/sup&gt;","plainTextFormattedCitation":"23","previouslyFormattedCitation":"&lt;sup&gt;23&lt;/sup&gt;"},"properties":{"noteIndex":0},"schema":"https://github.com/citation-style-language/schema/raw/master/csl-citation.json"}</w:instrText>
      </w:r>
      <w:r w:rsidRPr="005939CF">
        <w:fldChar w:fldCharType="separate"/>
      </w:r>
      <w:r w:rsidRPr="003514C1">
        <w:rPr>
          <w:noProof/>
          <w:vertAlign w:val="superscript"/>
        </w:rPr>
        <w:t>23</w:t>
      </w:r>
      <w:r w:rsidRPr="005939CF">
        <w:fldChar w:fldCharType="end"/>
      </w:r>
    </w:p>
    <w:p w14:paraId="3A433E4F" w14:textId="4CB0DDB9" w:rsidR="008B51D6" w:rsidRDefault="008B51D6" w:rsidP="00E23AFA"/>
    <w:p w14:paraId="3EABDC1E" w14:textId="0473A8D4" w:rsidR="008B51D6" w:rsidRDefault="00E23AFA" w:rsidP="00E23AFA">
      <w:r>
        <w:rPr>
          <w:noProof/>
        </w:rPr>
        <w:lastRenderedPageBreak/>
        <w:drawing>
          <wp:inline distT="0" distB="0" distL="0" distR="0" wp14:anchorId="64208F53" wp14:editId="0C123636">
            <wp:extent cx="5943600" cy="56394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upplemental Figure 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639435"/>
                    </a:xfrm>
                    <a:prstGeom prst="rect">
                      <a:avLst/>
                    </a:prstGeom>
                  </pic:spPr>
                </pic:pic>
              </a:graphicData>
            </a:graphic>
          </wp:inline>
        </w:drawing>
      </w:r>
    </w:p>
    <w:p w14:paraId="62284423" w14:textId="77777777" w:rsidR="008B51D6" w:rsidRPr="00451096" w:rsidRDefault="008B51D6" w:rsidP="00E23AFA">
      <w:r w:rsidRPr="005939CF">
        <w:rPr>
          <w:b/>
          <w:bCs/>
        </w:rPr>
        <w:t>Supplemental Figure 8.</w:t>
      </w:r>
      <w:r w:rsidRPr="005939CF">
        <w:t xml:space="preserve"> Comparison of whole saliva brightfield images (n = 18) to cell proportion estimates using the ENCODE</w:t>
      </w:r>
      <w:r w:rsidRPr="005939CF">
        <w:fldChar w:fldCharType="begin" w:fldLock="1"/>
      </w:r>
      <w:r>
        <w:instrText>ADDIN CSL_CITATION {"citationItems":[{"id":"ITEM-1","itemData":{"DOI":"10.1093/nar/gkx1081","ISSN":"1362-4962","abstract":"The Encyclopedia of DNA Elements (ENCODE) Data Coordinating Center has developed the ENCODE Portal database and website as the source for the data and metadata generated by the ENCODE Consortium. Two principles have motivated the design. First, experimental protocols, analytical procedures and the data themselves should be made publicly accessible through a coherent, web-based search and download interface. Second, the same interface should serve carefully curated metadata that record the provenance of the data and justify its interpretation in biological terms. Since its initial release in 2013 and in response to recommendations from consortium members and the wider community of scientists who use the Portal to access ENCODE data, the Portal has been regularly updated to better reflect these design principles. Here we report on these updates, including results from new experiments, uniformly-processed data from other projects, new visualization tools and more comprehensive metadata to describe experiments and analyses. Additionally, the Portal is now home to meta(data) from related projects including Genomics of Gene Regulation, Roadmap Epigenome Project, Model organism ENCODE (modENCODE) and modERN. The Portal now makes available over 13000 datasets and their accompanying metadata and can be accessed at: https://www.encodeproject.org/.","author":[{"dropping-particle":"","family":"Davis","given":"Carrie A","non-dropping-particle":"","parse-names":false,"suffix":""},{"dropping-particle":"","family":"Hitz","given":"Benjamin C","non-dropping-particle":"","parse-names":false,"suffix":""},{"dropping-particle":"","family":"Sloan","given":"Cricket A","non-dropping-particle":"","parse-names":false,"suffix":""},{"dropping-particle":"","family":"Chan","given":"Esther T","non-dropping-particle":"","parse-names":false,"suffix":""},{"dropping-particle":"","family":"Davidson","given":"Jean M","non-dropping-particle":"","parse-names":false,"suffix":""},{"dropping-particle":"","family":"Gabdank","given":"Idan","non-dropping-particle":"","parse-names":false,"suffix":""},{"dropping-particle":"","family":"Hilton","given":"Jason A","non-dropping-particle":"","parse-names":false,"suffix":""},{"dropping-particle":"","family":"Jain","given":"Kriti","non-dropping-particle":"","parse-names":false,"suffix":""},{"dropping-particle":"","family":"Baymuradov","given":"Ulugbek K","non-dropping-particle":"","parse-names":false,"suffix":""},{"dropping-particle":"","family":"Narayanan","given":"Aditi K","non-dropping-particle":"","parse-names":false,"suffix":""},{"dropping-particle":"","family":"Onate","given":"Kathrina C","non-dropping-particle":"","parse-names":false,"suffix":""},{"dropping-particle":"","family":"Graham","given":"Keenan","non-dropping-particle":"","parse-names":false,"suffix":""},{"dropping-particle":"","family":"Miyasato","given":"Stuart R","non-dropping-particle":"","parse-names":false,"suffix":""},{"dropping-particle":"","family":"Dreszer","given":"Timothy R","non-dropping-particle":"","parse-names":false,"suffix":""},{"dropping-particle":"","family":"Strattan","given":"J Seth","non-dropping-particle":"","parse-names":false,"suffix":""},{"dropping-particle":"","family":"Jolanki","given":"Otto","non-dropping-particle":"","parse-names":false,"suffix":""},{"dropping-particle":"","family":"Tanaka","given":"Forrest Y","non-dropping-particle":"","parse-names":false,"suffix":""},{"dropping-particle":"","family":"Cherry","given":"J Michael","non-dropping-particle":"","parse-names":false,"suffix":""}],"container-title":"Nucleic acids research","id":"ITEM-1","issue":"D1","issued":{"date-parts":[["2018","1","4"]]},"language":"eng","page":"D794-D801","publisher":"Oxford University Press","title":"The Encyclopedia of DNA elements (ENCODE): data portal update","type":"article-journal","volume":"46"},"uris":["http://www.mendeley.com/documents/?uuid=24d14318-ba59-4e00-bea3-da723142cffb"]},{"id":"ITEM-2","itemData":{"DOI":"10.1038/nature11247","ISSN":"1476-4687","abstract":"The human genome encodes the blueprint of life, but the function of the vast majority of its nearly three billion bases is unknown. The Encyclopedia of DNA Elements (ENCODE) project has systematically mapped regions of transcription, transcription factor association, chromatin structure and histone modification. These data enabled us to assign biochemical functions for 80% of the genome, in particular outside of the well-studied protein-coding regions. Many discovered candidate regulatory elements are physically associated with one another and with expressed genes, providing new insights into the mechanisms of gene regulation. The newly identified elements also show a statistical correspondence to sequence variants linked to human disease, and can thereby guide interpretation of this variation. Overall, the project provides new insights into the organization and regulation of our genes and genome, and is an expansive resource of functional annotations for biomedical research.","author":[{"dropping-particle":"","family":"ENCODE Project Consortium","given":"","non-dropping-particle":"","parse-names":false,"suffix":""}],"container-title":"Nature","id":"ITEM-2","issue":"7414","issued":{"date-parts":[["2012","9","6"]]},"language":"eng","page":"57-74","title":"An integrated encyclopedia of DNA elements in the human genome","type":"article-journal","volume":"489"},"uris":["http://www.mendeley.com/documents/?uuid=95688380-ba79-4122-9d9e-6b8f1d335c2f"]}],"mendeley":{"formattedCitation":"&lt;sup&gt;29,31&lt;/sup&gt;","plainTextFormattedCitation":"29,31","previouslyFormattedCitation":"&lt;sup&gt;29,31&lt;/sup&gt;"},"properties":{"noteIndex":0},"schema":"https://github.com/citation-style-language/schema/raw/master/csl-citation.json"}</w:instrText>
      </w:r>
      <w:r w:rsidRPr="005939CF">
        <w:fldChar w:fldCharType="separate"/>
      </w:r>
      <w:r w:rsidRPr="003514C1">
        <w:rPr>
          <w:noProof/>
          <w:vertAlign w:val="superscript"/>
        </w:rPr>
        <w:t>29,31</w:t>
      </w:r>
      <w:r w:rsidRPr="005939CF">
        <w:fldChar w:fldCharType="end"/>
      </w:r>
      <w:r w:rsidRPr="005939CF">
        <w:t xml:space="preserve"> and adult white blood cell (</w:t>
      </w:r>
      <w:proofErr w:type="spellStart"/>
      <w:r w:rsidRPr="005939CF">
        <w:t>Reinius</w:t>
      </w:r>
      <w:proofErr w:type="spellEnd"/>
      <w:r w:rsidRPr="005939CF">
        <w:t>)</w:t>
      </w:r>
      <w:r w:rsidRPr="005939CF">
        <w:fldChar w:fldCharType="begin" w:fldLock="1"/>
      </w:r>
      <w:r>
        <w:instrText>ADDIN CSL_CITATION {"citationItems":[{"id":"ITEM-1","itemData":{"DOI":"10.1371/journal.pone.0041361","ISSN":"1932-6203","abstract":"Methylation of cytosines at CpG sites is a common epigenetic DNA modification that can be measured by a large number of methods, now even in a genome-wide manner for hundreds of thousands of sites. The application of DNA methylation analysis is becoming widely popular in complex disorders, for example, to understand part of the “missing heritability”. The DNA samples most readily available for methylation studies are derived from whole blood. However, blood consists of many functionally and developmentally distinct cell populations in varying proportions. We studied whether such variation might affect the interpretation of methylation studies based on whole blood DNA. We found in healthy male blood donors there is important variation in the methylation profiles of whole blood, mononuclear cells, granulocytes, and cells from seven selected purified lineages. CpG methylation between mononuclear cells and granulocytes differed for 22% of the 8252 probes covering the selected 343 genes implicated in immune-related disorders by genome-wide association studies, and at least one probe was differentially methylated for 85% of the genes, indicating that whole blood methylation results might be unintelligible. For individual genes, even if the overall methylation patterns might appear similar, a few CpG sites in the regulatory regions may have opposite methylation patterns (i.e., hypo/hyper) in the main blood cell types. We conclude that interpretation of whole blood methylation profiles should be performed with great caution and for any differences implicated in a disorder, the differences resulting from varying proportions of white blood cell types should be considered.","author":[{"dropping-particle":"","family":"Reinius","given":"Lovisa E.","non-dropping-particle":"","parse-names":false,"suffix":""},{"dropping-particle":"","family":"Acevedo","given":"Nathalie","non-dropping-particle":"","parse-names":false,"suffix":""},{"dropping-particle":"","family":"Joerink","given":"Maaike","non-dropping-particle":"","parse-names":false,"suffix":""},{"dropping-particle":"","family":"Pershagen","given":"Göran","non-dropping-particle":"","parse-names":false,"suffix":""},{"dropping-particle":"","family":"Dahlén","given":"Sven-Erik","non-dropping-particle":"","parse-names":false,"suffix":""},{"dropping-particle":"","family":"Greco","given":"Dario","non-dropping-particle":"","parse-names":false,"suffix":""},{"dropping-particle":"","family":"Söderhäll","given":"Cilla","non-dropping-particle":"","parse-names":false,"suffix":""},{"dropping-particle":"","family":"Scheynius","given":"Annika","non-dropping-particle":"","parse-names":false,"suffix":""},{"dropping-particle":"","family":"Kere","given":"Juha","non-dropping-particle":"","parse-names":false,"suffix":""}],"container-title":"PLoS ONE","editor":[{"dropping-particle":"","family":"Ting","given":"Angela H.","non-dropping-particle":"","parse-names":false,"suffix":""}],"id":"ITEM-1","issue":"7","issued":{"date-parts":[["2012","7","25"]]},"page":"e41361","publisher":"Public Library of Science","title":"Differential DNA Methylation in Purified Human Blood Cells: Implications for Cell Lineage and Studies on Disease Susceptibility","type":"article-journal","volume":"7"},"uris":["http://www.mendeley.com/documents/?uuid=d5eda4a2-7d0f-3a21-bc87-c9b484cbd65c"]}],"mendeley":{"formattedCitation":"&lt;sup&gt;30&lt;/sup&gt;","plainTextFormattedCitation":"30","previouslyFormattedCitation":"&lt;sup&gt;30&lt;/sup&gt;"},"properties":{"noteIndex":0},"schema":"https://github.com/citation-style-language/schema/raw/master/csl-citation.json"}</w:instrText>
      </w:r>
      <w:r w:rsidRPr="005939CF">
        <w:fldChar w:fldCharType="separate"/>
      </w:r>
      <w:r w:rsidRPr="003514C1">
        <w:rPr>
          <w:noProof/>
          <w:vertAlign w:val="superscript"/>
        </w:rPr>
        <w:t>30</w:t>
      </w:r>
      <w:r w:rsidRPr="005939CF">
        <w:fldChar w:fldCharType="end"/>
      </w:r>
      <w:r w:rsidRPr="005939CF">
        <w:t xml:space="preserve"> reference panel and our saliva reference panel. Reference panels were implemented in </w:t>
      </w:r>
      <w:proofErr w:type="spellStart"/>
      <w:r w:rsidRPr="005939CF">
        <w:t>ewastools</w:t>
      </w:r>
      <w:proofErr w:type="spellEnd"/>
      <w:r w:rsidRPr="005939CF">
        <w:t>.</w:t>
      </w:r>
    </w:p>
    <w:p w14:paraId="3836D441" w14:textId="436EE6A8" w:rsidR="00E23AFA" w:rsidRDefault="00E23AFA">
      <w:r>
        <w:br w:type="page"/>
      </w:r>
    </w:p>
    <w:p w14:paraId="1093867D" w14:textId="77777777" w:rsidR="008B51D6" w:rsidRDefault="008B51D6" w:rsidP="00E23AFA"/>
    <w:p w14:paraId="0B27B0BF" w14:textId="188D9FA4" w:rsidR="008B51D6" w:rsidRDefault="00E23AFA" w:rsidP="00E23AFA">
      <w:pPr>
        <w:rPr>
          <w:b/>
          <w:bCs/>
        </w:rPr>
      </w:pPr>
      <w:r>
        <w:rPr>
          <w:b/>
          <w:bCs/>
          <w:noProof/>
        </w:rPr>
        <w:drawing>
          <wp:inline distT="0" distB="0" distL="0" distR="0" wp14:anchorId="0C320856" wp14:editId="50B1295C">
            <wp:extent cx="5943600" cy="14243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upplemental Figure 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424305"/>
                    </a:xfrm>
                    <a:prstGeom prst="rect">
                      <a:avLst/>
                    </a:prstGeom>
                  </pic:spPr>
                </pic:pic>
              </a:graphicData>
            </a:graphic>
          </wp:inline>
        </w:drawing>
      </w:r>
    </w:p>
    <w:p w14:paraId="0CB43E72" w14:textId="77777777" w:rsidR="008B51D6" w:rsidRDefault="008B51D6" w:rsidP="00E23AFA">
      <w:r w:rsidRPr="00BB72FF">
        <w:rPr>
          <w:b/>
          <w:bCs/>
        </w:rPr>
        <w:t xml:space="preserve">Supplemental Figure </w:t>
      </w:r>
      <w:r>
        <w:rPr>
          <w:b/>
          <w:bCs/>
        </w:rPr>
        <w:t>9</w:t>
      </w:r>
      <w:r w:rsidRPr="00BB72FF">
        <w:rPr>
          <w:b/>
          <w:bCs/>
        </w:rPr>
        <w:t xml:space="preserve">. </w:t>
      </w:r>
      <w:r>
        <w:t>Cell types predicted within saliva immune cell fractions. We used the adult white blood cell reference panel</w:t>
      </w:r>
      <w:r>
        <w:fldChar w:fldCharType="begin" w:fldLock="1"/>
      </w:r>
      <w:r>
        <w:instrText>ADDIN CSL_CITATION {"citationItems":[{"id":"ITEM-1","itemData":{"DOI":"10.1371/journal.pone.0041361","ISSN":"1932-6203","abstract":"Methylation of cytosines at CpG sites is a common epigenetic DNA modification that can be measured by a large number of methods, now even in a genome-wide manner for hundreds of thousands of sites. The application of DNA methylation analysis is becoming widely popular in complex disorders, for example, to understand part of the “missing heritability”. The DNA samples most readily available for methylation studies are derived from whole blood. However, blood consists of many functionally and developmentally distinct cell populations in varying proportions. We studied whether such variation might affect the interpretation of methylation studies based on whole blood DNA. We found in healthy male blood donors there is important variation in the methylation profiles of whole blood, mononuclear cells, granulocytes, and cells from seven selected purified lineages. CpG methylation between mononuclear cells and granulocytes differed for 22% of the 8252 probes covering the selected 343 genes implicated in immune-related disorders by genome-wide association studies, and at least one probe was differentially methylated for 85% of the genes, indicating that whole blood methylation results might be unintelligible. For individual genes, even if the overall methylation patterns might appear similar, a few CpG sites in the regulatory regions may have opposite methylation patterns (i.e., hypo/hyper) in the main blood cell types. We conclude that interpretation of whole blood methylation profiles should be performed with great caution and for any differences implicated in a disorder, the differences resulting from varying proportions of white blood cell types should be considered.","author":[{"dropping-particle":"","family":"Reinius","given":"Lovisa E.","non-dropping-particle":"","parse-names":false,"suffix":""},{"dropping-particle":"","family":"Acevedo","given":"Nathalie","non-dropping-particle":"","parse-names":false,"suffix":""},{"dropping-particle":"","family":"Joerink","given":"Maaike","non-dropping-particle":"","parse-names":false,"suffix":""},{"dropping-particle":"","family":"Pershagen","given":"Göran","non-dropping-particle":"","parse-names":false,"suffix":""},{"dropping-particle":"","family":"Dahlén","given":"Sven-Erik","non-dropping-particle":"","parse-names":false,"suffix":""},{"dropping-particle":"","family":"Greco","given":"Dario","non-dropping-particle":"","parse-names":false,"suffix":""},{"dropping-particle":"","family":"Söderhäll","given":"Cilla","non-dropping-particle":"","parse-names":false,"suffix":""},{"dropping-particle":"","family":"Scheynius","given":"Annika","non-dropping-particle":"","parse-names":false,"suffix":""},{"dropping-particle":"","family":"Kere","given":"Juha","non-dropping-particle":"","parse-names":false,"suffix":""}],"container-title":"PLoS ONE","editor":[{"dropping-particle":"","family":"Ting","given":"Angela H.","non-dropping-particle":"","parse-names":false,"suffix":""}],"id":"ITEM-1","issue":"7","issued":{"date-parts":[["2012","7","25"]]},"page":"e41361","publisher":"Public Library of Science","title":"Differential DNA Methylation in Purified Human Blood Cells: Implications for Cell Lineage and Studies on Disease Susceptibility","type":"article-journal","volume":"7"},"uris":["http://www.mendeley.com/documents/?uuid=d5eda4a2-7d0f-3a21-bc87-c9b484cbd65c"]}],"mendeley":{"formattedCitation":"&lt;sup&gt;30&lt;/sup&gt;","plainTextFormattedCitation":"30","previouslyFormattedCitation":"&lt;sup&gt;30&lt;/sup&gt;"},"properties":{"noteIndex":0},"schema":"https://github.com/citation-style-language/schema/raw/master/csl-citation.json"}</w:instrText>
      </w:r>
      <w:r>
        <w:fldChar w:fldCharType="separate"/>
      </w:r>
      <w:r w:rsidRPr="003514C1">
        <w:rPr>
          <w:noProof/>
          <w:vertAlign w:val="superscript"/>
        </w:rPr>
        <w:t>30</w:t>
      </w:r>
      <w:r>
        <w:fldChar w:fldCharType="end"/>
      </w:r>
      <w:r>
        <w:t xml:space="preserve"> in the ewastools</w:t>
      </w:r>
      <w:r>
        <w:fldChar w:fldCharType="begin" w:fldLock="1"/>
      </w:r>
      <w:r>
        <w:instrText>ADDIN CSL_CITATION {"citationItems":[{"id":"ITEM-1","itemData":{"author":[{"dropping-particle":"","family":"Just","given":"Allan C","non-dropping-particle":"","parse-names":false,"suffix":""},{"dropping-particle":"","family":"Heiss","given":"Jonathan Alexander","non-dropping-particle":"","parse-names":false,"suffix":""}],"id":"ITEM-1","issued":{"date-parts":[["2018"]]},"number":"1.5","publisher":"R package","title":"ewastools: EWAS Tools.","type":"article"},"uris":["http://www.mendeley.com/documents/?uuid=d05eabfc-06ba-4b19-a69e-0a95f0b1056f"]}],"mendeley":{"formattedCitation":"&lt;sup&gt;23&lt;/sup&gt;","plainTextFormattedCitation":"23","previouslyFormattedCitation":"&lt;sup&gt;23&lt;/sup&gt;"},"properties":{"noteIndex":0},"schema":"https://github.com/citation-style-language/schema/raw/master/csl-citation.json"}</w:instrText>
      </w:r>
      <w:r>
        <w:fldChar w:fldCharType="separate"/>
      </w:r>
      <w:r w:rsidRPr="003514C1">
        <w:rPr>
          <w:noProof/>
          <w:vertAlign w:val="superscript"/>
        </w:rPr>
        <w:t>23</w:t>
      </w:r>
      <w:r>
        <w:fldChar w:fldCharType="end"/>
      </w:r>
      <w:r>
        <w:t xml:space="preserve"> package to deconvolute the immune fractions (n=20), </w:t>
      </w:r>
      <w:proofErr w:type="spellStart"/>
      <w:r>
        <w:t>Oragene</w:t>
      </w:r>
      <w:proofErr w:type="spellEnd"/>
      <w:r>
        <w:t xml:space="preserve"> samples (n=4), and whole samples (n=18). The blood reference panel includes granulocytes, CD4+ T cells, CD8+ T cells, B cells, monocytes, and natural killer cells. Each point in each blood immune cell type is one saliva sample. The height of the pink boxes represents the normal range of each immune cell type in pediatric blood.</w:t>
      </w:r>
    </w:p>
    <w:p w14:paraId="183813BD" w14:textId="3A59E831" w:rsidR="008B51D6" w:rsidRDefault="008B51D6" w:rsidP="00E23AFA"/>
    <w:p w14:paraId="262D71ED" w14:textId="77777777" w:rsidR="008B51D6" w:rsidRDefault="008B51D6" w:rsidP="00E23AFA"/>
    <w:p w14:paraId="42D97D28" w14:textId="6D53C607" w:rsidR="008B51D6" w:rsidRDefault="00E23AFA" w:rsidP="00E23AFA">
      <w:r w:rsidRPr="00E23AFA">
        <w:rPr>
          <w:b/>
        </w:rPr>
        <w:t>Supplemental Tables</w:t>
      </w:r>
      <w:r>
        <w:rPr>
          <w:b/>
        </w:rPr>
        <w:t xml:space="preserve"> </w:t>
      </w:r>
      <w:r>
        <w:t>are available in an excel workbook.</w:t>
      </w:r>
    </w:p>
    <w:p w14:paraId="41E0E803" w14:textId="77777777" w:rsidR="00E23AFA" w:rsidRPr="00E23AFA" w:rsidRDefault="00E23AFA" w:rsidP="00E23AFA">
      <w:bookmarkStart w:id="1" w:name="_GoBack"/>
      <w:bookmarkEnd w:id="1"/>
    </w:p>
    <w:p w14:paraId="072EA7F6" w14:textId="77777777" w:rsidR="00E23AFA" w:rsidRDefault="00E23AFA" w:rsidP="00E23AFA"/>
    <w:p w14:paraId="0BB09036" w14:textId="20A3ED00" w:rsidR="008B51D6" w:rsidRDefault="008B51D6" w:rsidP="00E23AFA">
      <w:pPr>
        <w:rPr>
          <w:bCs/>
        </w:rPr>
      </w:pPr>
      <w:r>
        <w:rPr>
          <w:b/>
        </w:rPr>
        <w:t xml:space="preserve">Supplemental </w:t>
      </w:r>
      <w:r w:rsidRPr="001B43E4">
        <w:rPr>
          <w:b/>
        </w:rPr>
        <w:t>Table</w:t>
      </w:r>
      <w:r>
        <w:rPr>
          <w:b/>
        </w:rPr>
        <w:t xml:space="preserve"> 1</w:t>
      </w:r>
      <w:r w:rsidRPr="001B43E4">
        <w:rPr>
          <w:b/>
        </w:rPr>
        <w:t>.</w:t>
      </w:r>
      <w:r>
        <w:rPr>
          <w:b/>
        </w:rPr>
        <w:t xml:space="preserve"> </w:t>
      </w:r>
      <w:r>
        <w:rPr>
          <w:bCs/>
        </w:rPr>
        <w:t>Description of ENCODE epithelial tissue data used.</w:t>
      </w:r>
    </w:p>
    <w:p w14:paraId="4BC7D518" w14:textId="77777777" w:rsidR="008B51D6" w:rsidRPr="0062740E" w:rsidRDefault="008B51D6" w:rsidP="00E23AFA">
      <w:pPr>
        <w:rPr>
          <w:bCs/>
        </w:rPr>
      </w:pPr>
    </w:p>
    <w:p w14:paraId="0C00DAE1" w14:textId="15B529AB" w:rsidR="008B51D6" w:rsidRDefault="008B51D6" w:rsidP="00E23AFA">
      <w:r w:rsidRPr="00B5034A">
        <w:rPr>
          <w:b/>
          <w:bCs/>
        </w:rPr>
        <w:t>Supplemental Table 2.</w:t>
      </w:r>
      <w:r>
        <w:rPr>
          <w:b/>
          <w:bCs/>
        </w:rPr>
        <w:t xml:space="preserve"> </w:t>
      </w:r>
      <w:r w:rsidRPr="00A345B2">
        <w:t>Average</w:t>
      </w:r>
      <w:r>
        <w:rPr>
          <w:b/>
          <w:bCs/>
        </w:rPr>
        <w:t xml:space="preserve"> </w:t>
      </w:r>
      <w:r>
        <w:t>DNA methylation of all included probes by cell type and the mean DNA methylation difference and results of t-tests.</w:t>
      </w:r>
    </w:p>
    <w:p w14:paraId="620C52BF" w14:textId="77777777" w:rsidR="008B51D6" w:rsidRPr="00A345B2" w:rsidRDefault="008B51D6" w:rsidP="00E23AFA"/>
    <w:p w14:paraId="7F6C3C7E" w14:textId="4C46C71F" w:rsidR="008B51D6" w:rsidRDefault="008B51D6" w:rsidP="00E23AFA">
      <w:r w:rsidRPr="00B5034A">
        <w:rPr>
          <w:b/>
          <w:bCs/>
        </w:rPr>
        <w:t xml:space="preserve">Supplemental Table </w:t>
      </w:r>
      <w:r>
        <w:rPr>
          <w:b/>
          <w:bCs/>
        </w:rPr>
        <w:t>3</w:t>
      </w:r>
      <w:r w:rsidRPr="00B5034A">
        <w:rPr>
          <w:b/>
          <w:bCs/>
        </w:rPr>
        <w:t>.</w:t>
      </w:r>
      <w:r>
        <w:rPr>
          <w:b/>
          <w:bCs/>
        </w:rPr>
        <w:t xml:space="preserve"> </w:t>
      </w:r>
      <w:r>
        <w:t>Gene ontology results from top 10,000 hypermethylated probes.</w:t>
      </w:r>
    </w:p>
    <w:p w14:paraId="5251BC17" w14:textId="77777777" w:rsidR="008B51D6" w:rsidRDefault="008B51D6" w:rsidP="00E23AFA"/>
    <w:p w14:paraId="76599D57" w14:textId="77777777" w:rsidR="008B51D6" w:rsidRPr="001B43E4" w:rsidRDefault="008B51D6" w:rsidP="00E23AFA">
      <w:pPr>
        <w:rPr>
          <w:b/>
        </w:rPr>
      </w:pPr>
      <w:r w:rsidRPr="00B5034A">
        <w:rPr>
          <w:b/>
          <w:bCs/>
        </w:rPr>
        <w:t xml:space="preserve">Supplemental Table </w:t>
      </w:r>
      <w:r>
        <w:rPr>
          <w:b/>
          <w:bCs/>
        </w:rPr>
        <w:t>4</w:t>
      </w:r>
      <w:r w:rsidRPr="00B5034A">
        <w:rPr>
          <w:b/>
          <w:bCs/>
        </w:rPr>
        <w:t>.</w:t>
      </w:r>
      <w:r>
        <w:rPr>
          <w:b/>
          <w:bCs/>
        </w:rPr>
        <w:t xml:space="preserve"> </w:t>
      </w:r>
      <w:r>
        <w:t>Gene ontology results from top 10,000 hypomethylated probes.</w:t>
      </w:r>
    </w:p>
    <w:p w14:paraId="10A7AD50" w14:textId="77777777" w:rsidR="008B51D6" w:rsidRDefault="008B51D6" w:rsidP="00E23AFA"/>
    <w:sectPr w:rsidR="008B51D6" w:rsidSect="000A30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20603050405020304"/>
    <w:charset w:val="00"/>
    <w:family w:val="roman"/>
    <w:pitch w:val="variable"/>
    <w:sig w:usb0="E0002AEF" w:usb1="C0007841"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1D6"/>
    <w:rsid w:val="00017E4A"/>
    <w:rsid w:val="0009032D"/>
    <w:rsid w:val="00094467"/>
    <w:rsid w:val="000A3059"/>
    <w:rsid w:val="00112B5F"/>
    <w:rsid w:val="00392054"/>
    <w:rsid w:val="00662CAB"/>
    <w:rsid w:val="0083666E"/>
    <w:rsid w:val="008B51D6"/>
    <w:rsid w:val="00921692"/>
    <w:rsid w:val="00951375"/>
    <w:rsid w:val="00B524BD"/>
    <w:rsid w:val="00C36B50"/>
    <w:rsid w:val="00D84D42"/>
    <w:rsid w:val="00DB7DAD"/>
    <w:rsid w:val="00DC34CA"/>
    <w:rsid w:val="00DC7B87"/>
    <w:rsid w:val="00DD117B"/>
    <w:rsid w:val="00E23AFA"/>
    <w:rsid w:val="00EA45DB"/>
    <w:rsid w:val="00EA72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6A865B2"/>
  <w15:chartTrackingRefBased/>
  <w15:docId w15:val="{9414552B-5BCA-714F-8FF1-04FB5EF61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imes New Roman (Body CS)"/>
        <w:sz w:val="22"/>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51D6"/>
    <w:rPr>
      <w:rFonts w:ascii="Times New Roman" w:eastAsia="Times New Roman"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B51D6"/>
    <w:rPr>
      <w:sz w:val="16"/>
      <w:szCs w:val="16"/>
    </w:rPr>
  </w:style>
  <w:style w:type="paragraph" w:styleId="CommentText">
    <w:name w:val="annotation text"/>
    <w:basedOn w:val="Normal"/>
    <w:link w:val="CommentTextChar"/>
    <w:uiPriority w:val="99"/>
    <w:semiHidden/>
    <w:unhideWhenUsed/>
    <w:rsid w:val="008B51D6"/>
    <w:rPr>
      <w:sz w:val="20"/>
      <w:szCs w:val="20"/>
    </w:rPr>
  </w:style>
  <w:style w:type="character" w:customStyle="1" w:styleId="CommentTextChar">
    <w:name w:val="Comment Text Char"/>
    <w:basedOn w:val="DefaultParagraphFont"/>
    <w:link w:val="CommentText"/>
    <w:uiPriority w:val="99"/>
    <w:semiHidden/>
    <w:rsid w:val="008B51D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B51D6"/>
    <w:rPr>
      <w:b/>
      <w:bCs/>
    </w:rPr>
  </w:style>
  <w:style w:type="character" w:customStyle="1" w:styleId="CommentSubjectChar">
    <w:name w:val="Comment Subject Char"/>
    <w:basedOn w:val="CommentTextChar"/>
    <w:link w:val="CommentSubject"/>
    <w:uiPriority w:val="99"/>
    <w:semiHidden/>
    <w:rsid w:val="008B51D6"/>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8B51D6"/>
    <w:rPr>
      <w:sz w:val="18"/>
      <w:szCs w:val="18"/>
    </w:rPr>
  </w:style>
  <w:style w:type="character" w:customStyle="1" w:styleId="BalloonTextChar">
    <w:name w:val="Balloon Text Char"/>
    <w:basedOn w:val="DefaultParagraphFont"/>
    <w:link w:val="BalloonText"/>
    <w:uiPriority w:val="99"/>
    <w:semiHidden/>
    <w:rsid w:val="008B51D6"/>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9</Pages>
  <Words>7715</Words>
  <Characters>43980</Characters>
  <Application>Microsoft Office Word</Application>
  <DocSecurity>0</DocSecurity>
  <Lines>366</Lines>
  <Paragraphs>103</Paragraphs>
  <ScaleCrop>false</ScaleCrop>
  <Company/>
  <LinksUpToDate>false</LinksUpToDate>
  <CharactersWithSpaces>51592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Bakulski</dc:creator>
  <cp:keywords/>
  <dc:description/>
  <cp:lastModifiedBy>Kelly Bakulski</cp:lastModifiedBy>
  <cp:revision>2</cp:revision>
  <dcterms:created xsi:type="dcterms:W3CDTF">2020-09-09T17:28:00Z</dcterms:created>
  <dcterms:modified xsi:type="dcterms:W3CDTF">2020-09-09T17:38:00Z</dcterms:modified>
</cp:coreProperties>
</file>