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BCC83" w14:textId="1B494FA7" w:rsidR="008116D3" w:rsidRPr="007B154C" w:rsidRDefault="00C5438F" w:rsidP="00A805F0">
      <w:pPr>
        <w:spacing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7B154C">
        <w:rPr>
          <w:rFonts w:ascii="Times New Roman" w:hAnsi="Times New Roman" w:cs="Times New Roman"/>
          <w:b/>
          <w:bCs/>
          <w:sz w:val="36"/>
          <w:szCs w:val="36"/>
        </w:rPr>
        <w:t xml:space="preserve">Age </w:t>
      </w:r>
      <w:r w:rsidR="004E6E0F" w:rsidRPr="007B154C">
        <w:rPr>
          <w:rFonts w:ascii="Times New Roman" w:hAnsi="Times New Roman" w:cs="Times New Roman"/>
          <w:b/>
          <w:bCs/>
          <w:sz w:val="32"/>
          <w:szCs w:val="32"/>
        </w:rPr>
        <w:t>standardisation</w:t>
      </w:r>
      <w:r w:rsidRPr="007B154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C577D" w:rsidRPr="007B154C">
        <w:rPr>
          <w:rFonts w:ascii="Times New Roman" w:hAnsi="Times New Roman" w:cs="Times New Roman"/>
          <w:b/>
          <w:bCs/>
          <w:sz w:val="36"/>
          <w:szCs w:val="36"/>
        </w:rPr>
        <w:t>using</w:t>
      </w:r>
      <w:r w:rsidRPr="007B154C">
        <w:rPr>
          <w:rFonts w:ascii="Times New Roman" w:hAnsi="Times New Roman" w:cs="Times New Roman"/>
          <w:b/>
          <w:bCs/>
          <w:sz w:val="36"/>
          <w:szCs w:val="36"/>
        </w:rPr>
        <w:t xml:space="preserve"> weight</w:t>
      </w:r>
      <w:r w:rsidR="00BC577D" w:rsidRPr="007B154C">
        <w:rPr>
          <w:rFonts w:ascii="Times New Roman" w:hAnsi="Times New Roman" w:cs="Times New Roman"/>
          <w:b/>
          <w:bCs/>
          <w:sz w:val="36"/>
          <w:szCs w:val="36"/>
        </w:rPr>
        <w:t>s</w:t>
      </w:r>
    </w:p>
    <w:p w14:paraId="79EDD6D7" w14:textId="24723ACE" w:rsidR="008116D3" w:rsidRPr="00A805F0" w:rsidRDefault="008116D3" w:rsidP="00A805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05F0">
        <w:rPr>
          <w:rFonts w:ascii="Times New Roman" w:hAnsi="Times New Roman" w:cs="Times New Roman"/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be </w:t>
      </w:r>
      <w:r w:rsidR="008D72F6" w:rsidRPr="00A805F0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44695" w:rsidRPr="00A805F0">
        <w:rPr>
          <w:rFonts w:ascii="Times New Roman" w:hAnsi="Times New Roman" w:cs="Times New Roman"/>
          <w:sz w:val="24"/>
          <w:szCs w:val="24"/>
        </w:rPr>
        <w:t>n event</w:t>
      </w:r>
      <w:r w:rsidR="008D72F6" w:rsidRPr="00A805F0">
        <w:rPr>
          <w:rFonts w:ascii="Times New Roman" w:hAnsi="Times New Roman" w:cs="Times New Roman"/>
          <w:sz w:val="24"/>
          <w:szCs w:val="24"/>
        </w:rPr>
        <w:t xml:space="preserve"> </w:t>
      </w:r>
      <w:r w:rsidRPr="00A805F0">
        <w:rPr>
          <w:rFonts w:ascii="Times New Roman" w:hAnsi="Times New Roman" w:cs="Times New Roman"/>
          <w:sz w:val="24"/>
          <w:szCs w:val="24"/>
        </w:rPr>
        <w:t>rat</w:t>
      </w:r>
      <w:r w:rsidR="008D72F6" w:rsidRPr="00A805F0">
        <w:rPr>
          <w:rFonts w:ascii="Times New Roman" w:hAnsi="Times New Roman" w:cs="Times New Roman"/>
          <w:sz w:val="24"/>
          <w:szCs w:val="24"/>
        </w:rPr>
        <w:t>e</w:t>
      </w:r>
      <w:r w:rsidRPr="00A805F0">
        <w:rPr>
          <w:rFonts w:ascii="Times New Roman" w:hAnsi="Times New Roman" w:cs="Times New Roman"/>
          <w:sz w:val="24"/>
          <w:szCs w:val="24"/>
        </w:rPr>
        <w:t xml:space="preserve"> </w:t>
      </w:r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in region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</m:oMath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at time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Pr="00A805F0">
        <w:rPr>
          <w:rFonts w:ascii="Times New Roman" w:eastAsiaTheme="minorEastAsia" w:hAnsi="Times New Roman" w:cs="Times New Roman"/>
          <w:sz w:val="24"/>
          <w:szCs w:val="24"/>
        </w:rPr>
        <w:t>. Then</w:t>
      </w:r>
    </w:p>
    <w:p w14:paraId="7D66A1FB" w14:textId="6AE94AC6" w:rsidR="0085342C" w:rsidRPr="00A805F0" w:rsidRDefault="00CB31AD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aj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   (1)</m:t>
          </m:r>
        </m:oMath>
      </m:oMathPara>
    </w:p>
    <w:p w14:paraId="5941D61A" w14:textId="0F76121B" w:rsidR="00F6738D" w:rsidRPr="00A805F0" w:rsidRDefault="00F6738D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is the proportion of population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</m:oMath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in age group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</w:p>
    <w:p w14:paraId="4DBF8095" w14:textId="77777777" w:rsidR="00F6738D" w:rsidRPr="00A805F0" w:rsidRDefault="00CB31AD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po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aj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po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</m:den>
          </m:f>
        </m:oMath>
      </m:oMathPara>
    </w:p>
    <w:p w14:paraId="1062EB1B" w14:textId="12E678A1" w:rsidR="00F6738D" w:rsidRPr="00A805F0" w:rsidRDefault="00F6738D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</m:oMath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is event rate in age group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in region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</m:oMath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039B58A4" w14:textId="5FD14EF5" w:rsidR="008C513F" w:rsidRPr="00A805F0" w:rsidRDefault="008C513F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Using direct </w:t>
      </w:r>
      <w:r w:rsidR="0094401A" w:rsidRPr="00A805F0">
        <w:rPr>
          <w:rFonts w:ascii="Times New Roman" w:eastAsiaTheme="minorEastAsia" w:hAnsi="Times New Roman" w:cs="Times New Roman"/>
          <w:sz w:val="24"/>
          <w:szCs w:val="24"/>
        </w:rPr>
        <w:t>standardisation</w:t>
      </w:r>
      <w:r w:rsidR="005C6011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for region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</m:oMath>
      <w:r w:rsidR="005C6011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compared with a reference population</w:t>
      </w:r>
      <w:r w:rsidRPr="00A805F0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55974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E579F" w:rsidRPr="00A805F0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B55974" w:rsidRPr="00A805F0">
        <w:rPr>
          <w:rFonts w:ascii="Times New Roman" w:eastAsiaTheme="minorEastAsia" w:hAnsi="Times New Roman" w:cs="Times New Roman"/>
          <w:sz w:val="24"/>
          <w:szCs w:val="24"/>
        </w:rPr>
        <w:t>he age adjusted</w:t>
      </w:r>
      <w:r w:rsidR="0049379C">
        <w:rPr>
          <w:rFonts w:ascii="Times New Roman" w:eastAsiaTheme="minorEastAsia" w:hAnsi="Times New Roman" w:cs="Times New Roman"/>
          <w:sz w:val="24"/>
          <w:szCs w:val="24"/>
        </w:rPr>
        <w:t xml:space="preserve"> event</w:t>
      </w:r>
      <w:r w:rsidR="00B55974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rate per population is </w:t>
      </w:r>
    </w:p>
    <w:p w14:paraId="3D3DC37C" w14:textId="74BB90CF" w:rsidR="005F2F9D" w:rsidRPr="00A805F0" w:rsidRDefault="00CB31AD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adj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pop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a,ref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pop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a,ref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pop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a,ref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po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ref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a,ref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aj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aj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a,ref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nary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j,ref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(2)</m:t>
          </m:r>
        </m:oMath>
      </m:oMathPara>
    </w:p>
    <w:p w14:paraId="3CC73010" w14:textId="17EF5707" w:rsidR="008D72F6" w:rsidRPr="00A805F0" w:rsidRDefault="00E94839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j,ref</m:t>
            </m:r>
          </m:sub>
        </m:sSub>
      </m:oMath>
      <w:r w:rsidR="00D64BFE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defined as </w:t>
      </w:r>
      <w:r w:rsidR="00D64BFE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the weight for region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</m:oMath>
      <w:r w:rsidR="00D64BFE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compared with the reference population. </w:t>
      </w:r>
    </w:p>
    <w:p w14:paraId="663CC99F" w14:textId="205F1E81" w:rsidR="000C6C46" w:rsidRPr="00A805F0" w:rsidRDefault="00CB31AD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j,ref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a,ref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nary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(3)</m:t>
          </m:r>
        </m:oMath>
      </m:oMathPara>
    </w:p>
    <w:p w14:paraId="314B2034" w14:textId="18335789" w:rsidR="008D72F6" w:rsidRPr="00A3778D" w:rsidRDefault="008D72F6" w:rsidP="00A805F0">
      <w:pPr>
        <w:spacing w:line="480" w:lineRule="auto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 w:rsidRPr="00A3778D">
        <w:rPr>
          <w:rFonts w:ascii="Times New Roman" w:eastAsiaTheme="minorEastAsia" w:hAnsi="Times New Roman" w:cs="Times New Roman"/>
          <w:b/>
          <w:bCs/>
          <w:sz w:val="32"/>
          <w:szCs w:val="32"/>
        </w:rPr>
        <w:t>Infection Fatality Ratio</w:t>
      </w:r>
    </w:p>
    <w:p w14:paraId="1B145B23" w14:textId="51924322" w:rsidR="008C621A" w:rsidRPr="00A805F0" w:rsidRDefault="008C621A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05F0">
        <w:rPr>
          <w:rFonts w:ascii="Times New Roman" w:eastAsiaTheme="minorEastAsia" w:hAnsi="Times New Roman" w:cs="Times New Roman"/>
          <w:sz w:val="24"/>
          <w:szCs w:val="24"/>
        </w:rPr>
        <w:lastRenderedPageBreak/>
        <w:t>Let</w:t>
      </w:r>
      <w:r w:rsidR="008D72F6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=IF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 w:rsidR="008D72F6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A805F0">
        <w:rPr>
          <w:rFonts w:ascii="Times New Roman" w:eastAsiaTheme="minorEastAsia" w:hAnsi="Times New Roman" w:cs="Times New Roman"/>
          <w:sz w:val="24"/>
          <w:szCs w:val="24"/>
        </w:rPr>
        <w:t>be</w:t>
      </w:r>
      <w:r w:rsidR="008D72F6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the overall infection fatality ratio</w:t>
      </w:r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in region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</m:oMath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D72F6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IF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A805F0">
        <w:rPr>
          <w:rFonts w:ascii="Times New Roman" w:eastAsiaTheme="minorEastAsia" w:hAnsi="Times New Roman" w:cs="Times New Roman"/>
          <w:sz w:val="24"/>
          <w:szCs w:val="24"/>
        </w:rPr>
        <w:t>be</w:t>
      </w:r>
      <w:r w:rsidR="008D72F6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the age </w:t>
      </w:r>
      <w:r w:rsidR="00595FC8" w:rsidRPr="00A805F0">
        <w:rPr>
          <w:rFonts w:ascii="Times New Roman" w:eastAsiaTheme="minorEastAsia" w:hAnsi="Times New Roman" w:cs="Times New Roman"/>
          <w:sz w:val="24"/>
          <w:szCs w:val="24"/>
        </w:rPr>
        <w:t>stratified</w:t>
      </w:r>
      <w:r w:rsidR="008D72F6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infection fatality ratio</w:t>
      </w:r>
      <w:r w:rsidR="0049379C">
        <w:rPr>
          <w:rFonts w:ascii="Times New Roman" w:eastAsiaTheme="minorEastAsia" w:hAnsi="Times New Roman" w:cs="Times New Roman"/>
          <w:sz w:val="24"/>
          <w:szCs w:val="24"/>
        </w:rPr>
        <w:t xml:space="preserve"> for age group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A805F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2259F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Age stratified infection fatality ratios from China </w:t>
      </w:r>
      <w:r w:rsidR="00892B84" w:rsidRPr="00A805F0">
        <w:rPr>
          <w:rFonts w:ascii="Times New Roman" w:eastAsiaTheme="minorEastAsia" w:hAnsi="Times New Roman" w:cs="Times New Roman"/>
          <w:sz w:val="24"/>
          <w:szCs w:val="24"/>
        </w:rPr>
        <w:t>and Italy have been reported</w:t>
      </w:r>
      <w:r w:rsidR="00FE037E">
        <w:rPr>
          <w:rFonts w:ascii="Times New Roman" w:eastAsiaTheme="minorEastAsia" w:hAnsi="Times New Roman" w:cs="Times New Roman"/>
          <w:sz w:val="24"/>
          <w:szCs w:val="24"/>
        </w:rPr>
        <w:t xml:space="preserve"> [</w:t>
      </w:r>
      <w:r w:rsidR="002D7979">
        <w:rPr>
          <w:rFonts w:ascii="Times New Roman" w:eastAsiaTheme="minorEastAsia" w:hAnsi="Times New Roman" w:cs="Times New Roman"/>
          <w:sz w:val="24"/>
          <w:szCs w:val="24"/>
        </w:rPr>
        <w:t>7-8</w:t>
      </w:r>
      <w:r w:rsidR="00FE037E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915D7E" w:rsidRPr="00A805F0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92B84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so weights for China or Italy relative to other regions can be calculated using Equation (3) and the population age profiles in each region.</w:t>
      </w:r>
    </w:p>
    <w:p w14:paraId="3C18853B" w14:textId="5AE504B3" w:rsidR="00697A88" w:rsidRPr="00A805F0" w:rsidRDefault="00CB31AD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j,ref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IF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aj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a,ref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IF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aj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(4)</m:t>
          </m:r>
        </m:oMath>
      </m:oMathPara>
    </w:p>
    <w:p w14:paraId="2DCA1373" w14:textId="77777777" w:rsidR="00697A88" w:rsidRPr="00A805F0" w:rsidRDefault="00697A88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ABB1937" w14:textId="078F4EA7" w:rsidR="00697A88" w:rsidRPr="00A805F0" w:rsidRDefault="00D937DE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If rates from China are standardised to other populations, then </w:t>
      </w:r>
      <w:r w:rsidR="0049473B" w:rsidRPr="00A805F0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="00697A88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B4077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Equation (2) and </w:t>
      </w:r>
      <w:r w:rsidR="00697A88" w:rsidRPr="00A805F0">
        <w:rPr>
          <w:rFonts w:ascii="Times New Roman" w:eastAsiaTheme="minorEastAsia" w:hAnsi="Times New Roman" w:cs="Times New Roman"/>
          <w:sz w:val="24"/>
          <w:szCs w:val="24"/>
        </w:rPr>
        <w:t>the overall IFR from China</w:t>
      </w:r>
      <w:r w:rsidR="00DD3E69" w:rsidRPr="00A805F0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97A88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IFR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China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=0.66%</m:t>
        </m:r>
      </m:oMath>
      <w:r w:rsidR="00697A88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(Verity)</w:t>
      </w:r>
      <w:r w:rsidR="00DD3E69" w:rsidRPr="00A805F0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63B52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97A88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CF71D0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point estimate for the </w:t>
      </w:r>
      <w:r w:rsidR="00697A88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IFR </w:t>
      </w:r>
      <w:r w:rsidR="00C20E79" w:rsidRPr="00A805F0">
        <w:rPr>
          <w:rFonts w:ascii="Times New Roman" w:eastAsiaTheme="minorEastAsia" w:hAnsi="Times New Roman" w:cs="Times New Roman"/>
          <w:sz w:val="24"/>
          <w:szCs w:val="24"/>
        </w:rPr>
        <w:t>for China standardised to</w:t>
      </w:r>
      <w:r w:rsidR="00697A88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a reference </w:t>
      </w:r>
      <w:r w:rsidR="00697A88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region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 w:rsidR="00697A88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</w:p>
    <w:p w14:paraId="713992F6" w14:textId="5E861766" w:rsidR="00C36C74" w:rsidRDefault="00CB31AD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IFR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China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adj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IFR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China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China,k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0.66%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China,k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(5)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</m:oMathPara>
      <w:r w:rsidR="00D201C3">
        <w:rPr>
          <w:rFonts w:ascii="Times New Roman" w:eastAsiaTheme="minorEastAsia" w:hAnsi="Times New Roman" w:cs="Times New Roman"/>
          <w:sz w:val="24"/>
          <w:szCs w:val="24"/>
        </w:rPr>
        <w:t xml:space="preserve">Similarly, lower and upper confidence limits </w:t>
      </w:r>
      <w:r w:rsidR="00185FD0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IFR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China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adj</m:t>
                </m:r>
              </m:sub>
            </m:sSub>
          </m:sub>
        </m:sSub>
      </m:oMath>
      <w:r w:rsidR="00185F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01C3">
        <w:rPr>
          <w:rFonts w:ascii="Times New Roman" w:eastAsiaTheme="minorEastAsia" w:hAnsi="Times New Roman" w:cs="Times New Roman"/>
          <w:sz w:val="24"/>
          <w:szCs w:val="24"/>
        </w:rPr>
        <w:t xml:space="preserve">can be estimated using the 95% credible interval for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IFR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China</m:t>
            </m:r>
          </m:sub>
        </m:sSub>
      </m:oMath>
      <w:r w:rsidR="00D201C3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China,k</m:t>
            </m:r>
          </m:sub>
        </m:sSub>
      </m:oMath>
      <w:r w:rsidR="00D201C3">
        <w:rPr>
          <w:rFonts w:ascii="Times New Roman" w:eastAsiaTheme="minorEastAsia" w:hAnsi="Times New Roman" w:cs="Times New Roman"/>
          <w:sz w:val="24"/>
          <w:szCs w:val="24"/>
        </w:rPr>
        <w:t>: (lower, upper)</w:t>
      </w:r>
      <w:r w:rsidR="002F57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01C3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0.39%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China,k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1.33%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China,k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14:paraId="612A0FCE" w14:textId="77777777" w:rsidR="00D201C3" w:rsidRPr="009C55B5" w:rsidRDefault="00D201C3" w:rsidP="00A805F0">
      <w:pPr>
        <w:spacing w:line="48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4D3B183" w14:textId="3C926632" w:rsidR="008D72F6" w:rsidRPr="00A3778D" w:rsidRDefault="004B4077" w:rsidP="00A805F0">
      <w:pPr>
        <w:spacing w:line="480" w:lineRule="auto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 w:rsidRPr="00A3778D">
        <w:rPr>
          <w:rFonts w:ascii="Times New Roman" w:eastAsiaTheme="minorEastAsia" w:hAnsi="Times New Roman" w:cs="Times New Roman"/>
          <w:b/>
          <w:bCs/>
          <w:sz w:val="32"/>
          <w:szCs w:val="32"/>
        </w:rPr>
        <w:t>Death r</w:t>
      </w:r>
      <w:r w:rsidR="008D72F6" w:rsidRPr="00A3778D">
        <w:rPr>
          <w:rFonts w:ascii="Times New Roman" w:eastAsiaTheme="minorEastAsia" w:hAnsi="Times New Roman" w:cs="Times New Roman"/>
          <w:b/>
          <w:bCs/>
          <w:sz w:val="32"/>
          <w:szCs w:val="32"/>
        </w:rPr>
        <w:t>ates</w:t>
      </w:r>
      <w:r w:rsidRPr="00A3778D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per population</w:t>
      </w:r>
    </w:p>
    <w:p w14:paraId="726730FA" w14:textId="60F2C246" w:rsidR="00344695" w:rsidRPr="00A805F0" w:rsidRDefault="00410CF5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Consider when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</m:oMath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="00344695" w:rsidRPr="00A805F0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49379C">
        <w:rPr>
          <w:rFonts w:ascii="Times New Roman" w:eastAsiaTheme="minorEastAsia" w:hAnsi="Times New Roman" w:cs="Times New Roman"/>
          <w:sz w:val="24"/>
          <w:szCs w:val="24"/>
        </w:rPr>
        <w:t xml:space="preserve"> death</w:t>
      </w:r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rate per population in region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</m:oMath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at time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t.</m:t>
        </m:r>
      </m:oMath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F7BA9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ACE69F2" w14:textId="5ACDF211" w:rsidR="00344695" w:rsidRPr="00A805F0" w:rsidRDefault="00CB31AD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po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nary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po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po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po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*po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aj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aj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</m:oMath>
      </m:oMathPara>
    </w:p>
    <w:p w14:paraId="698CE37B" w14:textId="4D9D574A" w:rsidR="00344695" w:rsidRPr="00A805F0" w:rsidRDefault="0049379C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where</w:t>
      </w:r>
      <w:r w:rsidR="00344695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</m:oMath>
      <w:r w:rsidR="00344695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death</w:t>
      </w:r>
      <w:r w:rsidR="00344695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rate in age group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344695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in region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</m:oMath>
      <w:r w:rsidR="00344695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7BB57174" w14:textId="41B1F16F" w:rsidR="00344695" w:rsidRPr="00493C50" w:rsidRDefault="00CB31AD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aj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aj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po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aj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den>
          </m:f>
        </m:oMath>
      </m:oMathPara>
    </w:p>
    <w:p w14:paraId="6287F4C8" w14:textId="64C21DB6" w:rsidR="00493C50" w:rsidRPr="00A805F0" w:rsidRDefault="00493C50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the number of deaths </w:t>
      </w:r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in age group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in region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1C4A2F0" w14:textId="77777777" w:rsidR="00F05966" w:rsidRPr="00A805F0" w:rsidRDefault="00F05966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05F0">
        <w:rPr>
          <w:rFonts w:ascii="Times New Roman" w:eastAsiaTheme="minorEastAsia" w:hAnsi="Times New Roman" w:cs="Times New Roman"/>
          <w:sz w:val="24"/>
          <w:szCs w:val="24"/>
        </w:rPr>
        <w:t>Equation (3) can be re-written as</w:t>
      </w:r>
    </w:p>
    <w:p w14:paraId="7FABB763" w14:textId="54B0CF2F" w:rsidR="00F05966" w:rsidRPr="00A805F0" w:rsidRDefault="00CB31AD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j,ref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aj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aj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80+,j</m:t>
                          </m:r>
                        </m:sub>
                      </m:sSub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a,ref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aj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80+,j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</m:den>
                  </m:f>
                </m:e>
              </m:nary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rel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a,j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(t)</m:t>
                  </m:r>
                </m:e>
              </m:nary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a,ref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rel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a,j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(t)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(6)    </m:t>
          </m:r>
        </m:oMath>
      </m:oMathPara>
    </w:p>
    <w:p w14:paraId="10B51A1A" w14:textId="0ABA2B74" w:rsidR="00D20DB4" w:rsidRPr="00A805F0" w:rsidRDefault="00F05966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rel,aj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(t)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80+,j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(t)</m:t>
            </m:r>
          </m:den>
        </m:f>
      </m:oMath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are the rates relative to the 80+ age group. </w:t>
      </w:r>
      <w:r w:rsidR="00861808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0DB4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infectio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po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aj</m:t>
                </m:r>
              </m:sub>
            </m:sSub>
          </m:den>
        </m:f>
      </m:oMath>
      <w:r w:rsidR="00D20DB4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is the infection rate in age group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D20DB4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in region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</m:oMath>
      <w:r w:rsidR="00E61692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at time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="00D20DB4" w:rsidRPr="00A805F0">
        <w:rPr>
          <w:rFonts w:ascii="Times New Roman" w:eastAsiaTheme="minorEastAsia" w:hAnsi="Times New Roman" w:cs="Times New Roman"/>
          <w:sz w:val="24"/>
          <w:szCs w:val="24"/>
        </w:rPr>
        <w:t>, then</w:t>
      </w:r>
    </w:p>
    <w:p w14:paraId="32BC08C1" w14:textId="676A7DDE" w:rsidR="00226989" w:rsidRPr="00A805F0" w:rsidRDefault="00CB31AD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aj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=IF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aj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aj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</m:t>
          </m:r>
        </m:oMath>
      </m:oMathPara>
    </w:p>
    <w:p w14:paraId="3E1BA03C" w14:textId="096C404A" w:rsidR="00861808" w:rsidRPr="00A805F0" w:rsidRDefault="00861808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05F0">
        <w:rPr>
          <w:rFonts w:ascii="Times New Roman" w:eastAsiaTheme="minorEastAsia" w:hAnsi="Times New Roman" w:cs="Times New Roman"/>
          <w:sz w:val="24"/>
          <w:szCs w:val="24"/>
        </w:rPr>
        <w:t>and</w:t>
      </w:r>
    </w:p>
    <w:p w14:paraId="674E9908" w14:textId="44285638" w:rsidR="00D71059" w:rsidRPr="00A805F0" w:rsidRDefault="00CB31AD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rel,aj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IF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(t)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IF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80+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80+,j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(t)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(7)</m:t>
          </m:r>
        </m:oMath>
      </m:oMathPara>
    </w:p>
    <w:p w14:paraId="0A4CD28F" w14:textId="4B300DDB" w:rsidR="00994440" w:rsidRPr="00A805F0" w:rsidRDefault="009949F5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05F0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6E579F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f the disease spreads evenly through the population, </w:t>
      </w:r>
      <w:r w:rsidRPr="00A805F0">
        <w:rPr>
          <w:rFonts w:ascii="Times New Roman" w:eastAsiaTheme="minorEastAsia" w:hAnsi="Times New Roman" w:cs="Times New Roman"/>
          <w:sz w:val="24"/>
          <w:szCs w:val="24"/>
        </w:rPr>
        <w:t>the infection rate is constant across age groups</w:t>
      </w:r>
      <w:r w:rsidR="003A1E88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at every time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A805F0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1211A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so that</w:t>
      </w:r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80+,j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(t)</m:t>
        </m:r>
      </m:oMath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34672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for all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="00127D35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and the relative event rate is stable over time,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rel</m:t>
                </m:r>
              </m:sub>
            </m:sSub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rel</m:t>
                </m:r>
              </m:sub>
            </m:sSub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994440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Further, if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IF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aj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IF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80+,j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</m:den>
        </m:f>
      </m:oMath>
      <w:r w:rsidR="00994440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 is intrinsic to the disease (accounting for age but excluding other risk factors such as co-morbidities and obesity) and constant for every region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</m:oMath>
    </w:p>
    <w:p w14:paraId="5C6641CD" w14:textId="53F9D392" w:rsidR="009949F5" w:rsidRPr="00A805F0" w:rsidRDefault="00CB31AD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rel,aj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≈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rel,a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IF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IF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80+</m:t>
                  </m:r>
                </m:sub>
              </m:sSub>
            </m:den>
          </m:f>
        </m:oMath>
      </m:oMathPara>
    </w:p>
    <w:p w14:paraId="6B40D8C5" w14:textId="6E9AB1FD" w:rsidR="009949F5" w:rsidRPr="00A805F0" w:rsidRDefault="006024BF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05F0">
        <w:rPr>
          <w:rFonts w:ascii="Times New Roman" w:eastAsiaTheme="minorEastAsia" w:hAnsi="Times New Roman" w:cs="Times New Roman"/>
          <w:sz w:val="24"/>
          <w:szCs w:val="24"/>
        </w:rPr>
        <w:t>Then</w:t>
      </w:r>
      <w:r w:rsidR="00321169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an approximation to the weight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j,ref </m:t>
            </m:r>
          </m:sub>
        </m:sSub>
      </m:oMath>
      <w:r w:rsidR="00321169" w:rsidRPr="00A805F0">
        <w:rPr>
          <w:rFonts w:ascii="Times New Roman" w:eastAsiaTheme="minorEastAsia" w:hAnsi="Times New Roman" w:cs="Times New Roman"/>
          <w:sz w:val="24"/>
          <w:szCs w:val="24"/>
        </w:rPr>
        <w:t>is</w:t>
      </w:r>
    </w:p>
    <w:p w14:paraId="4996D8CC" w14:textId="0EA955F6" w:rsidR="00226989" w:rsidRPr="00A805F0" w:rsidRDefault="00CB31AD" w:rsidP="00A805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w'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j,ref 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≈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rel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nary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a,ref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rel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(8)</m:t>
          </m:r>
        </m:oMath>
      </m:oMathPara>
    </w:p>
    <w:p w14:paraId="6CDBD896" w14:textId="3C43DECA" w:rsidR="00915161" w:rsidRPr="00A805F0" w:rsidRDefault="00FD0945" w:rsidP="00EF1C3B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05F0">
        <w:rPr>
          <w:rFonts w:ascii="Times New Roman" w:eastAsiaTheme="minorEastAsia" w:hAnsi="Times New Roman" w:cs="Times New Roman"/>
          <w:sz w:val="24"/>
          <w:szCs w:val="24"/>
        </w:rPr>
        <w:lastRenderedPageBreak/>
        <w:t>T</w:t>
      </w:r>
      <w:r w:rsidR="00FF537A" w:rsidRPr="00A805F0">
        <w:rPr>
          <w:rFonts w:ascii="Times New Roman" w:eastAsiaTheme="minorEastAsia" w:hAnsi="Times New Roman" w:cs="Times New Roman"/>
          <w:sz w:val="24"/>
          <w:szCs w:val="24"/>
        </w:rPr>
        <w:t>o summarise</w:t>
      </w:r>
      <w:r w:rsidR="00D8735E" w:rsidRPr="00A805F0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C439DB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weights in Equation (8) are equivalent to Equation (4)</w:t>
      </w:r>
      <w:r w:rsidR="00EC20DC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if</w:t>
      </w:r>
      <w:r w:rsidR="00D8735E" w:rsidRPr="00A805F0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EC20DC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67BF2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(1)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rel</m:t>
                </m:r>
              </m:sub>
            </m:sSub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</m:oMath>
      <w:r w:rsidR="00267BF2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is the same for every </w:t>
      </w:r>
      <w:r w:rsidR="009535A6" w:rsidRPr="00A805F0">
        <w:rPr>
          <w:rFonts w:ascii="Times New Roman" w:eastAsiaTheme="minorEastAsia" w:hAnsi="Times New Roman" w:cs="Times New Roman"/>
          <w:sz w:val="24"/>
          <w:szCs w:val="24"/>
        </w:rPr>
        <w:t>nation</w:t>
      </w:r>
      <w:r w:rsidR="00267BF2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and (2) </w:t>
      </w:r>
      <w:r w:rsidR="00EC20DC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the infection rate is constant across age groups at every time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bookmarkStart w:id="0" w:name="_Hlk47611149"/>
      <w:r w:rsidR="00915161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Age stratified relative rates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rel</m:t>
                </m:r>
              </m:sub>
            </m:sSub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915161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compared with the 80+ age groups presented in </w:t>
      </w:r>
      <w:r w:rsidR="00EF1C3B">
        <w:rPr>
          <w:rFonts w:ascii="Times New Roman" w:eastAsiaTheme="minorEastAsia" w:hAnsi="Times New Roman" w:cs="Times New Roman"/>
          <w:sz w:val="24"/>
          <w:szCs w:val="24"/>
        </w:rPr>
        <w:t xml:space="preserve">S1 </w:t>
      </w:r>
      <w:r w:rsidR="00915161" w:rsidRPr="00A805F0">
        <w:rPr>
          <w:rFonts w:ascii="Times New Roman" w:eastAsiaTheme="minorEastAsia" w:hAnsi="Times New Roman" w:cs="Times New Roman"/>
          <w:sz w:val="24"/>
          <w:szCs w:val="24"/>
        </w:rPr>
        <w:t>Table for China and Italy</w:t>
      </w:r>
      <w:r w:rsidR="0086646B" w:rsidRPr="00A805F0">
        <w:rPr>
          <w:rFonts w:ascii="Times New Roman" w:eastAsiaTheme="minorEastAsia" w:hAnsi="Times New Roman" w:cs="Times New Roman"/>
          <w:sz w:val="24"/>
          <w:szCs w:val="24"/>
        </w:rPr>
        <w:t>, using different age groupings,</w:t>
      </w:r>
      <w:r w:rsidR="00915161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are in br</w:t>
      </w:r>
      <w:r w:rsidR="000D7609" w:rsidRPr="00A805F0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915161" w:rsidRPr="00A805F0">
        <w:rPr>
          <w:rFonts w:ascii="Times New Roman" w:eastAsiaTheme="minorEastAsia" w:hAnsi="Times New Roman" w:cs="Times New Roman"/>
          <w:sz w:val="24"/>
          <w:szCs w:val="24"/>
        </w:rPr>
        <w:t>ad agreement</w:t>
      </w:r>
      <w:r w:rsidR="007106E6">
        <w:rPr>
          <w:rFonts w:ascii="Times New Roman" w:eastAsiaTheme="minorEastAsia" w:hAnsi="Times New Roman" w:cs="Times New Roman"/>
          <w:sz w:val="24"/>
          <w:szCs w:val="24"/>
        </w:rPr>
        <w:t>, except for 50-60 age group</w:t>
      </w:r>
      <w:r w:rsidR="0086646B" w:rsidRPr="00A805F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F1C3B">
        <w:rPr>
          <w:rFonts w:ascii="Times New Roman" w:eastAsiaTheme="minorEastAsia" w:hAnsi="Times New Roman" w:cs="Times New Roman"/>
          <w:sz w:val="24"/>
          <w:szCs w:val="24"/>
        </w:rPr>
        <w:t xml:space="preserve"> Since the Chinese study </w:t>
      </w:r>
      <w:r w:rsidR="00EF1C3B" w:rsidRPr="00EF1C3B">
        <w:rPr>
          <w:rFonts w:ascii="Times New Roman" w:eastAsiaTheme="minorEastAsia" w:hAnsi="Times New Roman" w:cs="Times New Roman"/>
          <w:sz w:val="24"/>
          <w:szCs w:val="24"/>
        </w:rPr>
        <w:t>had</w:t>
      </w:r>
      <w:r w:rsidR="00EF1C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F1C3B" w:rsidRPr="00EF1C3B">
        <w:rPr>
          <w:rFonts w:ascii="Times New Roman" w:eastAsiaTheme="minorEastAsia" w:hAnsi="Times New Roman" w:cs="Times New Roman"/>
          <w:sz w:val="24"/>
          <w:szCs w:val="24"/>
        </w:rPr>
        <w:t>the highest number of detected cases</w:t>
      </w:r>
      <w:r w:rsidR="00EF1C3B">
        <w:rPr>
          <w:rFonts w:ascii="Times New Roman" w:eastAsiaTheme="minorEastAsia" w:hAnsi="Times New Roman" w:cs="Times New Roman"/>
          <w:sz w:val="24"/>
          <w:szCs w:val="24"/>
        </w:rPr>
        <w:t xml:space="preserve"> in the </w:t>
      </w:r>
      <w:r w:rsidR="00EF1C3B" w:rsidRPr="00EF1C3B">
        <w:rPr>
          <w:rFonts w:ascii="Times New Roman" w:eastAsiaTheme="minorEastAsia" w:hAnsi="Times New Roman" w:cs="Times New Roman"/>
          <w:sz w:val="24"/>
          <w:szCs w:val="24"/>
        </w:rPr>
        <w:t>50–59 age group relative to</w:t>
      </w:r>
      <w:r w:rsidR="00EF1C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F1C3B" w:rsidRPr="00EF1C3B">
        <w:rPr>
          <w:rFonts w:ascii="Times New Roman" w:eastAsiaTheme="minorEastAsia" w:hAnsi="Times New Roman" w:cs="Times New Roman"/>
          <w:sz w:val="24"/>
          <w:szCs w:val="24"/>
        </w:rPr>
        <w:t>population size</w:t>
      </w:r>
      <w:r w:rsidR="00EF1C3B">
        <w:rPr>
          <w:rFonts w:ascii="Times New Roman" w:eastAsiaTheme="minorEastAsia" w:hAnsi="Times New Roman" w:cs="Times New Roman"/>
          <w:sz w:val="24"/>
          <w:szCs w:val="24"/>
        </w:rPr>
        <w:t xml:space="preserve"> and the Italian study to date is a preprint, data from China were assumed to be more </w:t>
      </w:r>
      <w:r w:rsidR="009A723E">
        <w:rPr>
          <w:rFonts w:ascii="Times New Roman" w:eastAsiaTheme="minorEastAsia" w:hAnsi="Times New Roman" w:cs="Times New Roman"/>
          <w:sz w:val="24"/>
          <w:szCs w:val="24"/>
        </w:rPr>
        <w:t>accurate</w:t>
      </w:r>
      <w:bookmarkStart w:id="1" w:name="_GoBack"/>
      <w:bookmarkEnd w:id="1"/>
      <w:r w:rsidR="00EF1C3B">
        <w:rPr>
          <w:rFonts w:ascii="Times New Roman" w:eastAsiaTheme="minorEastAsia" w:hAnsi="Times New Roman" w:cs="Times New Roman"/>
          <w:sz w:val="24"/>
          <w:szCs w:val="24"/>
        </w:rPr>
        <w:t>.</w:t>
      </w:r>
      <w:bookmarkEnd w:id="0"/>
    </w:p>
    <w:p w14:paraId="208D6E97" w14:textId="0AA4BC63" w:rsidR="000F059C" w:rsidRPr="00A805F0" w:rsidRDefault="00267BF2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05F0">
        <w:rPr>
          <w:rFonts w:ascii="Times New Roman" w:eastAsiaTheme="minorEastAsia" w:hAnsi="Times New Roman" w:cs="Times New Roman"/>
          <w:sz w:val="24"/>
          <w:szCs w:val="24"/>
        </w:rPr>
        <w:t>In addition,</w:t>
      </w:r>
    </w:p>
    <w:p w14:paraId="5E103FFF" w14:textId="3AFD3C32" w:rsidR="00267BF2" w:rsidRPr="00A805F0" w:rsidRDefault="00CB31AD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w'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j,ref 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w'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ref,j </m:t>
                  </m:r>
                </m:sub>
              </m:sSub>
            </m:den>
          </m:f>
        </m:oMath>
      </m:oMathPara>
    </w:p>
    <w:p w14:paraId="34DAA823" w14:textId="3B1EB1C7" w:rsidR="00B66144" w:rsidRPr="00A805F0" w:rsidRDefault="00F600FA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Let region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</m:oMath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be the population of interest. </w:t>
      </w:r>
      <w:r w:rsidR="00976B00" w:rsidRPr="00A805F0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077BA5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he </w:t>
      </w:r>
      <w:r w:rsidR="00357D65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age </w:t>
      </w:r>
      <w:r w:rsidR="00077BA5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adjusted death rates per population </w:t>
      </w:r>
      <w:r w:rsidR="009B10DD" w:rsidRPr="00A805F0">
        <w:rPr>
          <w:rFonts w:ascii="Times New Roman" w:eastAsiaTheme="minorEastAsia" w:hAnsi="Times New Roman" w:cs="Times New Roman"/>
          <w:sz w:val="24"/>
          <w:szCs w:val="24"/>
        </w:rPr>
        <w:t>for the region</w:t>
      </w:r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</m:oMath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standardised to reference region</w:t>
      </w:r>
      <w:r w:rsidR="009B10DD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B6B9E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can then be </w:t>
      </w:r>
      <w:r w:rsidR="00077BA5" w:rsidRPr="00A805F0">
        <w:rPr>
          <w:rFonts w:ascii="Times New Roman" w:eastAsiaTheme="minorEastAsia" w:hAnsi="Times New Roman" w:cs="Times New Roman"/>
          <w:sz w:val="24"/>
          <w:szCs w:val="24"/>
        </w:rPr>
        <w:t>calculated</w:t>
      </w:r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using </w:t>
      </w:r>
      <w:r w:rsidR="009B10DD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the crude </w:t>
      </w:r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death </w:t>
      </w:r>
      <w:r w:rsidR="009B10DD" w:rsidRPr="00A805F0">
        <w:rPr>
          <w:rFonts w:ascii="Times New Roman" w:eastAsiaTheme="minorEastAsia" w:hAnsi="Times New Roman" w:cs="Times New Roman"/>
          <w:sz w:val="24"/>
          <w:szCs w:val="24"/>
        </w:rPr>
        <w:t>rates</w:t>
      </w:r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per population</w:t>
      </w:r>
      <w:r w:rsidR="009B10DD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</m:oMath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77BA5" w:rsidRPr="00A805F0">
        <w:rPr>
          <w:rFonts w:ascii="Times New Roman" w:eastAsiaTheme="minorEastAsia" w:hAnsi="Times New Roman" w:cs="Times New Roman"/>
          <w:sz w:val="24"/>
          <w:szCs w:val="24"/>
        </w:rPr>
        <w:t>using</w:t>
      </w:r>
      <w:r w:rsidR="004604E8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Equation </w:t>
      </w:r>
      <w:r w:rsidR="00267BF2" w:rsidRPr="00A805F0">
        <w:rPr>
          <w:rFonts w:ascii="Times New Roman" w:eastAsiaTheme="minorEastAsia" w:hAnsi="Times New Roman" w:cs="Times New Roman"/>
          <w:sz w:val="24"/>
          <w:szCs w:val="24"/>
        </w:rPr>
        <w:t>(2)</w:t>
      </w:r>
    </w:p>
    <w:p w14:paraId="17C507DF" w14:textId="67F494CC" w:rsidR="00B66144" w:rsidRPr="00A805F0" w:rsidRDefault="00CB31AD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adj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j,ref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≈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ref,j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(9)</m:t>
          </m:r>
        </m:oMath>
      </m:oMathPara>
    </w:p>
    <w:p w14:paraId="085BA03E" w14:textId="118E06A2" w:rsidR="00D96985" w:rsidRPr="00A805F0" w:rsidRDefault="00236B2F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05F0">
        <w:rPr>
          <w:rFonts w:ascii="Times New Roman" w:eastAsiaTheme="minorEastAsia" w:hAnsi="Times New Roman" w:cs="Times New Roman"/>
          <w:sz w:val="24"/>
          <w:szCs w:val="24"/>
        </w:rPr>
        <w:t>Using the weights derived from the IFRs in China</w:t>
      </w:r>
      <w:r w:rsidR="00903756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E1109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used in </w:t>
      </w:r>
      <w:r w:rsidR="00903756" w:rsidRPr="00A805F0">
        <w:rPr>
          <w:rFonts w:ascii="Times New Roman" w:eastAsiaTheme="minorEastAsia" w:hAnsi="Times New Roman" w:cs="Times New Roman"/>
          <w:sz w:val="24"/>
          <w:szCs w:val="24"/>
        </w:rPr>
        <w:t>Equation (5)</w:t>
      </w:r>
      <w:r w:rsidRPr="00A805F0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59674C3D" w14:textId="3CF4AA8C" w:rsidR="00236B2F" w:rsidRPr="00A805F0" w:rsidRDefault="00CB31AD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adj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≈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China,j</m:t>
              </m:r>
            </m:sub>
          </m:sSub>
        </m:oMath>
      </m:oMathPara>
    </w:p>
    <w:p w14:paraId="69C91841" w14:textId="357DA02C" w:rsidR="00011187" w:rsidRPr="00A805F0" w:rsidRDefault="00011187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0B2903E" w14:textId="77777777" w:rsidR="008B67DE" w:rsidRDefault="008B67DE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7B976CC" w14:textId="77777777" w:rsidR="008B67DE" w:rsidRDefault="008B67DE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8B06622" w14:textId="77777777" w:rsidR="008B67DE" w:rsidRDefault="008B67DE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9E46FA2" w14:textId="77777777" w:rsidR="008B67DE" w:rsidRDefault="008B67DE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F768503" w14:textId="05CDF1D1" w:rsidR="00D847A7" w:rsidRPr="00A805F0" w:rsidRDefault="008B67DE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B67DE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S1 Table: Relative death rates compared with the 80+ age group from China and Italy.</w:t>
      </w:r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Confidence limits for IFR/IFR 80+ were estimated using the upper and lower limits for IFR and dividing by the point estimate for IFR 80+ (IFR 81+ for Italy).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F1751" w:rsidRPr="00A805F0" w14:paraId="4DB2867D" w14:textId="77777777" w:rsidTr="00FF1751">
        <w:tc>
          <w:tcPr>
            <w:tcW w:w="3005" w:type="dxa"/>
          </w:tcPr>
          <w:p w14:paraId="3A598C5E" w14:textId="007EE14F" w:rsidR="00FF1751" w:rsidRPr="00A805F0" w:rsidRDefault="00FF1751" w:rsidP="00A805F0">
            <w:pPr>
              <w:spacing w:line="48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Age group</w:t>
            </w:r>
          </w:p>
        </w:tc>
        <w:tc>
          <w:tcPr>
            <w:tcW w:w="3005" w:type="dxa"/>
          </w:tcPr>
          <w:p w14:paraId="186ACF70" w14:textId="3117A1F3" w:rsidR="00FF1751" w:rsidRPr="00A805F0" w:rsidRDefault="00FF1751" w:rsidP="00A805F0">
            <w:pPr>
              <w:spacing w:line="48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IFR</w:t>
            </w:r>
            <w:r w:rsidR="00373DD8" w:rsidRPr="00A805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r w:rsidR="008818D3" w:rsidRPr="00A805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(95% credible interval)</w:t>
            </w:r>
          </w:p>
        </w:tc>
        <w:tc>
          <w:tcPr>
            <w:tcW w:w="3006" w:type="dxa"/>
          </w:tcPr>
          <w:p w14:paraId="54A4B4A2" w14:textId="20C355F8" w:rsidR="00FF1751" w:rsidRPr="00A805F0" w:rsidRDefault="00FF1751" w:rsidP="00A805F0">
            <w:pPr>
              <w:spacing w:line="48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IFR/IFR 80+</w:t>
            </w:r>
            <w:r w:rsidR="00373DD8" w:rsidRPr="00A805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r w:rsidR="00290375" w:rsidRPr="00A805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*</w:t>
            </w:r>
            <w:r w:rsidR="00185AF6" w:rsidRPr="00A805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(95% </w:t>
            </w:r>
            <w:r w:rsidR="00851095" w:rsidRPr="00A805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confidence limits</w:t>
            </w:r>
            <w:r w:rsidR="00185AF6" w:rsidRPr="00A805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47093" w:rsidRPr="00A805F0" w14:paraId="082A0B10" w14:textId="77777777" w:rsidTr="008818D3">
        <w:tc>
          <w:tcPr>
            <w:tcW w:w="9016" w:type="dxa"/>
            <w:gridSpan w:val="3"/>
          </w:tcPr>
          <w:p w14:paraId="4B5E9FEC" w14:textId="76D78DF4" w:rsidR="00347093" w:rsidRPr="00A805F0" w:rsidRDefault="00347093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China (Verity et al)</w:t>
            </w:r>
          </w:p>
        </w:tc>
      </w:tr>
      <w:tr w:rsidR="00373DD8" w:rsidRPr="00A805F0" w14:paraId="44841AE3" w14:textId="77777777" w:rsidTr="008818D3">
        <w:tc>
          <w:tcPr>
            <w:tcW w:w="3005" w:type="dxa"/>
            <w:vAlign w:val="bottom"/>
          </w:tcPr>
          <w:p w14:paraId="4FF70E9F" w14:textId="3B450910" w:rsidR="00373DD8" w:rsidRPr="00A805F0" w:rsidRDefault="00373DD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</w:t>
            </w:r>
          </w:p>
        </w:tc>
        <w:tc>
          <w:tcPr>
            <w:tcW w:w="3005" w:type="dxa"/>
            <w:vAlign w:val="bottom"/>
          </w:tcPr>
          <w:p w14:paraId="53F8D13D" w14:textId="661C1688" w:rsidR="00373DD8" w:rsidRPr="00A805F0" w:rsidRDefault="00373DD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0.00161</w:t>
            </w:r>
            <w:r w:rsidR="008818D3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D1229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0.000185, 0.0249)</w:t>
            </w:r>
          </w:p>
        </w:tc>
        <w:tc>
          <w:tcPr>
            <w:tcW w:w="3006" w:type="dxa"/>
            <w:vAlign w:val="bottom"/>
          </w:tcPr>
          <w:p w14:paraId="0B7FE515" w14:textId="1AF92876" w:rsidR="00373DD8" w:rsidRPr="00A805F0" w:rsidRDefault="00373DD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  <w:r w:rsidR="00E7163C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(0.00, 0.32)</w:t>
            </w:r>
          </w:p>
        </w:tc>
      </w:tr>
      <w:tr w:rsidR="00373DD8" w:rsidRPr="00A805F0" w14:paraId="55CDDE65" w14:textId="77777777" w:rsidTr="008818D3">
        <w:tc>
          <w:tcPr>
            <w:tcW w:w="3005" w:type="dxa"/>
            <w:vAlign w:val="bottom"/>
          </w:tcPr>
          <w:p w14:paraId="1B086284" w14:textId="627985B3" w:rsidR="00373DD8" w:rsidRPr="00A805F0" w:rsidRDefault="00373DD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10-19</w:t>
            </w:r>
          </w:p>
        </w:tc>
        <w:tc>
          <w:tcPr>
            <w:tcW w:w="3005" w:type="dxa"/>
            <w:vAlign w:val="bottom"/>
          </w:tcPr>
          <w:p w14:paraId="2BB81295" w14:textId="431933F8" w:rsidR="00373DD8" w:rsidRPr="00A805F0" w:rsidRDefault="00373DD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0.00695</w:t>
            </w:r>
            <w:r w:rsidR="008D1229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(0.00149, 0.0502)</w:t>
            </w:r>
          </w:p>
        </w:tc>
        <w:tc>
          <w:tcPr>
            <w:tcW w:w="3006" w:type="dxa"/>
            <w:vAlign w:val="bottom"/>
          </w:tcPr>
          <w:p w14:paraId="4FADB38C" w14:textId="5B4AD6E2" w:rsidR="00373DD8" w:rsidRPr="00A805F0" w:rsidRDefault="00373DD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  <w:r w:rsidR="00E7163C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(0.02, 0.64)</w:t>
            </w:r>
          </w:p>
        </w:tc>
      </w:tr>
      <w:tr w:rsidR="00373DD8" w:rsidRPr="00A805F0" w14:paraId="0747FA1F" w14:textId="77777777" w:rsidTr="008818D3">
        <w:tc>
          <w:tcPr>
            <w:tcW w:w="3005" w:type="dxa"/>
            <w:vAlign w:val="bottom"/>
          </w:tcPr>
          <w:p w14:paraId="55D9AF0B" w14:textId="6B0B0A87" w:rsidR="00373DD8" w:rsidRPr="00A805F0" w:rsidRDefault="00373DD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20-29</w:t>
            </w:r>
          </w:p>
        </w:tc>
        <w:tc>
          <w:tcPr>
            <w:tcW w:w="3005" w:type="dxa"/>
            <w:vAlign w:val="bottom"/>
          </w:tcPr>
          <w:p w14:paraId="1B1D177C" w14:textId="3E4ED9A6" w:rsidR="00373DD8" w:rsidRPr="00A805F0" w:rsidRDefault="00373DD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0.0309</w:t>
            </w:r>
            <w:r w:rsidR="008D1229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(0.0138, 0.0923)</w:t>
            </w:r>
          </w:p>
        </w:tc>
        <w:tc>
          <w:tcPr>
            <w:tcW w:w="3006" w:type="dxa"/>
            <w:vAlign w:val="bottom"/>
          </w:tcPr>
          <w:p w14:paraId="461AA565" w14:textId="38128AA5" w:rsidR="00373DD8" w:rsidRPr="00A805F0" w:rsidRDefault="00373DD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  <w:r w:rsidR="00E7163C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(0.18, 1.18)</w:t>
            </w:r>
          </w:p>
        </w:tc>
      </w:tr>
      <w:tr w:rsidR="00373DD8" w:rsidRPr="00A805F0" w14:paraId="112F2898" w14:textId="77777777" w:rsidTr="008818D3">
        <w:tc>
          <w:tcPr>
            <w:tcW w:w="3005" w:type="dxa"/>
            <w:vAlign w:val="bottom"/>
          </w:tcPr>
          <w:p w14:paraId="6F533659" w14:textId="219FC977" w:rsidR="00373DD8" w:rsidRPr="00A805F0" w:rsidRDefault="00373DD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30-39</w:t>
            </w:r>
          </w:p>
        </w:tc>
        <w:tc>
          <w:tcPr>
            <w:tcW w:w="3005" w:type="dxa"/>
            <w:vAlign w:val="bottom"/>
          </w:tcPr>
          <w:p w14:paraId="6658F249" w14:textId="3DB88E27" w:rsidR="00373DD8" w:rsidRPr="00A805F0" w:rsidRDefault="00373DD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0.0844</w:t>
            </w:r>
            <w:r w:rsidR="008D1229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(0.0408, 0.185)</w:t>
            </w:r>
          </w:p>
        </w:tc>
        <w:tc>
          <w:tcPr>
            <w:tcW w:w="3006" w:type="dxa"/>
            <w:vAlign w:val="bottom"/>
          </w:tcPr>
          <w:p w14:paraId="7D53C165" w14:textId="73FE5067" w:rsidR="00373DD8" w:rsidRPr="00A805F0" w:rsidRDefault="00373DD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10185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163C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(0.52, 2.37)</w:t>
            </w:r>
          </w:p>
        </w:tc>
      </w:tr>
      <w:tr w:rsidR="00373DD8" w:rsidRPr="00A805F0" w14:paraId="0456F7E7" w14:textId="77777777" w:rsidTr="008818D3">
        <w:tc>
          <w:tcPr>
            <w:tcW w:w="3005" w:type="dxa"/>
            <w:vAlign w:val="bottom"/>
          </w:tcPr>
          <w:p w14:paraId="59350E15" w14:textId="0A00ADC7" w:rsidR="00373DD8" w:rsidRPr="00A805F0" w:rsidRDefault="00373DD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40-49</w:t>
            </w:r>
          </w:p>
        </w:tc>
        <w:tc>
          <w:tcPr>
            <w:tcW w:w="3005" w:type="dxa"/>
            <w:vAlign w:val="bottom"/>
          </w:tcPr>
          <w:p w14:paraId="636A24AD" w14:textId="36E22E4A" w:rsidR="00373DD8" w:rsidRPr="00A805F0" w:rsidRDefault="00373DD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0.161</w:t>
            </w:r>
            <w:r w:rsidR="008D1229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(0.0764, 0.323)</w:t>
            </w:r>
          </w:p>
        </w:tc>
        <w:tc>
          <w:tcPr>
            <w:tcW w:w="3006" w:type="dxa"/>
            <w:vAlign w:val="bottom"/>
          </w:tcPr>
          <w:p w14:paraId="7A0DF402" w14:textId="23FD5763" w:rsidR="00373DD8" w:rsidRPr="00A805F0" w:rsidRDefault="00373DD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F10185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163C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(0.98, 4.14)</w:t>
            </w:r>
          </w:p>
        </w:tc>
      </w:tr>
      <w:tr w:rsidR="00373DD8" w:rsidRPr="00A805F0" w14:paraId="2D6BC358" w14:textId="77777777" w:rsidTr="008818D3">
        <w:tc>
          <w:tcPr>
            <w:tcW w:w="3005" w:type="dxa"/>
            <w:vAlign w:val="bottom"/>
          </w:tcPr>
          <w:p w14:paraId="21D3E466" w14:textId="65B85E6E" w:rsidR="00373DD8" w:rsidRPr="00A805F0" w:rsidRDefault="00373DD8" w:rsidP="00A805F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50-59</w:t>
            </w:r>
          </w:p>
        </w:tc>
        <w:tc>
          <w:tcPr>
            <w:tcW w:w="3005" w:type="dxa"/>
            <w:vAlign w:val="bottom"/>
          </w:tcPr>
          <w:p w14:paraId="58EDED87" w14:textId="3AA97A6E" w:rsidR="00373DD8" w:rsidRPr="00A805F0" w:rsidRDefault="00373DD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0.595</w:t>
            </w:r>
            <w:r w:rsidR="008D1229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(0.344, 1.28)</w:t>
            </w:r>
          </w:p>
        </w:tc>
        <w:tc>
          <w:tcPr>
            <w:tcW w:w="3006" w:type="dxa"/>
            <w:vAlign w:val="bottom"/>
          </w:tcPr>
          <w:p w14:paraId="3ABE3108" w14:textId="23AECD87" w:rsidR="00373DD8" w:rsidRPr="00A805F0" w:rsidRDefault="00373DD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  <w:r w:rsidR="00E7163C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(4.41, 16.41)</w:t>
            </w:r>
          </w:p>
        </w:tc>
      </w:tr>
      <w:tr w:rsidR="00373DD8" w:rsidRPr="00A805F0" w14:paraId="272C0311" w14:textId="77777777" w:rsidTr="008818D3">
        <w:tc>
          <w:tcPr>
            <w:tcW w:w="3005" w:type="dxa"/>
            <w:vAlign w:val="bottom"/>
          </w:tcPr>
          <w:p w14:paraId="5B81614D" w14:textId="6D0B9E57" w:rsidR="00373DD8" w:rsidRPr="00A805F0" w:rsidRDefault="00373DD8" w:rsidP="00A805F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60-69</w:t>
            </w:r>
          </w:p>
        </w:tc>
        <w:tc>
          <w:tcPr>
            <w:tcW w:w="3005" w:type="dxa"/>
            <w:vAlign w:val="bottom"/>
          </w:tcPr>
          <w:p w14:paraId="0D7EA9CE" w14:textId="328A20C9" w:rsidR="00373DD8" w:rsidRPr="00A805F0" w:rsidRDefault="00373DD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1.93</w:t>
            </w:r>
            <w:r w:rsidR="008D1229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(1.11, 3.89)</w:t>
            </w:r>
          </w:p>
        </w:tc>
        <w:tc>
          <w:tcPr>
            <w:tcW w:w="3006" w:type="dxa"/>
            <w:vAlign w:val="bottom"/>
          </w:tcPr>
          <w:p w14:paraId="4F450DB7" w14:textId="234FEF07" w:rsidR="00373DD8" w:rsidRPr="00A805F0" w:rsidRDefault="00373DD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</w:t>
            </w:r>
            <w:r w:rsidR="00E7163C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(14.2, 49.9)</w:t>
            </w:r>
          </w:p>
        </w:tc>
      </w:tr>
      <w:tr w:rsidR="00373DD8" w:rsidRPr="00A805F0" w14:paraId="1866335D" w14:textId="77777777" w:rsidTr="008818D3">
        <w:tc>
          <w:tcPr>
            <w:tcW w:w="3005" w:type="dxa"/>
            <w:vAlign w:val="bottom"/>
          </w:tcPr>
          <w:p w14:paraId="5DA3CF17" w14:textId="71C65D86" w:rsidR="00373DD8" w:rsidRPr="00A805F0" w:rsidRDefault="00373DD8" w:rsidP="00A805F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70-79</w:t>
            </w:r>
          </w:p>
        </w:tc>
        <w:tc>
          <w:tcPr>
            <w:tcW w:w="3005" w:type="dxa"/>
            <w:vAlign w:val="bottom"/>
          </w:tcPr>
          <w:p w14:paraId="704C9D3D" w14:textId="6B9F3A5A" w:rsidR="00373DD8" w:rsidRPr="00A805F0" w:rsidRDefault="00373DD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4.28</w:t>
            </w:r>
            <w:r w:rsidR="008D1229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(2.45, 8.44)</w:t>
            </w:r>
          </w:p>
        </w:tc>
        <w:tc>
          <w:tcPr>
            <w:tcW w:w="3006" w:type="dxa"/>
            <w:vAlign w:val="bottom"/>
          </w:tcPr>
          <w:p w14:paraId="46391EFA" w14:textId="2ECE5ED8" w:rsidR="00373DD8" w:rsidRPr="00A805F0" w:rsidRDefault="00373DD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  <w:r w:rsidR="00F10185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7163C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(31.4, 108.2)</w:t>
            </w:r>
          </w:p>
        </w:tc>
      </w:tr>
      <w:tr w:rsidR="00373DD8" w:rsidRPr="00A805F0" w14:paraId="63FF17A7" w14:textId="77777777" w:rsidTr="008818D3">
        <w:tc>
          <w:tcPr>
            <w:tcW w:w="3005" w:type="dxa"/>
            <w:vAlign w:val="bottom"/>
          </w:tcPr>
          <w:p w14:paraId="09BFE970" w14:textId="61FEC980" w:rsidR="00373DD8" w:rsidRPr="00A805F0" w:rsidRDefault="00373DD8" w:rsidP="00A805F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80+</w:t>
            </w:r>
          </w:p>
        </w:tc>
        <w:tc>
          <w:tcPr>
            <w:tcW w:w="3005" w:type="dxa"/>
            <w:vAlign w:val="bottom"/>
          </w:tcPr>
          <w:p w14:paraId="226B2B95" w14:textId="6FCD36BA" w:rsidR="00373DD8" w:rsidRPr="00A805F0" w:rsidRDefault="00373DD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7.80</w:t>
            </w:r>
            <w:r w:rsidR="008D1229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(3.80, 13.3)</w:t>
            </w:r>
          </w:p>
        </w:tc>
        <w:tc>
          <w:tcPr>
            <w:tcW w:w="3006" w:type="dxa"/>
            <w:vAlign w:val="bottom"/>
          </w:tcPr>
          <w:p w14:paraId="0473A7F5" w14:textId="37B19A60" w:rsidR="00373DD8" w:rsidRPr="00A805F0" w:rsidRDefault="00373DD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47093" w:rsidRPr="00A805F0" w14:paraId="67BE3B02" w14:textId="77777777" w:rsidTr="008818D3">
        <w:tc>
          <w:tcPr>
            <w:tcW w:w="9016" w:type="dxa"/>
            <w:gridSpan w:val="3"/>
            <w:vAlign w:val="bottom"/>
          </w:tcPr>
          <w:p w14:paraId="32C26C37" w14:textId="7DC81874" w:rsidR="00347093" w:rsidRPr="00A805F0" w:rsidRDefault="00347093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Italy (Rinaldo)</w:t>
            </w:r>
          </w:p>
        </w:tc>
      </w:tr>
      <w:tr w:rsidR="00FF1751" w:rsidRPr="00A805F0" w14:paraId="003BC839" w14:textId="77777777" w:rsidTr="008818D3">
        <w:tc>
          <w:tcPr>
            <w:tcW w:w="3005" w:type="dxa"/>
            <w:vAlign w:val="bottom"/>
          </w:tcPr>
          <w:p w14:paraId="53BCD7F9" w14:textId="5182C935" w:rsidR="00FF1751" w:rsidRPr="00A805F0" w:rsidRDefault="00373DD8" w:rsidP="00A805F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0-20</w:t>
            </w:r>
          </w:p>
        </w:tc>
        <w:tc>
          <w:tcPr>
            <w:tcW w:w="3005" w:type="dxa"/>
          </w:tcPr>
          <w:p w14:paraId="0EB64A52" w14:textId="675805B8" w:rsidR="00FF1751" w:rsidRPr="00A805F0" w:rsidRDefault="00373DD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0.049</w:t>
            </w:r>
            <w:r w:rsidR="008818D3"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(0.00</w:t>
            </w:r>
            <w:r w:rsidR="001F4A82"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48</w:t>
            </w:r>
            <w:r w:rsidR="008818D3"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, 0.1</w:t>
            </w:r>
            <w:r w:rsidR="001F4A82"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8818D3"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3006" w:type="dxa"/>
          </w:tcPr>
          <w:p w14:paraId="024DDD9F" w14:textId="2BC1B5D5" w:rsidR="00FF1751" w:rsidRPr="00A805F0" w:rsidRDefault="00373DD8" w:rsidP="00A805F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FE5E49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F445D6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(0.05, 1.97)</w:t>
            </w:r>
          </w:p>
        </w:tc>
      </w:tr>
      <w:tr w:rsidR="009705C3" w:rsidRPr="00A805F0" w14:paraId="4AAABEEB" w14:textId="77777777" w:rsidTr="008818D3">
        <w:tc>
          <w:tcPr>
            <w:tcW w:w="3005" w:type="dxa"/>
            <w:vAlign w:val="bottom"/>
          </w:tcPr>
          <w:p w14:paraId="311951BB" w14:textId="449F0ACE" w:rsidR="009705C3" w:rsidRPr="00A805F0" w:rsidRDefault="009705C3" w:rsidP="00A805F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21-40</w:t>
            </w:r>
          </w:p>
        </w:tc>
        <w:tc>
          <w:tcPr>
            <w:tcW w:w="3005" w:type="dxa"/>
          </w:tcPr>
          <w:p w14:paraId="33613672" w14:textId="36E05B0E" w:rsidR="009705C3" w:rsidRPr="00A805F0" w:rsidRDefault="009705C3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0.0176</w:t>
            </w:r>
            <w:r w:rsidR="008818D3"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="0050623E"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0.0008, 0.095</w:t>
            </w:r>
            <w:r w:rsidR="001F4A82"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50623E"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006" w:type="dxa"/>
            <w:vAlign w:val="bottom"/>
          </w:tcPr>
          <w:p w14:paraId="33728024" w14:textId="30E9D3F6" w:rsidR="009705C3" w:rsidRPr="00A805F0" w:rsidRDefault="00FE5E49" w:rsidP="00A805F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  <w:r w:rsidR="00F445D6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(0.01, 1.05)</w:t>
            </w:r>
          </w:p>
        </w:tc>
      </w:tr>
      <w:tr w:rsidR="009705C3" w:rsidRPr="00A805F0" w14:paraId="435C5BAF" w14:textId="77777777" w:rsidTr="008818D3">
        <w:tc>
          <w:tcPr>
            <w:tcW w:w="3005" w:type="dxa"/>
            <w:vAlign w:val="bottom"/>
          </w:tcPr>
          <w:p w14:paraId="236AB98E" w14:textId="568C3DCA" w:rsidR="009705C3" w:rsidRPr="00A805F0" w:rsidRDefault="009705C3" w:rsidP="00A805F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41-50</w:t>
            </w:r>
          </w:p>
        </w:tc>
        <w:tc>
          <w:tcPr>
            <w:tcW w:w="3005" w:type="dxa"/>
          </w:tcPr>
          <w:p w14:paraId="505D4890" w14:textId="6225CD5C" w:rsidR="009705C3" w:rsidRPr="00A805F0" w:rsidRDefault="009705C3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0.0476</w:t>
            </w:r>
            <w:r w:rsidR="0050623E"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(0.0020, 0.200)</w:t>
            </w:r>
          </w:p>
        </w:tc>
        <w:tc>
          <w:tcPr>
            <w:tcW w:w="3006" w:type="dxa"/>
            <w:vAlign w:val="bottom"/>
          </w:tcPr>
          <w:p w14:paraId="25B59D32" w14:textId="326EDE2B" w:rsidR="009705C3" w:rsidRPr="00A805F0" w:rsidRDefault="009705C3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FE5E49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F445D6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(0.02, 2.21)</w:t>
            </w:r>
          </w:p>
        </w:tc>
      </w:tr>
      <w:tr w:rsidR="009705C3" w:rsidRPr="00A805F0" w14:paraId="3A9A7BF3" w14:textId="77777777" w:rsidTr="008818D3">
        <w:tc>
          <w:tcPr>
            <w:tcW w:w="3005" w:type="dxa"/>
            <w:vAlign w:val="bottom"/>
          </w:tcPr>
          <w:p w14:paraId="2BCB2C51" w14:textId="6DD6864F" w:rsidR="009705C3" w:rsidRPr="00A805F0" w:rsidRDefault="009705C3" w:rsidP="00A805F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3005" w:type="dxa"/>
          </w:tcPr>
          <w:p w14:paraId="2C6FF093" w14:textId="1B06C9BE" w:rsidR="009705C3" w:rsidRPr="00A805F0" w:rsidRDefault="009705C3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0.10</w:t>
            </w:r>
            <w:r w:rsidR="009174D5"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76</w:t>
            </w:r>
            <w:r w:rsidR="0050623E"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(0.0096, 0.314)</w:t>
            </w:r>
          </w:p>
        </w:tc>
        <w:tc>
          <w:tcPr>
            <w:tcW w:w="3006" w:type="dxa"/>
            <w:vAlign w:val="bottom"/>
          </w:tcPr>
          <w:p w14:paraId="5D6D0660" w14:textId="5B8C958D" w:rsidR="009705C3" w:rsidRPr="00A805F0" w:rsidRDefault="009705C3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445D6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(0.11, 3.47)</w:t>
            </w:r>
          </w:p>
        </w:tc>
      </w:tr>
      <w:tr w:rsidR="009705C3" w:rsidRPr="00A805F0" w14:paraId="0632B18C" w14:textId="77777777" w:rsidTr="008818D3">
        <w:tc>
          <w:tcPr>
            <w:tcW w:w="3005" w:type="dxa"/>
            <w:vAlign w:val="bottom"/>
          </w:tcPr>
          <w:p w14:paraId="3D0DCF9E" w14:textId="119362FC" w:rsidR="009705C3" w:rsidRPr="00A805F0" w:rsidRDefault="009705C3" w:rsidP="00A805F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61-70</w:t>
            </w:r>
          </w:p>
        </w:tc>
        <w:tc>
          <w:tcPr>
            <w:tcW w:w="3005" w:type="dxa"/>
          </w:tcPr>
          <w:p w14:paraId="55E2B0CC" w14:textId="79529996" w:rsidR="009705C3" w:rsidRPr="00A805F0" w:rsidRDefault="009705C3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1.028</w:t>
            </w:r>
            <w:r w:rsidR="0050623E"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(0.588, 1.74)</w:t>
            </w:r>
          </w:p>
        </w:tc>
        <w:tc>
          <w:tcPr>
            <w:tcW w:w="3006" w:type="dxa"/>
            <w:vAlign w:val="bottom"/>
          </w:tcPr>
          <w:p w14:paraId="74A55820" w14:textId="09DB51EF" w:rsidR="009705C3" w:rsidRPr="00A805F0" w:rsidRDefault="009705C3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5E49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 w:rsidR="00F445D6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(6.50, 19.3)</w:t>
            </w:r>
          </w:p>
        </w:tc>
      </w:tr>
      <w:tr w:rsidR="009705C3" w:rsidRPr="00A805F0" w14:paraId="54AC98B6" w14:textId="77777777" w:rsidTr="008818D3">
        <w:tc>
          <w:tcPr>
            <w:tcW w:w="3005" w:type="dxa"/>
            <w:vAlign w:val="bottom"/>
          </w:tcPr>
          <w:p w14:paraId="130F84F2" w14:textId="27F22873" w:rsidR="009705C3" w:rsidRPr="00A805F0" w:rsidRDefault="009705C3" w:rsidP="00A805F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71-80</w:t>
            </w:r>
          </w:p>
        </w:tc>
        <w:tc>
          <w:tcPr>
            <w:tcW w:w="3005" w:type="dxa"/>
          </w:tcPr>
          <w:p w14:paraId="556C0277" w14:textId="783BDB83" w:rsidR="009705C3" w:rsidRPr="00A805F0" w:rsidRDefault="009705C3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4.66</w:t>
            </w:r>
            <w:r w:rsidR="0050623E"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(3.32, 6.99)</w:t>
            </w:r>
          </w:p>
        </w:tc>
        <w:tc>
          <w:tcPr>
            <w:tcW w:w="3006" w:type="dxa"/>
            <w:vAlign w:val="bottom"/>
          </w:tcPr>
          <w:p w14:paraId="2BA7852B" w14:textId="503A82F8" w:rsidR="009705C3" w:rsidRPr="00A805F0" w:rsidRDefault="009705C3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E5E49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  <w:r w:rsidR="00F445D6"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(36.7, 77.3)</w:t>
            </w:r>
          </w:p>
        </w:tc>
      </w:tr>
      <w:tr w:rsidR="009705C3" w:rsidRPr="00A805F0" w14:paraId="0EF27E4D" w14:textId="77777777" w:rsidTr="008818D3">
        <w:tc>
          <w:tcPr>
            <w:tcW w:w="3005" w:type="dxa"/>
            <w:vAlign w:val="bottom"/>
          </w:tcPr>
          <w:p w14:paraId="428C5474" w14:textId="71590FF8" w:rsidR="009705C3" w:rsidRPr="00A805F0" w:rsidRDefault="009705C3" w:rsidP="00A805F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81+</w:t>
            </w:r>
          </w:p>
        </w:tc>
        <w:tc>
          <w:tcPr>
            <w:tcW w:w="3005" w:type="dxa"/>
          </w:tcPr>
          <w:p w14:paraId="1C90CED1" w14:textId="476F24E4" w:rsidR="009705C3" w:rsidRPr="00A805F0" w:rsidRDefault="009705C3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9.04</w:t>
            </w:r>
            <w:r w:rsidR="0050623E"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(6.62, 13.3)</w:t>
            </w:r>
          </w:p>
        </w:tc>
        <w:tc>
          <w:tcPr>
            <w:tcW w:w="3006" w:type="dxa"/>
            <w:vAlign w:val="bottom"/>
          </w:tcPr>
          <w:p w14:paraId="7A5AF83F" w14:textId="0A041E58" w:rsidR="009705C3" w:rsidRPr="00A805F0" w:rsidRDefault="009705C3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</w:tbl>
    <w:p w14:paraId="0021B6EE" w14:textId="7562000F" w:rsidR="00FF1751" w:rsidRDefault="00290375" w:rsidP="00A805F0">
      <w:pPr>
        <w:spacing w:line="48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0F0D1D">
        <w:rPr>
          <w:rFonts w:ascii="Times New Roman" w:eastAsiaTheme="minorEastAsia" w:hAnsi="Times New Roman" w:cs="Times New Roman"/>
          <w:sz w:val="20"/>
          <w:szCs w:val="20"/>
        </w:rPr>
        <w:t>*IFR/IFR 81+ (%) for Italy</w:t>
      </w:r>
    </w:p>
    <w:p w14:paraId="4BA948B8" w14:textId="77777777" w:rsidR="000F0D1D" w:rsidRPr="000F0D1D" w:rsidRDefault="000F0D1D" w:rsidP="00A805F0">
      <w:pPr>
        <w:spacing w:line="48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1116A6DF" w14:textId="79E01DE0" w:rsidR="006F4DF2" w:rsidRPr="00A805F0" w:rsidRDefault="004938CD" w:rsidP="00A805F0">
      <w:pPr>
        <w:spacing w:line="48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805F0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Model diagnostics for clustering of Infection Fatality Ratios</w:t>
      </w:r>
    </w:p>
    <w:p w14:paraId="1AED1A14" w14:textId="5C6FD0BB" w:rsidR="009C1900" w:rsidRDefault="00C1529A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S1 </w:t>
      </w:r>
      <w:r w:rsidR="009C1900" w:rsidRPr="00A805F0">
        <w:rPr>
          <w:rFonts w:ascii="Times New Roman" w:eastAsiaTheme="minorEastAsia" w:hAnsi="Times New Roman" w:cs="Times New Roman"/>
          <w:sz w:val="24"/>
          <w:szCs w:val="24"/>
        </w:rPr>
        <w:t>Fig shows the probability density function from the sum of the three Gaussian normal distribution and the observed histogram. Test</w:t>
      </w:r>
      <w:r w:rsidR="00BC2A5E" w:rsidRPr="00A805F0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9C1900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for normality (Q</w:t>
      </w:r>
      <w:r w:rsidR="00A065BF" w:rsidRPr="00A805F0">
        <w:rPr>
          <w:rFonts w:ascii="Times New Roman" w:eastAsiaTheme="minorEastAsia" w:hAnsi="Times New Roman" w:cs="Times New Roman"/>
          <w:sz w:val="24"/>
          <w:szCs w:val="24"/>
        </w:rPr>
        <w:t>uantile</w:t>
      </w:r>
      <w:r w:rsidR="009C1900" w:rsidRPr="00A805F0">
        <w:rPr>
          <w:rFonts w:ascii="Times New Roman" w:eastAsiaTheme="minorEastAsia" w:hAnsi="Times New Roman" w:cs="Times New Roman"/>
          <w:sz w:val="24"/>
          <w:szCs w:val="24"/>
        </w:rPr>
        <w:t>-Q</w:t>
      </w:r>
      <w:r w:rsidR="00A065BF" w:rsidRPr="00A805F0">
        <w:rPr>
          <w:rFonts w:ascii="Times New Roman" w:eastAsiaTheme="minorEastAsia" w:hAnsi="Times New Roman" w:cs="Times New Roman"/>
          <w:sz w:val="24"/>
          <w:szCs w:val="24"/>
        </w:rPr>
        <w:t>uantile</w:t>
      </w:r>
      <w:r w:rsidR="009C1900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plot) and model fit are found in </w:t>
      </w:r>
      <w:r w:rsidR="006B3D2E">
        <w:rPr>
          <w:rFonts w:ascii="Times New Roman" w:eastAsiaTheme="minorEastAsia" w:hAnsi="Times New Roman" w:cs="Times New Roman"/>
          <w:sz w:val="24"/>
          <w:szCs w:val="24"/>
        </w:rPr>
        <w:t xml:space="preserve">S2 </w:t>
      </w:r>
      <w:r w:rsidR="009C1900" w:rsidRPr="00A805F0">
        <w:rPr>
          <w:rFonts w:ascii="Times New Roman" w:eastAsiaTheme="minorEastAsia" w:hAnsi="Times New Roman" w:cs="Times New Roman"/>
          <w:sz w:val="24"/>
          <w:szCs w:val="24"/>
        </w:rPr>
        <w:t>Fig</w:t>
      </w:r>
      <w:r w:rsidR="00AA09D4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334E36" w:rsidRPr="00A805F0">
        <w:rPr>
          <w:rFonts w:ascii="Times New Roman" w:eastAsiaTheme="minorEastAsia" w:hAnsi="Times New Roman" w:cs="Times New Roman"/>
          <w:sz w:val="24"/>
          <w:szCs w:val="24"/>
        </w:rPr>
        <w:t>provide evidence of good model fit</w:t>
      </w:r>
      <w:r w:rsidR="005675F0" w:rsidRPr="00A805F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8A76C67" w14:textId="77777777" w:rsidR="009B3AEA" w:rsidRPr="00A805F0" w:rsidRDefault="009B3AEA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E53763A" w14:textId="77777777" w:rsidR="002B1FF5" w:rsidRDefault="002B1FF5" w:rsidP="002B1FF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44F2B">
        <w:rPr>
          <w:rFonts w:ascii="Times New Roman" w:eastAsiaTheme="minorEastAsia" w:hAnsi="Times New Roman" w:cs="Times New Roman"/>
          <w:b/>
          <w:bCs/>
          <w:sz w:val="24"/>
          <w:szCs w:val="24"/>
        </w:rPr>
        <w:t>S1 Figure</w:t>
      </w:r>
      <w:r w:rsidRPr="00005603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44F2B">
        <w:rPr>
          <w:rFonts w:ascii="Times New Roman" w:eastAsiaTheme="minorEastAsia" w:hAnsi="Times New Roman" w:cs="Times New Roman"/>
          <w:b/>
          <w:bCs/>
          <w:sz w:val="24"/>
          <w:szCs w:val="24"/>
        </w:rPr>
        <w:t>Probability density function and histogram.</w:t>
      </w:r>
      <w:r w:rsidRPr="00005603">
        <w:rPr>
          <w:rFonts w:ascii="Times New Roman" w:eastAsiaTheme="minorEastAsia" w:hAnsi="Times New Roman" w:cs="Times New Roman"/>
          <w:sz w:val="24"/>
          <w:szCs w:val="24"/>
        </w:rPr>
        <w:t xml:space="preserve"> Probability density function of fitted distributions from three clusters (solid line) and histogram of observed IFRs.</w:t>
      </w:r>
    </w:p>
    <w:p w14:paraId="5CE344D4" w14:textId="6AB579EB" w:rsidR="009C1900" w:rsidRPr="00A805F0" w:rsidRDefault="009C1900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94EE4FF" w14:textId="77777777" w:rsidR="009F2D9D" w:rsidRDefault="009F2D9D" w:rsidP="009F2D9D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44F2B">
        <w:rPr>
          <w:rFonts w:ascii="Times New Roman" w:eastAsiaTheme="minorEastAsia" w:hAnsi="Times New Roman" w:cs="Times New Roman"/>
          <w:b/>
          <w:bCs/>
          <w:sz w:val="24"/>
          <w:szCs w:val="24"/>
        </w:rPr>
        <w:t>S2 Figure: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44F2B">
        <w:rPr>
          <w:rFonts w:ascii="Times New Roman" w:eastAsiaTheme="minorEastAsia" w:hAnsi="Times New Roman" w:cs="Times New Roman"/>
          <w:b/>
          <w:bCs/>
          <w:sz w:val="24"/>
          <w:szCs w:val="24"/>
        </w:rPr>
        <w:t>Model diagnostics.</w:t>
      </w:r>
      <w:r w:rsidRPr="00005603">
        <w:rPr>
          <w:rFonts w:ascii="Times New Roman" w:eastAsiaTheme="minorEastAsia" w:hAnsi="Times New Roman" w:cs="Times New Roman"/>
          <w:sz w:val="24"/>
          <w:szCs w:val="24"/>
        </w:rPr>
        <w:t xml:space="preserve"> Quantile-Quantile plots to test normality (left) and estimated and empirical cumulative density functions (CDF) (right).</w:t>
      </w:r>
    </w:p>
    <w:p w14:paraId="795AEF26" w14:textId="0385F24A" w:rsidR="004938CD" w:rsidRPr="00FF248E" w:rsidRDefault="004938CD" w:rsidP="00A805F0">
      <w:pPr>
        <w:spacing w:line="480" w:lineRule="auto"/>
        <w:rPr>
          <w:rFonts w:ascii="Times New Roman" w:eastAsiaTheme="minorEastAsia" w:hAnsi="Times New Roman" w:cs="Times New Roman"/>
          <w:sz w:val="36"/>
          <w:szCs w:val="36"/>
        </w:rPr>
      </w:pPr>
    </w:p>
    <w:p w14:paraId="717E8218" w14:textId="3BB7EBBC" w:rsidR="004938CD" w:rsidRPr="00FF248E" w:rsidRDefault="00D448A6" w:rsidP="00A805F0">
      <w:pPr>
        <w:spacing w:line="480" w:lineRule="auto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  <w:r w:rsidRPr="00FF248E">
        <w:rPr>
          <w:rFonts w:ascii="Times New Roman" w:eastAsiaTheme="minorEastAsia" w:hAnsi="Times New Roman" w:cs="Times New Roman"/>
          <w:b/>
          <w:bCs/>
          <w:sz w:val="36"/>
          <w:szCs w:val="36"/>
        </w:rPr>
        <w:t>T</w:t>
      </w:r>
      <w:r w:rsidR="004938CD" w:rsidRPr="00FF248E">
        <w:rPr>
          <w:rFonts w:ascii="Times New Roman" w:eastAsiaTheme="minorEastAsia" w:hAnsi="Times New Roman" w:cs="Times New Roman"/>
          <w:b/>
          <w:bCs/>
          <w:sz w:val="36"/>
          <w:szCs w:val="36"/>
        </w:rPr>
        <w:t>rajectory analysis</w:t>
      </w:r>
    </w:p>
    <w:p w14:paraId="799401F8" w14:textId="1CDF776C" w:rsidR="00F26F39" w:rsidRPr="00A805F0" w:rsidRDefault="004C3ABD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The ‘traj’ package </w:t>
      </w:r>
      <w:r w:rsidR="00F26F39" w:rsidRPr="00A805F0">
        <w:rPr>
          <w:rFonts w:ascii="Times New Roman" w:eastAsiaTheme="minorEastAsia" w:hAnsi="Times New Roman" w:cs="Times New Roman"/>
          <w:sz w:val="24"/>
          <w:szCs w:val="24"/>
        </w:rPr>
        <w:t>used three steps to classify trajectories into clusters</w:t>
      </w:r>
      <w:r w:rsidR="003216FE" w:rsidRPr="00A805F0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F26F39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(1) calculating 24 measures describing the change in death rates over time (eg direction of change, nonlinearity, fluctuations) [</w:t>
      </w:r>
      <w:r w:rsidR="00265BF5" w:rsidRPr="00265BF5">
        <w:rPr>
          <w:rFonts w:ascii="Times New Roman" w:eastAsiaTheme="minorEastAsia" w:hAnsi="Times New Roman" w:cs="Times New Roman"/>
          <w:sz w:val="24"/>
          <w:szCs w:val="24"/>
        </w:rPr>
        <w:t>https://cran.r-project.org/web/packages/traj/vignettes/trajVignette.pdf</w:t>
      </w:r>
      <w:r w:rsidR="00F26F39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]; (2) A subset of the measures </w:t>
      </w:r>
      <w:r w:rsidR="00FE6419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which describe the </w:t>
      </w:r>
      <w:r w:rsidR="00F10432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main features of the </w:t>
      </w:r>
      <w:r w:rsidR="00FE6419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trajectories </w:t>
      </w:r>
      <w:r w:rsidR="00F26F39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was selected using </w:t>
      </w:r>
      <w:r w:rsidR="00FE6419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factor analysis and (3) the selected measures were clustered </w:t>
      </w:r>
      <w:r w:rsidR="006D3C60" w:rsidRPr="00A805F0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="00FE6419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the R package ‘Nbclust’ to determine the </w:t>
      </w:r>
      <w:r w:rsidR="00F10432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optimal </w:t>
      </w:r>
      <w:r w:rsidR="00FE6419" w:rsidRPr="00A805F0">
        <w:rPr>
          <w:rFonts w:ascii="Times New Roman" w:eastAsiaTheme="minorEastAsia" w:hAnsi="Times New Roman" w:cs="Times New Roman"/>
          <w:sz w:val="24"/>
          <w:szCs w:val="24"/>
        </w:rPr>
        <w:t>number of clusters</w:t>
      </w:r>
      <w:r w:rsidR="00D40F29" w:rsidRPr="00A805F0">
        <w:rPr>
          <w:rFonts w:ascii="Times New Roman" w:eastAsiaTheme="minorEastAsia" w:hAnsi="Times New Roman" w:cs="Times New Roman"/>
          <w:sz w:val="24"/>
          <w:szCs w:val="24"/>
        </w:rPr>
        <w:t>, using</w:t>
      </w:r>
      <w:r w:rsidR="004267D6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k-means clustering with 2 </w:t>
      </w:r>
      <w:r w:rsidR="00E60262" w:rsidRPr="00A805F0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4267D6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15 clus</w:t>
      </w:r>
      <w:r w:rsidR="00E60262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ters and selecting the number of clusters based </w:t>
      </w:r>
      <w:r w:rsidR="004267D6" w:rsidRPr="00A805F0">
        <w:rPr>
          <w:rFonts w:ascii="Times New Roman" w:eastAsiaTheme="minorEastAsia" w:hAnsi="Times New Roman" w:cs="Times New Roman"/>
          <w:sz w:val="24"/>
          <w:szCs w:val="24"/>
        </w:rPr>
        <w:t>on the maximum cubic clustering criterion (ccc)</w:t>
      </w:r>
      <w:r w:rsidR="00B76A17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7688E" w:rsidRPr="00A805F0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E31AB1">
        <w:rPr>
          <w:rFonts w:ascii="Times New Roman" w:eastAsiaTheme="minorEastAsia" w:hAnsi="Times New Roman" w:cs="Times New Roman"/>
          <w:sz w:val="24"/>
          <w:szCs w:val="24"/>
        </w:rPr>
        <w:t xml:space="preserve">S3 and S4 </w:t>
      </w:r>
      <w:r w:rsidR="0007688E" w:rsidRPr="00A805F0">
        <w:rPr>
          <w:rFonts w:ascii="Times New Roman" w:eastAsiaTheme="minorEastAsia" w:hAnsi="Times New Roman" w:cs="Times New Roman"/>
          <w:sz w:val="24"/>
          <w:szCs w:val="24"/>
        </w:rPr>
        <w:t>Figs)</w:t>
      </w:r>
      <w:r w:rsidR="004267D6" w:rsidRPr="00A805F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76A17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The scree plots in </w:t>
      </w:r>
      <w:r w:rsidR="00134C38">
        <w:rPr>
          <w:rFonts w:ascii="Times New Roman" w:eastAsiaTheme="minorEastAsia" w:hAnsi="Times New Roman" w:cs="Times New Roman"/>
          <w:sz w:val="24"/>
          <w:szCs w:val="24"/>
        </w:rPr>
        <w:t xml:space="preserve">S3 and S4 </w:t>
      </w:r>
      <w:r w:rsidR="00134C38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Figs </w:t>
      </w:r>
      <w:r w:rsidR="0032612F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indicate that two clusters </w:t>
      </w:r>
      <w:r w:rsidR="005D1D81">
        <w:rPr>
          <w:rFonts w:ascii="Times New Roman" w:eastAsiaTheme="minorEastAsia" w:hAnsi="Times New Roman" w:cs="Times New Roman"/>
          <w:sz w:val="24"/>
          <w:szCs w:val="24"/>
        </w:rPr>
        <w:t>are</w:t>
      </w:r>
      <w:r w:rsidR="0032612F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a better fit than one cluster, since </w:t>
      </w:r>
      <w:r w:rsidR="0007688E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the within groups sum of squares for </w:t>
      </w:r>
      <w:r w:rsidR="00E60262" w:rsidRPr="00A805F0">
        <w:rPr>
          <w:rFonts w:ascii="Times New Roman" w:eastAsiaTheme="minorEastAsia" w:hAnsi="Times New Roman" w:cs="Times New Roman"/>
          <w:sz w:val="24"/>
          <w:szCs w:val="24"/>
        </w:rPr>
        <w:t>two</w:t>
      </w:r>
      <w:r w:rsidR="0007688E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clusters is lower than for </w:t>
      </w:r>
      <w:r w:rsidR="00E60262" w:rsidRPr="00A805F0">
        <w:rPr>
          <w:rFonts w:ascii="Times New Roman" w:eastAsiaTheme="minorEastAsia" w:hAnsi="Times New Roman" w:cs="Times New Roman"/>
          <w:sz w:val="24"/>
          <w:szCs w:val="24"/>
        </w:rPr>
        <w:t>one</w:t>
      </w:r>
      <w:r w:rsidR="0007688E" w:rsidRPr="00A805F0">
        <w:rPr>
          <w:rFonts w:ascii="Times New Roman" w:eastAsiaTheme="minorEastAsia" w:hAnsi="Times New Roman" w:cs="Times New Roman"/>
          <w:sz w:val="24"/>
          <w:szCs w:val="24"/>
        </w:rPr>
        <w:t xml:space="preserve"> cluster</w:t>
      </w:r>
      <w:r w:rsidR="0032612F" w:rsidRPr="00A805F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83936AD" w14:textId="2DA90BD5" w:rsidR="004C3ABD" w:rsidRDefault="004267D6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05F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Statistical measures selected using principal components analysis and associated eigenvalues can be found in </w:t>
      </w:r>
      <w:r w:rsidR="00E43670">
        <w:rPr>
          <w:rFonts w:ascii="Times New Roman" w:eastAsiaTheme="minorEastAsia" w:hAnsi="Times New Roman" w:cs="Times New Roman"/>
          <w:sz w:val="24"/>
          <w:szCs w:val="24"/>
        </w:rPr>
        <w:t xml:space="preserve">S2 </w:t>
      </w:r>
      <w:r w:rsidRPr="00A805F0">
        <w:rPr>
          <w:rFonts w:ascii="Times New Roman" w:eastAsiaTheme="minorEastAsia" w:hAnsi="Times New Roman" w:cs="Times New Roman"/>
          <w:sz w:val="24"/>
          <w:szCs w:val="24"/>
        </w:rPr>
        <w:t xml:space="preserve">Table. </w:t>
      </w:r>
      <w:r w:rsidR="004C3ABD" w:rsidRPr="00A805F0">
        <w:rPr>
          <w:rFonts w:ascii="Times New Roman" w:eastAsiaTheme="minorEastAsia" w:hAnsi="Times New Roman" w:cs="Times New Roman"/>
          <w:sz w:val="24"/>
          <w:szCs w:val="24"/>
        </w:rPr>
        <w:t>Two clusters were found for both 50 day (</w:t>
      </w:r>
      <w:r w:rsidR="00D0314A">
        <w:rPr>
          <w:rFonts w:ascii="Times New Roman" w:eastAsiaTheme="minorEastAsia" w:hAnsi="Times New Roman" w:cs="Times New Roman"/>
          <w:sz w:val="24"/>
          <w:szCs w:val="24"/>
        </w:rPr>
        <w:t xml:space="preserve">S3 </w:t>
      </w:r>
      <w:r w:rsidR="004C3ABD" w:rsidRPr="00A805F0">
        <w:rPr>
          <w:rFonts w:ascii="Times New Roman" w:eastAsiaTheme="minorEastAsia" w:hAnsi="Times New Roman" w:cs="Times New Roman"/>
          <w:sz w:val="24"/>
          <w:szCs w:val="24"/>
        </w:rPr>
        <w:t>Fig) and 100 day (</w:t>
      </w:r>
      <w:r w:rsidR="00D0314A">
        <w:rPr>
          <w:rFonts w:ascii="Times New Roman" w:eastAsiaTheme="minorEastAsia" w:hAnsi="Times New Roman" w:cs="Times New Roman"/>
          <w:sz w:val="24"/>
          <w:szCs w:val="24"/>
        </w:rPr>
        <w:t xml:space="preserve">S4 </w:t>
      </w:r>
      <w:r w:rsidR="004C3ABD" w:rsidRPr="00A805F0">
        <w:rPr>
          <w:rFonts w:ascii="Times New Roman" w:eastAsiaTheme="minorEastAsia" w:hAnsi="Times New Roman" w:cs="Times New Roman"/>
          <w:sz w:val="24"/>
          <w:szCs w:val="24"/>
        </w:rPr>
        <w:t>Fig) trajectories.</w:t>
      </w:r>
    </w:p>
    <w:p w14:paraId="4937AE0A" w14:textId="77777777" w:rsidR="007520F2" w:rsidRDefault="007520F2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996DE1E" w14:textId="439B3977" w:rsidR="00F26F39" w:rsidRPr="00A805F0" w:rsidRDefault="00041281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44F2B">
        <w:rPr>
          <w:rFonts w:ascii="Times New Roman" w:eastAsiaTheme="minorEastAsia" w:hAnsi="Times New Roman" w:cs="Times New Roman"/>
          <w:b/>
          <w:bCs/>
          <w:sz w:val="24"/>
          <w:szCs w:val="24"/>
        </w:rPr>
        <w:t>S2 Table: Statistical measures of trajector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y clusters</w:t>
      </w:r>
      <w:r w:rsidRPr="00444F2B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  <w:r w:rsidRPr="00005603">
        <w:rPr>
          <w:rFonts w:ascii="Times New Roman" w:eastAsiaTheme="minorEastAsia" w:hAnsi="Times New Roman" w:cs="Times New Roman"/>
          <w:sz w:val="24"/>
          <w:szCs w:val="24"/>
        </w:rPr>
        <w:t xml:space="preserve"> Statistical measures selected by factor analysis to describe the 50 and 100 day trajectories by cluster.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53"/>
        <w:gridCol w:w="3263"/>
        <w:gridCol w:w="1350"/>
        <w:gridCol w:w="1647"/>
        <w:gridCol w:w="1980"/>
      </w:tblGrid>
      <w:tr w:rsidR="002C5444" w:rsidRPr="00A805F0" w14:paraId="46A7E444" w14:textId="2129416A" w:rsidTr="002C5444">
        <w:tc>
          <w:tcPr>
            <w:tcW w:w="1260" w:type="dxa"/>
          </w:tcPr>
          <w:p w14:paraId="7BD3E2A3" w14:textId="0703DEBE" w:rsidR="00B91D78" w:rsidRPr="00A805F0" w:rsidRDefault="00B91D7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14:paraId="0AAA7AD5" w14:textId="00ED96F5" w:rsidR="00B91D78" w:rsidRPr="00A805F0" w:rsidRDefault="00B91D78" w:rsidP="00A805F0">
            <w:pPr>
              <w:spacing w:line="48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55" w:type="dxa"/>
          </w:tcPr>
          <w:p w14:paraId="2D38A29C" w14:textId="60AC9C0D" w:rsidR="00B91D78" w:rsidRPr="00A805F0" w:rsidRDefault="00B91D78" w:rsidP="00A805F0">
            <w:pPr>
              <w:spacing w:line="48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Eigenvalue  </w:t>
            </w:r>
          </w:p>
        </w:tc>
        <w:tc>
          <w:tcPr>
            <w:tcW w:w="1664" w:type="dxa"/>
          </w:tcPr>
          <w:p w14:paraId="36260D00" w14:textId="55E36876" w:rsidR="00B91D78" w:rsidRPr="00A805F0" w:rsidRDefault="002C5444" w:rsidP="00A805F0">
            <w:pPr>
              <w:spacing w:line="48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Cluster</w:t>
            </w:r>
            <w:r w:rsidR="00B91D78" w:rsidRPr="00A805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05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1 (‘Stable’) </w:t>
            </w:r>
            <w:r w:rsidR="00B91D78" w:rsidRPr="00A805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median (IQR)</w:t>
            </w:r>
          </w:p>
        </w:tc>
        <w:tc>
          <w:tcPr>
            <w:tcW w:w="1985" w:type="dxa"/>
          </w:tcPr>
          <w:p w14:paraId="46BF5048" w14:textId="01BE8B11" w:rsidR="00B91D78" w:rsidRPr="00A805F0" w:rsidRDefault="00B91D78" w:rsidP="00A805F0">
            <w:pPr>
              <w:spacing w:line="48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Cluster </w:t>
            </w:r>
            <w:r w:rsidR="002C5444" w:rsidRPr="00A805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2 (‘Accelerating’) </w:t>
            </w:r>
            <w:r w:rsidRPr="00A805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median (IQR)</w:t>
            </w:r>
          </w:p>
        </w:tc>
      </w:tr>
      <w:tr w:rsidR="000D1D02" w:rsidRPr="00A805F0" w14:paraId="69D0CA2A" w14:textId="3477ACA7" w:rsidTr="002C5444">
        <w:tc>
          <w:tcPr>
            <w:tcW w:w="9493" w:type="dxa"/>
            <w:gridSpan w:val="5"/>
          </w:tcPr>
          <w:p w14:paraId="6E275BFB" w14:textId="561B7C57" w:rsidR="000D1D02" w:rsidRPr="00A805F0" w:rsidRDefault="000D1D02" w:rsidP="00A805F0">
            <w:pPr>
              <w:spacing w:line="48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50 day trajectory</w:t>
            </w:r>
          </w:p>
        </w:tc>
      </w:tr>
      <w:tr w:rsidR="002C5444" w:rsidRPr="00A805F0" w14:paraId="7B090AFA" w14:textId="770099CD" w:rsidTr="002C5444">
        <w:tc>
          <w:tcPr>
            <w:tcW w:w="1260" w:type="dxa"/>
          </w:tcPr>
          <w:p w14:paraId="09E8A286" w14:textId="5800DC01" w:rsidR="00B91D78" w:rsidRPr="00A805F0" w:rsidRDefault="00B91D7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Measure 1</w:t>
            </w:r>
          </w:p>
        </w:tc>
        <w:tc>
          <w:tcPr>
            <w:tcW w:w="3329" w:type="dxa"/>
          </w:tcPr>
          <w:p w14:paraId="3CAFAC6C" w14:textId="0CEFCA2D" w:rsidR="00B91D78" w:rsidRPr="00A805F0" w:rsidRDefault="00D477F7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Change relative to the mean over time</w:t>
            </w:r>
          </w:p>
        </w:tc>
        <w:tc>
          <w:tcPr>
            <w:tcW w:w="1255" w:type="dxa"/>
          </w:tcPr>
          <w:p w14:paraId="05895FB1" w14:textId="2712E38C" w:rsidR="00B91D78" w:rsidRPr="00A805F0" w:rsidRDefault="00683503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1664" w:type="dxa"/>
          </w:tcPr>
          <w:p w14:paraId="4EB5D4B6" w14:textId="5FE37CA7" w:rsidR="00B91D78" w:rsidRPr="00A805F0" w:rsidRDefault="00683503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2.50 (2.09-2.74)</w:t>
            </w:r>
          </w:p>
        </w:tc>
        <w:tc>
          <w:tcPr>
            <w:tcW w:w="1985" w:type="dxa"/>
          </w:tcPr>
          <w:p w14:paraId="6D1943C8" w14:textId="1A258A78" w:rsidR="00B91D78" w:rsidRPr="00A805F0" w:rsidRDefault="00EE71A0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3.90 (3.51-4.32)</w:t>
            </w:r>
          </w:p>
        </w:tc>
      </w:tr>
      <w:tr w:rsidR="002C5444" w:rsidRPr="00A805F0" w14:paraId="0C8E012E" w14:textId="7D4A48A9" w:rsidTr="002C5444">
        <w:tc>
          <w:tcPr>
            <w:tcW w:w="1260" w:type="dxa"/>
          </w:tcPr>
          <w:p w14:paraId="17DF09E8" w14:textId="00676693" w:rsidR="00B91D78" w:rsidRPr="00A805F0" w:rsidRDefault="00B91D7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Measure 2</w:t>
            </w:r>
          </w:p>
        </w:tc>
        <w:tc>
          <w:tcPr>
            <w:tcW w:w="3329" w:type="dxa"/>
          </w:tcPr>
          <w:p w14:paraId="628BBB8E" w14:textId="712542F5" w:rsidR="00B91D78" w:rsidRPr="00A805F0" w:rsidRDefault="008E1417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Mean of the absolute second differences</w:t>
            </w:r>
          </w:p>
        </w:tc>
        <w:tc>
          <w:tcPr>
            <w:tcW w:w="1255" w:type="dxa"/>
          </w:tcPr>
          <w:p w14:paraId="0A0DAB7F" w14:textId="54F19E51" w:rsidR="00B91D78" w:rsidRPr="00A805F0" w:rsidRDefault="00683503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5.39</w:t>
            </w:r>
          </w:p>
        </w:tc>
        <w:tc>
          <w:tcPr>
            <w:tcW w:w="1664" w:type="dxa"/>
          </w:tcPr>
          <w:p w14:paraId="23670286" w14:textId="576878B5" w:rsidR="00B91D78" w:rsidRPr="00A805F0" w:rsidRDefault="00683503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0.01 (0.00-0.02)</w:t>
            </w:r>
          </w:p>
        </w:tc>
        <w:tc>
          <w:tcPr>
            <w:tcW w:w="1985" w:type="dxa"/>
          </w:tcPr>
          <w:p w14:paraId="25D28916" w14:textId="799F4508" w:rsidR="00B91D78" w:rsidRPr="00A805F0" w:rsidRDefault="00EE71A0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0.02 (0.00-0.08)</w:t>
            </w:r>
          </w:p>
        </w:tc>
      </w:tr>
      <w:tr w:rsidR="002C5444" w:rsidRPr="00A805F0" w14:paraId="2309CB42" w14:textId="18E1D70E" w:rsidTr="002C5444">
        <w:tc>
          <w:tcPr>
            <w:tcW w:w="1260" w:type="dxa"/>
          </w:tcPr>
          <w:p w14:paraId="3A1A4C4F" w14:textId="2FB07B66" w:rsidR="00B91D78" w:rsidRPr="00A805F0" w:rsidRDefault="00B91D7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Measure 3</w:t>
            </w:r>
          </w:p>
        </w:tc>
        <w:tc>
          <w:tcPr>
            <w:tcW w:w="3329" w:type="dxa"/>
          </w:tcPr>
          <w:p w14:paraId="1DEE4C51" w14:textId="26FC375C" w:rsidR="00B91D78" w:rsidRPr="00A805F0" w:rsidRDefault="007C3D41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Ratio of the maximum absolute second difference to mean absolute fi</w:t>
            </w: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br w:type="page"/>
            </w:r>
            <w:r w:rsidR="00F770C0"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rst</w:t>
            </w: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difference</w:t>
            </w:r>
          </w:p>
        </w:tc>
        <w:tc>
          <w:tcPr>
            <w:tcW w:w="1255" w:type="dxa"/>
          </w:tcPr>
          <w:p w14:paraId="72DCAB65" w14:textId="4A700D9B" w:rsidR="00B91D78" w:rsidRPr="00A805F0" w:rsidRDefault="00683503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1664" w:type="dxa"/>
          </w:tcPr>
          <w:p w14:paraId="2C0B72ED" w14:textId="30F75B92" w:rsidR="00B91D78" w:rsidRPr="00A805F0" w:rsidRDefault="00683503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0.19 (0.13-0.25)</w:t>
            </w:r>
          </w:p>
        </w:tc>
        <w:tc>
          <w:tcPr>
            <w:tcW w:w="1985" w:type="dxa"/>
          </w:tcPr>
          <w:p w14:paraId="2B03E132" w14:textId="11D6BC52" w:rsidR="00B91D78" w:rsidRPr="00A805F0" w:rsidRDefault="00EE71A0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0.17 (0.14-0.25)</w:t>
            </w:r>
          </w:p>
        </w:tc>
      </w:tr>
      <w:tr w:rsidR="000D1D02" w:rsidRPr="00A805F0" w14:paraId="4701D53D" w14:textId="4EE2FBFA" w:rsidTr="002C5444">
        <w:tc>
          <w:tcPr>
            <w:tcW w:w="9493" w:type="dxa"/>
            <w:gridSpan w:val="5"/>
          </w:tcPr>
          <w:p w14:paraId="74E9843A" w14:textId="14413377" w:rsidR="000D1D02" w:rsidRPr="00A805F0" w:rsidRDefault="000D1D02" w:rsidP="00A805F0">
            <w:pPr>
              <w:spacing w:line="48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100 day trajectory</w:t>
            </w:r>
          </w:p>
        </w:tc>
      </w:tr>
      <w:tr w:rsidR="002C5444" w:rsidRPr="00A805F0" w14:paraId="2FB74EFA" w14:textId="3D82A02E" w:rsidTr="002C5444">
        <w:tc>
          <w:tcPr>
            <w:tcW w:w="1260" w:type="dxa"/>
          </w:tcPr>
          <w:p w14:paraId="2505AAD7" w14:textId="3263BBC6" w:rsidR="00B91D78" w:rsidRPr="00A805F0" w:rsidRDefault="00B91D7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Measure 1</w:t>
            </w:r>
          </w:p>
        </w:tc>
        <w:tc>
          <w:tcPr>
            <w:tcW w:w="3329" w:type="dxa"/>
          </w:tcPr>
          <w:p w14:paraId="6577C39C" w14:textId="7F9CBE00" w:rsidR="00B91D78" w:rsidRPr="00A805F0" w:rsidRDefault="00D477F7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Change relative to the mean over time</w:t>
            </w:r>
          </w:p>
        </w:tc>
        <w:tc>
          <w:tcPr>
            <w:tcW w:w="1255" w:type="dxa"/>
          </w:tcPr>
          <w:p w14:paraId="5356FC0D" w14:textId="002264B2" w:rsidR="00B91D78" w:rsidRPr="00A805F0" w:rsidRDefault="00514694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7.48</w:t>
            </w:r>
          </w:p>
        </w:tc>
        <w:tc>
          <w:tcPr>
            <w:tcW w:w="1664" w:type="dxa"/>
          </w:tcPr>
          <w:p w14:paraId="5978DF32" w14:textId="5D542D82" w:rsidR="00B91D78" w:rsidRPr="00A805F0" w:rsidRDefault="00B91D7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1.93 (1.69-2.38)</w:t>
            </w:r>
          </w:p>
        </w:tc>
        <w:tc>
          <w:tcPr>
            <w:tcW w:w="1985" w:type="dxa"/>
          </w:tcPr>
          <w:p w14:paraId="5747C8F8" w14:textId="7AD06314" w:rsidR="00B91D78" w:rsidRPr="00A805F0" w:rsidRDefault="00A22A09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4.09 (3.66-4.37)</w:t>
            </w:r>
          </w:p>
        </w:tc>
      </w:tr>
      <w:tr w:rsidR="002C5444" w:rsidRPr="00A805F0" w14:paraId="6F1928BE" w14:textId="77F5BE23" w:rsidTr="002C5444">
        <w:tc>
          <w:tcPr>
            <w:tcW w:w="1260" w:type="dxa"/>
          </w:tcPr>
          <w:p w14:paraId="231A83F0" w14:textId="37277A2A" w:rsidR="00B91D78" w:rsidRPr="00A805F0" w:rsidRDefault="00B91D7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Measure 2</w:t>
            </w:r>
          </w:p>
        </w:tc>
        <w:tc>
          <w:tcPr>
            <w:tcW w:w="3329" w:type="dxa"/>
          </w:tcPr>
          <w:p w14:paraId="4B444FE6" w14:textId="4A66C47D" w:rsidR="00B91D78" w:rsidRPr="00A805F0" w:rsidRDefault="008E1417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Mean of the absolute second differences</w:t>
            </w:r>
          </w:p>
        </w:tc>
        <w:tc>
          <w:tcPr>
            <w:tcW w:w="1255" w:type="dxa"/>
          </w:tcPr>
          <w:p w14:paraId="544E00BA" w14:textId="7AB87F57" w:rsidR="00B91D78" w:rsidRPr="00A805F0" w:rsidRDefault="00514694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664" w:type="dxa"/>
          </w:tcPr>
          <w:p w14:paraId="53E2C8D8" w14:textId="0162B32A" w:rsidR="00B91D78" w:rsidRPr="00A805F0" w:rsidRDefault="00B91D7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0.02 (0.01-0.04)</w:t>
            </w:r>
          </w:p>
        </w:tc>
        <w:tc>
          <w:tcPr>
            <w:tcW w:w="1985" w:type="dxa"/>
          </w:tcPr>
          <w:p w14:paraId="298C4212" w14:textId="01B85CF8" w:rsidR="00B91D78" w:rsidRPr="00A805F0" w:rsidRDefault="00A22A09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0.01 (0.01-0.04)</w:t>
            </w:r>
          </w:p>
        </w:tc>
      </w:tr>
      <w:tr w:rsidR="002C5444" w:rsidRPr="00A805F0" w14:paraId="4ADB9F27" w14:textId="04CF8209" w:rsidTr="002C5444">
        <w:tc>
          <w:tcPr>
            <w:tcW w:w="1260" w:type="dxa"/>
          </w:tcPr>
          <w:p w14:paraId="5CADE67F" w14:textId="008671EE" w:rsidR="00B91D78" w:rsidRPr="00A805F0" w:rsidRDefault="00B91D78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Measure 3</w:t>
            </w:r>
          </w:p>
        </w:tc>
        <w:tc>
          <w:tcPr>
            <w:tcW w:w="3329" w:type="dxa"/>
          </w:tcPr>
          <w:p w14:paraId="16709059" w14:textId="7C5EDFF8" w:rsidR="00B91D78" w:rsidRPr="00A805F0" w:rsidRDefault="00C827BC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Ratio of the mean absolute second difference to the mean absolute fi</w:t>
            </w: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br w:type="page"/>
            </w:r>
            <w:r w:rsidR="00F770C0"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r</w:t>
            </w:r>
            <w:r w:rsidR="00315405"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st</w:t>
            </w: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difference</w:t>
            </w:r>
          </w:p>
        </w:tc>
        <w:tc>
          <w:tcPr>
            <w:tcW w:w="1255" w:type="dxa"/>
          </w:tcPr>
          <w:p w14:paraId="07AB1E44" w14:textId="573FDC8C" w:rsidR="00B91D78" w:rsidRPr="00A805F0" w:rsidRDefault="00514694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664" w:type="dxa"/>
          </w:tcPr>
          <w:p w14:paraId="366167C8" w14:textId="3BB4DD46" w:rsidR="00B91D78" w:rsidRPr="00A805F0" w:rsidRDefault="00514694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0.05 (0.04-0.06)</w:t>
            </w:r>
          </w:p>
        </w:tc>
        <w:tc>
          <w:tcPr>
            <w:tcW w:w="1985" w:type="dxa"/>
          </w:tcPr>
          <w:p w14:paraId="27BC506A" w14:textId="28330233" w:rsidR="00B91D78" w:rsidRPr="00A805F0" w:rsidRDefault="00A22A09" w:rsidP="00A805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5F0">
              <w:rPr>
                <w:rFonts w:ascii="Times New Roman" w:eastAsiaTheme="minorEastAsia" w:hAnsi="Times New Roman" w:cs="Times New Roman"/>
                <w:sz w:val="24"/>
                <w:szCs w:val="24"/>
              </w:rPr>
              <w:t>0.05 (0.03-0.07)</w:t>
            </w:r>
          </w:p>
        </w:tc>
      </w:tr>
    </w:tbl>
    <w:p w14:paraId="01FD39B0" w14:textId="77777777" w:rsidR="007520F2" w:rsidRDefault="007520F2" w:rsidP="00271BE9">
      <w:pPr>
        <w:spacing w:line="48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DE4C83E" w14:textId="17BE7E3A" w:rsidR="00271BE9" w:rsidRDefault="00271BE9" w:rsidP="00271BE9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44F2B">
        <w:rPr>
          <w:rFonts w:ascii="Times New Roman" w:eastAsiaTheme="minorEastAsia" w:hAnsi="Times New Roman" w:cs="Times New Roman"/>
          <w:b/>
          <w:bCs/>
          <w:sz w:val="24"/>
          <w:szCs w:val="24"/>
        </w:rPr>
        <w:t>S3 Figure: Criteria used to determine optimal number of clusters for 50 day trajectories.</w:t>
      </w:r>
      <w:r w:rsidRPr="00005603">
        <w:rPr>
          <w:rFonts w:ascii="Times New Roman" w:eastAsiaTheme="minorEastAsia" w:hAnsi="Times New Roman" w:cs="Times New Roman"/>
          <w:sz w:val="24"/>
          <w:szCs w:val="24"/>
        </w:rPr>
        <w:t xml:space="preserve"> Ccc criteria for 2-15 clusters (left) and within groups sum of squares for 1-15 clusters (right).</w:t>
      </w:r>
    </w:p>
    <w:p w14:paraId="4CE2E23E" w14:textId="77777777" w:rsidR="00271BE9" w:rsidRPr="00005603" w:rsidRDefault="00271BE9" w:rsidP="00271BE9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872C29F" w14:textId="224038BA" w:rsidR="007024B3" w:rsidRPr="00A805F0" w:rsidRDefault="00271BE9" w:rsidP="00A805F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44F2B">
        <w:rPr>
          <w:rFonts w:ascii="Times New Roman" w:eastAsiaTheme="minorEastAsia" w:hAnsi="Times New Roman" w:cs="Times New Roman"/>
          <w:b/>
          <w:bCs/>
          <w:sz w:val="24"/>
          <w:szCs w:val="24"/>
        </w:rPr>
        <w:t>S4 Figure: Criteria used to determine optimal number of clusters for 100 day trajectories.</w:t>
      </w:r>
      <w:r w:rsidRPr="00005603">
        <w:rPr>
          <w:rFonts w:ascii="Times New Roman" w:eastAsiaTheme="minorEastAsia" w:hAnsi="Times New Roman" w:cs="Times New Roman"/>
          <w:sz w:val="24"/>
          <w:szCs w:val="24"/>
        </w:rPr>
        <w:t xml:space="preserve"> Ccc criteria for 2-15 clusters (left) and within groups sum of squares for 1-15 clusters (right).</w:t>
      </w:r>
    </w:p>
    <w:sectPr w:rsidR="007024B3" w:rsidRPr="00A805F0" w:rsidSect="00320AD9">
      <w:footerReference w:type="default" r:id="rId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8282B" w14:textId="77777777" w:rsidR="00CB31AD" w:rsidRDefault="00CB31AD" w:rsidP="00294240">
      <w:pPr>
        <w:spacing w:after="0" w:line="240" w:lineRule="auto"/>
      </w:pPr>
      <w:r>
        <w:separator/>
      </w:r>
    </w:p>
  </w:endnote>
  <w:endnote w:type="continuationSeparator" w:id="0">
    <w:p w14:paraId="6B92006E" w14:textId="77777777" w:rsidR="00CB31AD" w:rsidRDefault="00CB31AD" w:rsidP="0029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2947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C61E6" w14:textId="45D7C66D" w:rsidR="008818D3" w:rsidRDefault="008818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A90630" w14:textId="77777777" w:rsidR="008818D3" w:rsidRDefault="00881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E6BBE" w14:textId="77777777" w:rsidR="00CB31AD" w:rsidRDefault="00CB31AD" w:rsidP="00294240">
      <w:pPr>
        <w:spacing w:after="0" w:line="240" w:lineRule="auto"/>
      </w:pPr>
      <w:r>
        <w:separator/>
      </w:r>
    </w:p>
  </w:footnote>
  <w:footnote w:type="continuationSeparator" w:id="0">
    <w:p w14:paraId="56E7AA85" w14:textId="77777777" w:rsidR="00CB31AD" w:rsidRDefault="00CB31AD" w:rsidP="00294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A291F"/>
    <w:multiLevelType w:val="hybridMultilevel"/>
    <w:tmpl w:val="A54CDD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7E"/>
    <w:rsid w:val="00000DAD"/>
    <w:rsid w:val="00011187"/>
    <w:rsid w:val="00041281"/>
    <w:rsid w:val="00056B59"/>
    <w:rsid w:val="000657D6"/>
    <w:rsid w:val="0007688E"/>
    <w:rsid w:val="00077BA5"/>
    <w:rsid w:val="0009337B"/>
    <w:rsid w:val="000B0DBA"/>
    <w:rsid w:val="000B6B9E"/>
    <w:rsid w:val="000B7CB6"/>
    <w:rsid w:val="000C22B4"/>
    <w:rsid w:val="000C624B"/>
    <w:rsid w:val="000C6C46"/>
    <w:rsid w:val="000D1D02"/>
    <w:rsid w:val="000D7609"/>
    <w:rsid w:val="000F059C"/>
    <w:rsid w:val="000F0D1D"/>
    <w:rsid w:val="000F58F5"/>
    <w:rsid w:val="00100D6C"/>
    <w:rsid w:val="00112C51"/>
    <w:rsid w:val="00126E27"/>
    <w:rsid w:val="00127D35"/>
    <w:rsid w:val="00132451"/>
    <w:rsid w:val="00134C38"/>
    <w:rsid w:val="00155258"/>
    <w:rsid w:val="00162AFB"/>
    <w:rsid w:val="00164AC1"/>
    <w:rsid w:val="00185AF6"/>
    <w:rsid w:val="00185FD0"/>
    <w:rsid w:val="001D742F"/>
    <w:rsid w:val="001E1109"/>
    <w:rsid w:val="001F1AFB"/>
    <w:rsid w:val="001F4A82"/>
    <w:rsid w:val="001F6CBA"/>
    <w:rsid w:val="00226989"/>
    <w:rsid w:val="00236B2F"/>
    <w:rsid w:val="0023766B"/>
    <w:rsid w:val="00240EF8"/>
    <w:rsid w:val="002516CA"/>
    <w:rsid w:val="00256A18"/>
    <w:rsid w:val="00265BF5"/>
    <w:rsid w:val="00267BF2"/>
    <w:rsid w:val="00271BE9"/>
    <w:rsid w:val="00271F27"/>
    <w:rsid w:val="00273B7E"/>
    <w:rsid w:val="00284C20"/>
    <w:rsid w:val="00290375"/>
    <w:rsid w:val="00291733"/>
    <w:rsid w:val="00291784"/>
    <w:rsid w:val="00294240"/>
    <w:rsid w:val="002957DC"/>
    <w:rsid w:val="00297A25"/>
    <w:rsid w:val="002B0215"/>
    <w:rsid w:val="002B1FF5"/>
    <w:rsid w:val="002C5444"/>
    <w:rsid w:val="002C56EE"/>
    <w:rsid w:val="002D7979"/>
    <w:rsid w:val="002E19D4"/>
    <w:rsid w:val="002F1AC2"/>
    <w:rsid w:val="002F415F"/>
    <w:rsid w:val="002F57E1"/>
    <w:rsid w:val="00306EBE"/>
    <w:rsid w:val="00310DCF"/>
    <w:rsid w:val="00314FBF"/>
    <w:rsid w:val="00315405"/>
    <w:rsid w:val="00320AD9"/>
    <w:rsid w:val="00321169"/>
    <w:rsid w:val="003216FE"/>
    <w:rsid w:val="0032612F"/>
    <w:rsid w:val="00326DD6"/>
    <w:rsid w:val="00330182"/>
    <w:rsid w:val="00334E36"/>
    <w:rsid w:val="00335417"/>
    <w:rsid w:val="00344695"/>
    <w:rsid w:val="00347093"/>
    <w:rsid w:val="00357D65"/>
    <w:rsid w:val="00370BF7"/>
    <w:rsid w:val="00373DD8"/>
    <w:rsid w:val="003777E5"/>
    <w:rsid w:val="003808A7"/>
    <w:rsid w:val="0038656B"/>
    <w:rsid w:val="003903DF"/>
    <w:rsid w:val="003945A7"/>
    <w:rsid w:val="003974CC"/>
    <w:rsid w:val="003975D3"/>
    <w:rsid w:val="00397E57"/>
    <w:rsid w:val="003A1E88"/>
    <w:rsid w:val="003A2690"/>
    <w:rsid w:val="003A73F4"/>
    <w:rsid w:val="003D342A"/>
    <w:rsid w:val="003D38C2"/>
    <w:rsid w:val="003E1502"/>
    <w:rsid w:val="003E618B"/>
    <w:rsid w:val="003F5692"/>
    <w:rsid w:val="003F69C6"/>
    <w:rsid w:val="0040143F"/>
    <w:rsid w:val="00410CF5"/>
    <w:rsid w:val="00412D12"/>
    <w:rsid w:val="00422FA0"/>
    <w:rsid w:val="00424ECC"/>
    <w:rsid w:val="004267D6"/>
    <w:rsid w:val="0043249E"/>
    <w:rsid w:val="0043457A"/>
    <w:rsid w:val="0044253C"/>
    <w:rsid w:val="00442D6A"/>
    <w:rsid w:val="004604E8"/>
    <w:rsid w:val="00461BE3"/>
    <w:rsid w:val="004622CF"/>
    <w:rsid w:val="004869EE"/>
    <w:rsid w:val="00490F46"/>
    <w:rsid w:val="0049379C"/>
    <w:rsid w:val="004938CD"/>
    <w:rsid w:val="00493C50"/>
    <w:rsid w:val="0049473B"/>
    <w:rsid w:val="004A2354"/>
    <w:rsid w:val="004B4077"/>
    <w:rsid w:val="004C3ABD"/>
    <w:rsid w:val="004C6A67"/>
    <w:rsid w:val="004E6E0F"/>
    <w:rsid w:val="004F5D74"/>
    <w:rsid w:val="0050623E"/>
    <w:rsid w:val="00514694"/>
    <w:rsid w:val="00532EA7"/>
    <w:rsid w:val="005352CE"/>
    <w:rsid w:val="00561F08"/>
    <w:rsid w:val="005665AD"/>
    <w:rsid w:val="005675F0"/>
    <w:rsid w:val="00571A60"/>
    <w:rsid w:val="00571FBA"/>
    <w:rsid w:val="00574B40"/>
    <w:rsid w:val="00595FC8"/>
    <w:rsid w:val="005B2168"/>
    <w:rsid w:val="005C6011"/>
    <w:rsid w:val="005D1D81"/>
    <w:rsid w:val="005F0B72"/>
    <w:rsid w:val="005F2F9D"/>
    <w:rsid w:val="006024BF"/>
    <w:rsid w:val="0060573E"/>
    <w:rsid w:val="00615795"/>
    <w:rsid w:val="00630F96"/>
    <w:rsid w:val="0067348B"/>
    <w:rsid w:val="00683503"/>
    <w:rsid w:val="00697A88"/>
    <w:rsid w:val="006A34A8"/>
    <w:rsid w:val="006A39B8"/>
    <w:rsid w:val="006A78F5"/>
    <w:rsid w:val="006B18BB"/>
    <w:rsid w:val="006B1AA4"/>
    <w:rsid w:val="006B3D2E"/>
    <w:rsid w:val="006B7D54"/>
    <w:rsid w:val="006D3C60"/>
    <w:rsid w:val="006E579F"/>
    <w:rsid w:val="006E5FDC"/>
    <w:rsid w:val="006F0E8D"/>
    <w:rsid w:val="006F4DF2"/>
    <w:rsid w:val="007024B3"/>
    <w:rsid w:val="0070749C"/>
    <w:rsid w:val="00710636"/>
    <w:rsid w:val="007106E6"/>
    <w:rsid w:val="00713E0A"/>
    <w:rsid w:val="00714D18"/>
    <w:rsid w:val="00733272"/>
    <w:rsid w:val="00743B95"/>
    <w:rsid w:val="007520F2"/>
    <w:rsid w:val="0075381B"/>
    <w:rsid w:val="00760563"/>
    <w:rsid w:val="0077055D"/>
    <w:rsid w:val="00780C1C"/>
    <w:rsid w:val="007B154C"/>
    <w:rsid w:val="007B7A8D"/>
    <w:rsid w:val="007C3D41"/>
    <w:rsid w:val="007D2CCF"/>
    <w:rsid w:val="007D3469"/>
    <w:rsid w:val="0080340D"/>
    <w:rsid w:val="008116D3"/>
    <w:rsid w:val="00811D06"/>
    <w:rsid w:val="008200ED"/>
    <w:rsid w:val="00851095"/>
    <w:rsid w:val="0085342C"/>
    <w:rsid w:val="00861808"/>
    <w:rsid w:val="00861E9A"/>
    <w:rsid w:val="00862AA3"/>
    <w:rsid w:val="0086646B"/>
    <w:rsid w:val="008665A8"/>
    <w:rsid w:val="00881679"/>
    <w:rsid w:val="008818D3"/>
    <w:rsid w:val="0088474E"/>
    <w:rsid w:val="00892B84"/>
    <w:rsid w:val="008A4F47"/>
    <w:rsid w:val="008B67DE"/>
    <w:rsid w:val="008B72BF"/>
    <w:rsid w:val="008C01C8"/>
    <w:rsid w:val="008C513F"/>
    <w:rsid w:val="008C621A"/>
    <w:rsid w:val="008D1229"/>
    <w:rsid w:val="008D309A"/>
    <w:rsid w:val="008D3B74"/>
    <w:rsid w:val="008D72F6"/>
    <w:rsid w:val="008E1417"/>
    <w:rsid w:val="008E6821"/>
    <w:rsid w:val="008F48FA"/>
    <w:rsid w:val="008F51D4"/>
    <w:rsid w:val="00901B7B"/>
    <w:rsid w:val="00903756"/>
    <w:rsid w:val="00905B54"/>
    <w:rsid w:val="00915161"/>
    <w:rsid w:val="00915D7E"/>
    <w:rsid w:val="009174D5"/>
    <w:rsid w:val="00921105"/>
    <w:rsid w:val="0094401A"/>
    <w:rsid w:val="0094758B"/>
    <w:rsid w:val="009535A6"/>
    <w:rsid w:val="009705C3"/>
    <w:rsid w:val="00971EC1"/>
    <w:rsid w:val="00973CF5"/>
    <w:rsid w:val="00975664"/>
    <w:rsid w:val="00976B00"/>
    <w:rsid w:val="00977823"/>
    <w:rsid w:val="009842E6"/>
    <w:rsid w:val="00994440"/>
    <w:rsid w:val="009949F5"/>
    <w:rsid w:val="00994B8B"/>
    <w:rsid w:val="009A1D86"/>
    <w:rsid w:val="009A5FD9"/>
    <w:rsid w:val="009A662F"/>
    <w:rsid w:val="009A723E"/>
    <w:rsid w:val="009B10DD"/>
    <w:rsid w:val="009B3AEA"/>
    <w:rsid w:val="009C1900"/>
    <w:rsid w:val="009C55B5"/>
    <w:rsid w:val="009C6BFF"/>
    <w:rsid w:val="009E6B92"/>
    <w:rsid w:val="009F2D9D"/>
    <w:rsid w:val="009F675B"/>
    <w:rsid w:val="00A065BF"/>
    <w:rsid w:val="00A06D6E"/>
    <w:rsid w:val="00A2259F"/>
    <w:rsid w:val="00A22A09"/>
    <w:rsid w:val="00A3778D"/>
    <w:rsid w:val="00A43800"/>
    <w:rsid w:val="00A6216C"/>
    <w:rsid w:val="00A6404F"/>
    <w:rsid w:val="00A65793"/>
    <w:rsid w:val="00A805F0"/>
    <w:rsid w:val="00A83587"/>
    <w:rsid w:val="00AA09D4"/>
    <w:rsid w:val="00AA337C"/>
    <w:rsid w:val="00AA54C7"/>
    <w:rsid w:val="00AC6028"/>
    <w:rsid w:val="00AE66C9"/>
    <w:rsid w:val="00AF3612"/>
    <w:rsid w:val="00B045E8"/>
    <w:rsid w:val="00B06B82"/>
    <w:rsid w:val="00B13063"/>
    <w:rsid w:val="00B14E55"/>
    <w:rsid w:val="00B22EE3"/>
    <w:rsid w:val="00B33A3E"/>
    <w:rsid w:val="00B35E47"/>
    <w:rsid w:val="00B409EB"/>
    <w:rsid w:val="00B4116B"/>
    <w:rsid w:val="00B45188"/>
    <w:rsid w:val="00B4589D"/>
    <w:rsid w:val="00B55974"/>
    <w:rsid w:val="00B63B52"/>
    <w:rsid w:val="00B63C82"/>
    <w:rsid w:val="00B66144"/>
    <w:rsid w:val="00B708D9"/>
    <w:rsid w:val="00B70962"/>
    <w:rsid w:val="00B72240"/>
    <w:rsid w:val="00B76A17"/>
    <w:rsid w:val="00B91D78"/>
    <w:rsid w:val="00BB2A4C"/>
    <w:rsid w:val="00BB3AAE"/>
    <w:rsid w:val="00BC2A5E"/>
    <w:rsid w:val="00BC577D"/>
    <w:rsid w:val="00BD1833"/>
    <w:rsid w:val="00BE4940"/>
    <w:rsid w:val="00BE49AC"/>
    <w:rsid w:val="00BF7BA9"/>
    <w:rsid w:val="00C02E61"/>
    <w:rsid w:val="00C10E86"/>
    <w:rsid w:val="00C1529A"/>
    <w:rsid w:val="00C20E79"/>
    <w:rsid w:val="00C22AB5"/>
    <w:rsid w:val="00C24CF6"/>
    <w:rsid w:val="00C36C74"/>
    <w:rsid w:val="00C439DB"/>
    <w:rsid w:val="00C53C6F"/>
    <w:rsid w:val="00C5438F"/>
    <w:rsid w:val="00C57041"/>
    <w:rsid w:val="00C8092C"/>
    <w:rsid w:val="00C81BFF"/>
    <w:rsid w:val="00C827BC"/>
    <w:rsid w:val="00C842EB"/>
    <w:rsid w:val="00C86AA9"/>
    <w:rsid w:val="00CB31AD"/>
    <w:rsid w:val="00CC011C"/>
    <w:rsid w:val="00CC5931"/>
    <w:rsid w:val="00CF71D0"/>
    <w:rsid w:val="00D0314A"/>
    <w:rsid w:val="00D201C3"/>
    <w:rsid w:val="00D20DB4"/>
    <w:rsid w:val="00D30402"/>
    <w:rsid w:val="00D32838"/>
    <w:rsid w:val="00D40F29"/>
    <w:rsid w:val="00D448A6"/>
    <w:rsid w:val="00D455C9"/>
    <w:rsid w:val="00D477F7"/>
    <w:rsid w:val="00D52D2C"/>
    <w:rsid w:val="00D550B2"/>
    <w:rsid w:val="00D60AF8"/>
    <w:rsid w:val="00D64BFE"/>
    <w:rsid w:val="00D71059"/>
    <w:rsid w:val="00D847A7"/>
    <w:rsid w:val="00D8735E"/>
    <w:rsid w:val="00D937DE"/>
    <w:rsid w:val="00D96985"/>
    <w:rsid w:val="00D97E00"/>
    <w:rsid w:val="00DA2D6E"/>
    <w:rsid w:val="00DB17E7"/>
    <w:rsid w:val="00DB25C5"/>
    <w:rsid w:val="00DB3254"/>
    <w:rsid w:val="00DC301F"/>
    <w:rsid w:val="00DC7AEE"/>
    <w:rsid w:val="00DD3E69"/>
    <w:rsid w:val="00DD4B24"/>
    <w:rsid w:val="00DE77CE"/>
    <w:rsid w:val="00DF44A7"/>
    <w:rsid w:val="00E10F9C"/>
    <w:rsid w:val="00E1138F"/>
    <w:rsid w:val="00E129D5"/>
    <w:rsid w:val="00E200B5"/>
    <w:rsid w:val="00E31AB1"/>
    <w:rsid w:val="00E34672"/>
    <w:rsid w:val="00E36A6A"/>
    <w:rsid w:val="00E4324D"/>
    <w:rsid w:val="00E43670"/>
    <w:rsid w:val="00E60262"/>
    <w:rsid w:val="00E61692"/>
    <w:rsid w:val="00E679EF"/>
    <w:rsid w:val="00E7163C"/>
    <w:rsid w:val="00E84351"/>
    <w:rsid w:val="00E86A3D"/>
    <w:rsid w:val="00E94839"/>
    <w:rsid w:val="00E969FD"/>
    <w:rsid w:val="00EA40B3"/>
    <w:rsid w:val="00EC20DC"/>
    <w:rsid w:val="00EE71A0"/>
    <w:rsid w:val="00EF1C3B"/>
    <w:rsid w:val="00EF409A"/>
    <w:rsid w:val="00F05966"/>
    <w:rsid w:val="00F10185"/>
    <w:rsid w:val="00F10432"/>
    <w:rsid w:val="00F1211A"/>
    <w:rsid w:val="00F20951"/>
    <w:rsid w:val="00F22DFE"/>
    <w:rsid w:val="00F26F39"/>
    <w:rsid w:val="00F42CF4"/>
    <w:rsid w:val="00F445D6"/>
    <w:rsid w:val="00F51D3E"/>
    <w:rsid w:val="00F600FA"/>
    <w:rsid w:val="00F63C07"/>
    <w:rsid w:val="00F6738D"/>
    <w:rsid w:val="00F731F2"/>
    <w:rsid w:val="00F76679"/>
    <w:rsid w:val="00F770C0"/>
    <w:rsid w:val="00F771D4"/>
    <w:rsid w:val="00F83F89"/>
    <w:rsid w:val="00FA19A3"/>
    <w:rsid w:val="00FC765D"/>
    <w:rsid w:val="00FD0945"/>
    <w:rsid w:val="00FE037E"/>
    <w:rsid w:val="00FE5E49"/>
    <w:rsid w:val="00FE6419"/>
    <w:rsid w:val="00FF1751"/>
    <w:rsid w:val="00FF248E"/>
    <w:rsid w:val="00FF4BDE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BDFE"/>
  <w15:chartTrackingRefBased/>
  <w15:docId w15:val="{76D2C3A3-136E-40A7-B793-C4CFC7C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01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1C8"/>
    <w:rPr>
      <w:color w:val="0563C1" w:themeColor="hyperlink"/>
      <w:u w:val="single"/>
    </w:rPr>
  </w:style>
  <w:style w:type="character" w:customStyle="1" w:styleId="refseries">
    <w:name w:val="ref__series"/>
    <w:basedOn w:val="DefaultParagraphFont"/>
    <w:rsid w:val="008C01C8"/>
  </w:style>
  <w:style w:type="character" w:customStyle="1" w:styleId="refseriesdate">
    <w:name w:val="ref__seriesdate"/>
    <w:basedOn w:val="DefaultParagraphFont"/>
    <w:rsid w:val="008C01C8"/>
  </w:style>
  <w:style w:type="character" w:customStyle="1" w:styleId="info">
    <w:name w:val="info"/>
    <w:basedOn w:val="DefaultParagraphFont"/>
    <w:rsid w:val="008C01C8"/>
  </w:style>
  <w:style w:type="character" w:customStyle="1" w:styleId="article-headerdoi">
    <w:name w:val="article-header__doi"/>
    <w:basedOn w:val="DefaultParagraphFont"/>
    <w:rsid w:val="008C01C8"/>
  </w:style>
  <w:style w:type="character" w:customStyle="1" w:styleId="article-headerdoilabel">
    <w:name w:val="article-header__doi__label"/>
    <w:basedOn w:val="DefaultParagraphFont"/>
    <w:rsid w:val="008C01C8"/>
  </w:style>
  <w:style w:type="paragraph" w:styleId="Header">
    <w:name w:val="header"/>
    <w:basedOn w:val="Normal"/>
    <w:link w:val="HeaderChar"/>
    <w:uiPriority w:val="99"/>
    <w:unhideWhenUsed/>
    <w:rsid w:val="00294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240"/>
  </w:style>
  <w:style w:type="paragraph" w:styleId="Footer">
    <w:name w:val="footer"/>
    <w:basedOn w:val="Normal"/>
    <w:link w:val="FooterChar"/>
    <w:uiPriority w:val="99"/>
    <w:unhideWhenUsed/>
    <w:rsid w:val="00294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240"/>
  </w:style>
  <w:style w:type="character" w:styleId="PlaceholderText">
    <w:name w:val="Placeholder Text"/>
    <w:basedOn w:val="DefaultParagraphFont"/>
    <w:uiPriority w:val="99"/>
    <w:semiHidden/>
    <w:rsid w:val="008A4F47"/>
    <w:rPr>
      <w:color w:val="808080"/>
    </w:rPr>
  </w:style>
  <w:style w:type="table" w:styleId="TableGrid">
    <w:name w:val="Table Grid"/>
    <w:basedOn w:val="TableNormal"/>
    <w:uiPriority w:val="39"/>
    <w:rsid w:val="0070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5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FD9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2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5D356-D3B6-49E3-AA40-B6CC2B9E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8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Kelly</dc:creator>
  <cp:keywords/>
  <dc:description/>
  <cp:lastModifiedBy>Lan Kelly</cp:lastModifiedBy>
  <cp:revision>215</cp:revision>
  <dcterms:created xsi:type="dcterms:W3CDTF">2020-07-20T07:33:00Z</dcterms:created>
  <dcterms:modified xsi:type="dcterms:W3CDTF">2020-08-06T05:04:00Z</dcterms:modified>
</cp:coreProperties>
</file>