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36" w:rsidRDefault="00203836" w:rsidP="00203836">
      <w:pPr>
        <w:pStyle w:val="Heading1"/>
        <w:spacing w:line="360" w:lineRule="auto"/>
        <w:rPr>
          <w:rFonts w:ascii="Times New Roman" w:hAnsi="Times New Roman" w:cs="Times New Roman"/>
        </w:rPr>
      </w:pPr>
      <w:r>
        <w:rPr>
          <w:rFonts w:ascii="Times New Roman" w:hAnsi="Times New Roman" w:cs="Times New Roman"/>
        </w:rPr>
        <w:t xml:space="preserve">Supplementary Material </w:t>
      </w:r>
    </w:p>
    <w:p w:rsidR="00203836" w:rsidRPr="009B3D17" w:rsidRDefault="00203836" w:rsidP="00203836">
      <w:pPr>
        <w:pStyle w:val="Heading1"/>
        <w:spacing w:line="360" w:lineRule="auto"/>
        <w:rPr>
          <w:rFonts w:ascii="Times New Roman" w:hAnsi="Times New Roman" w:cs="Times New Roman"/>
        </w:rPr>
      </w:pPr>
      <w:r w:rsidRPr="009B3D17">
        <w:rPr>
          <w:rFonts w:ascii="Times New Roman" w:hAnsi="Times New Roman" w:cs="Times New Roman"/>
        </w:rPr>
        <w:t>Methods</w:t>
      </w:r>
    </w:p>
    <w:p w:rsidR="00203836" w:rsidRPr="009B3D17" w:rsidRDefault="00203836" w:rsidP="00203836">
      <w:pPr>
        <w:pStyle w:val="Heading2"/>
        <w:spacing w:line="360" w:lineRule="auto"/>
        <w:rPr>
          <w:rFonts w:ascii="Times New Roman" w:hAnsi="Times New Roman" w:cs="Times New Roman"/>
        </w:rPr>
      </w:pPr>
      <w:r w:rsidRPr="009B3D17">
        <w:rPr>
          <w:rFonts w:ascii="Times New Roman" w:hAnsi="Times New Roman" w:cs="Times New Roman"/>
        </w:rPr>
        <w:t>Participants</w:t>
      </w:r>
    </w:p>
    <w:p w:rsidR="00203836" w:rsidRPr="003B47FF" w:rsidRDefault="00203836" w:rsidP="00203836">
      <w:pPr>
        <w:spacing w:line="360" w:lineRule="auto"/>
        <w:jc w:val="both"/>
        <w:rPr>
          <w:rFonts w:ascii="Times New Roman" w:hAnsi="Times New Roman" w:cs="Times New Roman"/>
          <w:sz w:val="24"/>
          <w:szCs w:val="24"/>
        </w:rPr>
      </w:pPr>
      <w:r w:rsidRPr="00667F97">
        <w:rPr>
          <w:rFonts w:ascii="Times New Roman" w:hAnsi="Times New Roman" w:cs="Times New Roman"/>
          <w:sz w:val="24"/>
          <w:szCs w:val="24"/>
        </w:rPr>
        <w:t>Data were drawn from two sources. For data during the COVID-19 pandemic, we used data from the UCL COVID-19 Social Study; a large panel study of the psychological and social experiences of over 50,000 adults (aged 18+) in the UK during the COVID-19 pandemic. The study commenced on 21</w:t>
      </w:r>
      <w:r w:rsidRPr="00667F97">
        <w:rPr>
          <w:rFonts w:ascii="Times New Roman" w:hAnsi="Times New Roman" w:cs="Times New Roman"/>
          <w:sz w:val="24"/>
          <w:szCs w:val="24"/>
          <w:vertAlign w:val="superscript"/>
        </w:rPr>
        <w:t>st</w:t>
      </w:r>
      <w:r w:rsidRPr="00667F97">
        <w:rPr>
          <w:rFonts w:ascii="Times New Roman" w:hAnsi="Times New Roman" w:cs="Times New Roman"/>
          <w:sz w:val="24"/>
          <w:szCs w:val="24"/>
        </w:rPr>
        <w:t xml:space="preserve"> March 2020 involving online weekly data collection from participants for the duration of the COVID-19 pandemic in the UK. Whilst not random, the study has a well-stratified sample that was recruited using three primary approaches. First, snowballing was used, including promoting the study through existing networks and mailing lists (including large databases of adults who had previously consented to be involved in health research across the UK), print and digital media coverage, and social media. Second, more targeted recruitment was undertaken focusing on (i) individuals from a low-income background, (ii) individuals with no or few educational qualifications, and (iii) individuals who were unemployed. Third, </w:t>
      </w:r>
      <w:r w:rsidRPr="003B47FF">
        <w:rPr>
          <w:rFonts w:ascii="Times New Roman" w:hAnsi="Times New Roman" w:cs="Times New Roman"/>
          <w:sz w:val="24"/>
          <w:szCs w:val="24"/>
        </w:rPr>
        <w:t>the study was promoted via partnerships with third sector organisations to vulnerable groups, including adults with pre-existing mental illness, older adults, and carers. The study was approved by the UCL Research Ethics Committee [12467/005] and all participants gave informed consent. In this study, we focused on participants who had a baseline response between 21</w:t>
      </w:r>
      <w:r w:rsidRPr="003B47FF">
        <w:rPr>
          <w:rFonts w:ascii="Times New Roman" w:hAnsi="Times New Roman" w:cs="Times New Roman"/>
          <w:sz w:val="24"/>
          <w:szCs w:val="24"/>
          <w:vertAlign w:val="superscript"/>
        </w:rPr>
        <w:t>st</w:t>
      </w:r>
      <w:r w:rsidRPr="003B47FF">
        <w:rPr>
          <w:rFonts w:ascii="Times New Roman" w:hAnsi="Times New Roman" w:cs="Times New Roman"/>
          <w:sz w:val="24"/>
          <w:szCs w:val="24"/>
        </w:rPr>
        <w:t xml:space="preserve"> March and </w:t>
      </w:r>
      <w:proofErr w:type="gramStart"/>
      <w:r w:rsidRPr="003B47FF">
        <w:rPr>
          <w:rFonts w:ascii="Times New Roman" w:hAnsi="Times New Roman" w:cs="Times New Roman"/>
          <w:sz w:val="24"/>
          <w:szCs w:val="24"/>
        </w:rPr>
        <w:t>10</w:t>
      </w:r>
      <w:r w:rsidRPr="003B47FF">
        <w:rPr>
          <w:rFonts w:ascii="Times New Roman" w:hAnsi="Times New Roman" w:cs="Times New Roman"/>
          <w:sz w:val="24"/>
          <w:szCs w:val="24"/>
          <w:vertAlign w:val="superscript"/>
        </w:rPr>
        <w:t>th</w:t>
      </w:r>
      <w:r w:rsidRPr="003B47FF">
        <w:rPr>
          <w:rFonts w:ascii="Times New Roman" w:hAnsi="Times New Roman" w:cs="Times New Roman"/>
          <w:sz w:val="24"/>
          <w:szCs w:val="24"/>
        </w:rPr>
        <w:t xml:space="preserve">  May</w:t>
      </w:r>
      <w:proofErr w:type="gramEnd"/>
      <w:r w:rsidRPr="003B47FF">
        <w:rPr>
          <w:rFonts w:ascii="Times New Roman" w:hAnsi="Times New Roman" w:cs="Times New Roman"/>
          <w:sz w:val="24"/>
          <w:szCs w:val="24"/>
        </w:rPr>
        <w:t xml:space="preserve"> 2020. This provided us with data from 67,142 participants. Of these, 10% participants withheld data on socio-demographic factors including gender and income so were excluded, providing a final analytic sample size of 60,341.</w:t>
      </w:r>
    </w:p>
    <w:p w:rsidR="00203836" w:rsidRPr="00FB0156" w:rsidRDefault="00203836" w:rsidP="00203836">
      <w:pPr>
        <w:spacing w:line="360" w:lineRule="auto"/>
        <w:jc w:val="both"/>
        <w:rPr>
          <w:rFonts w:ascii="Times New Roman" w:hAnsi="Times New Roman" w:cs="Times New Roman"/>
          <w:sz w:val="24"/>
          <w:szCs w:val="24"/>
        </w:rPr>
      </w:pPr>
      <w:r w:rsidRPr="003B47FF">
        <w:rPr>
          <w:rFonts w:ascii="Times New Roman" w:hAnsi="Times New Roman" w:cs="Times New Roman"/>
          <w:sz w:val="24"/>
          <w:szCs w:val="24"/>
        </w:rPr>
        <w:t>For data collected prior to the pandemic, we used Understanding Society: the UK Household Longitudinal Study (UKHLS), a nationally representative household panel study of the UK population (2009-2019). Our analyses used the most recent wave of UKHLS (wave 9)</w:t>
      </w:r>
      <w:r w:rsidRPr="00FB0156">
        <w:rPr>
          <w:rFonts w:ascii="Times New Roman" w:hAnsi="Times New Roman" w:cs="Times New Roman"/>
          <w:sz w:val="24"/>
          <w:szCs w:val="24"/>
        </w:rPr>
        <w:t xml:space="preserve"> where the loneliness measures were introduced.  The wave 9 data were collected between January, 2017 and June, 2019. To be consistent with the UCL Covid-19 Social Study, we restricted participants to those aged 18+, leaving us a total sample size of 34,976 participants. Further, we excluded those who had missing value in loneliness or any of the covariates (11%). This provided a final sample size of 31,064. </w:t>
      </w:r>
    </w:p>
    <w:p w:rsidR="00203836" w:rsidRPr="009B3D17" w:rsidRDefault="00203836" w:rsidP="00203836">
      <w:pPr>
        <w:pStyle w:val="Heading2"/>
        <w:spacing w:line="360" w:lineRule="auto"/>
        <w:rPr>
          <w:rFonts w:ascii="Times New Roman" w:hAnsi="Times New Roman" w:cs="Times New Roman"/>
        </w:rPr>
      </w:pPr>
      <w:r w:rsidRPr="009B3D17">
        <w:rPr>
          <w:rFonts w:ascii="Times New Roman" w:hAnsi="Times New Roman" w:cs="Times New Roman"/>
        </w:rPr>
        <w:t>Measures</w:t>
      </w:r>
    </w:p>
    <w:p w:rsidR="00203836" w:rsidRPr="00FB0156" w:rsidRDefault="00203836" w:rsidP="00203836">
      <w:pPr>
        <w:spacing w:line="360" w:lineRule="auto"/>
        <w:jc w:val="both"/>
        <w:rPr>
          <w:rFonts w:ascii="Times New Roman" w:hAnsi="Times New Roman" w:cs="Times New Roman"/>
          <w:sz w:val="24"/>
          <w:szCs w:val="24"/>
        </w:rPr>
      </w:pPr>
      <w:r w:rsidRPr="00FB0156">
        <w:rPr>
          <w:rFonts w:ascii="Times New Roman" w:hAnsi="Times New Roman" w:cs="Times New Roman"/>
          <w:sz w:val="24"/>
          <w:szCs w:val="24"/>
        </w:rPr>
        <w:t>In both datasets, loneliness was measured using the three-item U</w:t>
      </w:r>
      <w:r>
        <w:rPr>
          <w:rFonts w:ascii="Times New Roman" w:hAnsi="Times New Roman" w:cs="Times New Roman"/>
          <w:sz w:val="24"/>
          <w:szCs w:val="24"/>
        </w:rPr>
        <w:t>CLA loneliness scale (UCLA-3).</w:t>
      </w:r>
      <w:r w:rsidRPr="00FB0156">
        <w:rPr>
          <w:rFonts w:ascii="Times New Roman" w:hAnsi="Times New Roman" w:cs="Times New Roman"/>
          <w:sz w:val="24"/>
          <w:szCs w:val="24"/>
        </w:rPr>
        <w:t xml:space="preserve"> The questions include: 1) how often do you feel lack companionship? 2) </w:t>
      </w:r>
      <w:proofErr w:type="gramStart"/>
      <w:r w:rsidRPr="00FB0156">
        <w:rPr>
          <w:rFonts w:ascii="Times New Roman" w:hAnsi="Times New Roman" w:cs="Times New Roman"/>
          <w:sz w:val="24"/>
          <w:szCs w:val="24"/>
        </w:rPr>
        <w:t>how</w:t>
      </w:r>
      <w:proofErr w:type="gramEnd"/>
      <w:r w:rsidRPr="00FB0156">
        <w:rPr>
          <w:rFonts w:ascii="Times New Roman" w:hAnsi="Times New Roman" w:cs="Times New Roman"/>
          <w:sz w:val="24"/>
          <w:szCs w:val="24"/>
        </w:rPr>
        <w:t xml:space="preserve"> often do you feel isolated from others? 3) </w:t>
      </w:r>
      <w:proofErr w:type="gramStart"/>
      <w:r w:rsidRPr="00FB0156">
        <w:rPr>
          <w:rFonts w:ascii="Times New Roman" w:hAnsi="Times New Roman" w:cs="Times New Roman"/>
          <w:sz w:val="24"/>
          <w:szCs w:val="24"/>
        </w:rPr>
        <w:t>how</w:t>
      </w:r>
      <w:proofErr w:type="gramEnd"/>
      <w:r w:rsidRPr="00FB0156">
        <w:rPr>
          <w:rFonts w:ascii="Times New Roman" w:hAnsi="Times New Roman" w:cs="Times New Roman"/>
          <w:sz w:val="24"/>
          <w:szCs w:val="24"/>
        </w:rPr>
        <w:t xml:space="preserve"> often do you feel left out? Responses to each question were scored on a three-point Likert scale ranging from hardly ever/never, to some of the time, </w:t>
      </w:r>
      <w:proofErr w:type="spellStart"/>
      <w:r w:rsidRPr="00FB0156">
        <w:rPr>
          <w:rFonts w:ascii="Times New Roman" w:hAnsi="Times New Roman" w:cs="Times New Roman"/>
          <w:sz w:val="24"/>
          <w:szCs w:val="24"/>
        </w:rPr>
        <w:t>to</w:t>
      </w:r>
      <w:proofErr w:type="spellEnd"/>
      <w:r w:rsidRPr="00FB0156">
        <w:rPr>
          <w:rFonts w:ascii="Times New Roman" w:hAnsi="Times New Roman" w:cs="Times New Roman"/>
          <w:sz w:val="24"/>
          <w:szCs w:val="24"/>
        </w:rPr>
        <w:t xml:space="preserve"> often. Using the sum score, we had a loneliness scale ranging from 3 to 9, with a higher score indicating increa</w:t>
      </w:r>
      <w:r>
        <w:rPr>
          <w:rFonts w:ascii="Times New Roman" w:hAnsi="Times New Roman" w:cs="Times New Roman"/>
          <w:sz w:val="24"/>
          <w:szCs w:val="24"/>
        </w:rPr>
        <w:t>sed loneliness</w:t>
      </w:r>
      <w:r w:rsidRPr="00FB0156">
        <w:rPr>
          <w:rFonts w:ascii="Times New Roman" w:hAnsi="Times New Roman" w:cs="Times New Roman"/>
          <w:sz w:val="24"/>
          <w:szCs w:val="24"/>
        </w:rPr>
        <w:t>.</w:t>
      </w:r>
      <w:r>
        <w:rPr>
          <w:rFonts w:ascii="Times New Roman" w:hAnsi="Times New Roman" w:cs="Times New Roman"/>
          <w:sz w:val="24"/>
          <w:szCs w:val="24"/>
        </w:rPr>
        <w:t xml:space="preserve"> In addition, we also examined the single-item direct measure of loneliness asking how often the respondent felt lonely, which was coded on the same scale as the UCLA-3 items. </w:t>
      </w:r>
    </w:p>
    <w:p w:rsidR="00203836" w:rsidRPr="00FB0156" w:rsidRDefault="00203836" w:rsidP="00203836">
      <w:pPr>
        <w:spacing w:line="360" w:lineRule="auto"/>
        <w:jc w:val="both"/>
        <w:rPr>
          <w:rFonts w:ascii="Times New Roman" w:hAnsi="Times New Roman" w:cs="Times New Roman"/>
          <w:sz w:val="24"/>
          <w:szCs w:val="24"/>
        </w:rPr>
      </w:pPr>
      <w:r w:rsidRPr="00FB0156">
        <w:rPr>
          <w:rFonts w:ascii="Times New Roman" w:hAnsi="Times New Roman" w:cs="Times New Roman"/>
          <w:sz w:val="24"/>
          <w:szCs w:val="24"/>
        </w:rPr>
        <w:lastRenderedPageBreak/>
        <w:t>Covariates included age groups (18-29, 30</w:t>
      </w:r>
      <w:r>
        <w:rPr>
          <w:rFonts w:ascii="Times New Roman" w:hAnsi="Times New Roman" w:cs="Times New Roman"/>
          <w:sz w:val="24"/>
          <w:szCs w:val="24"/>
        </w:rPr>
        <w:t>-45, 46-59 and 60+), gender (woman vs. man</w:t>
      </w:r>
      <w:r w:rsidRPr="00FB0156">
        <w:rPr>
          <w:rFonts w:ascii="Times New Roman" w:hAnsi="Times New Roman" w:cs="Times New Roman"/>
          <w:sz w:val="24"/>
          <w:szCs w:val="24"/>
        </w:rPr>
        <w:t xml:space="preserve">), ethnicity (non-white vs. white), education (low: GCSE or below, medium: A levels or equivalent, high: degree or above), low income (household annual income &lt;£30,000 vs higher household annual income), employment status (employed, unemployed, student and inactive other), living status (alone, with others but no children, with others including children) and area of living (rural vs. urban). All variables above were harmonised between the two datasets. </w:t>
      </w:r>
    </w:p>
    <w:p w:rsidR="00203836" w:rsidRPr="009B3D17" w:rsidRDefault="00203836" w:rsidP="00203836">
      <w:pPr>
        <w:pStyle w:val="Heading2"/>
        <w:spacing w:line="360" w:lineRule="auto"/>
        <w:rPr>
          <w:rFonts w:ascii="Times New Roman" w:hAnsi="Times New Roman" w:cs="Times New Roman"/>
        </w:rPr>
      </w:pPr>
      <w:r w:rsidRPr="009B3D17">
        <w:rPr>
          <w:rFonts w:ascii="Times New Roman" w:hAnsi="Times New Roman" w:cs="Times New Roman"/>
        </w:rPr>
        <w:t>Analysis</w:t>
      </w:r>
    </w:p>
    <w:p w:rsidR="00203836" w:rsidRPr="00875671" w:rsidRDefault="00203836" w:rsidP="00203836">
      <w:pPr>
        <w:spacing w:line="360" w:lineRule="auto"/>
        <w:jc w:val="both"/>
        <w:rPr>
          <w:rFonts w:ascii="Times New Roman" w:hAnsi="Times New Roman" w:cs="Times New Roman"/>
          <w:sz w:val="24"/>
          <w:szCs w:val="24"/>
        </w:rPr>
      </w:pPr>
      <w:r w:rsidRPr="00F611F3">
        <w:rPr>
          <w:rFonts w:ascii="Times New Roman" w:hAnsi="Times New Roman" w:cs="Times New Roman"/>
          <w:sz w:val="24"/>
          <w:szCs w:val="24"/>
        </w:rPr>
        <w:t xml:space="preserve">To compare risk factors for loneliness, we used Ordinary Least Square (OLS) regression models fitted separately in the two datasets. </w:t>
      </w:r>
      <w:r w:rsidRPr="00875671">
        <w:rPr>
          <w:rFonts w:ascii="Times New Roman" w:hAnsi="Times New Roman" w:cs="Times New Roman"/>
          <w:sz w:val="24"/>
          <w:szCs w:val="24"/>
        </w:rPr>
        <w:t xml:space="preserve">Weights were applied throughout the analyses. The analyses of UKHLS used cross-sectional adult self-completion interview weight. In the analysis of </w:t>
      </w:r>
      <w:r>
        <w:rPr>
          <w:rFonts w:ascii="Times New Roman" w:hAnsi="Times New Roman" w:cs="Times New Roman"/>
          <w:sz w:val="24"/>
          <w:szCs w:val="24"/>
        </w:rPr>
        <w:t xml:space="preserve">the UCL </w:t>
      </w:r>
      <w:r w:rsidRPr="00875671">
        <w:rPr>
          <w:rFonts w:ascii="Times New Roman" w:hAnsi="Times New Roman" w:cs="Times New Roman"/>
          <w:sz w:val="24"/>
          <w:szCs w:val="24"/>
        </w:rPr>
        <w:t xml:space="preserve">Covid-19 Social study, all data were weighted to the proportions of gender, age, ethnicity, education and country of living obtained from the Office for National </w:t>
      </w:r>
      <w:r w:rsidRPr="00970A2F">
        <w:rPr>
          <w:rFonts w:eastAsia="Times New Roman" w:cs="Cambria"/>
        </w:rPr>
        <w:t>Statistics</w:t>
      </w:r>
      <w:r>
        <w:rPr>
          <w:rFonts w:eastAsia="Times New Roman" w:cs="Cambria"/>
        </w:rPr>
        <w:t xml:space="preserve"> </w:t>
      </w:r>
      <w:r>
        <w:rPr>
          <w:rFonts w:cs="Times New Roman"/>
          <w:sz w:val="20"/>
          <w:szCs w:val="20"/>
        </w:rPr>
        <w:fldChar w:fldCharType="begin"/>
      </w:r>
      <w:r w:rsidR="00DE28B3">
        <w:rPr>
          <w:rFonts w:cs="Times New Roman"/>
          <w:sz w:val="20"/>
          <w:szCs w:val="20"/>
        </w:rPr>
        <w:instrText xml:space="preserve"> ADDIN ZOTERO_ITEM CSL_CITATION {"citationID":"HDzka5tn","properties":{"formattedCitation":"\\super 1\\nosupersub{}","plainCitation":"1","noteIndex":0},"citationItems":[{"id":13445,"uris":["http://zotero.org/users/1416171/items/XD8EIFFT"],"uri":["http://zotero.org/users/1416171/items/XD8EIFFT"],"itemData":{"id":13445,"type":"report","publisher":"Office for National Statistics","title":"Overview of the UK population: November 2018","URL":"https://www.ons.gov.uk/releases/overviewoftheukpopulationnovember2018","accessed":{"date-parts":[["2020",5,7]]},"issued":{"date-parts":[["2018",11]]}}}],"schema":"https://github.com/citation-style-language/schema/raw/master/csl-citation.json"} </w:instrText>
      </w:r>
      <w:r>
        <w:rPr>
          <w:rFonts w:cs="Times New Roman"/>
          <w:sz w:val="20"/>
          <w:szCs w:val="20"/>
        </w:rPr>
        <w:fldChar w:fldCharType="separate"/>
      </w:r>
      <w:r w:rsidR="00DE28B3" w:rsidRPr="00DE28B3">
        <w:rPr>
          <w:rFonts w:ascii="Calibri" w:hAnsi="Calibri" w:cs="Calibri"/>
          <w:sz w:val="20"/>
          <w:szCs w:val="24"/>
          <w:vertAlign w:val="superscript"/>
        </w:rPr>
        <w:t>1</w:t>
      </w:r>
      <w:r>
        <w:rPr>
          <w:rFonts w:cs="Times New Roman"/>
          <w:sz w:val="20"/>
          <w:szCs w:val="20"/>
        </w:rPr>
        <w:fldChar w:fldCharType="end"/>
      </w:r>
      <w:r w:rsidRPr="00875671">
        <w:rPr>
          <w:rFonts w:ascii="Times New Roman" w:hAnsi="Times New Roman" w:cs="Times New Roman"/>
          <w:sz w:val="24"/>
          <w:szCs w:val="24"/>
        </w:rPr>
        <w:t xml:space="preserve">. The </w:t>
      </w:r>
      <w:r>
        <w:rPr>
          <w:rFonts w:ascii="Times New Roman" w:hAnsi="Times New Roman" w:cs="Times New Roman"/>
          <w:sz w:val="24"/>
          <w:szCs w:val="24"/>
        </w:rPr>
        <w:t xml:space="preserve">descriptive and regression </w:t>
      </w:r>
      <w:r w:rsidRPr="00875671">
        <w:rPr>
          <w:rFonts w:ascii="Times New Roman" w:hAnsi="Times New Roman" w:cs="Times New Roman"/>
          <w:sz w:val="24"/>
          <w:szCs w:val="24"/>
        </w:rPr>
        <w:t xml:space="preserve">analyses were implemented in </w:t>
      </w:r>
      <w:r>
        <w:rPr>
          <w:rFonts w:ascii="Times New Roman" w:hAnsi="Times New Roman" w:cs="Times New Roman"/>
          <w:sz w:val="24"/>
          <w:szCs w:val="24"/>
        </w:rPr>
        <w:t>Stata v15 (</w:t>
      </w:r>
      <w:proofErr w:type="spellStart"/>
      <w:r>
        <w:rPr>
          <w:rFonts w:ascii="Times New Roman" w:hAnsi="Times New Roman" w:cs="Times New Roman"/>
          <w:sz w:val="24"/>
          <w:szCs w:val="24"/>
        </w:rPr>
        <w:t>StataCorps</w:t>
      </w:r>
      <w:proofErr w:type="spellEnd"/>
      <w:r>
        <w:rPr>
          <w:rFonts w:ascii="Times New Roman" w:hAnsi="Times New Roman" w:cs="Times New Roman"/>
          <w:sz w:val="24"/>
          <w:szCs w:val="24"/>
        </w:rPr>
        <w:t>, Texas).</w:t>
      </w:r>
    </w:p>
    <w:p w:rsidR="00203836" w:rsidRDefault="00203836" w:rsidP="00203836">
      <w:pPr>
        <w:jc w:val="both"/>
        <w:rPr>
          <w:rFonts w:ascii="Times New Roman" w:hAnsi="Times New Roman" w:cs="Times New Roman"/>
          <w:sz w:val="24"/>
          <w:szCs w:val="24"/>
        </w:rPr>
      </w:pPr>
    </w:p>
    <w:p w:rsidR="00203836" w:rsidRPr="004B4BEA" w:rsidRDefault="00203836" w:rsidP="00203836">
      <w:pPr>
        <w:jc w:val="both"/>
        <w:rPr>
          <w:rFonts w:ascii="Times New Roman" w:hAnsi="Times New Roman" w:cs="Times New Roman"/>
          <w:sz w:val="24"/>
          <w:szCs w:val="24"/>
        </w:rPr>
      </w:pPr>
      <w:r w:rsidRPr="004B4BEA">
        <w:rPr>
          <w:rFonts w:ascii="Times New Roman" w:hAnsi="Times New Roman" w:cs="Times New Roman"/>
          <w:sz w:val="24"/>
          <w:szCs w:val="24"/>
        </w:rPr>
        <w:t xml:space="preserve">Table </w:t>
      </w:r>
      <w:r>
        <w:rPr>
          <w:rFonts w:ascii="Times New Roman" w:hAnsi="Times New Roman" w:cs="Times New Roman"/>
          <w:sz w:val="24"/>
          <w:szCs w:val="24"/>
        </w:rPr>
        <w:t>S</w:t>
      </w:r>
      <w:r w:rsidRPr="004B4BEA">
        <w:rPr>
          <w:rFonts w:ascii="Times New Roman" w:hAnsi="Times New Roman" w:cs="Times New Roman"/>
          <w:sz w:val="24"/>
          <w:szCs w:val="24"/>
        </w:rPr>
        <w:t>1 Descriptive statistic of the explanato</w:t>
      </w:r>
      <w:r>
        <w:rPr>
          <w:rFonts w:ascii="Times New Roman" w:hAnsi="Times New Roman" w:cs="Times New Roman"/>
          <w:sz w:val="24"/>
          <w:szCs w:val="24"/>
        </w:rPr>
        <w:t>ry variables (weighted</w:t>
      </w:r>
      <w:r w:rsidRPr="004B4BEA">
        <w:rPr>
          <w:rFonts w:ascii="Times New Roman" w:hAnsi="Times New Roman" w:cs="Times New Roman"/>
          <w:sz w:val="24"/>
          <w:szCs w:val="24"/>
        </w:rPr>
        <w:t>)</w:t>
      </w:r>
    </w:p>
    <w:tbl>
      <w:tblPr>
        <w:tblW w:w="9067" w:type="dxa"/>
        <w:tblLook w:val="04A0" w:firstRow="1" w:lastRow="0" w:firstColumn="1" w:lastColumn="0" w:noHBand="0" w:noVBand="1"/>
      </w:tblPr>
      <w:tblGrid>
        <w:gridCol w:w="2689"/>
        <w:gridCol w:w="3260"/>
        <w:gridCol w:w="1559"/>
        <w:gridCol w:w="1559"/>
      </w:tblGrid>
      <w:tr w:rsidR="00203836" w:rsidRPr="004B4BEA" w:rsidTr="00996668">
        <w:trPr>
          <w:trHeight w:val="290"/>
        </w:trPr>
        <w:tc>
          <w:tcPr>
            <w:tcW w:w="2689" w:type="dxa"/>
            <w:tcBorders>
              <w:top w:val="single" w:sz="4" w:space="0" w:color="auto"/>
              <w:bottom w:val="single" w:sz="4" w:space="0" w:color="auto"/>
            </w:tcBorders>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top w:val="single" w:sz="4" w:space="0" w:color="auto"/>
              <w:bottom w:val="single" w:sz="4" w:space="0" w:color="auto"/>
              <w:right w:val="single" w:sz="4" w:space="0" w:color="auto"/>
            </w:tcBorders>
            <w:shd w:val="clear" w:color="auto" w:fill="auto"/>
            <w:noWrap/>
            <w:vAlign w:val="bottom"/>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p>
        </w:tc>
        <w:tc>
          <w:tcPr>
            <w:tcW w:w="1559" w:type="dxa"/>
            <w:tcBorders>
              <w:top w:val="single" w:sz="4" w:space="0" w:color="auto"/>
              <w:left w:val="single" w:sz="4" w:space="0" w:color="auto"/>
              <w:bottom w:val="single" w:sz="4" w:space="0" w:color="auto"/>
            </w:tcBorders>
            <w:shd w:val="clear" w:color="auto" w:fill="auto"/>
            <w:noWrap/>
            <w:vAlign w:val="bottom"/>
          </w:tcPr>
          <w:p w:rsidR="00203836" w:rsidRDefault="00203836" w:rsidP="00996668">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UKHLS</w:t>
            </w:r>
          </w:p>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(N=31,064)</w:t>
            </w:r>
          </w:p>
        </w:tc>
        <w:tc>
          <w:tcPr>
            <w:tcW w:w="1559" w:type="dxa"/>
            <w:tcBorders>
              <w:top w:val="single" w:sz="4" w:space="0" w:color="auto"/>
              <w:bottom w:val="single" w:sz="4" w:space="0" w:color="auto"/>
            </w:tcBorders>
          </w:tcPr>
          <w:p w:rsidR="00203836" w:rsidRDefault="00203836" w:rsidP="00996668">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Covid-19 Social Study</w:t>
            </w:r>
          </w:p>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(N=60,341)</w:t>
            </w:r>
          </w:p>
        </w:tc>
      </w:tr>
      <w:tr w:rsidR="00203836" w:rsidRPr="004B4BEA" w:rsidTr="00996668">
        <w:trPr>
          <w:trHeight w:val="290"/>
        </w:trPr>
        <w:tc>
          <w:tcPr>
            <w:tcW w:w="2689" w:type="dxa"/>
            <w:tcBorders>
              <w:top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Age</w:t>
            </w:r>
          </w:p>
        </w:tc>
        <w:tc>
          <w:tcPr>
            <w:tcW w:w="3260" w:type="dxa"/>
            <w:tcBorders>
              <w:top w:val="single" w:sz="4" w:space="0" w:color="auto"/>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18-29</w:t>
            </w:r>
          </w:p>
        </w:tc>
        <w:tc>
          <w:tcPr>
            <w:tcW w:w="1559" w:type="dxa"/>
            <w:tcBorders>
              <w:top w:val="single" w:sz="4" w:space="0" w:color="auto"/>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16.8%</w:t>
            </w:r>
          </w:p>
        </w:tc>
        <w:tc>
          <w:tcPr>
            <w:tcW w:w="1559" w:type="dxa"/>
            <w:tcBorders>
              <w:top w:val="single" w:sz="4" w:space="0" w:color="auto"/>
            </w:tcBorders>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18.5%</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30-45</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23.1%</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27.2%</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46-59</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25.5%</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24.4%</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60+</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34.7%</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29.9%</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Gender </w:t>
            </w: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Women (vs. men)</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51.8%</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49.8%</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Ethnicity </w:t>
            </w: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Non-white (vs. white)</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7.2%</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12.5%</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Education </w:t>
            </w:r>
          </w:p>
        </w:tc>
        <w:tc>
          <w:tcPr>
            <w:tcW w:w="3260" w:type="dxa"/>
            <w:tcBorders>
              <w:right w:val="single" w:sz="4" w:space="0" w:color="auto"/>
            </w:tcBorders>
            <w:shd w:val="clear" w:color="auto" w:fill="auto"/>
            <w:noWrap/>
            <w:vAlign w:val="center"/>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GCSE or below</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50.6%</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32.0%</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center"/>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A-levels or equivalent </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23.2%</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33.5%</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center"/>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Degree or above</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26.2%</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34.5%</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Household income </w:t>
            </w: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Low (&lt;30k) (vs. high)</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40.1%</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48.6%</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Employment status </w:t>
            </w: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Employed</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56.6%</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59.6%</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Unemployed</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3.8%</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3.3%</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Student </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3.6%</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6.5%</w:t>
            </w:r>
          </w:p>
        </w:tc>
      </w:tr>
      <w:tr w:rsidR="00203836" w:rsidRPr="004B4BEA" w:rsidTr="00996668">
        <w:trPr>
          <w:trHeight w:val="290"/>
        </w:trPr>
        <w:tc>
          <w:tcPr>
            <w:tcW w:w="2689" w:type="dxa"/>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bottom"/>
            <w:hideMark/>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Inactive other </w:t>
            </w:r>
          </w:p>
        </w:tc>
        <w:tc>
          <w:tcPr>
            <w:tcW w:w="1559" w:type="dxa"/>
            <w:tcBorders>
              <w:left w:val="single" w:sz="4" w:space="0" w:color="auto"/>
            </w:tcBorders>
            <w:shd w:val="clear" w:color="auto" w:fill="auto"/>
            <w:noWrap/>
            <w:vAlign w:val="bottom"/>
            <w:hideMark/>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36.0%</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30.6%</w:t>
            </w:r>
          </w:p>
        </w:tc>
      </w:tr>
      <w:tr w:rsidR="00203836" w:rsidRPr="004B4BEA" w:rsidTr="00996668">
        <w:trPr>
          <w:trHeight w:val="290"/>
        </w:trPr>
        <w:tc>
          <w:tcPr>
            <w:tcW w:w="2689" w:type="dxa"/>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Living status </w:t>
            </w:r>
          </w:p>
        </w:tc>
        <w:tc>
          <w:tcPr>
            <w:tcW w:w="3260" w:type="dxa"/>
            <w:tcBorders>
              <w:right w:val="single" w:sz="4" w:space="0" w:color="auto"/>
            </w:tcBorders>
            <w:shd w:val="clear" w:color="auto" w:fill="auto"/>
            <w:noWrap/>
            <w:vAlign w:val="center"/>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Alone </w:t>
            </w:r>
          </w:p>
        </w:tc>
        <w:tc>
          <w:tcPr>
            <w:tcW w:w="1559" w:type="dxa"/>
            <w:tcBorders>
              <w:left w:val="single" w:sz="4" w:space="0" w:color="auto"/>
            </w:tcBorders>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18.9%</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18.3%</w:t>
            </w:r>
          </w:p>
        </w:tc>
      </w:tr>
      <w:tr w:rsidR="00203836" w:rsidRPr="004B4BEA" w:rsidTr="00996668">
        <w:trPr>
          <w:trHeight w:val="290"/>
        </w:trPr>
        <w:tc>
          <w:tcPr>
            <w:tcW w:w="2689" w:type="dxa"/>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center"/>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With others (not children)</w:t>
            </w:r>
          </w:p>
        </w:tc>
        <w:tc>
          <w:tcPr>
            <w:tcW w:w="1559" w:type="dxa"/>
            <w:tcBorders>
              <w:left w:val="single" w:sz="4" w:space="0" w:color="auto"/>
            </w:tcBorders>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49.9%</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53.9%</w:t>
            </w:r>
          </w:p>
        </w:tc>
      </w:tr>
      <w:tr w:rsidR="00203836" w:rsidRPr="004B4BEA" w:rsidTr="00996668">
        <w:trPr>
          <w:trHeight w:val="290"/>
        </w:trPr>
        <w:tc>
          <w:tcPr>
            <w:tcW w:w="2689" w:type="dxa"/>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p>
        </w:tc>
        <w:tc>
          <w:tcPr>
            <w:tcW w:w="3260" w:type="dxa"/>
            <w:tcBorders>
              <w:right w:val="single" w:sz="4" w:space="0" w:color="auto"/>
            </w:tcBorders>
            <w:shd w:val="clear" w:color="auto" w:fill="auto"/>
            <w:noWrap/>
            <w:vAlign w:val="center"/>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With others (including children)</w:t>
            </w:r>
          </w:p>
        </w:tc>
        <w:tc>
          <w:tcPr>
            <w:tcW w:w="1559" w:type="dxa"/>
            <w:tcBorders>
              <w:left w:val="single" w:sz="4" w:space="0" w:color="auto"/>
            </w:tcBorders>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31.2%</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27.8%</w:t>
            </w:r>
          </w:p>
        </w:tc>
      </w:tr>
      <w:tr w:rsidR="00203836" w:rsidRPr="004B4BEA" w:rsidTr="00996668">
        <w:trPr>
          <w:trHeight w:val="290"/>
        </w:trPr>
        <w:tc>
          <w:tcPr>
            <w:tcW w:w="2689" w:type="dxa"/>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4B4BEA">
              <w:rPr>
                <w:rFonts w:ascii="Times New Roman" w:eastAsia="Times New Roman" w:hAnsi="Times New Roman" w:cs="Times New Roman"/>
                <w:color w:val="000000"/>
                <w:lang w:eastAsia="en-GB"/>
              </w:rPr>
              <w:t xml:space="preserve">Area of living </w:t>
            </w:r>
          </w:p>
        </w:tc>
        <w:tc>
          <w:tcPr>
            <w:tcW w:w="3260" w:type="dxa"/>
            <w:tcBorders>
              <w:right w:val="single" w:sz="4" w:space="0" w:color="auto"/>
            </w:tcBorders>
            <w:shd w:val="clear" w:color="auto" w:fill="auto"/>
            <w:noWrap/>
            <w:vAlign w:val="bottom"/>
          </w:tcPr>
          <w:p w:rsidR="00203836" w:rsidRPr="004B4BEA" w:rsidRDefault="00203836" w:rsidP="00996668">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Rural (vs. urban)</w:t>
            </w:r>
          </w:p>
        </w:tc>
        <w:tc>
          <w:tcPr>
            <w:tcW w:w="1559" w:type="dxa"/>
            <w:tcBorders>
              <w:left w:val="single" w:sz="4" w:space="0" w:color="auto"/>
            </w:tcBorders>
            <w:shd w:val="clear" w:color="auto" w:fill="auto"/>
            <w:noWrap/>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sidRPr="00AA7C6B">
              <w:rPr>
                <w:rFonts w:ascii="Times New Roman" w:eastAsia="Times New Roman" w:hAnsi="Times New Roman" w:cs="Times New Roman"/>
                <w:color w:val="000000"/>
                <w:lang w:eastAsia="en-GB"/>
              </w:rPr>
              <w:t>24.5%</w:t>
            </w:r>
          </w:p>
        </w:tc>
        <w:tc>
          <w:tcPr>
            <w:tcW w:w="1559" w:type="dxa"/>
            <w:vAlign w:val="bottom"/>
          </w:tcPr>
          <w:p w:rsidR="00203836" w:rsidRPr="004B4BEA" w:rsidRDefault="00203836" w:rsidP="00996668">
            <w:pPr>
              <w:spacing w:after="0" w:line="240" w:lineRule="auto"/>
              <w:jc w:val="right"/>
              <w:rPr>
                <w:rFonts w:ascii="Times New Roman" w:eastAsia="Times New Roman" w:hAnsi="Times New Roman" w:cs="Times New Roman"/>
                <w:color w:val="000000"/>
                <w:lang w:eastAsia="en-GB"/>
              </w:rPr>
            </w:pPr>
            <w:r>
              <w:rPr>
                <w:rFonts w:ascii="Calibri" w:hAnsi="Calibri" w:cs="Calibri"/>
                <w:color w:val="000000"/>
              </w:rPr>
              <w:t>20.4%</w:t>
            </w:r>
          </w:p>
        </w:tc>
      </w:tr>
    </w:tbl>
    <w:p w:rsidR="00203836" w:rsidRDefault="00203836" w:rsidP="00203836">
      <w:pPr>
        <w:jc w:val="both"/>
        <w:rPr>
          <w:rFonts w:ascii="Times New Roman" w:hAnsi="Times New Roman" w:cs="Times New Roman"/>
          <w:sz w:val="24"/>
          <w:szCs w:val="24"/>
        </w:rPr>
      </w:pPr>
    </w:p>
    <w:p w:rsidR="00DE28B3" w:rsidRDefault="00DE28B3" w:rsidP="00DE28B3">
      <w:pPr>
        <w:pStyle w:val="Heading2"/>
      </w:pPr>
    </w:p>
    <w:p w:rsidR="00203836" w:rsidRDefault="00DE28B3" w:rsidP="00DE28B3">
      <w:pPr>
        <w:pStyle w:val="Heading2"/>
      </w:pPr>
      <w:bookmarkStart w:id="0" w:name="_GoBack"/>
      <w:bookmarkEnd w:id="0"/>
      <w:r>
        <w:t>References</w:t>
      </w:r>
    </w:p>
    <w:p w:rsidR="00DE28B3" w:rsidRPr="00DE28B3" w:rsidRDefault="00DE28B3" w:rsidP="00DE28B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E28B3">
        <w:rPr>
          <w:rFonts w:ascii="Times New Roman" w:hAnsi="Times New Roman" w:cs="Times New Roman"/>
          <w:sz w:val="24"/>
        </w:rPr>
        <w:t xml:space="preserve">1. </w:t>
      </w:r>
      <w:r w:rsidRPr="00DE28B3">
        <w:rPr>
          <w:rFonts w:ascii="Times New Roman" w:hAnsi="Times New Roman" w:cs="Times New Roman"/>
          <w:sz w:val="24"/>
        </w:rPr>
        <w:tab/>
      </w:r>
      <w:r w:rsidRPr="00DE28B3">
        <w:rPr>
          <w:rFonts w:ascii="Times New Roman" w:hAnsi="Times New Roman" w:cs="Times New Roman"/>
          <w:i/>
          <w:iCs/>
          <w:sz w:val="24"/>
        </w:rPr>
        <w:t>Overview of the UK Population: November 2018</w:t>
      </w:r>
      <w:r w:rsidRPr="00DE28B3">
        <w:rPr>
          <w:rFonts w:ascii="Times New Roman" w:hAnsi="Times New Roman" w:cs="Times New Roman"/>
          <w:sz w:val="24"/>
        </w:rPr>
        <w:t>. Office for National Statistics; 2018. Accessed May 7, 2020. https://www.ons.gov.uk/releases/overviewoftheukpopulationnovember2018</w:t>
      </w:r>
    </w:p>
    <w:p w:rsidR="00DE28B3" w:rsidRDefault="00DE28B3" w:rsidP="00203836">
      <w:pPr>
        <w:jc w:val="both"/>
        <w:rPr>
          <w:rFonts w:ascii="Times New Roman" w:hAnsi="Times New Roman" w:cs="Times New Roman"/>
          <w:sz w:val="24"/>
          <w:szCs w:val="24"/>
        </w:rPr>
      </w:pPr>
      <w:r>
        <w:rPr>
          <w:rFonts w:ascii="Times New Roman" w:hAnsi="Times New Roman" w:cs="Times New Roman"/>
          <w:sz w:val="24"/>
          <w:szCs w:val="24"/>
        </w:rPr>
        <w:fldChar w:fldCharType="end"/>
      </w:r>
    </w:p>
    <w:p w:rsidR="00256158" w:rsidRDefault="00DE28B3"/>
    <w:sectPr w:rsidR="00256158" w:rsidSect="00203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6"/>
    <w:rsid w:val="00203836"/>
    <w:rsid w:val="00277405"/>
    <w:rsid w:val="009C6885"/>
    <w:rsid w:val="00DE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A639"/>
  <w15:chartTrackingRefBased/>
  <w15:docId w15:val="{B753EE84-718B-4534-837E-83E4F255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36"/>
  </w:style>
  <w:style w:type="paragraph" w:styleId="Heading1">
    <w:name w:val="heading 1"/>
    <w:basedOn w:val="Normal"/>
    <w:next w:val="Normal"/>
    <w:link w:val="Heading1Char"/>
    <w:uiPriority w:val="9"/>
    <w:qFormat/>
    <w:rsid w:val="002038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3836"/>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DE28B3"/>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Company>University College London</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Fancourt</dc:creator>
  <cp:keywords/>
  <dc:description/>
  <cp:lastModifiedBy>Daisy Fancourt</cp:lastModifiedBy>
  <cp:revision>2</cp:revision>
  <dcterms:created xsi:type="dcterms:W3CDTF">2020-05-13T12:53:00Z</dcterms:created>
  <dcterms:modified xsi:type="dcterms:W3CDTF">2020-05-13T13:38:00Z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id="VW15pQLV"/&gt;&lt;style id="http://www.zotero.org/styles/jama" hasBibliography="1" bibliographyStyleHasBeenSet="1"/&gt;&lt;prefs&gt;&lt;pref name="fieldType" value="Field"/&gt;&lt;/prefs&gt;&lt;/data&gt;</vt:lpwstr>
  </property>
</Properties>
</file>