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CC64" w14:textId="77777777" w:rsidR="00D20AB2" w:rsidRPr="00D20AB2" w:rsidRDefault="00D20AB2" w:rsidP="00C86E76">
      <w:pPr>
        <w:spacing w:after="200" w:line="480" w:lineRule="auto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SUPPLEMENTARY METHODS</w:t>
      </w:r>
    </w:p>
    <w:p w14:paraId="3F4307BF" w14:textId="313F7CEF" w:rsidR="00FA398E" w:rsidRPr="00FA398E" w:rsidRDefault="00EE1091" w:rsidP="00C86E76">
      <w:pPr>
        <w:spacing w:after="200" w:line="480" w:lineRule="auto"/>
        <w:rPr>
          <w:rFonts w:ascii="Times New Roman" w:eastAsia="Times New Roman" w:hAnsi="Times New Roman" w:cs="Times New Roman"/>
          <w:i/>
          <w:iCs/>
          <w:u w:val="single"/>
          <w:lang w:val="en-US"/>
        </w:rPr>
      </w:pPr>
      <w:r>
        <w:rPr>
          <w:rFonts w:ascii="Calibri" w:eastAsia="Calibri" w:hAnsi="Calibri" w:cs="Times New Roman"/>
          <w:i/>
          <w:lang w:val="en-US"/>
        </w:rPr>
        <w:t>Chest</w:t>
      </w:r>
      <w:r w:rsidR="00FA398E" w:rsidRPr="00FA398E">
        <w:rPr>
          <w:rFonts w:ascii="Calibri" w:eastAsia="Calibri" w:hAnsi="Calibri" w:cs="Times New Roman"/>
          <w:i/>
          <w:lang w:val="en-US"/>
        </w:rPr>
        <w:t xml:space="preserve"> computed tomography-scan (CT-scan) protocol and image interpretation</w:t>
      </w:r>
    </w:p>
    <w:p w14:paraId="7DF05FCF" w14:textId="0C68B7AB" w:rsidR="00C538F4" w:rsidRPr="00FA398E" w:rsidRDefault="00EE1091" w:rsidP="00C538F4">
      <w:pPr>
        <w:spacing w:after="0" w:line="480" w:lineRule="auto"/>
        <w:ind w:firstLine="708"/>
        <w:textAlignment w:val="baseline"/>
        <w:rPr>
          <w:rFonts w:ascii="Calibri" w:eastAsia="Times New Roman" w:hAnsi="Calibri" w:cs="Calibri"/>
          <w:lang w:val="en-US" w:eastAsia="fr-FR"/>
        </w:rPr>
      </w:pPr>
      <w:r>
        <w:rPr>
          <w:rFonts w:ascii="Calibri" w:eastAsia="Times New Roman" w:hAnsi="Calibri" w:cs="Calibri"/>
          <w:lang w:val="en-US" w:eastAsia="fr-FR"/>
        </w:rPr>
        <w:t>Chest</w:t>
      </w:r>
      <w:r w:rsidR="00FA398E" w:rsidRPr="00FA398E">
        <w:rPr>
          <w:rFonts w:ascii="Calibri" w:eastAsia="Times New Roman" w:hAnsi="Calibri" w:cs="Calibri"/>
          <w:lang w:val="en-US" w:eastAsia="fr-FR"/>
        </w:rPr>
        <w:t xml:space="preserve"> CT-scans were obtained with the patient in the supine position and with breath-holding following inspiration. Qualitative and semi-quantitative assessments were reached by consensus. In accordance with previous reports of COVID-19 imaging</w:t>
      </w:r>
      <w:r w:rsidR="00FA398E" w:rsidRPr="00FA398E">
        <w:rPr>
          <w:rFonts w:ascii="Calibri" w:eastAsia="Times New Roman" w:hAnsi="Calibri" w:cs="Calibri"/>
          <w:lang w:val="en-US" w:eastAsia="fr-FR"/>
        </w:rPr>
        <w:fldChar w:fldCharType="begin"/>
      </w:r>
      <w:r w:rsidR="008924E3">
        <w:rPr>
          <w:rFonts w:ascii="Calibri" w:eastAsia="Times New Roman" w:hAnsi="Calibri" w:cs="Calibri"/>
          <w:lang w:val="en-US" w:eastAsia="fr-FR"/>
        </w:rPr>
        <w:instrText xml:space="preserve"> ADDIN ZOTERO_ITEM CSL_CITATION {"citationID":"Mrsm56sG","properties":{"formattedCitation":"\\super 1,2\\nosupersub{}","plainCitation":"1,2","noteIndex":0},"citationItems":[{"id":1002,"uris":["http://zotero.org/users/3361919/items/3C72DC63"],"uri":["http://zotero.org/users/3361919/items/3C72DC63"],"itemData":{"id":1002,"type":"article-journal","abstract":"Background A recent cluster of pneumonia cases in Wuhan, China, was caused by a novel betacoronavirus, the 2019 novel coronavirus (2019-nCoV). We report the epidemiological, clinical, laboratory, and radiological characteristics and treatment and clinical outcomes of these patients.","container-title":"The Lancet","DOI":"10.1016/S0140-6736(20)30183-5","ISSN":"01406736","issue":"10223","journalAbbreviation":"The Lancet","language":"en","page":"497-506","source":"DOI.org (Crossref)","title":"Clinical features of patients infected with 2019 novel coronavirus in Wuhan, China","volume":"395","author":[{"family":"Huang","given":"Chaolin"},{"family":"Wang","given":"Yeming"},{"family":"Li","given":"Xingwang"},{"family":"Ren","given":"Lili"},{"family":"Zhao","given":"Jianping"},{"family":"Hu","given":"Yi"},{"family":"Zhang","given":"Li"},{"family":"Fan","given":"Guohui"},{"family":"Xu","given":"Jiuyang"},{"family":"Gu","given":"Xiaoying"},{"family":"Cheng","given":"Zhenshun"},{"family":"Yu","given":"Ting"},{"family":"Xia","given":"Jiaan"},{"family":"Wei","given":"Yuan"},{"family":"Wu","given":"Wenjuan"},{"family":"Xie","given":"Xuelei"},{"family":"Yin","given":"Wen"},{"family":"Li","given":"Hui"},{"family":"Liu","given":"Min"},{"family":"Xiao","given":"Yan"},{"family":"Gao","given":"Hong"},{"family":"Guo","given":"Li"},{"family":"Xie","given":"Jungang"},{"family":"Wang","given":"Guangfa"},{"family":"Jiang","given":"Rongmeng"},{"family":"Gao","given":"Zhancheng"},{"family":"Jin","given":"Qi"},{"family":"Wang","given":"Jianwei"},{"family":"Cao","given":"Bin"}],"issued":{"date-parts":[["2020",2]]}}},{"id":1013,"uris":["http://zotero.org/users/3361919/items/7MC6UZXM"],"uri":["http://zotero.org/users/3361919/items/7MC6UZXM"],"itemData":{"id":1013,"type":"article-journal","abstract":"BACKGROUND: In the vast majority of the laboratory-confirmed coronavirus disease  2019 (COVID-19) patients, computed tomography (CT) examinations yield a typical  pattern and the sensitivity of this modality has been reported to be 97% in a  large-scale study. Structured reporting systems simplify the interpretation and  reporting of imaging examinations, serve as a framework for consistent generation of  recommendations, and improve the quality of patient care. PURPOSE: To compose a  comprehensive lexicon for description of the imaging findings and propose a grading  system and structured reporting format for CT findings in COVID-19. MATERIAL AND  METHODS: We updated our published systematic review on imaging findings in COVID-19  to include 37 published studies pertaining to diagnostic features of COVID-19 in  chest CT. Using the reported imaging findings of 3647 patients, we summarized the  typical chest CT findings, atypical features, and temporal changes of COVID-19 in  chest CT. Subsequently, we extracted a list of descriptive terms and mapped it to  the terminology that is commonly used in imaging literature. RESULTS: We composed a  comprehensive lexicon that can be used for documentation and reporting of typical  and atypical CT imaging findings in COVID-19 patients. Using the same data, we  propose a grading system with five COVID-RADS categories. Each COVID-RADS grade  corresponds to a low, moderate, or high level of suspicion for pulmonary involvement  of COVID-19. CONCLUSION: The proposed COVID-RADS and common lexicon would improve  the communication of findings to other healthcare providers, thus facilitating the  diagnosis and management of COVID-19 patients. KEY POINTS: • Chest CT has high  sensitivity in diagnosing the coronavirus disease 2019 (COVID-19). • Structured  reporting systems simplify the interpretation and reporting of imaging examinations,  serve as a framework for consistent generation of recommendations, and improve the  quality of patient care. • The proposed COVID-RADS and common lexicon would improve  the communication of findings to other healthcare providers, thus facilitating the  diagnosis and management of COVID-19 patients.","container-title":"European radiology","DOI":"10.1007/s00330-020-06863-0","ISSN":"1432-1084 0938-7994","journalAbbreviation":"Eur Radiol","language":"eng","note":"publisher-place: Germany\nPMID: 32346790","title":"Coronavirus disease 2019 (COVID-19) imaging reporting and data system (COVID-RADS)  and common lexicon: a proposal based on the imaging data of 37 studies.","author":[{"family":"Salehi","given":"Sana"},{"family":"Abedi","given":"Aidin"},{"family":"Balakrishnan","given":"Sudheer"},{"family":"Gholamrezanezhad","given":"Ali"}],"issued":{"date-parts":[["2020",4,28]]}}}],"schema":"https://github.com/citation-style-language/schema/raw/master/csl-citation.json"} </w:instrText>
      </w:r>
      <w:r w:rsidR="00FA398E" w:rsidRPr="00FA398E">
        <w:rPr>
          <w:rFonts w:ascii="Calibri" w:eastAsia="Times New Roman" w:hAnsi="Calibri" w:cs="Calibri"/>
          <w:lang w:val="en-US" w:eastAsia="fr-FR"/>
        </w:rPr>
        <w:fldChar w:fldCharType="separate"/>
      </w:r>
      <w:r w:rsidR="008924E3" w:rsidRPr="008924E3">
        <w:rPr>
          <w:rFonts w:ascii="Calibri" w:hAnsi="Calibri" w:cs="Calibri"/>
          <w:szCs w:val="24"/>
          <w:vertAlign w:val="superscript"/>
          <w:lang w:val="en-US"/>
        </w:rPr>
        <w:t>1,2</w:t>
      </w:r>
      <w:r w:rsidR="00FA398E" w:rsidRPr="00FA398E">
        <w:rPr>
          <w:rFonts w:ascii="Calibri" w:eastAsia="Times New Roman" w:hAnsi="Calibri" w:cs="Calibri"/>
          <w:lang w:val="en-US" w:eastAsia="fr-FR"/>
        </w:rPr>
        <w:fldChar w:fldCharType="end"/>
      </w:r>
      <w:r w:rsidR="00FA398E" w:rsidRPr="00FA398E">
        <w:rPr>
          <w:rFonts w:ascii="Calibri" w:eastAsia="Times New Roman" w:hAnsi="Calibri" w:cs="Calibri"/>
          <w:lang w:val="en-US" w:eastAsia="fr-FR"/>
        </w:rPr>
        <w:t>, the following features were recorded for each exam: ground-glass opacity (GGO), crazy paving</w:t>
      </w:r>
      <w:r w:rsidR="00FA398E" w:rsidRPr="00A5054A">
        <w:rPr>
          <w:rFonts w:ascii="Calibri" w:eastAsia="Times New Roman" w:hAnsi="Calibri" w:cs="Calibri"/>
          <w:lang w:val="en-US" w:eastAsia="fr-FR"/>
        </w:rPr>
        <w:t xml:space="preserve">, focal </w:t>
      </w:r>
      <w:r w:rsidR="00A5054A" w:rsidRPr="00A5054A">
        <w:rPr>
          <w:rFonts w:ascii="Calibri" w:eastAsia="Times New Roman" w:hAnsi="Calibri" w:cs="Calibri"/>
          <w:lang w:val="en-US" w:eastAsia="fr-FR"/>
        </w:rPr>
        <w:t xml:space="preserve">or linear </w:t>
      </w:r>
      <w:r w:rsidR="00A5054A">
        <w:rPr>
          <w:rFonts w:ascii="Calibri" w:eastAsia="Times New Roman" w:hAnsi="Calibri" w:cs="Calibri"/>
          <w:lang w:val="en-US" w:eastAsia="fr-FR"/>
        </w:rPr>
        <w:t>consolidation</w:t>
      </w:r>
      <w:r w:rsidR="00FA398E" w:rsidRPr="00A5054A">
        <w:rPr>
          <w:rFonts w:ascii="Calibri" w:eastAsia="Times New Roman" w:hAnsi="Calibri" w:cs="Calibri"/>
          <w:lang w:val="en-US" w:eastAsia="fr-FR"/>
        </w:rPr>
        <w:t>. For each exam, the predominant semiological patt</w:t>
      </w:r>
      <w:r w:rsidR="00FA398E" w:rsidRPr="00FA398E">
        <w:rPr>
          <w:rFonts w:ascii="Calibri" w:eastAsia="Times New Roman" w:hAnsi="Calibri" w:cs="Calibri"/>
          <w:lang w:val="en-US" w:eastAsia="fr-FR"/>
        </w:rPr>
        <w:t xml:space="preserve">ern was recorded. The presence of lung or pleural metastases was assessed by comparison with previous CT-scans. Patients with pre-existing equivocal findings before March 2020, such as GGO, were excluded after comparison of the study chest CT-scan with a previous CT-scan. A severity score </w:t>
      </w:r>
      <w:r w:rsidR="00C538F4">
        <w:rPr>
          <w:rFonts w:ascii="Calibri" w:eastAsia="Times New Roman" w:hAnsi="Calibri" w:cs="Calibri"/>
          <w:lang w:val="en-US" w:eastAsia="fr-FR"/>
        </w:rPr>
        <w:t>(5 classes)</w:t>
      </w:r>
      <w:r w:rsidR="00FA398E" w:rsidRPr="00FA398E">
        <w:rPr>
          <w:rFonts w:ascii="Calibri" w:eastAsia="Times New Roman" w:hAnsi="Calibri" w:cs="Calibri"/>
          <w:lang w:val="en-US" w:eastAsia="fr-FR"/>
        </w:rPr>
        <w:t xml:space="preserve"> was implemented according to the extent of lung parenchyma involvement</w:t>
      </w:r>
      <w:r w:rsidR="00FA398E" w:rsidRPr="00FA398E">
        <w:rPr>
          <w:rFonts w:ascii="Calibri" w:eastAsia="Times New Roman" w:hAnsi="Calibri" w:cs="Calibri"/>
          <w:lang w:val="en-US" w:eastAsia="fr-FR"/>
        </w:rPr>
        <w:fldChar w:fldCharType="begin"/>
      </w:r>
      <w:r w:rsidR="008924E3">
        <w:rPr>
          <w:rFonts w:ascii="Calibri" w:eastAsia="Times New Roman" w:hAnsi="Calibri" w:cs="Calibri"/>
          <w:lang w:val="en-US" w:eastAsia="fr-FR"/>
        </w:rPr>
        <w:instrText xml:space="preserve"> ADDIN ZOTERO_ITEM CSL_CITATION {"citationID":"ON1JNDIR","properties":{"formattedCitation":"\\super 3\\nosupersub{}","plainCitation":"3","noteIndex":0},"citationItems":[{"id":1037,"uris":["http://zotero.org/users/3361919/items/2JM2VATT"],"uri":["http://zotero.org/users/3361919/items/2JM2VATT"],"itemData":{"id":1037,"type":"article","title":"French Society of Radiology COVID-19 imaging guidelines.","URL":"http://www.sfrnet.org/rc/org/sfrnet/nws/News/2020/20200316-155630-175/src/nws_fullText/fr/CR%20TYPE%20COVID-19%20LAST.pdf"}}],"schema":"https://github.com/citation-style-language/schema/raw/master/csl-citation.json"} </w:instrText>
      </w:r>
      <w:r w:rsidR="00FA398E" w:rsidRPr="00FA398E">
        <w:rPr>
          <w:rFonts w:ascii="Calibri" w:eastAsia="Times New Roman" w:hAnsi="Calibri" w:cs="Calibri"/>
          <w:lang w:val="en-US" w:eastAsia="fr-FR"/>
        </w:rPr>
        <w:fldChar w:fldCharType="separate"/>
      </w:r>
      <w:r w:rsidR="008924E3" w:rsidRPr="008924E3">
        <w:rPr>
          <w:rFonts w:ascii="Calibri" w:hAnsi="Calibri" w:cs="Calibri"/>
          <w:szCs w:val="24"/>
          <w:vertAlign w:val="superscript"/>
          <w:lang w:val="en-US"/>
        </w:rPr>
        <w:t>3</w:t>
      </w:r>
      <w:r w:rsidR="00FA398E" w:rsidRPr="00FA398E">
        <w:rPr>
          <w:rFonts w:ascii="Calibri" w:eastAsia="Times New Roman" w:hAnsi="Calibri" w:cs="Calibri"/>
          <w:lang w:val="en-US" w:eastAsia="fr-FR"/>
        </w:rPr>
        <w:fldChar w:fldCharType="end"/>
      </w:r>
      <w:r w:rsidR="00FA398E" w:rsidRPr="00FA398E">
        <w:rPr>
          <w:rFonts w:ascii="Calibri" w:eastAsia="Times New Roman" w:hAnsi="Calibri" w:cs="Calibri"/>
          <w:lang w:val="en-US" w:eastAsia="fr-FR"/>
        </w:rPr>
        <w:t xml:space="preserve">as follow : </w:t>
      </w:r>
      <w:r w:rsidR="00C538F4">
        <w:rPr>
          <w:rFonts w:ascii="Calibri" w:eastAsia="Times New Roman" w:hAnsi="Calibri" w:cs="Calibri"/>
          <w:lang w:val="en-US" w:eastAsia="fr-FR"/>
        </w:rPr>
        <w:t>absent/minimal</w:t>
      </w:r>
      <w:r w:rsidR="00C538F4" w:rsidRPr="00FA398E">
        <w:rPr>
          <w:rFonts w:ascii="Calibri" w:eastAsia="Times New Roman" w:hAnsi="Calibri" w:cs="Calibri"/>
          <w:lang w:val="en-US" w:eastAsia="fr-FR"/>
        </w:rPr>
        <w:t xml:space="preserve"> (</w:t>
      </w:r>
      <w:r w:rsidR="00C538F4">
        <w:rPr>
          <w:rFonts w:ascii="Calibri" w:eastAsia="Times New Roman" w:hAnsi="Calibri" w:cs="Calibri"/>
          <w:lang w:val="en-US" w:eastAsia="fr-FR"/>
        </w:rPr>
        <w:t>0-</w:t>
      </w:r>
      <w:r w:rsidR="00C538F4" w:rsidRPr="00FA398E">
        <w:rPr>
          <w:rFonts w:ascii="Calibri" w:eastAsia="Times New Roman" w:hAnsi="Calibri" w:cs="Calibri"/>
          <w:lang w:val="en-US" w:eastAsia="fr-FR"/>
        </w:rPr>
        <w:t xml:space="preserve">&lt;10%); </w:t>
      </w:r>
      <w:r w:rsidR="00C538F4">
        <w:rPr>
          <w:rFonts w:ascii="Calibri" w:eastAsia="Times New Roman" w:hAnsi="Calibri" w:cs="Calibri"/>
          <w:lang w:val="en-US" w:eastAsia="fr-FR"/>
        </w:rPr>
        <w:t>moderate</w:t>
      </w:r>
      <w:r w:rsidR="00C538F4" w:rsidRPr="00FA398E">
        <w:rPr>
          <w:rFonts w:ascii="Calibri" w:eastAsia="Times New Roman" w:hAnsi="Calibri" w:cs="Calibri"/>
          <w:lang w:val="en-US" w:eastAsia="fr-FR"/>
        </w:rPr>
        <w:t xml:space="preserve"> (10-25%); </w:t>
      </w:r>
      <w:r w:rsidR="00C538F4">
        <w:rPr>
          <w:rFonts w:ascii="Calibri" w:eastAsia="Times New Roman" w:hAnsi="Calibri" w:cs="Calibri"/>
          <w:lang w:val="en-US" w:eastAsia="fr-FR"/>
        </w:rPr>
        <w:t>exten</w:t>
      </w:r>
      <w:r>
        <w:rPr>
          <w:rFonts w:ascii="Calibri" w:eastAsia="Times New Roman" w:hAnsi="Calibri" w:cs="Calibri"/>
          <w:lang w:val="en-US" w:eastAsia="fr-FR"/>
        </w:rPr>
        <w:t>sive</w:t>
      </w:r>
      <w:r w:rsidR="00C538F4" w:rsidRPr="00FA398E">
        <w:rPr>
          <w:rFonts w:ascii="Calibri" w:eastAsia="Times New Roman" w:hAnsi="Calibri" w:cs="Calibri"/>
          <w:lang w:val="en-US" w:eastAsia="fr-FR"/>
        </w:rPr>
        <w:t xml:space="preserve"> (26-50%); </w:t>
      </w:r>
      <w:r w:rsidR="00C538F4">
        <w:rPr>
          <w:rFonts w:ascii="Calibri" w:eastAsia="Times New Roman" w:hAnsi="Calibri" w:cs="Calibri"/>
          <w:lang w:val="en-US" w:eastAsia="fr-FR"/>
        </w:rPr>
        <w:t>severe</w:t>
      </w:r>
      <w:r w:rsidR="00C538F4" w:rsidRPr="00FA398E">
        <w:rPr>
          <w:rFonts w:ascii="Calibri" w:eastAsia="Times New Roman" w:hAnsi="Calibri" w:cs="Calibri"/>
          <w:lang w:val="en-US" w:eastAsia="fr-FR"/>
        </w:rPr>
        <w:t xml:space="preserve"> (51-75%); </w:t>
      </w:r>
      <w:r w:rsidR="00C538F4">
        <w:rPr>
          <w:rFonts w:ascii="Calibri" w:eastAsia="Times New Roman" w:hAnsi="Calibri" w:cs="Calibri"/>
          <w:lang w:val="en-US" w:eastAsia="fr-FR"/>
        </w:rPr>
        <w:t>critical</w:t>
      </w:r>
      <w:r w:rsidR="00C538F4" w:rsidRPr="00FA398E">
        <w:rPr>
          <w:rFonts w:ascii="Calibri" w:eastAsia="Times New Roman" w:hAnsi="Calibri" w:cs="Calibri"/>
          <w:lang w:val="en-US" w:eastAsia="fr-FR"/>
        </w:rPr>
        <w:t xml:space="preserve"> (&gt;75%).</w:t>
      </w:r>
    </w:p>
    <w:p w14:paraId="027D7005" w14:textId="6FAA93AE" w:rsidR="00FA398E" w:rsidRPr="00FA398E" w:rsidRDefault="00FA398E" w:rsidP="00C538F4">
      <w:pPr>
        <w:spacing w:after="0" w:line="480" w:lineRule="auto"/>
        <w:ind w:firstLine="708"/>
        <w:textAlignment w:val="baseline"/>
        <w:rPr>
          <w:rFonts w:ascii="Calibri" w:eastAsia="Times New Roman" w:hAnsi="Calibri" w:cs="Calibri"/>
          <w:lang w:val="en-US" w:eastAsia="fr-FR"/>
        </w:rPr>
      </w:pPr>
    </w:p>
    <w:p w14:paraId="213F32BB" w14:textId="77777777" w:rsidR="00FA398E" w:rsidRPr="00FA398E" w:rsidRDefault="00FA398E" w:rsidP="00C86E76">
      <w:pPr>
        <w:spacing w:after="0" w:line="480" w:lineRule="auto"/>
        <w:textAlignment w:val="baseline"/>
        <w:rPr>
          <w:rFonts w:ascii="Calibri" w:eastAsia="Times New Roman" w:hAnsi="Calibri" w:cs="Calibri"/>
          <w:i/>
          <w:iCs/>
          <w:lang w:val="en-US" w:eastAsia="fr-FR"/>
        </w:rPr>
      </w:pPr>
      <w:r w:rsidRPr="00FA398E">
        <w:rPr>
          <w:rFonts w:ascii="Calibri" w:eastAsia="Times New Roman" w:hAnsi="Calibri" w:cs="Calibri"/>
          <w:i/>
          <w:iCs/>
          <w:lang w:val="en-US" w:eastAsia="fr-FR"/>
        </w:rPr>
        <w:t>Blood samples</w:t>
      </w:r>
    </w:p>
    <w:p w14:paraId="1089EB48" w14:textId="1114A6F6" w:rsidR="00FA398E" w:rsidRPr="00FA398E" w:rsidRDefault="00FA398E" w:rsidP="00C86E76">
      <w:pPr>
        <w:spacing w:after="0" w:line="480" w:lineRule="auto"/>
        <w:textAlignment w:val="baseline"/>
        <w:rPr>
          <w:rFonts w:ascii="Calibri" w:eastAsia="Calibri" w:hAnsi="Calibri" w:cs="Calibri"/>
          <w:lang w:val="en-US"/>
        </w:rPr>
      </w:pPr>
      <w:r w:rsidRPr="00FA398E">
        <w:rPr>
          <w:rFonts w:ascii="Calibri" w:eastAsia="Times New Roman" w:hAnsi="Calibri" w:cs="Calibri"/>
          <w:lang w:val="en-US" w:eastAsia="fr-FR"/>
        </w:rPr>
        <w:tab/>
        <w:t>Values of t</w:t>
      </w:r>
      <w:r w:rsidR="003B2075">
        <w:rPr>
          <w:rFonts w:ascii="Calibri" w:eastAsia="Times New Roman" w:hAnsi="Calibri" w:cs="Calibri"/>
          <w:lang w:val="en-US" w:eastAsia="fr-FR"/>
        </w:rPr>
        <w:t>wo samples tests were collected</w:t>
      </w:r>
      <w:r w:rsidRPr="00FA398E">
        <w:rPr>
          <w:rFonts w:ascii="Calibri" w:eastAsia="Times New Roman" w:hAnsi="Calibri" w:cs="Calibri"/>
          <w:lang w:val="en-US" w:eastAsia="fr-FR"/>
        </w:rPr>
        <w:t xml:space="preserve">: one test called the reference test performed </w:t>
      </w:r>
      <w:r w:rsidR="00EE1091">
        <w:rPr>
          <w:rFonts w:ascii="Calibri" w:eastAsia="Times New Roman" w:hAnsi="Calibri" w:cs="Calibri"/>
          <w:lang w:val="en-US" w:eastAsia="fr-FR"/>
        </w:rPr>
        <w:t>no more than</w:t>
      </w:r>
      <w:r w:rsidRPr="00FA398E">
        <w:rPr>
          <w:rFonts w:ascii="Calibri" w:eastAsia="Times New Roman" w:hAnsi="Calibri" w:cs="Calibri"/>
          <w:lang w:val="en-US" w:eastAsia="fr-FR"/>
        </w:rPr>
        <w:t xml:space="preserve"> two months before COVID-19 diagnosis and one test called COVID-19 diagnosis test performed between 7 days before COVID-19 diagnosis and 7 days after COVID-19 diagnosis. For the COVID-19 diagnosis test, most relevant values (meaning most abnormal values) were collected.</w:t>
      </w:r>
    </w:p>
    <w:p w14:paraId="1613EE3E" w14:textId="77777777" w:rsidR="006D4B58" w:rsidRDefault="006D4B58" w:rsidP="00C86E76">
      <w:pPr>
        <w:rPr>
          <w:lang w:val="en-US"/>
        </w:rPr>
      </w:pPr>
    </w:p>
    <w:p w14:paraId="15A78622" w14:textId="77777777" w:rsidR="00FA398E" w:rsidRDefault="00FA398E" w:rsidP="00C86E76">
      <w:pPr>
        <w:rPr>
          <w:lang w:val="en-US"/>
        </w:rPr>
      </w:pPr>
    </w:p>
    <w:p w14:paraId="56D19660" w14:textId="77777777" w:rsidR="00FA398E" w:rsidRPr="00F22B6A" w:rsidRDefault="00FA398E" w:rsidP="00C86E76">
      <w:pPr>
        <w:pStyle w:val="paragraph"/>
        <w:spacing w:line="480" w:lineRule="auto"/>
        <w:textAlignment w:val="baseline"/>
        <w:rPr>
          <w:rFonts w:asciiTheme="minorHAnsi" w:hAnsiTheme="minorHAnsi" w:cstheme="minorBidi"/>
          <w:i/>
          <w:iCs/>
          <w:sz w:val="22"/>
          <w:szCs w:val="22"/>
          <w:lang w:val="en-US"/>
        </w:rPr>
      </w:pPr>
      <w:r w:rsidRPr="00F22B6A">
        <w:rPr>
          <w:rStyle w:val="eop"/>
          <w:rFonts w:asciiTheme="minorHAnsi" w:hAnsiTheme="minorHAnsi" w:cstheme="minorBidi"/>
          <w:i/>
          <w:iCs/>
          <w:sz w:val="22"/>
          <w:szCs w:val="22"/>
          <w:lang w:val="en-US"/>
        </w:rPr>
        <w:t xml:space="preserve">Cancer care </w:t>
      </w:r>
      <w:r>
        <w:rPr>
          <w:rStyle w:val="eop"/>
          <w:rFonts w:asciiTheme="minorHAnsi" w:hAnsiTheme="minorHAnsi" w:cstheme="minorBidi"/>
          <w:i/>
          <w:iCs/>
          <w:sz w:val="22"/>
          <w:szCs w:val="22"/>
          <w:lang w:val="en-US"/>
        </w:rPr>
        <w:t>during the COVID-19 pandemic</w:t>
      </w:r>
    </w:p>
    <w:p w14:paraId="4182BA6A" w14:textId="17615CE2" w:rsidR="00FA398E" w:rsidRPr="00F22B6A" w:rsidRDefault="00FA398E" w:rsidP="00C86E76">
      <w:pPr>
        <w:pStyle w:val="paragraph"/>
        <w:spacing w:line="480" w:lineRule="auto"/>
        <w:ind w:firstLine="708"/>
        <w:rPr>
          <w:rFonts w:ascii="Calibri" w:eastAsia="Calibri" w:hAnsi="Calibri" w:cs="Calibri"/>
          <w:lang w:val="en-US"/>
        </w:rPr>
      </w:pPr>
      <w:r w:rsidRPr="00F22B6A">
        <w:rPr>
          <w:rStyle w:val="eop"/>
          <w:rFonts w:asciiTheme="minorHAnsi" w:hAnsiTheme="minorHAnsi" w:cstheme="minorBidi"/>
          <w:sz w:val="22"/>
          <w:szCs w:val="22"/>
          <w:lang w:val="en-US"/>
        </w:rPr>
        <w:t>Starting mid-March 2020, national guidelines were published in France to help decision making for patients with cancer</w:t>
      </w:r>
      <w:r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 (fully accessible at </w:t>
      </w:r>
      <w:hyperlink r:id="rId4" w:history="1">
        <w:r w:rsidRPr="00B0531C">
          <w:rPr>
            <w:rStyle w:val="eop"/>
            <w:rFonts w:asciiTheme="minorHAnsi" w:hAnsiTheme="minorHAnsi" w:cstheme="minorBidi"/>
            <w:sz w:val="22"/>
            <w:szCs w:val="22"/>
            <w:lang w:val="en-US"/>
          </w:rPr>
          <w:t>https://www.oncopl.fr/recommandations-covid-19</w:t>
        </w:r>
      </w:hyperlink>
      <w:r>
        <w:rPr>
          <w:rStyle w:val="eop"/>
          <w:rFonts w:asciiTheme="minorHAnsi" w:hAnsiTheme="minorHAnsi" w:cstheme="minorBidi"/>
          <w:sz w:val="22"/>
          <w:szCs w:val="22"/>
          <w:lang w:val="en-US"/>
        </w:rPr>
        <w:t>)</w:t>
      </w:r>
      <w:r w:rsidRPr="00F22B6A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. </w:t>
      </w:r>
      <w:r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These </w:t>
      </w:r>
      <w:r w:rsidRPr="00F22B6A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guidelines were similar </w:t>
      </w:r>
      <w:r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for all tumor types </w:t>
      </w:r>
      <w:r w:rsidRPr="00F22B6A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and could be </w:t>
      </w:r>
      <w:r>
        <w:rPr>
          <w:rStyle w:val="eop"/>
          <w:rFonts w:asciiTheme="minorHAnsi" w:hAnsiTheme="minorHAnsi" w:cstheme="minorBidi"/>
          <w:sz w:val="22"/>
          <w:szCs w:val="22"/>
          <w:lang w:val="en-US"/>
        </w:rPr>
        <w:t>summarized</w:t>
      </w:r>
      <w:r w:rsidRPr="00F22B6A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 as follows: 1) postpone surgery for localized stage when possible</w:t>
      </w:r>
      <w:r w:rsidRPr="00B0531C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; 2) delay any </w:t>
      </w:r>
      <w:r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medical cancer </w:t>
      </w:r>
      <w:r w:rsidRPr="00B0531C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treatment for at least 15 days or until symptoms resolution </w:t>
      </w:r>
      <w:r>
        <w:rPr>
          <w:rStyle w:val="eop"/>
          <w:rFonts w:asciiTheme="minorHAnsi" w:hAnsiTheme="minorHAnsi" w:cstheme="minorBidi"/>
          <w:sz w:val="22"/>
          <w:szCs w:val="22"/>
          <w:lang w:val="en-US"/>
        </w:rPr>
        <w:t>if COVID</w:t>
      </w:r>
      <w:r w:rsidRPr="00705842">
        <w:rPr>
          <w:rStyle w:val="eop"/>
          <w:rFonts w:asciiTheme="minorHAnsi" w:hAnsiTheme="minorHAnsi" w:cstheme="minorBidi"/>
          <w:sz w:val="22"/>
          <w:szCs w:val="22"/>
          <w:lang w:val="en-US"/>
        </w:rPr>
        <w:t xml:space="preserve">-19 disease was confirmed; 3) barrier gestures </w:t>
      </w:r>
      <w:r w:rsidRPr="00705842">
        <w:rPr>
          <w:rStyle w:val="eop"/>
          <w:rFonts w:asciiTheme="minorHAnsi" w:hAnsiTheme="minorHAnsi" w:cstheme="minorBidi"/>
          <w:sz w:val="22"/>
          <w:szCs w:val="22"/>
          <w:lang w:val="en-US"/>
        </w:rPr>
        <w:lastRenderedPageBreak/>
        <w:t>were strongly reminded and advised</w:t>
      </w:r>
      <w:r w:rsidRPr="003D59BB">
        <w:rPr>
          <w:rFonts w:ascii="Calibri" w:eastAsia="Calibri" w:hAnsi="Calibri" w:cs="Calibri"/>
          <w:sz w:val="22"/>
          <w:lang w:val="en-US"/>
        </w:rPr>
        <w:t xml:space="preserve">. </w:t>
      </w:r>
      <w:r w:rsidR="003D59BB">
        <w:rPr>
          <w:rFonts w:ascii="Calibri" w:eastAsia="Calibri" w:hAnsi="Calibri" w:cs="Calibri"/>
          <w:sz w:val="22"/>
          <w:lang w:val="en-US"/>
        </w:rPr>
        <w:t>D</w:t>
      </w:r>
      <w:r w:rsidRPr="00705842">
        <w:rPr>
          <w:rFonts w:ascii="Calibri" w:eastAsia="Calibri" w:hAnsi="Calibri" w:cs="Calibri"/>
          <w:sz w:val="22"/>
          <w:lang w:val="en-US"/>
        </w:rPr>
        <w:t xml:space="preserve">edicated </w:t>
      </w:r>
      <w:r>
        <w:rPr>
          <w:rFonts w:ascii="Calibri" w:eastAsia="Calibri" w:hAnsi="Calibri" w:cs="Calibri"/>
          <w:sz w:val="22"/>
          <w:lang w:val="en-US"/>
        </w:rPr>
        <w:t>patients tracks were set up for radiation therapy in radiation therapy facilities for COVID-19 positive and negative patients. Hypofractionation was preferred whenever possible</w:t>
      </w:r>
      <w:r>
        <w:rPr>
          <w:rFonts w:ascii="Calibri" w:eastAsia="Calibri" w:hAnsi="Calibri" w:cs="Calibri"/>
          <w:sz w:val="22"/>
          <w:lang w:val="en-US"/>
        </w:rPr>
        <w:fldChar w:fldCharType="begin"/>
      </w:r>
      <w:r w:rsidR="008924E3">
        <w:rPr>
          <w:rFonts w:ascii="Calibri" w:eastAsia="Calibri" w:hAnsi="Calibri" w:cs="Calibri"/>
          <w:sz w:val="22"/>
          <w:lang w:val="en-US"/>
        </w:rPr>
        <w:instrText xml:space="preserve"> ADDIN ZOTERO_ITEM CSL_CITATION {"citationID":"0WIsT0Mi","properties":{"formattedCitation":"\\super 4\\nosupersub{}","plainCitation":"4","noteIndex":0},"citationItems":[{"id":1012,"uris":["http://zotero.org/users/3361919/items/5QJEX29L"],"uri":["http://zotero.org/users/3361919/items/5QJEX29L"],"itemData":{"id":1012,"type":"article-journal","container-title":"International journal of radiation oncology, biology, physics","DOI":"10.1016/j.ijrobp.2020.03.008","ISSN":"1879-355X 0360-3016","journalAbbreviation":"Int J Radiat Oncol Biol Phys","language":"eng","note":"publisher-place: United States\nPMID: 32199942","title":"Radiotherapy in the time of the Coronavirus pandemic: when less is better.","author":[{"family":"Achard","given":"Vérane"},{"family":"Tsoutsou","given":"Pelagia"},{"family":"Zilli","given":"Thomas"}],"issued":{"date-parts":[["2020",3,18]]}}}],"schema":"https://github.com/citation-style-language/schema/raw/master/csl-citation.json"} </w:instrText>
      </w:r>
      <w:r>
        <w:rPr>
          <w:rFonts w:ascii="Calibri" w:eastAsia="Calibri" w:hAnsi="Calibri" w:cs="Calibri"/>
          <w:sz w:val="22"/>
          <w:lang w:val="en-US"/>
        </w:rPr>
        <w:fldChar w:fldCharType="separate"/>
      </w:r>
      <w:r w:rsidR="008924E3" w:rsidRPr="00A5054A">
        <w:rPr>
          <w:rFonts w:ascii="Calibri" w:hAnsi="Calibri" w:cs="Calibri"/>
          <w:sz w:val="22"/>
          <w:vertAlign w:val="superscript"/>
          <w:lang w:val="en-US"/>
        </w:rPr>
        <w:t>4</w:t>
      </w:r>
      <w:r>
        <w:rPr>
          <w:rFonts w:ascii="Calibri" w:eastAsia="Calibri" w:hAnsi="Calibri" w:cs="Calibri"/>
          <w:sz w:val="22"/>
          <w:lang w:val="en-US"/>
        </w:rPr>
        <w:fldChar w:fldCharType="end"/>
      </w:r>
      <w:r>
        <w:rPr>
          <w:rFonts w:ascii="Calibri" w:eastAsia="Calibri" w:hAnsi="Calibri" w:cs="Calibri"/>
          <w:sz w:val="22"/>
          <w:lang w:val="en-US"/>
        </w:rPr>
        <w:t>.</w:t>
      </w:r>
      <w:r w:rsidR="00FF781A">
        <w:rPr>
          <w:rFonts w:ascii="Calibri" w:eastAsia="Calibri" w:hAnsi="Calibri" w:cs="Calibri"/>
          <w:sz w:val="22"/>
          <w:lang w:val="en-US"/>
        </w:rPr>
        <w:t xml:space="preserve"> </w:t>
      </w:r>
      <w:r w:rsidR="00FF781A">
        <w:rPr>
          <w:rStyle w:val="normaltextrun1"/>
          <w:rFonts w:asciiTheme="minorHAnsi" w:hAnsiTheme="minorHAnsi" w:cstheme="minorBidi"/>
          <w:sz w:val="22"/>
          <w:szCs w:val="22"/>
          <w:lang w:val="en-US"/>
        </w:rPr>
        <w:t xml:space="preserve">Intensive care unit was organized with COVID positive and COVID negative areas and dedicated operating room (OR) was fitted with an airlock and air treatment. </w:t>
      </w:r>
      <w:r w:rsidR="00FF781A">
        <w:rPr>
          <w:rFonts w:ascii="Calibri" w:eastAsia="Calibri" w:hAnsi="Calibri" w:cs="Calibri"/>
          <w:sz w:val="22"/>
          <w:lang w:val="en-US"/>
        </w:rPr>
        <w:t>Surgery was maintained after tumor boards for curable solid tumor known to be resistant to chemotherapy and/or urgent surgical indication (e.g. sarcomas, melanomas, retinoblastomas, ovarian cancer, etc.) or breast cancer when surgery could not be delayed by neoadjuvant chemotherapy). In th</w:t>
      </w:r>
      <w:r w:rsidR="00445218">
        <w:rPr>
          <w:rFonts w:ascii="Calibri" w:eastAsia="Calibri" w:hAnsi="Calibri" w:cs="Calibri"/>
          <w:sz w:val="22"/>
          <w:lang w:val="en-US"/>
        </w:rPr>
        <w:t xml:space="preserve">ese cases, </w:t>
      </w:r>
      <w:r w:rsidR="00FF781A">
        <w:rPr>
          <w:rFonts w:ascii="Calibri" w:eastAsia="Calibri" w:hAnsi="Calibri" w:cs="Calibri"/>
          <w:sz w:val="22"/>
          <w:lang w:val="en-US"/>
        </w:rPr>
        <w:t>systematic COVID-19 screening was done and final decision was took by surgeon</w:t>
      </w:r>
      <w:r w:rsidR="00C538F4">
        <w:rPr>
          <w:rFonts w:ascii="Calibri" w:eastAsia="Calibri" w:hAnsi="Calibri" w:cs="Calibri"/>
          <w:sz w:val="22"/>
          <w:lang w:val="en-US"/>
        </w:rPr>
        <w:t>s</w:t>
      </w:r>
      <w:r w:rsidR="00FF781A">
        <w:rPr>
          <w:rFonts w:ascii="Calibri" w:eastAsia="Calibri" w:hAnsi="Calibri" w:cs="Calibri"/>
          <w:sz w:val="22"/>
          <w:lang w:val="en-US"/>
        </w:rPr>
        <w:t xml:space="preserve"> and anesthesiologists. Urgent surgery for COVID-19 positive patients were performed in a dedicated OR.</w:t>
      </w:r>
      <w:r w:rsidR="002D6F1C">
        <w:rPr>
          <w:rFonts w:ascii="Calibri" w:eastAsia="Calibri" w:hAnsi="Calibri" w:cs="Calibri"/>
          <w:sz w:val="22"/>
          <w:lang w:val="en-US"/>
        </w:rPr>
        <w:t xml:space="preserve"> All inpatients received anticoagulation therapy, either low weight molecular heparin initiated at entry, or as prescribed prior to hospitalization (refer to table 1).</w:t>
      </w:r>
    </w:p>
    <w:p w14:paraId="0C7A57FC" w14:textId="4C8E159E" w:rsidR="00BD2993" w:rsidRDefault="00BD2993" w:rsidP="00C86E76">
      <w:pPr>
        <w:rPr>
          <w:b/>
          <w:lang w:val="en-US"/>
        </w:rPr>
      </w:pPr>
    </w:p>
    <w:p w14:paraId="1E6B9FD1" w14:textId="2E0B8F04" w:rsidR="00BD2993" w:rsidRPr="00371E49" w:rsidRDefault="00BD2993" w:rsidP="00C86E76">
      <w:pPr>
        <w:rPr>
          <w:b/>
        </w:rPr>
      </w:pPr>
      <w:proofErr w:type="spellStart"/>
      <w:r w:rsidRPr="00371E49">
        <w:rPr>
          <w:b/>
        </w:rPr>
        <w:t>References</w:t>
      </w:r>
      <w:proofErr w:type="spellEnd"/>
    </w:p>
    <w:p w14:paraId="21DEE63A" w14:textId="77777777" w:rsidR="00BD2993" w:rsidRPr="008924E3" w:rsidRDefault="00BD2993" w:rsidP="00C86E76">
      <w:pPr>
        <w:pStyle w:val="Bibliographie"/>
        <w:rPr>
          <w:rFonts w:ascii="Calibri" w:hAnsi="Calibri" w:cs="Calibri"/>
          <w:lang w:val="en-US"/>
        </w:rPr>
      </w:pPr>
      <w:r>
        <w:rPr>
          <w:lang w:val="en-US"/>
        </w:rPr>
        <w:fldChar w:fldCharType="begin"/>
      </w:r>
      <w:r w:rsidRPr="00371E49">
        <w:instrText xml:space="preserve"> ADDIN ZOTERO_BIBL {"uncited":[],"omitted":[],"custom":[]} CSL_BIBLIOGRAPHY </w:instrText>
      </w:r>
      <w:r>
        <w:rPr>
          <w:lang w:val="en-US"/>
        </w:rPr>
        <w:fldChar w:fldCharType="separate"/>
      </w:r>
      <w:r w:rsidRPr="00371E49">
        <w:rPr>
          <w:rFonts w:ascii="Calibri" w:hAnsi="Calibri" w:cs="Calibri"/>
        </w:rPr>
        <w:t xml:space="preserve">1. </w:t>
      </w:r>
      <w:r w:rsidRPr="00371E49">
        <w:rPr>
          <w:rFonts w:ascii="Calibri" w:hAnsi="Calibri" w:cs="Calibri"/>
        </w:rPr>
        <w:tab/>
        <w:t xml:space="preserve">Huang C, Wang Y, Li X, et al. </w:t>
      </w:r>
      <w:r w:rsidRPr="008924E3">
        <w:rPr>
          <w:rFonts w:ascii="Calibri" w:hAnsi="Calibri" w:cs="Calibri"/>
          <w:lang w:val="en-US"/>
        </w:rPr>
        <w:t xml:space="preserve">Clinical features of patients infected with 2019 novel coronavirus in Wuhan, China. </w:t>
      </w:r>
      <w:r w:rsidRPr="008924E3">
        <w:rPr>
          <w:rFonts w:ascii="Calibri" w:hAnsi="Calibri" w:cs="Calibri"/>
          <w:i/>
          <w:iCs/>
          <w:lang w:val="en-US"/>
        </w:rPr>
        <w:t>The Lancet</w:t>
      </w:r>
      <w:r w:rsidRPr="008924E3">
        <w:rPr>
          <w:rFonts w:ascii="Calibri" w:hAnsi="Calibri" w:cs="Calibri"/>
          <w:lang w:val="en-US"/>
        </w:rPr>
        <w:t>. 2020;395(10223):497-506. doi:10.1016/S0140-6736(20)30183-5</w:t>
      </w:r>
    </w:p>
    <w:p w14:paraId="7F32F59D" w14:textId="77777777" w:rsidR="00BD2993" w:rsidRPr="008924E3" w:rsidRDefault="00BD2993" w:rsidP="00C86E76">
      <w:pPr>
        <w:pStyle w:val="Bibliographie"/>
        <w:rPr>
          <w:rFonts w:ascii="Calibri" w:hAnsi="Calibri" w:cs="Calibri"/>
          <w:lang w:val="en-US"/>
        </w:rPr>
      </w:pPr>
      <w:r w:rsidRPr="008924E3">
        <w:rPr>
          <w:rFonts w:ascii="Calibri" w:hAnsi="Calibri" w:cs="Calibri"/>
          <w:lang w:val="en-US"/>
        </w:rPr>
        <w:t xml:space="preserve">2. </w:t>
      </w:r>
      <w:r w:rsidRPr="008924E3">
        <w:rPr>
          <w:rFonts w:ascii="Calibri" w:hAnsi="Calibri" w:cs="Calibri"/>
          <w:lang w:val="en-US"/>
        </w:rPr>
        <w:tab/>
        <w:t xml:space="preserve">Salehi S, Abedi A, Balakrishnan S, Gholamrezanezhad A. Coronavirus disease 2019 (COVID-19) imaging reporting and data system (COVID-RADS)  and common lexicon: a proposal based on the imaging data of 37 studies. </w:t>
      </w:r>
      <w:r w:rsidRPr="008924E3">
        <w:rPr>
          <w:rFonts w:ascii="Calibri" w:hAnsi="Calibri" w:cs="Calibri"/>
          <w:i/>
          <w:iCs/>
          <w:lang w:val="en-US"/>
        </w:rPr>
        <w:t>Eur Radiol</w:t>
      </w:r>
      <w:r w:rsidRPr="008924E3">
        <w:rPr>
          <w:rFonts w:ascii="Calibri" w:hAnsi="Calibri" w:cs="Calibri"/>
          <w:lang w:val="en-US"/>
        </w:rPr>
        <w:t>. Published online April 28, 2020. doi:10.1007/s00330-020-06863-0</w:t>
      </w:r>
    </w:p>
    <w:p w14:paraId="6105913A" w14:textId="77777777" w:rsidR="00BD2993" w:rsidRPr="008924E3" w:rsidRDefault="00BD2993" w:rsidP="00C86E76">
      <w:pPr>
        <w:pStyle w:val="Bibliographie"/>
        <w:rPr>
          <w:rFonts w:ascii="Calibri" w:hAnsi="Calibri" w:cs="Calibri"/>
          <w:lang w:val="en-US"/>
        </w:rPr>
      </w:pPr>
      <w:r w:rsidRPr="008924E3">
        <w:rPr>
          <w:rFonts w:ascii="Calibri" w:hAnsi="Calibri" w:cs="Calibri"/>
          <w:lang w:val="en-US"/>
        </w:rPr>
        <w:t xml:space="preserve">3. </w:t>
      </w:r>
      <w:r w:rsidRPr="008924E3">
        <w:rPr>
          <w:rFonts w:ascii="Calibri" w:hAnsi="Calibri" w:cs="Calibri"/>
          <w:lang w:val="en-US"/>
        </w:rPr>
        <w:tab/>
        <w:t>French Society of Radiology COVID-19 imaging guidelines. http://www.sfrnet.org/rc/org/sfrnet/nws/News/2020/20200316-155630-175/src/nws_fullText/fr/CR%20TYPE%20COVID-19%20LAST.pdf</w:t>
      </w:r>
    </w:p>
    <w:p w14:paraId="2DA14E64" w14:textId="77777777" w:rsidR="00BD2993" w:rsidRPr="008924E3" w:rsidRDefault="00BD2993" w:rsidP="00C86E76">
      <w:pPr>
        <w:pStyle w:val="Bibliographie"/>
        <w:rPr>
          <w:rFonts w:ascii="Calibri" w:hAnsi="Calibri" w:cs="Calibri"/>
          <w:lang w:val="en-US"/>
        </w:rPr>
      </w:pPr>
      <w:r w:rsidRPr="008924E3">
        <w:rPr>
          <w:rFonts w:ascii="Calibri" w:hAnsi="Calibri" w:cs="Calibri"/>
          <w:lang w:val="en-US"/>
        </w:rPr>
        <w:t xml:space="preserve">4. </w:t>
      </w:r>
      <w:r w:rsidRPr="008924E3">
        <w:rPr>
          <w:rFonts w:ascii="Calibri" w:hAnsi="Calibri" w:cs="Calibri"/>
          <w:lang w:val="en-US"/>
        </w:rPr>
        <w:tab/>
        <w:t xml:space="preserve">Achard V, Tsoutsou P, Zilli T. Radiotherapy in the time of the Coronavirus pandemic: when less is better. </w:t>
      </w:r>
      <w:r w:rsidRPr="008924E3">
        <w:rPr>
          <w:rFonts w:ascii="Calibri" w:hAnsi="Calibri" w:cs="Calibri"/>
          <w:i/>
          <w:iCs/>
          <w:lang w:val="en-US"/>
        </w:rPr>
        <w:t>Int J Radiat Oncol Biol Phys</w:t>
      </w:r>
      <w:r w:rsidRPr="008924E3">
        <w:rPr>
          <w:rFonts w:ascii="Calibri" w:hAnsi="Calibri" w:cs="Calibri"/>
          <w:lang w:val="en-US"/>
        </w:rPr>
        <w:t>. Published online March 18, 2020. doi:10.1016/j.ijrobp.2020.03.008</w:t>
      </w:r>
    </w:p>
    <w:p w14:paraId="378E4884" w14:textId="20491085" w:rsidR="00BD2993" w:rsidRDefault="00BD2993" w:rsidP="00C86E76">
      <w:pPr>
        <w:rPr>
          <w:lang w:val="en-US"/>
        </w:rPr>
      </w:pPr>
      <w:r>
        <w:rPr>
          <w:lang w:val="en-US"/>
        </w:rPr>
        <w:fldChar w:fldCharType="end"/>
      </w:r>
    </w:p>
    <w:p w14:paraId="7EF7CA4D" w14:textId="3FD70958" w:rsidR="00BD2993" w:rsidRDefault="00BD2993" w:rsidP="00C86E76">
      <w:pPr>
        <w:rPr>
          <w:lang w:val="en-US"/>
        </w:rPr>
      </w:pPr>
      <w:r>
        <w:rPr>
          <w:lang w:val="en-US"/>
        </w:rPr>
        <w:br w:type="page"/>
      </w:r>
    </w:p>
    <w:p w14:paraId="71C199FE" w14:textId="77777777" w:rsidR="00FA398E" w:rsidRPr="00DF4898" w:rsidRDefault="00D20AB2" w:rsidP="00C86E76">
      <w:pPr>
        <w:rPr>
          <w:b/>
          <w:lang w:val="en-US"/>
        </w:rPr>
      </w:pPr>
      <w:r w:rsidRPr="00DF4898">
        <w:rPr>
          <w:b/>
          <w:lang w:val="en-US"/>
        </w:rPr>
        <w:lastRenderedPageBreak/>
        <w:t>SUPPLEMENTARY TABLES</w:t>
      </w:r>
    </w:p>
    <w:p w14:paraId="2B3D985D" w14:textId="76CF818F" w:rsidR="00D20AB2" w:rsidRDefault="00D20AB2" w:rsidP="00C86E76">
      <w:pPr>
        <w:rPr>
          <w:lang w:val="en-US"/>
        </w:rPr>
      </w:pPr>
    </w:p>
    <w:p w14:paraId="11AA4529" w14:textId="016D14C0" w:rsidR="00DE26A8" w:rsidRPr="00DE26A8" w:rsidRDefault="00DE26A8" w:rsidP="00C86E76">
      <w:pPr>
        <w:rPr>
          <w:b/>
          <w:lang w:val="en-US"/>
        </w:rPr>
      </w:pPr>
      <w:r w:rsidRPr="00DE26A8">
        <w:rPr>
          <w:b/>
          <w:lang w:val="en-US"/>
        </w:rPr>
        <w:t>Supplementary table S</w:t>
      </w:r>
      <w:r>
        <w:rPr>
          <w:b/>
          <w:lang w:val="en-US"/>
        </w:rPr>
        <w:t>1</w:t>
      </w:r>
      <w:r w:rsidRPr="00DE26A8">
        <w:rPr>
          <w:b/>
          <w:lang w:val="en-US"/>
        </w:rPr>
        <w:t xml:space="preserve">. Characteristics of patients with </w:t>
      </w:r>
      <w:r w:rsidR="00E3463E">
        <w:rPr>
          <w:b/>
          <w:lang w:val="en-US"/>
        </w:rPr>
        <w:t xml:space="preserve">positive </w:t>
      </w:r>
      <w:r w:rsidRPr="00DE26A8">
        <w:rPr>
          <w:b/>
          <w:lang w:val="en-US"/>
        </w:rPr>
        <w:t>chest CT-scan</w:t>
      </w:r>
      <w:r w:rsidR="00E3463E">
        <w:rPr>
          <w:b/>
          <w:lang w:val="en-US"/>
        </w:rPr>
        <w:t>.</w:t>
      </w:r>
    </w:p>
    <w:p w14:paraId="46A343D5" w14:textId="77777777" w:rsidR="00DE26A8" w:rsidRDefault="00DE26A8" w:rsidP="00C86E76">
      <w:pPr>
        <w:rPr>
          <w:lang w:val="en-US"/>
        </w:rPr>
      </w:pPr>
    </w:p>
    <w:tbl>
      <w:tblPr>
        <w:tblStyle w:val="Grilledutableau"/>
        <w:tblW w:w="6658" w:type="dxa"/>
        <w:tblLook w:val="04A0" w:firstRow="1" w:lastRow="0" w:firstColumn="1" w:lastColumn="0" w:noHBand="0" w:noVBand="1"/>
      </w:tblPr>
      <w:tblGrid>
        <w:gridCol w:w="2756"/>
        <w:gridCol w:w="3902"/>
      </w:tblGrid>
      <w:tr w:rsidR="00C86E76" w:rsidRPr="00DE26A8" w14:paraId="06C07A82" w14:textId="77777777" w:rsidTr="00E3463E">
        <w:trPr>
          <w:trHeight w:val="747"/>
        </w:trPr>
        <w:tc>
          <w:tcPr>
            <w:tcW w:w="2756" w:type="dxa"/>
          </w:tcPr>
          <w:p w14:paraId="7A0A5780" w14:textId="77777777" w:rsidR="00C86E76" w:rsidRPr="00371E49" w:rsidRDefault="00C86E76" w:rsidP="00C86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902" w:type="dxa"/>
          </w:tcPr>
          <w:p w14:paraId="15504685" w14:textId="579B09ED" w:rsidR="00C86E76" w:rsidRDefault="00C86E76" w:rsidP="00C86E76">
            <w:pPr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All patients with </w:t>
            </w:r>
            <w:r w:rsidR="00E3463E"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positive </w:t>
            </w:r>
            <w:r>
              <w:rPr>
                <w:rFonts w:ascii="Calibri" w:eastAsia="Calibri" w:hAnsi="Calibri" w:cs="Times New Roman"/>
                <w:b/>
                <w:sz w:val="20"/>
                <w:lang w:val="en-US"/>
              </w:rPr>
              <w:t>chest CT</w:t>
            </w:r>
            <w:r w:rsidR="00EE1091"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lang w:val="en-US"/>
              </w:rPr>
              <w:t>scan</w:t>
            </w:r>
          </w:p>
          <w:p w14:paraId="50128357" w14:textId="1E5CDD9A" w:rsidR="00C86E76" w:rsidRPr="00574283" w:rsidRDefault="00EE1091" w:rsidP="00EE1091">
            <w:pPr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en-US"/>
              </w:rPr>
              <w:t>N</w:t>
            </w:r>
            <w:r w:rsidR="00C86E76" w:rsidRPr="00574283">
              <w:rPr>
                <w:rFonts w:ascii="Calibri" w:eastAsia="Calibri" w:hAnsi="Calibri" w:cs="Times New Roman"/>
                <w:b/>
                <w:sz w:val="20"/>
                <w:lang w:val="en-US"/>
              </w:rPr>
              <w:t xml:space="preserve"> evaluable (%)</w:t>
            </w:r>
          </w:p>
          <w:p w14:paraId="43AE09F3" w14:textId="77777777" w:rsidR="00C86E76" w:rsidRPr="00574283" w:rsidRDefault="00C86E76" w:rsidP="00C86E76">
            <w:pPr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lang w:val="en-US"/>
              </w:rPr>
              <w:t>N=80</w:t>
            </w:r>
          </w:p>
        </w:tc>
      </w:tr>
      <w:tr w:rsidR="00C86E76" w:rsidRPr="00574283" w14:paraId="1EC8CC2B" w14:textId="77777777" w:rsidTr="00C538F4">
        <w:trPr>
          <w:trHeight w:val="560"/>
        </w:trPr>
        <w:tc>
          <w:tcPr>
            <w:tcW w:w="2756" w:type="dxa"/>
          </w:tcPr>
          <w:p w14:paraId="2BFAB2C0" w14:textId="4E486E82" w:rsidR="00C86E76" w:rsidRPr="00574283" w:rsidRDefault="00C86E76" w:rsidP="00C86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Median Age (IQR)</w:t>
            </w:r>
          </w:p>
          <w:p w14:paraId="4BA841A5" w14:textId="77777777" w:rsidR="00C86E76" w:rsidRPr="00574283" w:rsidRDefault="00C86E76" w:rsidP="00C86E76">
            <w:pPr>
              <w:rPr>
                <w:rFonts w:ascii="Calibri" w:eastAsia="Calibri" w:hAnsi="Calibri" w:cs="Times New Roman"/>
                <w:sz w:val="20"/>
              </w:rPr>
            </w:pPr>
            <w:r w:rsidRPr="00574283">
              <w:rPr>
                <w:rFonts w:ascii="Calibri" w:eastAsia="Calibri" w:hAnsi="Calibri" w:cs="Times New Roman"/>
                <w:sz w:val="20"/>
              </w:rPr>
              <w:t>Age&gt;70</w:t>
            </w:r>
          </w:p>
        </w:tc>
        <w:tc>
          <w:tcPr>
            <w:tcW w:w="3902" w:type="dxa"/>
            <w:shd w:val="clear" w:color="auto" w:fill="auto"/>
          </w:tcPr>
          <w:p w14:paraId="7C8662D0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 (52-77)</w:t>
            </w:r>
          </w:p>
          <w:p w14:paraId="4A89AD43" w14:textId="313DFDA8" w:rsidR="00C86E76" w:rsidRPr="00574283" w:rsidRDefault="00C86E76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18 (2</w:t>
            </w:r>
            <w:r w:rsidR="00C538F4">
              <w:rPr>
                <w:rFonts w:ascii="Calibri" w:eastAsia="Calibri" w:hAnsi="Calibri" w:cs="Times New Roman"/>
                <w:sz w:val="20"/>
              </w:rPr>
              <w:t>3</w:t>
            </w:r>
            <w:r>
              <w:rPr>
                <w:rFonts w:ascii="Calibri" w:eastAsia="Calibri" w:hAnsi="Calibri" w:cs="Times New Roman"/>
                <w:sz w:val="20"/>
              </w:rPr>
              <w:t>%)</w:t>
            </w:r>
          </w:p>
        </w:tc>
      </w:tr>
      <w:tr w:rsidR="00C86E76" w:rsidRPr="00574283" w14:paraId="47DF6D9B" w14:textId="77777777" w:rsidTr="00C538F4">
        <w:trPr>
          <w:trHeight w:val="835"/>
        </w:trPr>
        <w:tc>
          <w:tcPr>
            <w:tcW w:w="2756" w:type="dxa"/>
          </w:tcPr>
          <w:p w14:paraId="184D4585" w14:textId="77777777" w:rsidR="00C86E76" w:rsidRPr="00574283" w:rsidRDefault="00C86E76" w:rsidP="00C86E76">
            <w:p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574283">
              <w:rPr>
                <w:rFonts w:ascii="Calibri" w:eastAsia="Calibri" w:hAnsi="Calibri" w:cs="Times New Roman"/>
                <w:sz w:val="20"/>
              </w:rPr>
              <w:t>Gender</w:t>
            </w:r>
            <w:proofErr w:type="spellEnd"/>
          </w:p>
          <w:p w14:paraId="6770C61F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</w:rPr>
            </w:pPr>
            <w:r w:rsidRPr="00574283">
              <w:rPr>
                <w:rFonts w:ascii="Calibri" w:eastAsia="Calibri" w:hAnsi="Calibri" w:cs="Times New Roman"/>
                <w:sz w:val="20"/>
              </w:rPr>
              <w:t>Male</w:t>
            </w:r>
          </w:p>
          <w:p w14:paraId="6C6D860D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574283">
              <w:rPr>
                <w:rFonts w:ascii="Calibri" w:eastAsia="Calibri" w:hAnsi="Calibri" w:cs="Times New Roman"/>
                <w:sz w:val="20"/>
              </w:rPr>
              <w:t>Female</w:t>
            </w:r>
            <w:proofErr w:type="spellEnd"/>
          </w:p>
        </w:tc>
        <w:tc>
          <w:tcPr>
            <w:tcW w:w="3902" w:type="dxa"/>
            <w:shd w:val="clear" w:color="auto" w:fill="auto"/>
          </w:tcPr>
          <w:p w14:paraId="459DCF04" w14:textId="77777777" w:rsidR="00C538F4" w:rsidRDefault="00C538F4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1A150563" w14:textId="1730C90E" w:rsidR="00C86E76" w:rsidRDefault="00C538F4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26 (33</w:t>
            </w:r>
            <w:r w:rsidR="00C86E76">
              <w:rPr>
                <w:rFonts w:ascii="Calibri" w:eastAsia="Calibri" w:hAnsi="Calibri" w:cs="Times New Roman"/>
                <w:sz w:val="20"/>
              </w:rPr>
              <w:t>%)</w:t>
            </w:r>
          </w:p>
          <w:p w14:paraId="337C6FF2" w14:textId="550C0EF0" w:rsidR="00C86E76" w:rsidRPr="00574283" w:rsidRDefault="00C538F4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54 (67</w:t>
            </w:r>
            <w:r w:rsidR="00C86E76">
              <w:rPr>
                <w:rFonts w:ascii="Calibri" w:eastAsia="Calibri" w:hAnsi="Calibri" w:cs="Times New Roman"/>
                <w:sz w:val="20"/>
              </w:rPr>
              <w:t>%)</w:t>
            </w:r>
          </w:p>
        </w:tc>
      </w:tr>
      <w:tr w:rsidR="00C86E76" w:rsidRPr="00574283" w14:paraId="229ADBF3" w14:textId="77777777" w:rsidTr="00C538F4">
        <w:trPr>
          <w:trHeight w:val="424"/>
        </w:trPr>
        <w:tc>
          <w:tcPr>
            <w:tcW w:w="2756" w:type="dxa"/>
          </w:tcPr>
          <w:p w14:paraId="07F43201" w14:textId="77777777" w:rsidR="00C86E76" w:rsidRPr="00574283" w:rsidRDefault="00C86E76" w:rsidP="00C86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Median BMI (IQR)</w:t>
            </w:r>
          </w:p>
          <w:p w14:paraId="3E2F0EDB" w14:textId="5BAD7263" w:rsidR="00C86E76" w:rsidRPr="00574283" w:rsidRDefault="00EE1091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BMI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t>≥</w:t>
            </w:r>
            <w:r w:rsidR="00C86E76" w:rsidRPr="00574283">
              <w:rPr>
                <w:rFonts w:ascii="Calibri" w:eastAsia="Calibri" w:hAnsi="Calibri" w:cs="Times New Roman"/>
                <w:sz w:val="20"/>
                <w:lang w:val="en-US"/>
              </w:rPr>
              <w:t>30</w:t>
            </w:r>
          </w:p>
        </w:tc>
        <w:tc>
          <w:tcPr>
            <w:tcW w:w="3902" w:type="dxa"/>
            <w:shd w:val="clear" w:color="auto" w:fill="auto"/>
          </w:tcPr>
          <w:p w14:paraId="1E39A0E6" w14:textId="716F7FC2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  <w:r w:rsidR="00C538F4">
              <w:rPr>
                <w:rFonts w:ascii="Calibri" w:eastAsia="Calibri" w:hAnsi="Calibri" w:cs="Times New Roman"/>
                <w:sz w:val="20"/>
              </w:rPr>
              <w:t>5</w:t>
            </w:r>
            <w:r>
              <w:rPr>
                <w:rFonts w:ascii="Calibri" w:eastAsia="Calibri" w:hAnsi="Calibri" w:cs="Times New Roman"/>
                <w:sz w:val="20"/>
              </w:rPr>
              <w:t xml:space="preserve"> (2</w:t>
            </w:r>
            <w:r w:rsidR="00C538F4">
              <w:rPr>
                <w:rFonts w:ascii="Calibri" w:eastAsia="Calibri" w:hAnsi="Calibri" w:cs="Times New Roman"/>
                <w:sz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</w:rPr>
              <w:t>-</w:t>
            </w:r>
            <w:r w:rsidR="00C538F4">
              <w:rPr>
                <w:rFonts w:ascii="Calibri" w:eastAsia="Calibri" w:hAnsi="Calibri" w:cs="Times New Roman"/>
                <w:sz w:val="20"/>
              </w:rPr>
              <w:t>29</w:t>
            </w:r>
            <w:r>
              <w:rPr>
                <w:rFonts w:ascii="Calibri" w:eastAsia="Calibri" w:hAnsi="Calibri" w:cs="Times New Roman"/>
                <w:sz w:val="20"/>
              </w:rPr>
              <w:t>)</w:t>
            </w:r>
          </w:p>
          <w:p w14:paraId="23DE4F74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 (12%)</w:t>
            </w:r>
          </w:p>
        </w:tc>
      </w:tr>
      <w:tr w:rsidR="00C86E76" w:rsidRPr="00574283" w14:paraId="6C7D3E78" w14:textId="77777777" w:rsidTr="00E3463E">
        <w:trPr>
          <w:trHeight w:val="853"/>
        </w:trPr>
        <w:tc>
          <w:tcPr>
            <w:tcW w:w="2756" w:type="dxa"/>
          </w:tcPr>
          <w:p w14:paraId="29F4C5B5" w14:textId="77777777" w:rsidR="00C86E76" w:rsidRPr="00574283" w:rsidRDefault="00C86E76" w:rsidP="00C86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 xml:space="preserve">WHO </w:t>
            </w: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Performance Status </w:t>
            </w:r>
          </w:p>
          <w:p w14:paraId="2E516EB9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0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-</w:t>
            </w: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1</w:t>
            </w:r>
          </w:p>
          <w:p w14:paraId="05116B01" w14:textId="77777777" w:rsidR="00C86E76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2-4</w:t>
            </w:r>
          </w:p>
        </w:tc>
        <w:tc>
          <w:tcPr>
            <w:tcW w:w="3902" w:type="dxa"/>
          </w:tcPr>
          <w:p w14:paraId="573C7035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N=49</w:t>
            </w:r>
          </w:p>
          <w:p w14:paraId="44A9837C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 (51%)</w:t>
            </w:r>
          </w:p>
          <w:p w14:paraId="36260AE8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 (49%)</w:t>
            </w:r>
          </w:p>
        </w:tc>
      </w:tr>
      <w:tr w:rsidR="00C86E76" w:rsidRPr="00574283" w14:paraId="116CCD5F" w14:textId="77777777" w:rsidTr="00C538F4">
        <w:trPr>
          <w:trHeight w:val="2030"/>
        </w:trPr>
        <w:tc>
          <w:tcPr>
            <w:tcW w:w="2756" w:type="dxa"/>
          </w:tcPr>
          <w:p w14:paraId="1BD279C8" w14:textId="77777777" w:rsidR="00C86E76" w:rsidRPr="00574283" w:rsidRDefault="00C86E76" w:rsidP="00C86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Comorbidities</w:t>
            </w:r>
          </w:p>
          <w:p w14:paraId="7496AE9E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Active smokers</w:t>
            </w:r>
          </w:p>
          <w:p w14:paraId="53B5CFBE" w14:textId="72C6F49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Chronic </w:t>
            </w:r>
            <w:r w:rsidR="00EE1091">
              <w:rPr>
                <w:rFonts w:ascii="Calibri" w:eastAsia="Calibri" w:hAnsi="Calibri" w:cs="Times New Roman"/>
                <w:sz w:val="20"/>
                <w:lang w:val="en-US"/>
              </w:rPr>
              <w:t>lung</w:t>
            </w: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 disease</w:t>
            </w:r>
          </w:p>
          <w:p w14:paraId="00EF9F0B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Diabetes</w:t>
            </w:r>
          </w:p>
          <w:p w14:paraId="03B51582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Hypertension</w:t>
            </w:r>
          </w:p>
          <w:p w14:paraId="5506CBA8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Other heart disease</w:t>
            </w:r>
          </w:p>
          <w:p w14:paraId="00BFD08C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Systemic disease</w:t>
            </w:r>
          </w:p>
          <w:p w14:paraId="59B03D49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None</w:t>
            </w: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 of the above</w:t>
            </w:r>
          </w:p>
        </w:tc>
        <w:tc>
          <w:tcPr>
            <w:tcW w:w="3902" w:type="dxa"/>
          </w:tcPr>
          <w:p w14:paraId="77816268" w14:textId="77777777" w:rsidR="00C538F4" w:rsidRDefault="00C538F4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17376F90" w14:textId="034B36C9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 (16%)</w:t>
            </w:r>
          </w:p>
          <w:p w14:paraId="44BFB0D1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 (5%)</w:t>
            </w:r>
          </w:p>
          <w:p w14:paraId="08EF2309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 (18%)</w:t>
            </w:r>
          </w:p>
          <w:p w14:paraId="591FD354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 (26%)</w:t>
            </w:r>
          </w:p>
          <w:p w14:paraId="34FB2D29" w14:textId="4B3D7C56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</w:t>
            </w:r>
            <w:r w:rsidR="00C538F4">
              <w:rPr>
                <w:rFonts w:ascii="Calibri" w:eastAsia="Calibri" w:hAnsi="Calibri" w:cs="Times New Roman"/>
                <w:sz w:val="20"/>
              </w:rPr>
              <w:t>2</w:t>
            </w:r>
            <w:r>
              <w:rPr>
                <w:rFonts w:ascii="Calibri" w:eastAsia="Calibri" w:hAnsi="Calibri" w:cs="Times New Roman"/>
                <w:sz w:val="20"/>
              </w:rPr>
              <w:t xml:space="preserve"> (1</w:t>
            </w:r>
            <w:r w:rsidR="00C538F4">
              <w:rPr>
                <w:rFonts w:ascii="Calibri" w:eastAsia="Calibri" w:hAnsi="Calibri" w:cs="Times New Roman"/>
                <w:sz w:val="20"/>
              </w:rPr>
              <w:t>5</w:t>
            </w:r>
            <w:r>
              <w:rPr>
                <w:rFonts w:ascii="Calibri" w:eastAsia="Calibri" w:hAnsi="Calibri" w:cs="Times New Roman"/>
                <w:sz w:val="20"/>
              </w:rPr>
              <w:t>%)</w:t>
            </w:r>
          </w:p>
          <w:p w14:paraId="23004A19" w14:textId="58FA18A7" w:rsidR="00C86E76" w:rsidRDefault="00C538F4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  <w:r w:rsidR="00C86E76">
              <w:rPr>
                <w:rFonts w:ascii="Calibri" w:eastAsia="Calibri" w:hAnsi="Calibri" w:cs="Times New Roman"/>
                <w:sz w:val="20"/>
              </w:rPr>
              <w:t xml:space="preserve"> (</w:t>
            </w:r>
            <w:r>
              <w:rPr>
                <w:rFonts w:ascii="Calibri" w:eastAsia="Calibri" w:hAnsi="Calibri" w:cs="Times New Roman"/>
                <w:sz w:val="20"/>
              </w:rPr>
              <w:t>3</w:t>
            </w:r>
            <w:r w:rsidR="00C86E76">
              <w:rPr>
                <w:rFonts w:ascii="Calibri" w:eastAsia="Calibri" w:hAnsi="Calibri" w:cs="Times New Roman"/>
                <w:sz w:val="20"/>
              </w:rPr>
              <w:t>%)</w:t>
            </w:r>
          </w:p>
          <w:p w14:paraId="5D277081" w14:textId="1880D6AD" w:rsidR="00C86E76" w:rsidRDefault="00C538F4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39</w:t>
            </w:r>
            <w:r w:rsidR="00C86E76">
              <w:rPr>
                <w:rFonts w:ascii="Calibri" w:eastAsia="Calibri" w:hAnsi="Calibri" w:cs="Times New Roman"/>
                <w:sz w:val="20"/>
              </w:rPr>
              <w:t xml:space="preserve"> (5</w:t>
            </w:r>
            <w:r>
              <w:rPr>
                <w:rFonts w:ascii="Calibri" w:eastAsia="Calibri" w:hAnsi="Calibri" w:cs="Times New Roman"/>
                <w:sz w:val="20"/>
              </w:rPr>
              <w:t>7</w:t>
            </w:r>
            <w:r w:rsidR="00C86E76">
              <w:rPr>
                <w:rFonts w:ascii="Calibri" w:eastAsia="Calibri" w:hAnsi="Calibri" w:cs="Times New Roman"/>
                <w:sz w:val="20"/>
              </w:rPr>
              <w:t>%)</w:t>
            </w:r>
          </w:p>
          <w:p w14:paraId="4D13F362" w14:textId="77777777" w:rsidR="00C86E76" w:rsidRPr="00574283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86E76" w:rsidRPr="00574283" w14:paraId="3BBEE1A9" w14:textId="77777777" w:rsidTr="00E3463E">
        <w:trPr>
          <w:trHeight w:val="1547"/>
        </w:trPr>
        <w:tc>
          <w:tcPr>
            <w:tcW w:w="2756" w:type="dxa"/>
          </w:tcPr>
          <w:p w14:paraId="160F7607" w14:textId="77777777" w:rsidR="00C86E76" w:rsidRPr="00574283" w:rsidRDefault="00C86E76" w:rsidP="00C86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Concomitant medications</w:t>
            </w:r>
          </w:p>
          <w:p w14:paraId="6A2FAD14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Corticosteroids*</w:t>
            </w:r>
          </w:p>
          <w:p w14:paraId="420FBD7E" w14:textId="55A249A1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NSAI</w:t>
            </w:r>
            <w:r w:rsidR="00EE1091">
              <w:rPr>
                <w:rFonts w:ascii="Calibri" w:eastAsia="Calibri" w:hAnsi="Calibri" w:cs="Times New Roman"/>
                <w:sz w:val="20"/>
                <w:lang w:val="en-US"/>
              </w:rPr>
              <w:t>D</w:t>
            </w:r>
          </w:p>
          <w:p w14:paraId="70E573D2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ACE inhibitor / ARB</w:t>
            </w:r>
          </w:p>
          <w:p w14:paraId="2D993275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Anticoagulants</w:t>
            </w:r>
          </w:p>
          <w:p w14:paraId="69316D05" w14:textId="450BB0A6" w:rsidR="00C86E76" w:rsidRPr="00574283" w:rsidRDefault="00EE1091" w:rsidP="00EE1091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Immuno</w:t>
            </w:r>
            <w:r w:rsidR="00C86E76" w:rsidRPr="00574283">
              <w:rPr>
                <w:rFonts w:ascii="Calibri" w:eastAsia="Calibri" w:hAnsi="Calibri" w:cs="Times New Roman"/>
                <w:sz w:val="20"/>
                <w:lang w:val="en-US"/>
              </w:rPr>
              <w:t>suppress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ants</w:t>
            </w:r>
            <w:bookmarkStart w:id="0" w:name="_GoBack"/>
            <w:bookmarkEnd w:id="0"/>
          </w:p>
        </w:tc>
        <w:tc>
          <w:tcPr>
            <w:tcW w:w="3902" w:type="dxa"/>
          </w:tcPr>
          <w:p w14:paraId="3E7BDD39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56A0FF75" w14:textId="244321FE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16 (20%)</w:t>
            </w:r>
          </w:p>
          <w:p w14:paraId="797510BB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 (6%)</w:t>
            </w:r>
          </w:p>
          <w:p w14:paraId="1B0FBEFC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14 (18%)</w:t>
            </w:r>
          </w:p>
          <w:p w14:paraId="461E9680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22 (28%)</w:t>
            </w:r>
          </w:p>
          <w:p w14:paraId="4110C769" w14:textId="30E2A647" w:rsidR="00C86E76" w:rsidRPr="00574283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 (5%)</w:t>
            </w:r>
          </w:p>
        </w:tc>
      </w:tr>
      <w:tr w:rsidR="00C86E76" w:rsidRPr="00574283" w14:paraId="73329FCE" w14:textId="77777777" w:rsidTr="00E3463E">
        <w:trPr>
          <w:trHeight w:val="832"/>
        </w:trPr>
        <w:tc>
          <w:tcPr>
            <w:tcW w:w="2756" w:type="dxa"/>
          </w:tcPr>
          <w:p w14:paraId="24E3D40F" w14:textId="39CD2D01" w:rsidR="00C86E76" w:rsidRDefault="00C538F4" w:rsidP="00C86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Inpatient</w:t>
            </w:r>
            <w:r w:rsidR="00C86E76">
              <w:rPr>
                <w:rFonts w:ascii="Calibri" w:eastAsia="Calibri" w:hAnsi="Calibri" w:cs="Times New Roman"/>
                <w:sz w:val="20"/>
                <w:lang w:val="en-US"/>
              </w:rPr>
              <w:t xml:space="preserve"> infection</w:t>
            </w:r>
          </w:p>
          <w:p w14:paraId="534AF7C0" w14:textId="48563D25" w:rsidR="00C86E76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Y</w:t>
            </w:r>
            <w:r w:rsidR="00C538F4">
              <w:rPr>
                <w:rFonts w:ascii="Calibri" w:eastAsia="Calibri" w:hAnsi="Calibri" w:cs="Times New Roman"/>
                <w:sz w:val="20"/>
                <w:lang w:val="en-US"/>
              </w:rPr>
              <w:t>es</w:t>
            </w:r>
          </w:p>
          <w:p w14:paraId="7E0F5258" w14:textId="2F74958D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C538F4">
              <w:rPr>
                <w:rFonts w:ascii="Calibri" w:eastAsia="Calibri" w:hAnsi="Calibri" w:cs="Times New Roman"/>
                <w:sz w:val="20"/>
                <w:lang w:val="en-US"/>
              </w:rPr>
              <w:t>o</w:t>
            </w:r>
          </w:p>
        </w:tc>
        <w:tc>
          <w:tcPr>
            <w:tcW w:w="3902" w:type="dxa"/>
          </w:tcPr>
          <w:p w14:paraId="4B86CA55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734E7D52" w14:textId="0224741A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 (21%)</w:t>
            </w:r>
          </w:p>
          <w:p w14:paraId="252ABA1D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63 (79%)</w:t>
            </w:r>
          </w:p>
        </w:tc>
      </w:tr>
      <w:tr w:rsidR="00C86E76" w:rsidRPr="00574283" w14:paraId="1C5A344A" w14:textId="77777777" w:rsidTr="00E3463E">
        <w:trPr>
          <w:trHeight w:val="2941"/>
        </w:trPr>
        <w:tc>
          <w:tcPr>
            <w:tcW w:w="2756" w:type="dxa"/>
          </w:tcPr>
          <w:p w14:paraId="7829A7A8" w14:textId="77777777" w:rsidR="00C86E76" w:rsidRPr="00574283" w:rsidRDefault="00C86E76" w:rsidP="00C86E76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Site of cancer</w:t>
            </w:r>
          </w:p>
          <w:p w14:paraId="7111C1C1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Breast</w:t>
            </w:r>
          </w:p>
          <w:p w14:paraId="5142EE57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Hematological</w:t>
            </w:r>
          </w:p>
          <w:p w14:paraId="0FBE68BC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Lung </w:t>
            </w:r>
          </w:p>
          <w:p w14:paraId="16C4A1B5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Gynecological</w:t>
            </w:r>
          </w:p>
          <w:p w14:paraId="107C5315" w14:textId="63367B1F" w:rsidR="00C86E76" w:rsidRPr="00574283" w:rsidRDefault="00EE1091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Gastro</w:t>
            </w:r>
            <w:r w:rsidR="00C86E76" w:rsidRPr="00574283">
              <w:rPr>
                <w:rFonts w:ascii="Calibri" w:eastAsia="Calibri" w:hAnsi="Calibri" w:cs="Times New Roman"/>
                <w:sz w:val="20"/>
                <w:lang w:val="en-US"/>
              </w:rPr>
              <w:t>intestinal</w:t>
            </w:r>
          </w:p>
          <w:p w14:paraId="0C8BF432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Head &amp; Neck</w:t>
            </w:r>
          </w:p>
          <w:p w14:paraId="7023D20A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Sarcoma</w:t>
            </w:r>
          </w:p>
          <w:p w14:paraId="293DCC76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Uveal melanoma</w:t>
            </w:r>
          </w:p>
          <w:p w14:paraId="42D9840A" w14:textId="0CC23175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Genitourinary</w:t>
            </w:r>
          </w:p>
          <w:p w14:paraId="2DAB3DD0" w14:textId="6C84A44C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Brain tumors, CNS</w:t>
            </w:r>
          </w:p>
          <w:p w14:paraId="1D6F27A9" w14:textId="77777777" w:rsidR="00C86E76" w:rsidRPr="00574283" w:rsidRDefault="00C86E76" w:rsidP="00C86E76">
            <w:pPr>
              <w:ind w:left="708"/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574283">
              <w:rPr>
                <w:rFonts w:ascii="Calibri" w:eastAsia="Calibri" w:hAnsi="Calibri" w:cs="Times New Roman"/>
                <w:sz w:val="20"/>
              </w:rPr>
              <w:t>Other</w:t>
            </w:r>
            <w:proofErr w:type="spellEnd"/>
          </w:p>
        </w:tc>
        <w:tc>
          <w:tcPr>
            <w:tcW w:w="3902" w:type="dxa"/>
          </w:tcPr>
          <w:p w14:paraId="12F2A805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14:paraId="5E31CBEB" w14:textId="71458455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 (40%)</w:t>
            </w:r>
          </w:p>
          <w:p w14:paraId="3768D442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 (13%)</w:t>
            </w:r>
          </w:p>
          <w:p w14:paraId="4BA3B24E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13 (16%)</w:t>
            </w:r>
          </w:p>
          <w:p w14:paraId="61FC3B5E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 (8%)</w:t>
            </w:r>
          </w:p>
          <w:p w14:paraId="247E679B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 (11%)</w:t>
            </w:r>
          </w:p>
          <w:p w14:paraId="205972B6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 (5%)</w:t>
            </w:r>
          </w:p>
          <w:p w14:paraId="22927BF2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 (4%)</w:t>
            </w:r>
          </w:p>
          <w:p w14:paraId="68A9C5DC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 (3%)</w:t>
            </w:r>
          </w:p>
          <w:p w14:paraId="541865AF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  <w:p w14:paraId="4701BF78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</w:t>
            </w:r>
          </w:p>
          <w:p w14:paraId="291B30B8" w14:textId="77777777" w:rsidR="00C86E76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 (1%)</w:t>
            </w:r>
          </w:p>
          <w:p w14:paraId="1328B952" w14:textId="77777777" w:rsidR="00C86E76" w:rsidRPr="00574283" w:rsidRDefault="00C86E76" w:rsidP="00C86E76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538F4" w:rsidRPr="00574283" w14:paraId="49EDCB6B" w14:textId="77777777" w:rsidTr="00E3463E">
        <w:trPr>
          <w:trHeight w:val="900"/>
        </w:trPr>
        <w:tc>
          <w:tcPr>
            <w:tcW w:w="2756" w:type="dxa"/>
          </w:tcPr>
          <w:p w14:paraId="4B94C8E2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lastRenderedPageBreak/>
              <w:t>Disease stage (solid tumors)</w:t>
            </w:r>
          </w:p>
          <w:p w14:paraId="25EB6350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Localized</w:t>
            </w:r>
          </w:p>
          <w:p w14:paraId="524DCC67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Advanced/metastatic</w:t>
            </w:r>
          </w:p>
        </w:tc>
        <w:tc>
          <w:tcPr>
            <w:tcW w:w="3902" w:type="dxa"/>
          </w:tcPr>
          <w:p w14:paraId="7862BBC4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N=78</w:t>
            </w:r>
          </w:p>
          <w:p w14:paraId="7ECA4E7A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14 (20%)</w:t>
            </w:r>
          </w:p>
          <w:p w14:paraId="709CC992" w14:textId="32319D53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64 (80%)</w:t>
            </w:r>
          </w:p>
        </w:tc>
      </w:tr>
      <w:tr w:rsidR="00C538F4" w:rsidRPr="00574283" w14:paraId="416E8CF0" w14:textId="77777777" w:rsidTr="00E3463E">
        <w:trPr>
          <w:trHeight w:val="239"/>
        </w:trPr>
        <w:tc>
          <w:tcPr>
            <w:tcW w:w="2756" w:type="dxa"/>
          </w:tcPr>
          <w:p w14:paraId="42A19892" w14:textId="77777777" w:rsidR="00C538F4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14:paraId="4C66E491" w14:textId="3C1E428F" w:rsidR="00C538F4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Pleuropulmonary metastases</w:t>
            </w:r>
          </w:p>
          <w:p w14:paraId="225B6C1D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(solid tumors)</w:t>
            </w:r>
          </w:p>
        </w:tc>
        <w:tc>
          <w:tcPr>
            <w:tcW w:w="3902" w:type="dxa"/>
          </w:tcPr>
          <w:p w14:paraId="606933B4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N=71</w:t>
            </w:r>
          </w:p>
          <w:p w14:paraId="3CDE9107" w14:textId="3EF16ADD" w:rsidR="00C538F4" w:rsidRPr="00532FC2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29 (41%)</w:t>
            </w:r>
          </w:p>
        </w:tc>
      </w:tr>
      <w:tr w:rsidR="00C538F4" w:rsidRPr="00574283" w14:paraId="199040FC" w14:textId="77777777" w:rsidTr="00E3463E">
        <w:trPr>
          <w:trHeight w:val="478"/>
        </w:trPr>
        <w:tc>
          <w:tcPr>
            <w:tcW w:w="2756" w:type="dxa"/>
          </w:tcPr>
          <w:p w14:paraId="41DE10B5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Number </w:t>
            </w:r>
            <w:r w:rsidRPr="00574283">
              <w:rPr>
                <w:rFonts w:ascii="Calibri" w:eastAsia="Calibri" w:hAnsi="Calibri" w:cs="Times New Roman"/>
                <w:sz w:val="20"/>
              </w:rPr>
              <w:t>of metastatic sites</w:t>
            </w:r>
          </w:p>
          <w:p w14:paraId="7F33D62E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</w:rPr>
            </w:pPr>
            <w:r w:rsidRPr="00574283">
              <w:rPr>
                <w:rFonts w:ascii="Calibri" w:eastAsia="Calibri" w:hAnsi="Calibri" w:cs="Times New Roman"/>
                <w:sz w:val="20"/>
              </w:rPr>
              <w:t xml:space="preserve">0   </w:t>
            </w:r>
          </w:p>
          <w:p w14:paraId="02AC9F2C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</w:rPr>
            </w:pPr>
            <w:r w:rsidRPr="00574283">
              <w:rPr>
                <w:rFonts w:ascii="Calibri" w:eastAsia="Calibri" w:hAnsi="Calibri" w:cs="Times New Roman"/>
                <w:sz w:val="20"/>
              </w:rPr>
              <w:t>1-2</w:t>
            </w:r>
          </w:p>
          <w:p w14:paraId="33630339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</w:rPr>
            </w:pPr>
            <w:r w:rsidRPr="00574283">
              <w:rPr>
                <w:rFonts w:ascii="Calibri" w:eastAsia="Calibri" w:hAnsi="Calibri" w:cs="Calibri"/>
                <w:sz w:val="20"/>
              </w:rPr>
              <w:t>≥</w:t>
            </w:r>
            <w:r w:rsidRPr="00574283">
              <w:rPr>
                <w:rFonts w:ascii="Calibri" w:eastAsia="Calibri" w:hAnsi="Calibri" w:cs="Times New Roman"/>
                <w:sz w:val="20"/>
              </w:rPr>
              <w:t xml:space="preserve"> 3</w:t>
            </w:r>
          </w:p>
        </w:tc>
        <w:tc>
          <w:tcPr>
            <w:tcW w:w="3902" w:type="dxa"/>
          </w:tcPr>
          <w:p w14:paraId="0B06C7EE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N=79</w:t>
            </w:r>
          </w:p>
          <w:p w14:paraId="1E30A3C5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 (19%)</w:t>
            </w:r>
          </w:p>
          <w:p w14:paraId="4B0779C8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48 (61%)</w:t>
            </w:r>
          </w:p>
          <w:p w14:paraId="38E08D0F" w14:textId="78D7D6DA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 (13%)</w:t>
            </w:r>
          </w:p>
        </w:tc>
      </w:tr>
      <w:tr w:rsidR="00C538F4" w:rsidRPr="00574283" w14:paraId="53267F39" w14:textId="77777777" w:rsidTr="00E3463E">
        <w:trPr>
          <w:trHeight w:val="974"/>
        </w:trPr>
        <w:tc>
          <w:tcPr>
            <w:tcW w:w="2756" w:type="dxa"/>
          </w:tcPr>
          <w:p w14:paraId="4E19B06E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Number of line of treatments</w:t>
            </w:r>
          </w:p>
          <w:p w14:paraId="4A923E3B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Adjuvant/neoadjuvant</w:t>
            </w:r>
          </w:p>
          <w:p w14:paraId="676A4834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Metastatic : 1-2 lines</w:t>
            </w:r>
          </w:p>
          <w:p w14:paraId="7360ECDF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Calibri"/>
                <w:sz w:val="20"/>
                <w:lang w:val="en-US"/>
              </w:rPr>
              <w:t>Metastatic: ≥</w:t>
            </w: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 3 lines</w:t>
            </w:r>
          </w:p>
        </w:tc>
        <w:tc>
          <w:tcPr>
            <w:tcW w:w="3902" w:type="dxa"/>
          </w:tcPr>
          <w:p w14:paraId="26ACBE40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N=78</w:t>
            </w:r>
          </w:p>
          <w:p w14:paraId="4C0B7285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14 (18%)</w:t>
            </w:r>
          </w:p>
          <w:p w14:paraId="6E3526EA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13 (17%)</w:t>
            </w:r>
          </w:p>
          <w:p w14:paraId="3D21C244" w14:textId="0822CD9B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51 (65%)</w:t>
            </w:r>
          </w:p>
        </w:tc>
      </w:tr>
      <w:tr w:rsidR="00C538F4" w:rsidRPr="00574283" w14:paraId="2A42A349" w14:textId="77777777" w:rsidTr="00E3463E">
        <w:trPr>
          <w:trHeight w:val="992"/>
        </w:trPr>
        <w:tc>
          <w:tcPr>
            <w:tcW w:w="2756" w:type="dxa"/>
          </w:tcPr>
          <w:p w14:paraId="06EB9A5B" w14:textId="77777777" w:rsidR="00C538F4" w:rsidRPr="0024725D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24725D">
              <w:rPr>
                <w:rFonts w:ascii="Calibri" w:eastAsia="Calibri" w:hAnsi="Calibri" w:cs="Times New Roman"/>
                <w:sz w:val="20"/>
                <w:lang w:val="en-US"/>
              </w:rPr>
              <w:t>Therapeutic intent at entry</w:t>
            </w:r>
          </w:p>
          <w:p w14:paraId="178D5713" w14:textId="77777777" w:rsidR="00C538F4" w:rsidRPr="0024725D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24725D">
              <w:rPr>
                <w:rFonts w:ascii="Calibri" w:eastAsia="Calibri" w:hAnsi="Calibri" w:cs="Times New Roman"/>
                <w:sz w:val="20"/>
                <w:lang w:val="en-US"/>
              </w:rPr>
              <w:t>Curative</w:t>
            </w:r>
            <w:r w:rsidRPr="0024725D">
              <w:rPr>
                <w:rFonts w:ascii="Calibri" w:eastAsia="Calibri" w:hAnsi="Calibri" w:cs="Times New Roman"/>
                <w:sz w:val="20"/>
                <w:lang w:val="en-US"/>
              </w:rPr>
              <w:tab/>
            </w:r>
          </w:p>
          <w:p w14:paraId="2452285B" w14:textId="77777777" w:rsidR="00C538F4" w:rsidRPr="0024725D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24725D">
              <w:rPr>
                <w:rFonts w:ascii="Calibri" w:eastAsia="Calibri" w:hAnsi="Calibri" w:cs="Times New Roman"/>
                <w:sz w:val="20"/>
                <w:lang w:val="en-US"/>
              </w:rPr>
              <w:t>Disease control</w:t>
            </w:r>
          </w:p>
          <w:p w14:paraId="7EE2E43A" w14:textId="77777777" w:rsidR="00C538F4" w:rsidRPr="0024725D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</w:rPr>
            </w:pPr>
            <w:r w:rsidRPr="0024725D">
              <w:rPr>
                <w:rFonts w:ascii="Calibri" w:eastAsia="Calibri" w:hAnsi="Calibri" w:cs="Times New Roman"/>
                <w:sz w:val="20"/>
              </w:rPr>
              <w:t>Palliative</w:t>
            </w:r>
          </w:p>
        </w:tc>
        <w:tc>
          <w:tcPr>
            <w:tcW w:w="3902" w:type="dxa"/>
          </w:tcPr>
          <w:p w14:paraId="54A777F7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N=80</w:t>
            </w:r>
          </w:p>
          <w:p w14:paraId="37B22801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 (30%)</w:t>
            </w:r>
          </w:p>
          <w:p w14:paraId="48B59012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 (40%)</w:t>
            </w:r>
          </w:p>
          <w:p w14:paraId="42BEBC17" w14:textId="7864D6FB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 (30%)</w:t>
            </w:r>
          </w:p>
        </w:tc>
      </w:tr>
      <w:tr w:rsidR="00C538F4" w:rsidRPr="00574283" w14:paraId="57C33F06" w14:textId="77777777" w:rsidTr="00E3463E">
        <w:trPr>
          <w:trHeight w:val="1710"/>
        </w:trPr>
        <w:tc>
          <w:tcPr>
            <w:tcW w:w="2756" w:type="dxa"/>
          </w:tcPr>
          <w:p w14:paraId="597EF4B2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Ongoing cancer therapy</w:t>
            </w:r>
          </w:p>
          <w:p w14:paraId="767E2DF2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Surgery</w:t>
            </w:r>
          </w:p>
          <w:p w14:paraId="61B5A296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Chemotherapy</w:t>
            </w:r>
          </w:p>
          <w:p w14:paraId="102B3022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Radiation therapy</w:t>
            </w:r>
          </w:p>
          <w:p w14:paraId="63E24172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Endocrine therapy</w:t>
            </w:r>
          </w:p>
          <w:p w14:paraId="79F59BFC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Targeted therapy</w:t>
            </w:r>
          </w:p>
          <w:p w14:paraId="5E6E1020" w14:textId="77777777" w:rsidR="00C538F4" w:rsidRPr="00574283" w:rsidRDefault="00C538F4" w:rsidP="00C538F4">
            <w:pPr>
              <w:ind w:left="708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Immunotherapy</w:t>
            </w:r>
          </w:p>
        </w:tc>
        <w:tc>
          <w:tcPr>
            <w:tcW w:w="3902" w:type="dxa"/>
          </w:tcPr>
          <w:p w14:paraId="4C971233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N=80</w:t>
            </w:r>
          </w:p>
          <w:p w14:paraId="3ED382A3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2 (3%)</w:t>
            </w:r>
          </w:p>
          <w:p w14:paraId="5347821A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45 (56%)</w:t>
            </w:r>
          </w:p>
          <w:p w14:paraId="795705F2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7 (9%)</w:t>
            </w:r>
          </w:p>
          <w:p w14:paraId="1A8C0157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14 (18%)</w:t>
            </w:r>
          </w:p>
          <w:p w14:paraId="081C13CA" w14:textId="77777777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14 (18%)</w:t>
            </w:r>
          </w:p>
          <w:p w14:paraId="059C49AE" w14:textId="382FF42A" w:rsidR="00C538F4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6 (8%)</w:t>
            </w:r>
          </w:p>
        </w:tc>
      </w:tr>
      <w:tr w:rsidR="00C538F4" w:rsidRPr="00574283" w14:paraId="23150061" w14:textId="77777777" w:rsidTr="00E3463E">
        <w:trPr>
          <w:trHeight w:val="239"/>
        </w:trPr>
        <w:tc>
          <w:tcPr>
            <w:tcW w:w="2756" w:type="dxa"/>
            <w:vAlign w:val="center"/>
          </w:tcPr>
          <w:p w14:paraId="7855A676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Fever (≥38.0°C)</w:t>
            </w:r>
          </w:p>
        </w:tc>
        <w:tc>
          <w:tcPr>
            <w:tcW w:w="3902" w:type="dxa"/>
          </w:tcPr>
          <w:p w14:paraId="1E7FACCD" w14:textId="595ED4FA" w:rsidR="00C538F4" w:rsidRPr="00574283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39 (</w:t>
            </w:r>
            <w:r w:rsidRPr="00DE26A8">
              <w:rPr>
                <w:rFonts w:ascii="Calibri" w:eastAsia="Calibri" w:hAnsi="Calibri" w:cs="Times New Roman"/>
                <w:sz w:val="20"/>
                <w:lang w:val="en-US"/>
              </w:rPr>
              <w:t>49%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</w:p>
        </w:tc>
      </w:tr>
      <w:tr w:rsidR="00C538F4" w:rsidRPr="00574283" w14:paraId="01139154" w14:textId="77777777" w:rsidTr="00E3463E">
        <w:trPr>
          <w:trHeight w:val="239"/>
        </w:trPr>
        <w:tc>
          <w:tcPr>
            <w:tcW w:w="2756" w:type="dxa"/>
            <w:vAlign w:val="center"/>
          </w:tcPr>
          <w:p w14:paraId="77BC3CC9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Cough</w:t>
            </w:r>
          </w:p>
        </w:tc>
        <w:tc>
          <w:tcPr>
            <w:tcW w:w="3902" w:type="dxa"/>
          </w:tcPr>
          <w:p w14:paraId="2F523DA4" w14:textId="503F924E" w:rsidR="00C538F4" w:rsidRPr="00574283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28 (</w:t>
            </w:r>
            <w:r w:rsidRPr="00DE26A8">
              <w:rPr>
                <w:rFonts w:ascii="Calibri" w:eastAsia="Calibri" w:hAnsi="Calibri" w:cs="Times New Roman"/>
                <w:sz w:val="20"/>
                <w:lang w:val="en-US"/>
              </w:rPr>
              <w:t>35%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</w:p>
        </w:tc>
      </w:tr>
      <w:tr w:rsidR="00C538F4" w:rsidRPr="00574283" w14:paraId="2EEA9827" w14:textId="77777777" w:rsidTr="00E3463E">
        <w:trPr>
          <w:trHeight w:val="239"/>
        </w:trPr>
        <w:tc>
          <w:tcPr>
            <w:tcW w:w="2756" w:type="dxa"/>
            <w:vAlign w:val="center"/>
          </w:tcPr>
          <w:p w14:paraId="66BAE156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Dyspnea</w:t>
            </w:r>
          </w:p>
        </w:tc>
        <w:tc>
          <w:tcPr>
            <w:tcW w:w="3902" w:type="dxa"/>
          </w:tcPr>
          <w:p w14:paraId="5A6D51DE" w14:textId="76A60E96" w:rsidR="00C538F4" w:rsidRPr="00574283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27 (</w:t>
            </w:r>
            <w:r w:rsidRPr="00DE26A8">
              <w:rPr>
                <w:rFonts w:ascii="Calibri" w:eastAsia="Calibri" w:hAnsi="Calibri" w:cs="Times New Roman"/>
                <w:sz w:val="20"/>
                <w:lang w:val="en-US"/>
              </w:rPr>
              <w:t>34%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</w:p>
        </w:tc>
      </w:tr>
      <w:tr w:rsidR="00C538F4" w:rsidRPr="00574283" w14:paraId="236BD017" w14:textId="77777777" w:rsidTr="00E3463E">
        <w:trPr>
          <w:trHeight w:val="239"/>
        </w:trPr>
        <w:tc>
          <w:tcPr>
            <w:tcW w:w="2756" w:type="dxa"/>
            <w:vAlign w:val="center"/>
          </w:tcPr>
          <w:p w14:paraId="78DBD639" w14:textId="0066D579" w:rsidR="00C538F4" w:rsidRPr="00574283" w:rsidRDefault="00C538F4" w:rsidP="00EE1091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Decreased </w:t>
            </w:r>
            <w:r w:rsidR="00EE1091">
              <w:rPr>
                <w:rFonts w:ascii="Calibri" w:eastAsia="Calibri" w:hAnsi="Calibri" w:cs="Times New Roman"/>
                <w:sz w:val="20"/>
                <w:lang w:val="en-US"/>
              </w:rPr>
              <w:t>SpO</w:t>
            </w:r>
            <w:r w:rsidR="00EE1091">
              <w:rPr>
                <w:rFonts w:ascii="Calibri" w:eastAsia="Calibri" w:hAnsi="Calibri" w:cs="Times New Roman"/>
                <w:sz w:val="20"/>
                <w:vertAlign w:val="subscript"/>
                <w:lang w:val="en-US"/>
              </w:rPr>
              <w:t>2</w:t>
            </w: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 xml:space="preserve"> (&lt;96%)</w:t>
            </w:r>
          </w:p>
        </w:tc>
        <w:tc>
          <w:tcPr>
            <w:tcW w:w="3902" w:type="dxa"/>
          </w:tcPr>
          <w:p w14:paraId="4EE0DC2F" w14:textId="6ADB7111" w:rsidR="00C538F4" w:rsidRPr="00574283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12 (</w:t>
            </w:r>
            <w:r w:rsidRPr="00DE26A8">
              <w:rPr>
                <w:rFonts w:ascii="Calibri" w:eastAsia="Calibri" w:hAnsi="Calibri" w:cs="Times New Roman"/>
                <w:sz w:val="20"/>
                <w:lang w:val="en-US"/>
              </w:rPr>
              <w:t>15%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</w:p>
        </w:tc>
      </w:tr>
      <w:tr w:rsidR="00C538F4" w:rsidRPr="00574283" w14:paraId="2FEAF4DE" w14:textId="77777777" w:rsidTr="00E3463E">
        <w:trPr>
          <w:trHeight w:val="239"/>
        </w:trPr>
        <w:tc>
          <w:tcPr>
            <w:tcW w:w="2756" w:type="dxa"/>
            <w:vAlign w:val="center"/>
          </w:tcPr>
          <w:p w14:paraId="7A1AD419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GI disorders</w:t>
            </w:r>
          </w:p>
        </w:tc>
        <w:tc>
          <w:tcPr>
            <w:tcW w:w="3902" w:type="dxa"/>
          </w:tcPr>
          <w:p w14:paraId="4D221776" w14:textId="760592C6" w:rsidR="00C538F4" w:rsidRPr="00574283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8 (</w:t>
            </w:r>
            <w:r w:rsidRPr="00DE26A8">
              <w:rPr>
                <w:rFonts w:ascii="Calibri" w:eastAsia="Calibri" w:hAnsi="Calibri" w:cs="Times New Roman"/>
                <w:sz w:val="20"/>
                <w:lang w:val="en-US"/>
              </w:rPr>
              <w:t>10%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</w:p>
        </w:tc>
      </w:tr>
      <w:tr w:rsidR="00C538F4" w:rsidRPr="00574283" w14:paraId="278C1854" w14:textId="77777777" w:rsidTr="00E3463E">
        <w:trPr>
          <w:trHeight w:val="239"/>
        </w:trPr>
        <w:tc>
          <w:tcPr>
            <w:tcW w:w="2756" w:type="dxa"/>
            <w:vAlign w:val="center"/>
          </w:tcPr>
          <w:p w14:paraId="63C0AACF" w14:textId="2B4FD367" w:rsidR="00C538F4" w:rsidRPr="00574283" w:rsidRDefault="00EE1091" w:rsidP="00EE1091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Anosmia/</w:t>
            </w:r>
            <w:proofErr w:type="spellStart"/>
            <w:r>
              <w:rPr>
                <w:rFonts w:ascii="Calibri" w:eastAsia="Calibri" w:hAnsi="Calibri" w:cs="Times New Roman"/>
                <w:sz w:val="20"/>
                <w:lang w:val="en-US"/>
              </w:rPr>
              <w:t>Dysge</w:t>
            </w:r>
            <w:r w:rsidR="00C538F4" w:rsidRPr="00574283">
              <w:rPr>
                <w:rFonts w:ascii="Calibri" w:eastAsia="Calibri" w:hAnsi="Calibri" w:cs="Times New Roman"/>
                <w:sz w:val="20"/>
                <w:lang w:val="en-US"/>
              </w:rPr>
              <w:t>usia</w:t>
            </w:r>
            <w:proofErr w:type="spellEnd"/>
          </w:p>
        </w:tc>
        <w:tc>
          <w:tcPr>
            <w:tcW w:w="3902" w:type="dxa"/>
          </w:tcPr>
          <w:p w14:paraId="444BB5D9" w14:textId="020521F8" w:rsidR="00C538F4" w:rsidRPr="00574283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7 (</w:t>
            </w:r>
            <w:r w:rsidRPr="00DE26A8">
              <w:rPr>
                <w:rFonts w:ascii="Calibri" w:eastAsia="Calibri" w:hAnsi="Calibri" w:cs="Times New Roman"/>
                <w:sz w:val="20"/>
                <w:lang w:val="en-US"/>
              </w:rPr>
              <w:t>9%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</w:p>
        </w:tc>
      </w:tr>
      <w:tr w:rsidR="00C538F4" w:rsidRPr="00574283" w14:paraId="0E6C279D" w14:textId="77777777" w:rsidTr="00E3463E">
        <w:trPr>
          <w:trHeight w:val="220"/>
        </w:trPr>
        <w:tc>
          <w:tcPr>
            <w:tcW w:w="2756" w:type="dxa"/>
            <w:vAlign w:val="center"/>
          </w:tcPr>
          <w:p w14:paraId="448E27D5" w14:textId="77777777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574283">
              <w:rPr>
                <w:rFonts w:ascii="Calibri" w:eastAsia="Calibri" w:hAnsi="Calibri" w:cs="Times New Roman"/>
                <w:sz w:val="20"/>
                <w:lang w:val="en-US"/>
              </w:rPr>
              <w:t>Headache</w:t>
            </w:r>
          </w:p>
        </w:tc>
        <w:tc>
          <w:tcPr>
            <w:tcW w:w="3902" w:type="dxa"/>
          </w:tcPr>
          <w:p w14:paraId="6A7B11F1" w14:textId="5F751B9A" w:rsidR="00C538F4" w:rsidRPr="00574283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0</w:t>
            </w:r>
          </w:p>
        </w:tc>
      </w:tr>
      <w:tr w:rsidR="00C538F4" w:rsidRPr="00F61742" w14:paraId="1920A0A0" w14:textId="77777777" w:rsidTr="00E3463E">
        <w:trPr>
          <w:trHeight w:val="239"/>
        </w:trPr>
        <w:tc>
          <w:tcPr>
            <w:tcW w:w="2756" w:type="dxa"/>
            <w:vAlign w:val="center"/>
          </w:tcPr>
          <w:p w14:paraId="66387C70" w14:textId="49B869B6" w:rsidR="00C538F4" w:rsidRPr="00574283" w:rsidRDefault="00C538F4" w:rsidP="00C538F4">
            <w:pPr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No symptom</w:t>
            </w:r>
          </w:p>
        </w:tc>
        <w:tc>
          <w:tcPr>
            <w:tcW w:w="3902" w:type="dxa"/>
          </w:tcPr>
          <w:p w14:paraId="39AC114E" w14:textId="5CBC94DC" w:rsidR="00C538F4" w:rsidRPr="00574283" w:rsidRDefault="00C538F4" w:rsidP="00C538F4">
            <w:pPr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18 (</w:t>
            </w:r>
            <w:r w:rsidRPr="00DE26A8">
              <w:rPr>
                <w:rFonts w:ascii="Calibri" w:eastAsia="Calibri" w:hAnsi="Calibri" w:cs="Times New Roman"/>
                <w:sz w:val="20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3</w:t>
            </w:r>
            <w:r w:rsidRPr="00DE26A8">
              <w:rPr>
                <w:rFonts w:ascii="Calibri" w:eastAsia="Calibri" w:hAnsi="Calibri" w:cs="Times New Roman"/>
                <w:sz w:val="20"/>
                <w:lang w:val="en-US"/>
              </w:rPr>
              <w:t>%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)</w:t>
            </w:r>
          </w:p>
        </w:tc>
      </w:tr>
    </w:tbl>
    <w:p w14:paraId="4D20221D" w14:textId="64C98507" w:rsidR="00DE26A8" w:rsidRDefault="00DE26A8" w:rsidP="00C86E76">
      <w:pPr>
        <w:rPr>
          <w:lang w:val="en-US"/>
        </w:rPr>
      </w:pPr>
    </w:p>
    <w:p w14:paraId="22015D39" w14:textId="77777777" w:rsidR="00DE26A8" w:rsidRDefault="00DE26A8" w:rsidP="00C86E76">
      <w:pPr>
        <w:rPr>
          <w:lang w:val="en-US"/>
        </w:rPr>
      </w:pPr>
    </w:p>
    <w:p w14:paraId="1E1D40E9" w14:textId="77777777" w:rsidR="00DE26A8" w:rsidRDefault="00DE26A8" w:rsidP="00C86E76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61324D1" w14:textId="2D7A6E31" w:rsidR="00FC3530" w:rsidRPr="005D4020" w:rsidRDefault="00FC3530" w:rsidP="00C86E7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5D4020">
        <w:rPr>
          <w:b/>
          <w:lang w:val="en-US"/>
        </w:rPr>
        <w:t>Table S</w:t>
      </w:r>
      <w:r w:rsidR="00DE26A8">
        <w:rPr>
          <w:b/>
          <w:lang w:val="en-US"/>
        </w:rPr>
        <w:t>2</w:t>
      </w:r>
      <w:r w:rsidRPr="005D4020">
        <w:rPr>
          <w:b/>
          <w:lang w:val="en-US"/>
        </w:rPr>
        <w:t>. Detailed CT</w:t>
      </w:r>
      <w:r w:rsidR="00EE1091">
        <w:rPr>
          <w:b/>
          <w:lang w:val="en-US"/>
        </w:rPr>
        <w:t xml:space="preserve"> </w:t>
      </w:r>
      <w:r w:rsidRPr="005D4020">
        <w:rPr>
          <w:b/>
          <w:lang w:val="en-US"/>
        </w:rPr>
        <w:t>scan pulmonary findings</w:t>
      </w:r>
      <w:r>
        <w:rPr>
          <w:b/>
          <w:lang w:val="en-US"/>
        </w:rPr>
        <w:t xml:space="preserve"> obtained from 71 patients</w:t>
      </w:r>
      <w:r w:rsidRPr="005D4020">
        <w:rPr>
          <w:b/>
          <w:lang w:val="en-US"/>
        </w:rPr>
        <w:t>.</w:t>
      </w:r>
    </w:p>
    <w:p w14:paraId="07785520" w14:textId="4BE55BF9" w:rsidR="00FC3530" w:rsidRDefault="00FC3530" w:rsidP="00C86E76">
      <w:pPr>
        <w:rPr>
          <w:lang w:val="en-US"/>
        </w:rPr>
      </w:pPr>
    </w:p>
    <w:p w14:paraId="39064031" w14:textId="3FD95E62" w:rsidR="0073295B" w:rsidRDefault="0073295B" w:rsidP="00C86E76">
      <w:pPr>
        <w:rPr>
          <w:lang w:val="en-US"/>
        </w:rPr>
      </w:pPr>
    </w:p>
    <w:p w14:paraId="1106B37D" w14:textId="77777777" w:rsidR="0073295B" w:rsidRDefault="0073295B" w:rsidP="00C86E7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C3530" w14:paraId="36B7FDE1" w14:textId="77777777" w:rsidTr="005B064A">
        <w:trPr>
          <w:trHeight w:val="523"/>
        </w:trPr>
        <w:tc>
          <w:tcPr>
            <w:tcW w:w="1510" w:type="dxa"/>
          </w:tcPr>
          <w:p w14:paraId="2E664F05" w14:textId="77777777" w:rsidR="00FC3530" w:rsidRDefault="00FC3530" w:rsidP="00C86E76">
            <w:pPr>
              <w:rPr>
                <w:lang w:val="en-US"/>
              </w:rPr>
            </w:pPr>
          </w:p>
        </w:tc>
        <w:tc>
          <w:tcPr>
            <w:tcW w:w="7552" w:type="dxa"/>
            <w:gridSpan w:val="5"/>
          </w:tcPr>
          <w:p w14:paraId="25F2349B" w14:textId="1EAA8BD3" w:rsidR="00FC3530" w:rsidRPr="00481E55" w:rsidRDefault="00EE1091" w:rsidP="00C86E7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Lung damage</w:t>
            </w:r>
            <w:r w:rsidR="00FC3530">
              <w:rPr>
                <w:bCs/>
                <w:lang w:val="en-US"/>
              </w:rPr>
              <w:t xml:space="preserve"> on</w:t>
            </w:r>
            <w:r>
              <w:rPr>
                <w:bCs/>
                <w:lang w:val="en-US"/>
              </w:rPr>
              <w:t xml:space="preserve"> CT </w:t>
            </w:r>
            <w:r w:rsidR="00FC3530">
              <w:rPr>
                <w:bCs/>
                <w:lang w:val="en-US"/>
              </w:rPr>
              <w:t>scan at diagnosis of COVID-19</w:t>
            </w:r>
          </w:p>
          <w:p w14:paraId="57D8E437" w14:textId="77777777" w:rsidR="00FC3530" w:rsidRDefault="00FC3530" w:rsidP="00C86E76">
            <w:pPr>
              <w:rPr>
                <w:lang w:val="en-US"/>
              </w:rPr>
            </w:pPr>
            <w:r w:rsidRPr="00481E55">
              <w:rPr>
                <w:bCs/>
                <w:lang w:val="en-US"/>
              </w:rPr>
              <w:t>N (%)</w:t>
            </w:r>
          </w:p>
        </w:tc>
      </w:tr>
      <w:tr w:rsidR="00FC3530" w14:paraId="6806E49A" w14:textId="77777777" w:rsidTr="005B064A">
        <w:tc>
          <w:tcPr>
            <w:tcW w:w="1510" w:type="dxa"/>
          </w:tcPr>
          <w:p w14:paraId="4B9369CB" w14:textId="77777777" w:rsidR="00FC3530" w:rsidRDefault="00FC3530" w:rsidP="00C86E76">
            <w:pPr>
              <w:rPr>
                <w:lang w:val="en-US"/>
              </w:rPr>
            </w:pPr>
          </w:p>
        </w:tc>
        <w:tc>
          <w:tcPr>
            <w:tcW w:w="1510" w:type="dxa"/>
            <w:shd w:val="clear" w:color="auto" w:fill="D0CECE" w:themeFill="background2" w:themeFillShade="E6"/>
          </w:tcPr>
          <w:p w14:paraId="714E6E67" w14:textId="77777777" w:rsidR="00FC3530" w:rsidRDefault="00FC3530" w:rsidP="00C86E76">
            <w:pPr>
              <w:rPr>
                <w:lang w:val="en-US"/>
              </w:rPr>
            </w:pPr>
            <w:r w:rsidRPr="00481E55">
              <w:rPr>
                <w:b/>
                <w:bCs/>
                <w:lang w:val="en-US"/>
              </w:rPr>
              <w:t>Absent/ minimal (&lt;10%)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68EE6791" w14:textId="77777777" w:rsidR="00FC3530" w:rsidRPr="00481E55" w:rsidRDefault="00FC3530" w:rsidP="00C86E76">
            <w:pPr>
              <w:rPr>
                <w:b/>
                <w:bCs/>
                <w:lang w:val="en-US"/>
              </w:rPr>
            </w:pPr>
            <w:r w:rsidRPr="00481E55">
              <w:rPr>
                <w:b/>
                <w:bCs/>
                <w:lang w:val="en-US"/>
              </w:rPr>
              <w:t>Moderate</w:t>
            </w:r>
          </w:p>
          <w:p w14:paraId="1D081326" w14:textId="77777777" w:rsidR="00FC3530" w:rsidRDefault="00FC3530" w:rsidP="00C86E76">
            <w:pPr>
              <w:rPr>
                <w:lang w:val="en-US"/>
              </w:rPr>
            </w:pPr>
            <w:r w:rsidRPr="00481E55">
              <w:rPr>
                <w:b/>
                <w:bCs/>
                <w:lang w:val="en-US"/>
              </w:rPr>
              <w:t>(10-25%)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59D35ABE" w14:textId="640964CC" w:rsidR="00FC3530" w:rsidRPr="00481E55" w:rsidRDefault="00FC3530" w:rsidP="00C86E76">
            <w:pPr>
              <w:rPr>
                <w:b/>
                <w:bCs/>
                <w:lang w:val="en-US"/>
              </w:rPr>
            </w:pPr>
            <w:r w:rsidRPr="00481E55">
              <w:rPr>
                <w:b/>
                <w:bCs/>
                <w:lang w:val="en-US"/>
              </w:rPr>
              <w:t>Exten</w:t>
            </w:r>
            <w:r w:rsidR="00EE1091">
              <w:rPr>
                <w:b/>
                <w:bCs/>
                <w:lang w:val="en-US"/>
              </w:rPr>
              <w:t>sive</w:t>
            </w:r>
          </w:p>
          <w:p w14:paraId="1C4CFEDF" w14:textId="77777777" w:rsidR="00FC3530" w:rsidRDefault="00FC3530" w:rsidP="00C86E76">
            <w:pPr>
              <w:rPr>
                <w:lang w:val="en-US"/>
              </w:rPr>
            </w:pPr>
            <w:r w:rsidRPr="00481E55">
              <w:rPr>
                <w:b/>
                <w:bCs/>
                <w:lang w:val="en-US"/>
              </w:rPr>
              <w:t>(26-50%)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50DA6E4D" w14:textId="77777777" w:rsidR="00FC3530" w:rsidRPr="00481E55" w:rsidRDefault="00FC3530" w:rsidP="00C86E76">
            <w:pPr>
              <w:rPr>
                <w:b/>
                <w:bCs/>
                <w:lang w:val="en-US"/>
              </w:rPr>
            </w:pPr>
            <w:r w:rsidRPr="00481E55">
              <w:rPr>
                <w:b/>
                <w:bCs/>
                <w:lang w:val="en-US"/>
              </w:rPr>
              <w:t>Severe</w:t>
            </w:r>
          </w:p>
          <w:p w14:paraId="66C67023" w14:textId="77777777" w:rsidR="00FC3530" w:rsidRDefault="00FC3530" w:rsidP="00C86E76">
            <w:pPr>
              <w:rPr>
                <w:lang w:val="en-US"/>
              </w:rPr>
            </w:pPr>
            <w:r w:rsidRPr="00481E55">
              <w:rPr>
                <w:b/>
                <w:bCs/>
                <w:lang w:val="en-US"/>
              </w:rPr>
              <w:t>(51-75%)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14:paraId="65C8EBB1" w14:textId="77777777" w:rsidR="00FC3530" w:rsidRDefault="00FC3530" w:rsidP="00C86E76">
            <w:pPr>
              <w:rPr>
                <w:lang w:val="en-US"/>
              </w:rPr>
            </w:pPr>
            <w:r w:rsidRPr="00481E55">
              <w:rPr>
                <w:b/>
                <w:bCs/>
                <w:lang w:val="en-US"/>
              </w:rPr>
              <w:t>Critical (&gt;75%)</w:t>
            </w:r>
          </w:p>
        </w:tc>
      </w:tr>
      <w:tr w:rsidR="00FC3530" w14:paraId="6EB88C47" w14:textId="77777777" w:rsidTr="005B064A">
        <w:tc>
          <w:tcPr>
            <w:tcW w:w="1510" w:type="dxa"/>
          </w:tcPr>
          <w:p w14:paraId="6B7CD916" w14:textId="2EE6D13F" w:rsidR="00FC3530" w:rsidRPr="00481E55" w:rsidRDefault="00FC3530" w:rsidP="00C86E76">
            <w:pPr>
              <w:rPr>
                <w:b/>
                <w:lang w:val="en-US"/>
              </w:rPr>
            </w:pPr>
            <w:r w:rsidRPr="00481E55">
              <w:rPr>
                <w:b/>
                <w:lang w:val="en-US"/>
              </w:rPr>
              <w:t>Ground glass</w:t>
            </w:r>
            <w:r w:rsidR="00EE1091">
              <w:rPr>
                <w:b/>
                <w:lang w:val="en-US"/>
              </w:rPr>
              <w:t xml:space="preserve"> opacities</w:t>
            </w:r>
          </w:p>
        </w:tc>
        <w:tc>
          <w:tcPr>
            <w:tcW w:w="1510" w:type="dxa"/>
          </w:tcPr>
          <w:p w14:paraId="2FA10579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18 (82%)</w:t>
            </w:r>
          </w:p>
        </w:tc>
        <w:tc>
          <w:tcPr>
            <w:tcW w:w="1510" w:type="dxa"/>
          </w:tcPr>
          <w:p w14:paraId="4F5BBCC3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13 (52%)</w:t>
            </w:r>
          </w:p>
        </w:tc>
        <w:tc>
          <w:tcPr>
            <w:tcW w:w="1510" w:type="dxa"/>
          </w:tcPr>
          <w:p w14:paraId="0D655B76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8 (80%)</w:t>
            </w:r>
          </w:p>
        </w:tc>
        <w:tc>
          <w:tcPr>
            <w:tcW w:w="1511" w:type="dxa"/>
          </w:tcPr>
          <w:p w14:paraId="04727073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2 (100%)</w:t>
            </w:r>
          </w:p>
        </w:tc>
        <w:tc>
          <w:tcPr>
            <w:tcW w:w="1511" w:type="dxa"/>
          </w:tcPr>
          <w:p w14:paraId="35509032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1 (100%)</w:t>
            </w:r>
          </w:p>
        </w:tc>
      </w:tr>
      <w:tr w:rsidR="00FC3530" w14:paraId="17C656F1" w14:textId="77777777" w:rsidTr="005B064A">
        <w:tc>
          <w:tcPr>
            <w:tcW w:w="1510" w:type="dxa"/>
          </w:tcPr>
          <w:p w14:paraId="38EA6FE3" w14:textId="77777777" w:rsidR="00FC3530" w:rsidRPr="00481E55" w:rsidRDefault="00FC3530" w:rsidP="00C86E76">
            <w:pPr>
              <w:rPr>
                <w:b/>
                <w:lang w:val="en-US"/>
              </w:rPr>
            </w:pPr>
            <w:r w:rsidRPr="00481E55">
              <w:rPr>
                <w:b/>
                <w:lang w:val="en-US"/>
              </w:rPr>
              <w:t>Crazy paving</w:t>
            </w:r>
          </w:p>
        </w:tc>
        <w:tc>
          <w:tcPr>
            <w:tcW w:w="1510" w:type="dxa"/>
          </w:tcPr>
          <w:p w14:paraId="14D3271E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1 (5%)</w:t>
            </w:r>
          </w:p>
        </w:tc>
        <w:tc>
          <w:tcPr>
            <w:tcW w:w="1510" w:type="dxa"/>
          </w:tcPr>
          <w:p w14:paraId="0390609A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6 (24%)</w:t>
            </w:r>
          </w:p>
        </w:tc>
        <w:tc>
          <w:tcPr>
            <w:tcW w:w="1510" w:type="dxa"/>
          </w:tcPr>
          <w:p w14:paraId="54D697FC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1 (10%)</w:t>
            </w:r>
          </w:p>
        </w:tc>
        <w:tc>
          <w:tcPr>
            <w:tcW w:w="1511" w:type="dxa"/>
          </w:tcPr>
          <w:p w14:paraId="4791868C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11" w:type="dxa"/>
          </w:tcPr>
          <w:p w14:paraId="34E38732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C3530" w14:paraId="2F3745E0" w14:textId="77777777" w:rsidTr="005B064A">
        <w:tc>
          <w:tcPr>
            <w:tcW w:w="1510" w:type="dxa"/>
          </w:tcPr>
          <w:p w14:paraId="2F0223DC" w14:textId="77777777" w:rsidR="00FC3530" w:rsidRPr="00481E55" w:rsidRDefault="00FC3530" w:rsidP="00C86E76">
            <w:pPr>
              <w:rPr>
                <w:b/>
                <w:lang w:val="en-US"/>
              </w:rPr>
            </w:pPr>
            <w:r w:rsidRPr="00481E55">
              <w:rPr>
                <w:b/>
                <w:lang w:val="en-US"/>
              </w:rPr>
              <w:t>Consolidation</w:t>
            </w:r>
          </w:p>
        </w:tc>
        <w:tc>
          <w:tcPr>
            <w:tcW w:w="1510" w:type="dxa"/>
          </w:tcPr>
          <w:p w14:paraId="00266D44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3 (14%)</w:t>
            </w:r>
          </w:p>
        </w:tc>
        <w:tc>
          <w:tcPr>
            <w:tcW w:w="1510" w:type="dxa"/>
          </w:tcPr>
          <w:p w14:paraId="5D3A81F9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6 (24%</w:t>
            </w:r>
          </w:p>
        </w:tc>
        <w:tc>
          <w:tcPr>
            <w:tcW w:w="1510" w:type="dxa"/>
          </w:tcPr>
          <w:p w14:paraId="2899171C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1 (10%)</w:t>
            </w:r>
          </w:p>
        </w:tc>
        <w:tc>
          <w:tcPr>
            <w:tcW w:w="1511" w:type="dxa"/>
          </w:tcPr>
          <w:p w14:paraId="14185362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11" w:type="dxa"/>
          </w:tcPr>
          <w:p w14:paraId="044391A6" w14:textId="77777777" w:rsidR="00FC3530" w:rsidRDefault="00FC3530" w:rsidP="00C86E76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76808188" w14:textId="12FDBA08" w:rsidR="00FC3530" w:rsidRPr="000D2482" w:rsidRDefault="00FC3530" w:rsidP="00C86E76">
      <w:pPr>
        <w:rPr>
          <w:sz w:val="18"/>
          <w:lang w:val="en-US"/>
        </w:rPr>
      </w:pPr>
      <w:r>
        <w:rPr>
          <w:sz w:val="18"/>
          <w:lang w:val="en-US"/>
        </w:rPr>
        <w:t>CT: computed tomo</w:t>
      </w:r>
      <w:r w:rsidR="00B54454">
        <w:rPr>
          <w:sz w:val="18"/>
          <w:lang w:val="en-US"/>
        </w:rPr>
        <w:t>graphy</w:t>
      </w:r>
      <w:r>
        <w:rPr>
          <w:sz w:val="18"/>
          <w:lang w:val="en-US"/>
        </w:rPr>
        <w:t xml:space="preserve">. </w:t>
      </w:r>
    </w:p>
    <w:p w14:paraId="39ADA489" w14:textId="77777777" w:rsidR="00DF4898" w:rsidRDefault="00DF4898" w:rsidP="00C86E76">
      <w:pPr>
        <w:rPr>
          <w:lang w:val="en-US"/>
        </w:rPr>
      </w:pPr>
    </w:p>
    <w:p w14:paraId="3FAFEEE4" w14:textId="77777777" w:rsidR="00DF4898" w:rsidRDefault="00DF4898" w:rsidP="00C86E76">
      <w:pPr>
        <w:rPr>
          <w:lang w:val="en-US"/>
        </w:rPr>
      </w:pPr>
    </w:p>
    <w:p w14:paraId="13383BB1" w14:textId="77777777" w:rsidR="003647E5" w:rsidRDefault="003647E5" w:rsidP="00C86E76">
      <w:pPr>
        <w:rPr>
          <w:lang w:val="en-US"/>
        </w:rPr>
      </w:pPr>
      <w:r>
        <w:rPr>
          <w:lang w:val="en-US"/>
        </w:rPr>
        <w:br w:type="page"/>
      </w:r>
    </w:p>
    <w:p w14:paraId="6F56B536" w14:textId="2D36168C" w:rsidR="003647E5" w:rsidRDefault="003647E5" w:rsidP="00C86E7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Pr="005D4020">
        <w:rPr>
          <w:b/>
          <w:lang w:val="en-US"/>
        </w:rPr>
        <w:t>Table S</w:t>
      </w:r>
      <w:r w:rsidR="00743BD9">
        <w:rPr>
          <w:b/>
          <w:lang w:val="en-US"/>
        </w:rPr>
        <w:t>3</w:t>
      </w:r>
      <w:r w:rsidRPr="005D4020">
        <w:rPr>
          <w:b/>
          <w:lang w:val="en-US"/>
        </w:rPr>
        <w:t xml:space="preserve">. Detailed </w:t>
      </w:r>
      <w:r w:rsidR="00EE1091">
        <w:rPr>
          <w:b/>
          <w:lang w:val="en-US"/>
        </w:rPr>
        <w:t>laboratory</w:t>
      </w:r>
      <w:r w:rsidRPr="005D4020">
        <w:rPr>
          <w:b/>
          <w:lang w:val="en-US"/>
        </w:rPr>
        <w:t xml:space="preserve"> results.</w:t>
      </w:r>
    </w:p>
    <w:p w14:paraId="6C72D67F" w14:textId="55FEE796" w:rsidR="003647E5" w:rsidRDefault="003647E5" w:rsidP="00C86E76">
      <w:pPr>
        <w:rPr>
          <w:lang w:val="en-US"/>
        </w:rPr>
      </w:pPr>
      <w:r>
        <w:rPr>
          <w:lang w:val="en-US"/>
        </w:rPr>
        <w:t>For each value of interest is shown the worst result, observed at any point during follow-up.</w:t>
      </w:r>
    </w:p>
    <w:p w14:paraId="2F0739DD" w14:textId="77777777" w:rsidR="003647E5" w:rsidRPr="00723303" w:rsidRDefault="003647E5" w:rsidP="00C86E7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4"/>
        <w:gridCol w:w="1611"/>
        <w:gridCol w:w="2307"/>
        <w:gridCol w:w="2250"/>
      </w:tblGrid>
      <w:tr w:rsidR="003647E5" w14:paraId="2F6C6756" w14:textId="77777777" w:rsidTr="005B064A">
        <w:tc>
          <w:tcPr>
            <w:tcW w:w="2894" w:type="dxa"/>
          </w:tcPr>
          <w:p w14:paraId="0C9BA5F9" w14:textId="77777777" w:rsidR="003647E5" w:rsidRDefault="003647E5" w:rsidP="00C86E76">
            <w:pPr>
              <w:rPr>
                <w:lang w:val="en-US"/>
              </w:rPr>
            </w:pPr>
          </w:p>
        </w:tc>
        <w:tc>
          <w:tcPr>
            <w:tcW w:w="1611" w:type="dxa"/>
            <w:shd w:val="clear" w:color="auto" w:fill="D0CECE" w:themeFill="background2" w:themeFillShade="E6"/>
          </w:tcPr>
          <w:p w14:paraId="4A3B0139" w14:textId="77777777" w:rsidR="003647E5" w:rsidRPr="00481E55" w:rsidRDefault="003647E5" w:rsidP="00C86E76">
            <w:pPr>
              <w:rPr>
                <w:b/>
                <w:lang w:val="en-US"/>
              </w:rPr>
            </w:pPr>
            <w:r w:rsidRPr="00481E55">
              <w:rPr>
                <w:b/>
                <w:lang w:val="en-US"/>
              </w:rPr>
              <w:t>N evaluable (%)</w:t>
            </w:r>
          </w:p>
        </w:tc>
        <w:tc>
          <w:tcPr>
            <w:tcW w:w="2307" w:type="dxa"/>
            <w:shd w:val="clear" w:color="auto" w:fill="D0CECE" w:themeFill="background2" w:themeFillShade="E6"/>
          </w:tcPr>
          <w:p w14:paraId="54AAB149" w14:textId="77777777" w:rsidR="003647E5" w:rsidRDefault="003647E5" w:rsidP="00C86E76">
            <w:pPr>
              <w:rPr>
                <w:b/>
                <w:lang w:val="en-US"/>
              </w:rPr>
            </w:pPr>
            <w:r w:rsidRPr="00481E55">
              <w:rPr>
                <w:b/>
                <w:lang w:val="en-US"/>
              </w:rPr>
              <w:t>Values</w:t>
            </w:r>
          </w:p>
          <w:p w14:paraId="33602599" w14:textId="629389F1" w:rsidR="003647E5" w:rsidRPr="00481E55" w:rsidRDefault="003647E5" w:rsidP="00C86E76">
            <w:pPr>
              <w:rPr>
                <w:b/>
                <w:lang w:val="en-US"/>
              </w:rPr>
            </w:pPr>
            <w:r w:rsidRPr="00481E55">
              <w:rPr>
                <w:b/>
                <w:lang w:val="en-US"/>
              </w:rPr>
              <w:t xml:space="preserve">(median, </w:t>
            </w:r>
            <w:r w:rsidR="00FB0864">
              <w:rPr>
                <w:b/>
                <w:lang w:val="en-US"/>
              </w:rPr>
              <w:t>IQR</w:t>
            </w:r>
            <w:r w:rsidRPr="00481E55">
              <w:rPr>
                <w:b/>
                <w:lang w:val="en-US"/>
              </w:rPr>
              <w:t>)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0A8F1D86" w14:textId="62EE4B19" w:rsidR="003647E5" w:rsidRPr="00481E55" w:rsidRDefault="003647E5" w:rsidP="00C86E76">
            <w:pPr>
              <w:rPr>
                <w:b/>
                <w:lang w:val="en-US"/>
              </w:rPr>
            </w:pPr>
            <w:r w:rsidRPr="00481E55">
              <w:rPr>
                <w:b/>
                <w:lang w:val="en-US"/>
              </w:rPr>
              <w:t>% abnormal</w:t>
            </w:r>
            <w:r w:rsidR="008924E3">
              <w:rPr>
                <w:b/>
                <w:lang w:val="en-US"/>
              </w:rPr>
              <w:t>*</w:t>
            </w:r>
          </w:p>
        </w:tc>
      </w:tr>
      <w:tr w:rsidR="003647E5" w14:paraId="45F03D3C" w14:textId="77777777" w:rsidTr="005B064A">
        <w:tc>
          <w:tcPr>
            <w:tcW w:w="2894" w:type="dxa"/>
          </w:tcPr>
          <w:p w14:paraId="6CC516EC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Hemoglobin (g/</w:t>
            </w:r>
            <w:proofErr w:type="spellStart"/>
            <w:r>
              <w:rPr>
                <w:lang w:val="en-US"/>
              </w:rPr>
              <w:t>dL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11" w:type="dxa"/>
          </w:tcPr>
          <w:p w14:paraId="600D3CEA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2307" w:type="dxa"/>
          </w:tcPr>
          <w:p w14:paraId="76E6CD79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10.7 (9.2 – 12.4)</w:t>
            </w:r>
          </w:p>
        </w:tc>
        <w:tc>
          <w:tcPr>
            <w:tcW w:w="2250" w:type="dxa"/>
          </w:tcPr>
          <w:p w14:paraId="0F658D73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72%</w:t>
            </w:r>
          </w:p>
        </w:tc>
      </w:tr>
      <w:tr w:rsidR="003647E5" w14:paraId="074822FD" w14:textId="77777777" w:rsidTr="005B064A">
        <w:tc>
          <w:tcPr>
            <w:tcW w:w="2894" w:type="dxa"/>
          </w:tcPr>
          <w:p w14:paraId="2C69F313" w14:textId="5C2D4240" w:rsidR="003647E5" w:rsidRPr="00481E55" w:rsidRDefault="00FB0864" w:rsidP="00BD094E">
            <w:pPr>
              <w:rPr>
                <w:lang w:val="en-US"/>
              </w:rPr>
            </w:pPr>
            <w:r>
              <w:rPr>
                <w:lang w:val="en-US"/>
              </w:rPr>
              <w:t xml:space="preserve">Absolute </w:t>
            </w:r>
            <w:r w:rsidR="003647E5">
              <w:rPr>
                <w:lang w:val="en-US"/>
              </w:rPr>
              <w:t>Neutrophil count (</w:t>
            </w:r>
            <w:r w:rsidR="00BD094E">
              <w:rPr>
                <w:lang w:val="en-US"/>
              </w:rPr>
              <w:t>10</w:t>
            </w:r>
            <w:r w:rsidR="00BD094E">
              <w:rPr>
                <w:vertAlign w:val="superscript"/>
                <w:lang w:val="en-US"/>
              </w:rPr>
              <w:t>9</w:t>
            </w:r>
            <w:r w:rsidR="00BD094E">
              <w:rPr>
                <w:lang w:val="en-US"/>
              </w:rPr>
              <w:t>/L</w:t>
            </w:r>
            <w:r w:rsidR="003647E5">
              <w:rPr>
                <w:lang w:val="en-US"/>
              </w:rPr>
              <w:t>)</w:t>
            </w:r>
          </w:p>
        </w:tc>
        <w:tc>
          <w:tcPr>
            <w:tcW w:w="1611" w:type="dxa"/>
          </w:tcPr>
          <w:p w14:paraId="779EF64B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2307" w:type="dxa"/>
          </w:tcPr>
          <w:p w14:paraId="285B85A5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3.5 (2.3 – 5.0)</w:t>
            </w:r>
          </w:p>
        </w:tc>
        <w:tc>
          <w:tcPr>
            <w:tcW w:w="2250" w:type="dxa"/>
          </w:tcPr>
          <w:p w14:paraId="5A22E215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</w:tc>
      </w:tr>
      <w:tr w:rsidR="003647E5" w14:paraId="401ADA37" w14:textId="77777777" w:rsidTr="005B064A">
        <w:tc>
          <w:tcPr>
            <w:tcW w:w="2894" w:type="dxa"/>
          </w:tcPr>
          <w:p w14:paraId="7572F1D7" w14:textId="0C6C2097" w:rsidR="003647E5" w:rsidRDefault="00FB0864" w:rsidP="00BD094E">
            <w:pPr>
              <w:rPr>
                <w:lang w:val="en-US"/>
              </w:rPr>
            </w:pPr>
            <w:r>
              <w:rPr>
                <w:lang w:val="en-US"/>
              </w:rPr>
              <w:t xml:space="preserve">Absolute </w:t>
            </w:r>
            <w:r w:rsidR="003647E5">
              <w:rPr>
                <w:lang w:val="en-US"/>
              </w:rPr>
              <w:t>Lymphocyte count (</w:t>
            </w:r>
            <w:r w:rsidR="00BD094E">
              <w:rPr>
                <w:lang w:val="en-US"/>
              </w:rPr>
              <w:t>10</w:t>
            </w:r>
            <w:r w:rsidR="00BD094E">
              <w:rPr>
                <w:vertAlign w:val="superscript"/>
                <w:lang w:val="en-US"/>
              </w:rPr>
              <w:t>9</w:t>
            </w:r>
            <w:r w:rsidR="00BD094E">
              <w:rPr>
                <w:lang w:val="en-US"/>
              </w:rPr>
              <w:t>/L</w:t>
            </w:r>
            <w:r w:rsidR="003647E5">
              <w:rPr>
                <w:lang w:val="en-US"/>
              </w:rPr>
              <w:t>)</w:t>
            </w:r>
          </w:p>
        </w:tc>
        <w:tc>
          <w:tcPr>
            <w:tcW w:w="1611" w:type="dxa"/>
          </w:tcPr>
          <w:p w14:paraId="55B4AC35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2307" w:type="dxa"/>
          </w:tcPr>
          <w:p w14:paraId="0F3F44B3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0.8 (0.5 – 1.3)</w:t>
            </w:r>
          </w:p>
        </w:tc>
        <w:tc>
          <w:tcPr>
            <w:tcW w:w="2250" w:type="dxa"/>
          </w:tcPr>
          <w:p w14:paraId="093B3988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46%</w:t>
            </w:r>
          </w:p>
        </w:tc>
      </w:tr>
      <w:tr w:rsidR="003647E5" w14:paraId="41C55098" w14:textId="77777777" w:rsidTr="005B064A">
        <w:tc>
          <w:tcPr>
            <w:tcW w:w="2894" w:type="dxa"/>
          </w:tcPr>
          <w:p w14:paraId="0868707B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AST (IU/L)</w:t>
            </w:r>
          </w:p>
        </w:tc>
        <w:tc>
          <w:tcPr>
            <w:tcW w:w="1611" w:type="dxa"/>
          </w:tcPr>
          <w:p w14:paraId="29AFC726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2307" w:type="dxa"/>
          </w:tcPr>
          <w:p w14:paraId="5777B393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30.5 (24 – 50)</w:t>
            </w:r>
          </w:p>
        </w:tc>
        <w:tc>
          <w:tcPr>
            <w:tcW w:w="2250" w:type="dxa"/>
          </w:tcPr>
          <w:p w14:paraId="26310624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36%</w:t>
            </w:r>
          </w:p>
        </w:tc>
      </w:tr>
      <w:tr w:rsidR="003647E5" w14:paraId="08D993EF" w14:textId="77777777" w:rsidTr="005B064A">
        <w:tc>
          <w:tcPr>
            <w:tcW w:w="2894" w:type="dxa"/>
          </w:tcPr>
          <w:p w14:paraId="49B1B5EE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ALT (IU/L)</w:t>
            </w:r>
          </w:p>
        </w:tc>
        <w:tc>
          <w:tcPr>
            <w:tcW w:w="1611" w:type="dxa"/>
          </w:tcPr>
          <w:p w14:paraId="419D35B7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2307" w:type="dxa"/>
          </w:tcPr>
          <w:p w14:paraId="4722878B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29.5 (20 -45)</w:t>
            </w:r>
          </w:p>
        </w:tc>
        <w:tc>
          <w:tcPr>
            <w:tcW w:w="2250" w:type="dxa"/>
          </w:tcPr>
          <w:p w14:paraId="12B6C613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28%</w:t>
            </w:r>
          </w:p>
        </w:tc>
      </w:tr>
      <w:tr w:rsidR="003647E5" w14:paraId="7C9FB2A6" w14:textId="77777777" w:rsidTr="005B064A">
        <w:tc>
          <w:tcPr>
            <w:tcW w:w="2894" w:type="dxa"/>
          </w:tcPr>
          <w:p w14:paraId="7DCE2A46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LDH (IU/L)</w:t>
            </w:r>
          </w:p>
        </w:tc>
        <w:tc>
          <w:tcPr>
            <w:tcW w:w="1611" w:type="dxa"/>
          </w:tcPr>
          <w:p w14:paraId="6938CD57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307" w:type="dxa"/>
          </w:tcPr>
          <w:p w14:paraId="432A8402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311 (207 – 493)</w:t>
            </w:r>
          </w:p>
        </w:tc>
        <w:tc>
          <w:tcPr>
            <w:tcW w:w="2250" w:type="dxa"/>
          </w:tcPr>
          <w:p w14:paraId="51170ECD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36%</w:t>
            </w:r>
          </w:p>
        </w:tc>
      </w:tr>
      <w:tr w:rsidR="003647E5" w14:paraId="48113E7F" w14:textId="77777777" w:rsidTr="005B064A">
        <w:tc>
          <w:tcPr>
            <w:tcW w:w="2894" w:type="dxa"/>
          </w:tcPr>
          <w:p w14:paraId="1AEB0D60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PT (%)</w:t>
            </w:r>
          </w:p>
        </w:tc>
        <w:tc>
          <w:tcPr>
            <w:tcW w:w="1611" w:type="dxa"/>
          </w:tcPr>
          <w:p w14:paraId="466CE35B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307" w:type="dxa"/>
          </w:tcPr>
          <w:p w14:paraId="5A5AFED6" w14:textId="5C10E41D" w:rsidR="003647E5" w:rsidRDefault="00623001" w:rsidP="00C86E76">
            <w:pPr>
              <w:rPr>
                <w:lang w:val="en-US"/>
              </w:rPr>
            </w:pPr>
            <w:r>
              <w:rPr>
                <w:lang w:val="en-US"/>
              </w:rPr>
              <w:t>92.5 (78</w:t>
            </w:r>
            <w:r w:rsidR="003647E5">
              <w:rPr>
                <w:lang w:val="en-US"/>
              </w:rPr>
              <w:t xml:space="preserve"> – 100)</w:t>
            </w:r>
          </w:p>
        </w:tc>
        <w:tc>
          <w:tcPr>
            <w:tcW w:w="2250" w:type="dxa"/>
          </w:tcPr>
          <w:p w14:paraId="6FEF3D58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</w:tr>
      <w:tr w:rsidR="003647E5" w14:paraId="00B666C2" w14:textId="77777777" w:rsidTr="005B064A">
        <w:tc>
          <w:tcPr>
            <w:tcW w:w="2894" w:type="dxa"/>
          </w:tcPr>
          <w:p w14:paraId="18F7415D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CRP (mg/L)</w:t>
            </w:r>
          </w:p>
        </w:tc>
        <w:tc>
          <w:tcPr>
            <w:tcW w:w="1611" w:type="dxa"/>
          </w:tcPr>
          <w:p w14:paraId="609346DA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307" w:type="dxa"/>
          </w:tcPr>
          <w:p w14:paraId="0D1210A2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66 (35 – 140)</w:t>
            </w:r>
          </w:p>
        </w:tc>
        <w:tc>
          <w:tcPr>
            <w:tcW w:w="2250" w:type="dxa"/>
          </w:tcPr>
          <w:p w14:paraId="0914DEDD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94%</w:t>
            </w:r>
          </w:p>
        </w:tc>
      </w:tr>
      <w:tr w:rsidR="003647E5" w14:paraId="137747CE" w14:textId="77777777" w:rsidTr="005B064A">
        <w:tc>
          <w:tcPr>
            <w:tcW w:w="2894" w:type="dxa"/>
          </w:tcPr>
          <w:p w14:paraId="7090C2DE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PCT (mg/L)</w:t>
            </w:r>
          </w:p>
        </w:tc>
        <w:tc>
          <w:tcPr>
            <w:tcW w:w="1611" w:type="dxa"/>
          </w:tcPr>
          <w:p w14:paraId="7C90A6CC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307" w:type="dxa"/>
          </w:tcPr>
          <w:p w14:paraId="545BD7EB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0.23 (0.1 – 0.7)</w:t>
            </w:r>
          </w:p>
        </w:tc>
        <w:tc>
          <w:tcPr>
            <w:tcW w:w="2250" w:type="dxa"/>
          </w:tcPr>
          <w:p w14:paraId="62773D4B" w14:textId="77777777" w:rsidR="003647E5" w:rsidRDefault="003647E5" w:rsidP="00C86E76">
            <w:pPr>
              <w:rPr>
                <w:lang w:val="en-US"/>
              </w:rPr>
            </w:pPr>
            <w:r>
              <w:rPr>
                <w:lang w:val="en-US"/>
              </w:rPr>
              <w:t>55%</w:t>
            </w:r>
          </w:p>
        </w:tc>
      </w:tr>
    </w:tbl>
    <w:p w14:paraId="65E8D035" w14:textId="6BF55EB0" w:rsidR="003647E5" w:rsidRDefault="003647E5" w:rsidP="00C86E76">
      <w:pPr>
        <w:rPr>
          <w:sz w:val="18"/>
          <w:szCs w:val="18"/>
          <w:lang w:val="en-US"/>
        </w:rPr>
      </w:pPr>
      <w:r w:rsidRPr="00E34F3E">
        <w:rPr>
          <w:sz w:val="18"/>
          <w:lang w:val="en-US"/>
        </w:rPr>
        <w:t xml:space="preserve">AST: Aspartate transaminase. ALT: Alanine transaminase. LDH: Lactate dehydrogenase. </w:t>
      </w:r>
      <w:r>
        <w:rPr>
          <w:sz w:val="18"/>
          <w:lang w:val="en-US"/>
        </w:rPr>
        <w:t>PT: prothrombin time.</w:t>
      </w:r>
      <w:r w:rsidRPr="00740251">
        <w:rPr>
          <w:sz w:val="18"/>
          <w:szCs w:val="18"/>
          <w:lang w:val="en-US"/>
        </w:rPr>
        <w:t xml:space="preserve"> CRP: C-react</w:t>
      </w:r>
      <w:r w:rsidR="00772E13">
        <w:rPr>
          <w:sz w:val="18"/>
          <w:szCs w:val="18"/>
          <w:lang w:val="en-US"/>
        </w:rPr>
        <w:t>iv</w:t>
      </w:r>
      <w:r w:rsidR="00BD094E">
        <w:rPr>
          <w:sz w:val="18"/>
          <w:szCs w:val="18"/>
          <w:lang w:val="en-US"/>
        </w:rPr>
        <w:t xml:space="preserve">e </w:t>
      </w:r>
      <w:r w:rsidR="00772E13">
        <w:rPr>
          <w:sz w:val="18"/>
          <w:szCs w:val="18"/>
          <w:lang w:val="en-US"/>
        </w:rPr>
        <w:t xml:space="preserve">protein. PCT: </w:t>
      </w:r>
      <w:proofErr w:type="spellStart"/>
      <w:r w:rsidR="00772E13">
        <w:rPr>
          <w:sz w:val="18"/>
          <w:szCs w:val="18"/>
          <w:lang w:val="en-US"/>
        </w:rPr>
        <w:t>procalcitonin</w:t>
      </w:r>
      <w:proofErr w:type="spellEnd"/>
      <w:r w:rsidR="00772E13">
        <w:rPr>
          <w:sz w:val="18"/>
          <w:szCs w:val="18"/>
          <w:lang w:val="en-US"/>
        </w:rPr>
        <w:t>.</w:t>
      </w:r>
    </w:p>
    <w:p w14:paraId="790DEA12" w14:textId="1082FD3C" w:rsidR="008924E3" w:rsidRPr="00740251" w:rsidRDefault="008924E3" w:rsidP="00C86E7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*Abnormal values were defined as follows: for blood count and liver functional tests, according to NCI-CTC AE v4.0. For other biological values, we conside</w:t>
      </w:r>
      <w:r w:rsidR="00BD094E">
        <w:rPr>
          <w:sz w:val="18"/>
          <w:szCs w:val="18"/>
          <w:lang w:val="en-US"/>
        </w:rPr>
        <w:t>red abnormal any value &gt; 2 x Upper Normal Limit</w:t>
      </w:r>
      <w:r>
        <w:rPr>
          <w:sz w:val="18"/>
          <w:szCs w:val="18"/>
          <w:lang w:val="en-US"/>
        </w:rPr>
        <w:t>.</w:t>
      </w:r>
    </w:p>
    <w:p w14:paraId="2F886E80" w14:textId="77777777" w:rsidR="003647E5" w:rsidRDefault="003647E5" w:rsidP="00C86E76">
      <w:pPr>
        <w:rPr>
          <w:lang w:val="en-US"/>
        </w:rPr>
      </w:pPr>
    </w:p>
    <w:p w14:paraId="6AEA2C75" w14:textId="72C88F8E" w:rsidR="00DF4898" w:rsidRDefault="00DF4898" w:rsidP="00C86E76">
      <w:pPr>
        <w:rPr>
          <w:lang w:val="en-US"/>
        </w:rPr>
      </w:pPr>
      <w:r>
        <w:rPr>
          <w:lang w:val="en-US"/>
        </w:rPr>
        <w:br w:type="page"/>
      </w:r>
    </w:p>
    <w:p w14:paraId="00534D10" w14:textId="76F0CE8E" w:rsidR="00DF4898" w:rsidRDefault="00DF4898" w:rsidP="00C86E7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743BD9">
        <w:rPr>
          <w:b/>
          <w:lang w:val="en-US"/>
        </w:rPr>
        <w:t>Table S4</w:t>
      </w:r>
      <w:r w:rsidRPr="0055523A">
        <w:rPr>
          <w:b/>
          <w:lang w:val="en-US"/>
        </w:rPr>
        <w:t xml:space="preserve">.  Antibiotics and </w:t>
      </w:r>
      <w:r w:rsidRPr="00DF4898">
        <w:rPr>
          <w:b/>
          <w:lang w:val="en-US"/>
        </w:rPr>
        <w:t xml:space="preserve">anti-viral </w:t>
      </w:r>
      <w:r w:rsidR="00EE1091">
        <w:rPr>
          <w:b/>
          <w:lang w:val="en-US"/>
        </w:rPr>
        <w:t>agents</w:t>
      </w:r>
    </w:p>
    <w:p w14:paraId="0B63526A" w14:textId="7C5D755F" w:rsidR="00DF4898" w:rsidRPr="0055523A" w:rsidRDefault="00DF4898" w:rsidP="00C86E76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370"/>
      </w:tblGrid>
      <w:tr w:rsidR="00DF4898" w:rsidRPr="00CF0303" w14:paraId="3E7B7095" w14:textId="77777777" w:rsidTr="00841206">
        <w:tc>
          <w:tcPr>
            <w:tcW w:w="3020" w:type="dxa"/>
          </w:tcPr>
          <w:p w14:paraId="16C01C68" w14:textId="77777777" w:rsidR="00DF4898" w:rsidRPr="006243F2" w:rsidRDefault="00DF4898" w:rsidP="00C86E76">
            <w:pPr>
              <w:spacing w:line="360" w:lineRule="auto"/>
              <w:rPr>
                <w:b/>
                <w:lang w:val="en-US"/>
              </w:rPr>
            </w:pPr>
            <w:r w:rsidRPr="006243F2">
              <w:rPr>
                <w:b/>
                <w:lang w:val="en-US"/>
              </w:rPr>
              <w:t>Type of treatment</w:t>
            </w:r>
          </w:p>
        </w:tc>
        <w:tc>
          <w:tcPr>
            <w:tcW w:w="1370" w:type="dxa"/>
          </w:tcPr>
          <w:p w14:paraId="4E9A381A" w14:textId="77777777" w:rsidR="00DF4898" w:rsidRDefault="00DF4898" w:rsidP="00C86E76">
            <w:pPr>
              <w:spacing w:line="360" w:lineRule="auto"/>
              <w:rPr>
                <w:lang w:val="en-US"/>
              </w:rPr>
            </w:pPr>
            <w:r w:rsidRPr="005D4020">
              <w:rPr>
                <w:lang w:val="en-US"/>
              </w:rPr>
              <w:t>N</w:t>
            </w:r>
            <w:r>
              <w:rPr>
                <w:lang w:val="en-US"/>
              </w:rPr>
              <w:t xml:space="preserve"> (%)</w:t>
            </w:r>
          </w:p>
          <w:p w14:paraId="630E8118" w14:textId="57894BF5" w:rsidR="00DF4898" w:rsidRPr="005D4020" w:rsidRDefault="00DF4898" w:rsidP="00C86E7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N=141</w:t>
            </w:r>
          </w:p>
        </w:tc>
      </w:tr>
      <w:tr w:rsidR="00DF4898" w:rsidRPr="005D4020" w14:paraId="08861F4E" w14:textId="77777777" w:rsidTr="00841206">
        <w:tc>
          <w:tcPr>
            <w:tcW w:w="3020" w:type="dxa"/>
          </w:tcPr>
          <w:p w14:paraId="209AE1A4" w14:textId="4C156785" w:rsidR="00DF4898" w:rsidRDefault="00DF4898" w:rsidP="00C86E76">
            <w:pPr>
              <w:rPr>
                <w:lang w:val="en-US"/>
              </w:rPr>
            </w:pPr>
            <w:r w:rsidRPr="005D4020">
              <w:rPr>
                <w:lang w:val="en-US"/>
              </w:rPr>
              <w:t>Antibiotics</w:t>
            </w:r>
          </w:p>
          <w:p w14:paraId="753BF770" w14:textId="77777777" w:rsidR="00DF4898" w:rsidRPr="005D4020" w:rsidRDefault="00DF4898" w:rsidP="00C86E76">
            <w:pPr>
              <w:rPr>
                <w:lang w:val="en-US"/>
              </w:rPr>
            </w:pPr>
            <w:r w:rsidRPr="005D4020">
              <w:rPr>
                <w:lang w:val="en-US"/>
              </w:rPr>
              <w:t xml:space="preserve">Corticosteroids </w:t>
            </w:r>
          </w:p>
          <w:p w14:paraId="70CF1E6D" w14:textId="77777777" w:rsidR="00DF4898" w:rsidRPr="005D4020" w:rsidRDefault="00DF4898" w:rsidP="00C86E76">
            <w:pPr>
              <w:rPr>
                <w:lang w:val="en-US"/>
              </w:rPr>
            </w:pPr>
            <w:r w:rsidRPr="005D4020">
              <w:rPr>
                <w:lang w:val="en-US"/>
              </w:rPr>
              <w:t>Hydroxychloroquine</w:t>
            </w:r>
          </w:p>
          <w:p w14:paraId="2BA0AB88" w14:textId="7680E2DE" w:rsidR="00DF4898" w:rsidRPr="005D4020" w:rsidRDefault="00DF4898" w:rsidP="00C86E76">
            <w:pPr>
              <w:rPr>
                <w:lang w:val="en-US"/>
              </w:rPr>
            </w:pPr>
            <w:r>
              <w:rPr>
                <w:lang w:val="en-US"/>
              </w:rPr>
              <w:t>Lopinavir/ritonavir</w:t>
            </w:r>
          </w:p>
        </w:tc>
        <w:tc>
          <w:tcPr>
            <w:tcW w:w="1370" w:type="dxa"/>
          </w:tcPr>
          <w:p w14:paraId="4DE146FD" w14:textId="468A69AC" w:rsidR="00DF4898" w:rsidRDefault="00DF4898" w:rsidP="00C86E76">
            <w:pPr>
              <w:rPr>
                <w:lang w:val="en-US"/>
              </w:rPr>
            </w:pPr>
            <w:r>
              <w:rPr>
                <w:lang w:val="en-US"/>
              </w:rPr>
              <w:t>68 (48%)</w:t>
            </w:r>
          </w:p>
          <w:p w14:paraId="201C932C" w14:textId="79603EB2" w:rsidR="00DF4898" w:rsidRPr="005D4020" w:rsidRDefault="00DF4898" w:rsidP="00C86E76">
            <w:pPr>
              <w:rPr>
                <w:lang w:val="en-US"/>
              </w:rPr>
            </w:pPr>
            <w:r>
              <w:rPr>
                <w:lang w:val="en-US"/>
              </w:rPr>
              <w:t>7 (5%)</w:t>
            </w:r>
          </w:p>
          <w:p w14:paraId="566D35CB" w14:textId="3FC4B991" w:rsidR="00DF4898" w:rsidRPr="005D4020" w:rsidRDefault="00DF4898" w:rsidP="00C86E76">
            <w:pPr>
              <w:rPr>
                <w:lang w:val="en-US"/>
              </w:rPr>
            </w:pPr>
            <w:r>
              <w:rPr>
                <w:lang w:val="en-US"/>
              </w:rPr>
              <w:t>5 (4%)</w:t>
            </w:r>
          </w:p>
          <w:p w14:paraId="7065B2B8" w14:textId="18FF6B0F" w:rsidR="00DF4898" w:rsidRPr="005D4020" w:rsidRDefault="00DF4898" w:rsidP="00C86E76">
            <w:pPr>
              <w:rPr>
                <w:lang w:val="en-US"/>
              </w:rPr>
            </w:pPr>
            <w:r>
              <w:rPr>
                <w:lang w:val="en-US"/>
              </w:rPr>
              <w:t>4 (3%)</w:t>
            </w:r>
          </w:p>
        </w:tc>
      </w:tr>
    </w:tbl>
    <w:p w14:paraId="1C6B9A87" w14:textId="77777777" w:rsidR="00DF4898" w:rsidRDefault="00DF4898" w:rsidP="00C86E76">
      <w:pPr>
        <w:rPr>
          <w:lang w:val="en-US"/>
        </w:rPr>
      </w:pPr>
    </w:p>
    <w:p w14:paraId="6713E071" w14:textId="77777777" w:rsidR="00DF4898" w:rsidRDefault="00DF4898" w:rsidP="00C86E76">
      <w:pPr>
        <w:rPr>
          <w:lang w:val="en-US"/>
        </w:rPr>
      </w:pPr>
    </w:p>
    <w:p w14:paraId="21193B82" w14:textId="77777777" w:rsidR="00DF4898" w:rsidRDefault="00DF4898" w:rsidP="00C86E76">
      <w:pPr>
        <w:rPr>
          <w:lang w:val="en-US"/>
        </w:rPr>
      </w:pPr>
    </w:p>
    <w:p w14:paraId="750B019F" w14:textId="5B6C75A5" w:rsidR="00D20AB2" w:rsidRDefault="00D20AB2" w:rsidP="00C86E76">
      <w:pPr>
        <w:rPr>
          <w:lang w:val="en-US"/>
        </w:rPr>
      </w:pPr>
      <w:r>
        <w:rPr>
          <w:lang w:val="en-US"/>
        </w:rPr>
        <w:br w:type="page"/>
      </w:r>
    </w:p>
    <w:p w14:paraId="424A28CC" w14:textId="77777777" w:rsidR="00D20AB2" w:rsidRPr="00B15651" w:rsidRDefault="00D20AB2" w:rsidP="00C86E76">
      <w:pPr>
        <w:rPr>
          <w:b/>
          <w:lang w:val="en-US"/>
        </w:rPr>
      </w:pPr>
      <w:r w:rsidRPr="00B15651">
        <w:rPr>
          <w:b/>
          <w:lang w:val="en-US"/>
        </w:rPr>
        <w:lastRenderedPageBreak/>
        <w:t>SUPPLEMENTARY FIGURES</w:t>
      </w:r>
    </w:p>
    <w:p w14:paraId="320BF3A6" w14:textId="77777777" w:rsidR="00D20AB2" w:rsidRDefault="00D20AB2" w:rsidP="00C86E76">
      <w:pPr>
        <w:rPr>
          <w:lang w:val="en-US"/>
        </w:rPr>
      </w:pPr>
    </w:p>
    <w:p w14:paraId="35FCD4BC" w14:textId="77777777" w:rsidR="00B15651" w:rsidRDefault="00B15651" w:rsidP="00C86E76">
      <w:pPr>
        <w:rPr>
          <w:b/>
          <w:lang w:val="en-US"/>
        </w:rPr>
      </w:pPr>
      <w:r w:rsidRPr="008151F9">
        <w:rPr>
          <w:b/>
          <w:lang w:val="en-US"/>
        </w:rPr>
        <w:t>Supplemen</w:t>
      </w:r>
      <w:r>
        <w:rPr>
          <w:b/>
          <w:lang w:val="en-US"/>
        </w:rPr>
        <w:t>tary Figure S1. Paris Area “Ile-</w:t>
      </w:r>
      <w:r w:rsidRPr="008151F9">
        <w:rPr>
          <w:b/>
          <w:lang w:val="en-US"/>
        </w:rPr>
        <w:t>de</w:t>
      </w:r>
      <w:r>
        <w:rPr>
          <w:b/>
          <w:lang w:val="en-US"/>
        </w:rPr>
        <w:t>-</w:t>
      </w:r>
      <w:r w:rsidRPr="008151F9">
        <w:rPr>
          <w:b/>
          <w:lang w:val="en-US"/>
        </w:rPr>
        <w:t>France” and location of Institut Curie facilities</w:t>
      </w:r>
      <w:r>
        <w:rPr>
          <w:b/>
          <w:lang w:val="en-US"/>
        </w:rPr>
        <w:t>.</w:t>
      </w:r>
    </w:p>
    <w:p w14:paraId="47A7551A" w14:textId="7C989A08" w:rsidR="00B15651" w:rsidRDefault="00B15651" w:rsidP="00C86E76">
      <w:pPr>
        <w:rPr>
          <w:lang w:val="en-US"/>
        </w:rPr>
      </w:pPr>
      <w:r>
        <w:rPr>
          <w:lang w:val="en-US"/>
        </w:rPr>
        <w:t>The seven Ile-de-France administrative boroughs (“</w:t>
      </w:r>
      <w:proofErr w:type="spellStart"/>
      <w:r>
        <w:rPr>
          <w:lang w:val="en-US"/>
        </w:rPr>
        <w:t>départements</w:t>
      </w:r>
      <w:proofErr w:type="spellEnd"/>
      <w:r>
        <w:rPr>
          <w:lang w:val="en-US"/>
        </w:rPr>
        <w:t xml:space="preserve">”) are shown on the map, with their individual administrative numbers. The three locations of </w:t>
      </w:r>
      <w:r w:rsidRPr="008151F9">
        <w:rPr>
          <w:lang w:val="en-US"/>
        </w:rPr>
        <w:t>Institut Curie</w:t>
      </w:r>
      <w:r>
        <w:rPr>
          <w:lang w:val="en-US"/>
        </w:rPr>
        <w:t xml:space="preserve"> are shown in yellow (Core Paris), blue (</w:t>
      </w:r>
      <w:proofErr w:type="gramStart"/>
      <w:r>
        <w:rPr>
          <w:lang w:val="en-US"/>
        </w:rPr>
        <w:t>Saint-Cloud</w:t>
      </w:r>
      <w:proofErr w:type="gramEnd"/>
      <w:r>
        <w:rPr>
          <w:lang w:val="en-US"/>
        </w:rPr>
        <w:t xml:space="preserve">, in the </w:t>
      </w:r>
      <w:proofErr w:type="spellStart"/>
      <w:r>
        <w:rPr>
          <w:lang w:val="en-US"/>
        </w:rPr>
        <w:t>Hauts</w:t>
      </w:r>
      <w:proofErr w:type="spellEnd"/>
      <w:r>
        <w:rPr>
          <w:lang w:val="en-US"/>
        </w:rPr>
        <w:t xml:space="preserve">-de-Seine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) and red (Orsay, in the Essonne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>).</w:t>
      </w:r>
    </w:p>
    <w:p w14:paraId="055A27A9" w14:textId="77777777" w:rsidR="00B15651" w:rsidRDefault="00B15651" w:rsidP="00C86E76">
      <w:pPr>
        <w:rPr>
          <w:lang w:val="en-US"/>
        </w:rPr>
      </w:pPr>
    </w:p>
    <w:p w14:paraId="0F8F0378" w14:textId="1AD980D9" w:rsidR="00D20AB2" w:rsidRDefault="00AF4EEB" w:rsidP="00C86E76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2ACFCD02" wp14:editId="01F78069">
            <wp:extent cx="5767754" cy="411772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57" cy="412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24C02" w14:textId="226AE5EF" w:rsidR="00B15651" w:rsidRDefault="00B15651" w:rsidP="00C86E76">
      <w:pPr>
        <w:rPr>
          <w:lang w:val="en-US"/>
        </w:rPr>
      </w:pPr>
    </w:p>
    <w:p w14:paraId="7A03C961" w14:textId="7E5179FB" w:rsidR="00B15651" w:rsidRDefault="00B15651" w:rsidP="00C86E76">
      <w:pPr>
        <w:rPr>
          <w:lang w:val="en-US"/>
        </w:rPr>
      </w:pPr>
      <w:r>
        <w:rPr>
          <w:lang w:val="en-US"/>
        </w:rPr>
        <w:br w:type="page"/>
      </w:r>
    </w:p>
    <w:p w14:paraId="031BA2FC" w14:textId="15E15E4D" w:rsidR="003210C6" w:rsidRDefault="003210C6" w:rsidP="00C86E7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figure S2. </w:t>
      </w:r>
      <w:r w:rsidR="006243F2">
        <w:rPr>
          <w:b/>
          <w:lang w:val="en-US"/>
        </w:rPr>
        <w:t xml:space="preserve">Per week, number </w:t>
      </w:r>
      <w:r>
        <w:rPr>
          <w:b/>
          <w:lang w:val="en-US"/>
        </w:rPr>
        <w:t xml:space="preserve">of tested, confirmed and hospitalized patients at </w:t>
      </w:r>
      <w:r w:rsidRPr="00EE1CF6">
        <w:rPr>
          <w:b/>
          <w:lang w:val="en-US"/>
        </w:rPr>
        <w:t>Institut Curie</w:t>
      </w:r>
      <w:r>
        <w:rPr>
          <w:b/>
          <w:lang w:val="en-US"/>
        </w:rPr>
        <w:t>.</w:t>
      </w:r>
    </w:p>
    <w:p w14:paraId="21F1836D" w14:textId="0D699008" w:rsidR="003210C6" w:rsidRDefault="003210C6" w:rsidP="00C86E76">
      <w:pPr>
        <w:rPr>
          <w:lang w:val="en-US"/>
        </w:rPr>
      </w:pPr>
      <w:r>
        <w:rPr>
          <w:lang w:val="en-US"/>
        </w:rPr>
        <w:t>The number per week of patients undergoing an RT-PCR test (blue</w:t>
      </w:r>
      <w:r w:rsidR="00784CDF">
        <w:rPr>
          <w:lang w:val="en-US"/>
        </w:rPr>
        <w:t xml:space="preserve"> curve</w:t>
      </w:r>
      <w:r>
        <w:rPr>
          <w:lang w:val="en-US"/>
        </w:rPr>
        <w:t xml:space="preserve">), having a positive test (orange </w:t>
      </w:r>
      <w:r w:rsidR="00784CDF">
        <w:rPr>
          <w:lang w:val="en-US"/>
        </w:rPr>
        <w:t>curve)</w:t>
      </w:r>
      <w:r>
        <w:rPr>
          <w:lang w:val="en-US"/>
        </w:rPr>
        <w:t xml:space="preserve"> or hospitalized (</w:t>
      </w:r>
      <w:r w:rsidR="00784CDF">
        <w:rPr>
          <w:lang w:val="en-US"/>
        </w:rPr>
        <w:t>green curve</w:t>
      </w:r>
      <w:r>
        <w:rPr>
          <w:lang w:val="en-US"/>
        </w:rPr>
        <w:t>) is indicated in the graph. Key events are indicated below the graph. Hospitalization was triggered only by the clinical condition and only symptomatic patients with positive RT-PCR testing or positive CT-scan imaging are represented in the figure.</w:t>
      </w:r>
    </w:p>
    <w:p w14:paraId="25C7376F" w14:textId="77777777" w:rsidR="00D2644C" w:rsidRPr="001E5B1A" w:rsidRDefault="00D2644C" w:rsidP="00C86E76">
      <w:pPr>
        <w:rPr>
          <w:lang w:val="en-US"/>
        </w:rPr>
      </w:pPr>
    </w:p>
    <w:p w14:paraId="16C19A2E" w14:textId="48202FE2" w:rsidR="00B15651" w:rsidRDefault="00D2644C" w:rsidP="00C86E76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30EEF845" wp14:editId="41FC643A">
            <wp:extent cx="5930121" cy="3766276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39" cy="376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07D3A" w14:textId="4E80E17A" w:rsidR="009F4013" w:rsidRDefault="009F4013" w:rsidP="00C86E76">
      <w:pPr>
        <w:rPr>
          <w:lang w:val="en-US"/>
        </w:rPr>
      </w:pPr>
    </w:p>
    <w:p w14:paraId="4156E321" w14:textId="01E03BA6" w:rsidR="009F4013" w:rsidRDefault="009F4013" w:rsidP="00C86E76">
      <w:pPr>
        <w:rPr>
          <w:lang w:val="en-US"/>
        </w:rPr>
      </w:pPr>
    </w:p>
    <w:p w14:paraId="031EC626" w14:textId="77777777" w:rsidR="009F4013" w:rsidRPr="001E7C53" w:rsidRDefault="009F4013" w:rsidP="00C86E76">
      <w:pPr>
        <w:rPr>
          <w:lang w:val="en-US"/>
        </w:rPr>
      </w:pPr>
    </w:p>
    <w:p w14:paraId="75C24FBA" w14:textId="64202DE8" w:rsidR="008924E3" w:rsidRDefault="008924E3" w:rsidP="00C86E76">
      <w:pPr>
        <w:rPr>
          <w:lang w:val="en-US"/>
        </w:rPr>
      </w:pPr>
    </w:p>
    <w:p w14:paraId="7D908BC3" w14:textId="69849597" w:rsidR="008924E3" w:rsidRPr="00FA398E" w:rsidRDefault="008924E3" w:rsidP="00C86E76">
      <w:pPr>
        <w:rPr>
          <w:lang w:val="en-US"/>
        </w:rPr>
      </w:pPr>
    </w:p>
    <w:sectPr w:rsidR="008924E3" w:rsidRPr="00FA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E"/>
    <w:rsid w:val="002D6F1C"/>
    <w:rsid w:val="003210C6"/>
    <w:rsid w:val="003647E5"/>
    <w:rsid w:val="00371E49"/>
    <w:rsid w:val="003B2075"/>
    <w:rsid w:val="003D59BB"/>
    <w:rsid w:val="00445218"/>
    <w:rsid w:val="00623001"/>
    <w:rsid w:val="006243F2"/>
    <w:rsid w:val="006D4B58"/>
    <w:rsid w:val="006E283E"/>
    <w:rsid w:val="0073295B"/>
    <w:rsid w:val="00743BD9"/>
    <w:rsid w:val="00772E13"/>
    <w:rsid w:val="00784CDF"/>
    <w:rsid w:val="00796524"/>
    <w:rsid w:val="00841206"/>
    <w:rsid w:val="008848B0"/>
    <w:rsid w:val="008924E3"/>
    <w:rsid w:val="009F4013"/>
    <w:rsid w:val="00A5054A"/>
    <w:rsid w:val="00A842B0"/>
    <w:rsid w:val="00AF4EEB"/>
    <w:rsid w:val="00B15651"/>
    <w:rsid w:val="00B54454"/>
    <w:rsid w:val="00BD094E"/>
    <w:rsid w:val="00BD2993"/>
    <w:rsid w:val="00C538F4"/>
    <w:rsid w:val="00C86E76"/>
    <w:rsid w:val="00D20AB2"/>
    <w:rsid w:val="00D2644C"/>
    <w:rsid w:val="00DE26A8"/>
    <w:rsid w:val="00DF4898"/>
    <w:rsid w:val="00E3463E"/>
    <w:rsid w:val="00EE1091"/>
    <w:rsid w:val="00FA398E"/>
    <w:rsid w:val="00FB0864"/>
    <w:rsid w:val="00FC3530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7146"/>
  <w15:chartTrackingRefBased/>
  <w15:docId w15:val="{03583B75-F75B-40AD-A678-493A429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A39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398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398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98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A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FA398E"/>
  </w:style>
  <w:style w:type="table" w:styleId="Grilledutableau">
    <w:name w:val="Table Grid"/>
    <w:basedOn w:val="TableauNormal"/>
    <w:uiPriority w:val="39"/>
    <w:rsid w:val="00DF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ie">
    <w:name w:val="Bibliography"/>
    <w:basedOn w:val="Normal"/>
    <w:next w:val="Normal"/>
    <w:uiPriority w:val="37"/>
    <w:unhideWhenUsed/>
    <w:rsid w:val="008924E3"/>
    <w:pPr>
      <w:tabs>
        <w:tab w:val="left" w:pos="384"/>
      </w:tabs>
      <w:spacing w:after="240" w:line="240" w:lineRule="auto"/>
      <w:ind w:left="384" w:hanging="384"/>
    </w:pPr>
  </w:style>
  <w:style w:type="character" w:customStyle="1" w:styleId="normaltextrun1">
    <w:name w:val="normaltextrun1"/>
    <w:basedOn w:val="Policepardfaut"/>
    <w:rsid w:val="00FF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oncopl.fr/recommandations-covid-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2277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Cottu Paul</dc:creator>
  <cp:keywords/>
  <dc:description/>
  <cp:lastModifiedBy>Cottu Paul</cp:lastModifiedBy>
  <cp:revision>8</cp:revision>
  <dcterms:created xsi:type="dcterms:W3CDTF">2020-05-12T22:37:00Z</dcterms:created>
  <dcterms:modified xsi:type="dcterms:W3CDTF">2020-05-14T09:48:00Z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id="gEiLSRwL"/&gt;&lt;style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