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Calibri" w:hAnsi="Calibri" w:eastAsia="等线" w:cs="Calibri"/>
          <w:color w:val="000000"/>
          <w:kern w:val="0"/>
          <w:sz w:val="24"/>
        </w:rPr>
      </w:pPr>
      <w:r>
        <w:rPr>
          <w:rFonts w:ascii="Calibri" w:hAnsi="Calibri" w:eastAsia="等线" w:cs="Calibri"/>
          <w:color w:val="000000"/>
          <w:kern w:val="0"/>
          <w:sz w:val="24"/>
        </w:rPr>
        <w:t>Table S1. Seroconversion rate of different antibodies in different patients</w:t>
      </w:r>
    </w:p>
    <w:tbl>
      <w:tblPr>
        <w:tblStyle w:val="5"/>
        <w:tblW w:w="14073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1701"/>
        <w:gridCol w:w="1701"/>
        <w:gridCol w:w="2249"/>
        <w:gridCol w:w="1701"/>
        <w:gridCol w:w="2048"/>
        <w:gridCol w:w="209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576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52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Days after onset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Total seropositive conversion</w:t>
            </w:r>
          </w:p>
        </w:tc>
        <w:tc>
          <w:tcPr>
            <w:tcW w:w="2097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Total seronegative conversion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576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1-7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8-14</w:t>
            </w:r>
          </w:p>
        </w:tc>
        <w:tc>
          <w:tcPr>
            <w:tcW w:w="2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15-30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31-65</w:t>
            </w:r>
          </w:p>
        </w:tc>
        <w:tc>
          <w:tcPr>
            <w:tcW w:w="2048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576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Total Ab, p/n (%)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4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4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Asymptomatic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8/17 (47.1)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7/9 (77. 8)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10/10 (100)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17/17 (100)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20/22 (90.9)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0/18 (0)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Presymptomatic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12/23 (52.2)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13/17 (76.5)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21/21 (100)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27/28 (96.4)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30/32 (93.8)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2/29 (6.9)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Symptomatic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5/8 (62.5)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6/12 (50.0)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17/17 (100)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19/19 (100)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19/19 (100)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0/19 (0)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p 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1/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2/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3)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0.86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0.29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0.57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IgG, p/n (%)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Times New Roman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Times New Roman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Times New Roman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Asymptomatic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8/17 (47.1)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8/9 (88.9)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10/10 (100)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17/17 (100)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21/22 (95.5)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0/19 (0)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Presymptomatic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13/23 (56.5)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14/17 (82.4)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21/21 (100)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28/28 (100)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30/32 (93.8)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0/30 (0)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Symptomatic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4/8 (50.0)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8/12 (66.7)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17/17 (100)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19/19 (100)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19/19 (100)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0/19 (0)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p 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1/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2/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0.93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0.53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0.78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NA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IgM, p/n (%)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Times New Roman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Times New Roman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Times New Roman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Asymptomatic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4/17 (23.5)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2/9 (22.2)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2/10 (20.0)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5/17 (29.4)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10/22 (45.5)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4/8 (50.0)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Presymptomatic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7/23 (30.4)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8/17 (47.1)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15/21 (71.4)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10/28 (35.7)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20/32 (62.5)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11/20 (55.0)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Symptomatic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1/8 (12.5)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4/12 (33.3)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11/17 (64.7)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11/19 (57.9)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12/19 (63.2)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5/12 (41.7)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p 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1/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2/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0.75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0.48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0.02(0.02/0.04/0.66)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0.17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0.39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5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IgA, p/n (%)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Times New Roman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Times New Roman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Times New Roman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Times New Roman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Times New Roman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Asymptomatic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8/17 (47.06)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7/9 (77.8)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10/10 (100)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17/17 (100)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20/22 (90.9)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0/18 (0)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Presymptomatic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13/23 (56.52)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13/17 (76.5)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19/21 (90.5)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22/28 (78.6)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29/32 (90.6)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6/28 (21.4)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Symptomatic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5/8 (62.5)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12/12 (100)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17/17 (100)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17/19 (89.5)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19/19 (100)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3/19 (15.8)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p 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1/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2/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3)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0.79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22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0.68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0.10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0.51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0.11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Calibri" w:hAnsi="Calibri" w:eastAsia="宋体" w:cs="Calibri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Calibri" w:hAnsi="Calibri" w:eastAsia="等线" w:cs="Calibri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p/n</w:t>
      </w:r>
      <w:r>
        <w:rPr>
          <w:rFonts w:ascii="Calibri" w:hAnsi="Calibri" w:eastAsia="宋体" w:cs="Calibri"/>
          <w:sz w:val="24"/>
        </w:rPr>
        <w:t xml:space="preserve"> represents positive cases to total cases. NA (not available). </w:t>
      </w:r>
      <w:r>
        <w:rPr>
          <w:rFonts w:ascii="Calibri" w:hAnsi="Calibri" w:eastAsia="宋体" w:cs="Calibri"/>
          <w:i/>
          <w:iCs/>
          <w:sz w:val="24"/>
        </w:rPr>
        <w:t>p</w:t>
      </w:r>
      <w:r>
        <w:rPr>
          <w:rFonts w:ascii="Calibri" w:hAnsi="Calibri" w:eastAsia="宋体" w:cs="Calibri"/>
          <w:sz w:val="24"/>
        </w:rPr>
        <w:t xml:space="preserve">1, </w:t>
      </w:r>
      <w:r>
        <w:rPr>
          <w:rFonts w:ascii="Calibri" w:hAnsi="Calibri" w:eastAsia="宋体" w:cs="Calibri"/>
          <w:i/>
          <w:iCs/>
          <w:sz w:val="24"/>
        </w:rPr>
        <w:t>p</w:t>
      </w:r>
      <w:r>
        <w:rPr>
          <w:rFonts w:ascii="Calibri" w:hAnsi="Calibri" w:eastAsia="宋体" w:cs="Calibri"/>
          <w:sz w:val="24"/>
        </w:rPr>
        <w:t xml:space="preserve">2 and </w:t>
      </w:r>
      <w:r>
        <w:rPr>
          <w:rFonts w:ascii="Calibri" w:hAnsi="Calibri" w:eastAsia="宋体" w:cs="Calibri"/>
          <w:i/>
          <w:iCs/>
          <w:sz w:val="24"/>
        </w:rPr>
        <w:t>p</w:t>
      </w:r>
      <w:r>
        <w:rPr>
          <w:rFonts w:ascii="Calibri" w:hAnsi="Calibri" w:eastAsia="宋体" w:cs="Calibri"/>
          <w:sz w:val="24"/>
        </w:rPr>
        <w:t xml:space="preserve">3 were comparison between asymptomatic and presymptomatic, asymptomatic and symptomatic, presymptomatic and symptomatic, respectively. </w:t>
      </w:r>
      <w:r>
        <w:rPr>
          <w:rFonts w:ascii="Calibri" w:hAnsi="Calibri" w:eastAsia="宋体" w:cs="Calibri"/>
          <w:i/>
          <w:iCs/>
          <w:sz w:val="24"/>
        </w:rPr>
        <w:t>p</w:t>
      </w:r>
      <w:r>
        <w:rPr>
          <w:rFonts w:ascii="Calibri" w:hAnsi="Calibri" w:eastAsia="宋体" w:cs="Calibri"/>
          <w:sz w:val="24"/>
        </w:rPr>
        <w:t xml:space="preserve"> value &lt;0.05 indicates significant differences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Calibri" w:hAnsi="Calibri" w:eastAsia="宋体" w:cs="Calibri"/>
          <w:sz w:val="24"/>
        </w:rPr>
      </w:pPr>
      <w:r>
        <w:rPr>
          <w:rFonts w:ascii="Calibri" w:hAnsi="Calibri" w:eastAsia="宋体" w:cs="Calibri"/>
          <w:sz w:val="24"/>
        </w:rPr>
        <w:t>Table S2. Peak concentration and time of different antibodies</w:t>
      </w:r>
    </w:p>
    <w:tbl>
      <w:tblPr>
        <w:tblStyle w:val="5"/>
        <w:tblW w:w="8813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3"/>
        <w:gridCol w:w="2835"/>
        <w:gridCol w:w="283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43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Peak COI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Peak days after onset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43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4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Total Ab, mean ± SD (n)</w:t>
            </w:r>
          </w:p>
        </w:tc>
        <w:tc>
          <w:tcPr>
            <w:tcW w:w="283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Asymptomatic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4.4±2.3 (n=18)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36.56±15.49 (n=18)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Presymptomatic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4.7±1.7 (n=29)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36.7±14.1 (n=29)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Symptomatic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5.7±0.9 (n=19)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46.2±12.3 (n=19)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p 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1/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2/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3)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IgG, mean ± SD (n)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Asymptomatic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3.5±1.3 (n=19)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33.4±14.3 (n=19)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Presymptomatic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3.9±1.0 (n=30)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34.1±11.0 (n=30)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Symptomatic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4.5±0.4 (n=19)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38.7±11.5 (n=19)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p 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1/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2/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0.02 (0.47/0.01/0.12)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IgM, mean ± SD (n)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Asymptomatic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0.8±0.6 (n=8)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19.5±14.4 (n=8)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Presymptomatic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1.8±1.3 (n=20)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14.8±7.8 (n=20)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Symptomatic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2.4±1.3 (n=12)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24.2±7.7 (n=12)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p 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1/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2/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0.03 (0.19/0.02/0.33)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0.04 (0.49/0.55/0.03)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IgA, mean ± SD (n)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Times New Roman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Times New Roman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Asymptomatic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2.2±1.0 (n=18)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21.8±14.8 (n=18)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Presymptomatic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2.5±1.3 (n=27)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16.7±10.1 (n=27)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Symptomatic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2.7±1.0 (n=19)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22.1±9.9 (n=19)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1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40" w:firstLineChars="100"/>
              <w:textAlignment w:val="auto"/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p 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1/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2/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3)</w:t>
            </w:r>
            <w:r>
              <w:rPr>
                <w:rFonts w:ascii="Calibri" w:hAnsi="Calibri" w:eastAsia="等线" w:cs="Calibri"/>
                <w:i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0.50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0.22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ascii="Calibri" w:hAnsi="Calibri" w:eastAsia="宋体" w:cs="Calibri"/>
          <w:i/>
          <w:iCs/>
          <w:sz w:val="24"/>
        </w:rPr>
        <w:t>p</w:t>
      </w:r>
      <w:r>
        <w:rPr>
          <w:rFonts w:ascii="Calibri" w:hAnsi="Calibri" w:eastAsia="宋体" w:cs="Calibri"/>
          <w:sz w:val="24"/>
        </w:rPr>
        <w:t xml:space="preserve">1, </w:t>
      </w:r>
      <w:r>
        <w:rPr>
          <w:rFonts w:ascii="Calibri" w:hAnsi="Calibri" w:eastAsia="宋体" w:cs="Calibri"/>
          <w:i/>
          <w:iCs/>
          <w:sz w:val="24"/>
        </w:rPr>
        <w:t>p</w:t>
      </w:r>
      <w:r>
        <w:rPr>
          <w:rFonts w:ascii="Calibri" w:hAnsi="Calibri" w:eastAsia="宋体" w:cs="Calibri"/>
          <w:sz w:val="24"/>
        </w:rPr>
        <w:t xml:space="preserve"> 2 and </w:t>
      </w:r>
      <w:r>
        <w:rPr>
          <w:rFonts w:ascii="Calibri" w:hAnsi="Calibri" w:eastAsia="宋体" w:cs="Calibri"/>
          <w:i/>
          <w:iCs/>
          <w:sz w:val="24"/>
        </w:rPr>
        <w:t>p</w:t>
      </w:r>
      <w:r>
        <w:rPr>
          <w:rFonts w:ascii="Calibri" w:hAnsi="Calibri" w:eastAsia="宋体" w:cs="Calibri"/>
          <w:sz w:val="24"/>
        </w:rPr>
        <w:t xml:space="preserve"> 3 were comparison between asymptomatic and presymptomatic, asymptomatic and symptomatic, presymptomatic and symptomatic, respectively.</w:t>
      </w:r>
      <w:r>
        <w:rPr>
          <w:rFonts w:ascii="Calibri" w:hAnsi="Calibri" w:eastAsia="宋体" w:cs="Calibri"/>
          <w:i/>
          <w:iCs/>
          <w:sz w:val="24"/>
        </w:rPr>
        <w:t xml:space="preserve"> p</w:t>
      </w:r>
      <w:r>
        <w:rPr>
          <w:rFonts w:ascii="Calibri" w:hAnsi="Calibri" w:eastAsia="宋体" w:cs="Calibri"/>
          <w:sz w:val="24"/>
        </w:rPr>
        <w:t xml:space="preserve"> value &lt;0.05 indicates significant differences.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D2"/>
    <w:rsid w:val="001C7EB3"/>
    <w:rsid w:val="00404AFB"/>
    <w:rsid w:val="00412B29"/>
    <w:rsid w:val="00585832"/>
    <w:rsid w:val="00723C3B"/>
    <w:rsid w:val="00897649"/>
    <w:rsid w:val="008F2D84"/>
    <w:rsid w:val="009630D5"/>
    <w:rsid w:val="00AE38BD"/>
    <w:rsid w:val="00BE19D2"/>
    <w:rsid w:val="00D45D92"/>
    <w:rsid w:val="14006EF6"/>
    <w:rsid w:val="79D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2423</Characters>
  <Lines>20</Lines>
  <Paragraphs>5</Paragraphs>
  <TotalTime>18</TotalTime>
  <ScaleCrop>false</ScaleCrop>
  <LinksUpToDate>false</LinksUpToDate>
  <CharactersWithSpaces>2842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2020-04-28T04:54:00Z</dcterms:created>
  <dc:creator>肖 彤洋</dc:creator>
  <cp:lastModifiedBy>刘小菊</cp:lastModifiedBy>
  <dcterms:modified xsi:type="dcterms:W3CDTF">2020-04-28T14:40:51Z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