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8641" w14:textId="77777777" w:rsidR="00F125EE" w:rsidRDefault="00F125EE" w:rsidP="008E0530">
      <w:pPr>
        <w:spacing w:line="360" w:lineRule="auto"/>
        <w:jc w:val="center"/>
        <w:rPr>
          <w:sz w:val="36"/>
          <w:szCs w:val="36"/>
        </w:rPr>
      </w:pPr>
    </w:p>
    <w:p w14:paraId="31C337D1" w14:textId="77777777" w:rsidR="00D04BCF" w:rsidRPr="003B40E6" w:rsidRDefault="00BB2D2A" w:rsidP="008E053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Supplementary Materials</w:t>
      </w:r>
      <w:r w:rsidR="009743A9">
        <w:rPr>
          <w:sz w:val="36"/>
          <w:szCs w:val="36"/>
        </w:rPr>
        <w:t xml:space="preserve"> for</w:t>
      </w:r>
    </w:p>
    <w:p w14:paraId="29411C5A" w14:textId="77777777" w:rsidR="005001AC" w:rsidRDefault="005001AC" w:rsidP="008E0530">
      <w:pPr>
        <w:spacing w:line="360" w:lineRule="auto"/>
      </w:pPr>
    </w:p>
    <w:p w14:paraId="062F4672" w14:textId="77777777" w:rsidR="00EE04AB" w:rsidRDefault="00EE04AB" w:rsidP="008E0530">
      <w:pPr>
        <w:pStyle w:val="Head"/>
        <w:spacing w:line="360" w:lineRule="auto"/>
      </w:pPr>
      <w:r>
        <w:rPr>
          <w:rStyle w:val="None"/>
        </w:rPr>
        <w:t xml:space="preserve">Real-time detection of COVID-19 epicenters using a geospatial thermometer network and influenza forecasts </w:t>
      </w:r>
    </w:p>
    <w:p w14:paraId="339B31F7" w14:textId="77777777" w:rsidR="00015F74" w:rsidRPr="007108F5" w:rsidRDefault="00015F74" w:rsidP="008E0530">
      <w:pPr>
        <w:spacing w:line="360" w:lineRule="auto"/>
        <w:jc w:val="center"/>
        <w:rPr>
          <w:sz w:val="28"/>
          <w:szCs w:val="28"/>
        </w:rPr>
      </w:pPr>
    </w:p>
    <w:p w14:paraId="0648E06D" w14:textId="06BED3F7" w:rsidR="000F0DCE" w:rsidRPr="00EE04AB" w:rsidRDefault="00EE04AB" w:rsidP="008E0530">
      <w:pPr>
        <w:pStyle w:val="Authors"/>
        <w:spacing w:line="360" w:lineRule="auto"/>
      </w:pPr>
      <w:r>
        <w:rPr>
          <w:rStyle w:val="None"/>
        </w:rPr>
        <w:t xml:space="preserve">S.D. Chamberlain, I. Singh, C. </w:t>
      </w:r>
      <w:proofErr w:type="spellStart"/>
      <w:r>
        <w:rPr>
          <w:rStyle w:val="None"/>
        </w:rPr>
        <w:t>Ariza</w:t>
      </w:r>
      <w:proofErr w:type="spellEnd"/>
      <w:r>
        <w:rPr>
          <w:rStyle w:val="None"/>
        </w:rPr>
        <w:t xml:space="preserve">, A. </w:t>
      </w:r>
      <w:proofErr w:type="spellStart"/>
      <w:r>
        <w:rPr>
          <w:rStyle w:val="None"/>
        </w:rPr>
        <w:t>Daitch</w:t>
      </w:r>
      <w:proofErr w:type="spellEnd"/>
      <w:r>
        <w:rPr>
          <w:rStyle w:val="None"/>
        </w:rPr>
        <w:t>, P. Philips, B. D. Dalziel</w:t>
      </w:r>
      <w:r>
        <w:rPr>
          <w:rStyle w:val="None"/>
          <w:sz w:val="28"/>
          <w:szCs w:val="28"/>
        </w:rPr>
        <w:t>.</w:t>
      </w:r>
    </w:p>
    <w:p w14:paraId="34D67477" w14:textId="5F3E30DA" w:rsidR="004779CB" w:rsidRDefault="00E4519A" w:rsidP="008E0530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Correspondence </w:t>
      </w:r>
      <w:r w:rsidR="004779CB">
        <w:rPr>
          <w:szCs w:val="24"/>
        </w:rPr>
        <w:t>to:</w:t>
      </w:r>
      <w:r w:rsidR="00BC3E04">
        <w:rPr>
          <w:szCs w:val="24"/>
        </w:rPr>
        <w:t xml:space="preserve"> </w:t>
      </w:r>
      <w:hyperlink r:id="rId7" w:history="1">
        <w:r w:rsidR="00EE04AB">
          <w:rPr>
            <w:rStyle w:val="Link"/>
          </w:rPr>
          <w:t>sam@kinsahealth.com</w:t>
        </w:r>
      </w:hyperlink>
    </w:p>
    <w:p w14:paraId="223EBBEB" w14:textId="77777777" w:rsidR="002C030F" w:rsidRDefault="002C030F" w:rsidP="008E0530">
      <w:pPr>
        <w:spacing w:line="360" w:lineRule="auto"/>
      </w:pPr>
    </w:p>
    <w:p w14:paraId="5BBBF32C" w14:textId="77777777" w:rsidR="00015F74" w:rsidRDefault="00015F74" w:rsidP="008E0530">
      <w:pPr>
        <w:spacing w:line="360" w:lineRule="auto"/>
        <w:rPr>
          <w:b/>
        </w:rPr>
      </w:pPr>
    </w:p>
    <w:p w14:paraId="546CBFCA" w14:textId="77777777" w:rsidR="002C030F" w:rsidRPr="00262D72" w:rsidRDefault="009743A9" w:rsidP="008E0530">
      <w:pPr>
        <w:spacing w:line="360" w:lineRule="auto"/>
        <w:rPr>
          <w:b/>
        </w:rPr>
      </w:pPr>
      <w:r>
        <w:rPr>
          <w:b/>
        </w:rPr>
        <w:t xml:space="preserve">This PDF file </w:t>
      </w:r>
      <w:r w:rsidR="002C030F" w:rsidRPr="00262D72">
        <w:rPr>
          <w:b/>
        </w:rPr>
        <w:t>includes:</w:t>
      </w:r>
    </w:p>
    <w:p w14:paraId="6B069C4B" w14:textId="77777777" w:rsidR="002C030F" w:rsidRDefault="002C030F" w:rsidP="008E0530">
      <w:pPr>
        <w:spacing w:line="360" w:lineRule="auto"/>
      </w:pPr>
    </w:p>
    <w:p w14:paraId="77A6E95F" w14:textId="77777777" w:rsidR="002C030F" w:rsidRDefault="002C030F" w:rsidP="008E0530">
      <w:pPr>
        <w:spacing w:line="360" w:lineRule="auto"/>
        <w:ind w:left="720"/>
      </w:pPr>
      <w:r>
        <w:t>Materials and Methods</w:t>
      </w:r>
    </w:p>
    <w:p w14:paraId="23718CE0" w14:textId="017CE9A4" w:rsidR="00015F74" w:rsidRDefault="002C030F" w:rsidP="008E0530">
      <w:pPr>
        <w:spacing w:line="360" w:lineRule="auto"/>
        <w:ind w:left="720"/>
      </w:pPr>
      <w:r>
        <w:t>Fig</w:t>
      </w:r>
      <w:r w:rsidR="00A3403B">
        <w:t xml:space="preserve">s. </w:t>
      </w:r>
      <w:r>
        <w:t>S1</w:t>
      </w:r>
      <w:r w:rsidR="00A3403B">
        <w:t xml:space="preserve"> to </w:t>
      </w:r>
      <w:r>
        <w:t>S</w:t>
      </w:r>
      <w:r w:rsidR="00C65E73">
        <w:t>3</w:t>
      </w:r>
    </w:p>
    <w:p w14:paraId="56364198" w14:textId="77777777" w:rsidR="00015F74" w:rsidRDefault="00015F74" w:rsidP="00EE4BE9">
      <w:pPr>
        <w:pStyle w:val="SMHeading"/>
        <w:spacing w:line="480" w:lineRule="auto"/>
      </w:pPr>
      <w:r>
        <w:br w:type="page"/>
      </w:r>
      <w:bookmarkStart w:id="0" w:name="Tables"/>
      <w:bookmarkStart w:id="1" w:name="MaterialsMethods"/>
      <w:bookmarkEnd w:id="0"/>
      <w:bookmarkEnd w:id="1"/>
      <w:r w:rsidRPr="00B43B31">
        <w:lastRenderedPageBreak/>
        <w:t>Materials and Methods</w:t>
      </w:r>
    </w:p>
    <w:p w14:paraId="5E19520C" w14:textId="74369F47" w:rsidR="00B34A92" w:rsidRDefault="006E4864" w:rsidP="00EE4BE9">
      <w:pPr>
        <w:pStyle w:val="SMText"/>
        <w:spacing w:line="480" w:lineRule="auto"/>
        <w:ind w:firstLine="0"/>
        <w:rPr>
          <w:rStyle w:val="None"/>
        </w:rPr>
      </w:pPr>
      <w:r>
        <w:t>C</w:t>
      </w:r>
      <w:r w:rsidR="00341A98">
        <w:t>ounty-level, daily illness incidence (ILI) data is created in three steps</w:t>
      </w:r>
      <w:r w:rsidR="00F25C5D">
        <w:t>, described in detail below</w:t>
      </w:r>
      <w:r w:rsidR="00341A98">
        <w:t>: 1) calculate proportion</w:t>
      </w:r>
      <w:r>
        <w:t xml:space="preserve"> </w:t>
      </w:r>
      <w:r w:rsidR="00341A98">
        <w:t xml:space="preserve">ILI from daily fever counts per region normalized by an active user base estimate, 2) remove </w:t>
      </w:r>
      <w:r w:rsidR="00572C69">
        <w:t xml:space="preserve">county ILI that falls below a minimum user base threshold, and 3) interpolate and smooth missing ILI data with information from adjacent regions. We define daily fever counts </w:t>
      </w:r>
      <w:r w:rsidR="00572C69" w:rsidRPr="003F4FE7">
        <w:t xml:space="preserve">as the number of unique users per region that take </w:t>
      </w:r>
      <w:r w:rsidR="00A6405A" w:rsidRPr="003F4FE7">
        <w:t xml:space="preserve">multiple </w:t>
      </w:r>
      <w:r w:rsidR="00572C69" w:rsidRPr="003F4FE7">
        <w:t xml:space="preserve">elevated temperature (37.7 </w:t>
      </w:r>
      <w:r w:rsidR="00572C69" w:rsidRPr="003F4FE7">
        <w:sym w:font="Symbol" w:char="F0B0"/>
      </w:r>
      <w:r w:rsidR="00572C69" w:rsidRPr="003F4FE7">
        <w:t xml:space="preserve">C) readings over the past </w:t>
      </w:r>
      <w:r w:rsidR="00A6405A" w:rsidRPr="003F4FE7">
        <w:t>week</w:t>
      </w:r>
      <w:r w:rsidR="000576FC" w:rsidRPr="003F4FE7">
        <w:t>, and</w:t>
      </w:r>
      <w:r w:rsidR="00572C69" w:rsidRPr="003F4FE7">
        <w:t xml:space="preserve"> then normalize these counts by the </w:t>
      </w:r>
      <w:r w:rsidR="00695F8E" w:rsidRPr="003F4FE7">
        <w:t xml:space="preserve">estimated </w:t>
      </w:r>
      <w:r w:rsidR="00572C69" w:rsidRPr="003F4FE7">
        <w:t xml:space="preserve">number of unique users who have used the thermometer over the past </w:t>
      </w:r>
      <w:r w:rsidR="005021AC" w:rsidRPr="003F4FE7">
        <w:t>year</w:t>
      </w:r>
      <w:r w:rsidR="00572C69" w:rsidRPr="003F4FE7">
        <w:t>.</w:t>
      </w:r>
      <w:r w:rsidR="008E0530" w:rsidRPr="003F4FE7">
        <w:t xml:space="preserve"> County ILI data is removed for regions </w:t>
      </w:r>
      <w:r w:rsidR="00203763" w:rsidRPr="003F4FE7">
        <w:t>with an insufficient user base</w:t>
      </w:r>
      <w:r w:rsidR="008E0530" w:rsidRPr="003F4FE7">
        <w:t xml:space="preserve">, and we interpolate ILI for counties with missing data using </w:t>
      </w:r>
      <w:r w:rsidR="00621001" w:rsidRPr="003F4FE7">
        <w:t>k</w:t>
      </w:r>
      <w:r w:rsidR="008E0530" w:rsidRPr="003F4FE7">
        <w:t xml:space="preserve">-nearest neighbors. </w:t>
      </w:r>
      <w:r w:rsidR="0020682A" w:rsidRPr="003F4FE7">
        <w:t>Q</w:t>
      </w:r>
      <w:r w:rsidR="00433B93" w:rsidRPr="003F4FE7">
        <w:t>uality</w:t>
      </w:r>
      <w:r w:rsidR="00D75E81" w:rsidRPr="003F4FE7">
        <w:t xml:space="preserve"> control and interpolation </w:t>
      </w:r>
      <w:r w:rsidR="00ED1742" w:rsidRPr="003F4FE7">
        <w:t xml:space="preserve">parameters </w:t>
      </w:r>
      <w:r w:rsidR="00D75E81" w:rsidRPr="003F4FE7">
        <w:t xml:space="preserve">were </w:t>
      </w:r>
      <w:r w:rsidR="00220549" w:rsidRPr="003F4FE7">
        <w:t>settled upon</w:t>
      </w:r>
      <w:r w:rsidR="00D75E81" w:rsidRPr="003F4FE7">
        <w:t xml:space="preserve"> by comparing </w:t>
      </w:r>
      <w:r w:rsidR="00F25C5D" w:rsidRPr="003F4FE7">
        <w:t xml:space="preserve">the </w:t>
      </w:r>
      <w:r w:rsidR="002D206C" w:rsidRPr="003F4FE7">
        <w:t>resulting ILI signal</w:t>
      </w:r>
      <w:r w:rsidR="00D75E81" w:rsidRPr="003F4FE7">
        <w:t xml:space="preserve"> to Center of Disease Control and Prevention (CDC) ILI at national and </w:t>
      </w:r>
      <w:r w:rsidR="00621001" w:rsidRPr="003F4FE7">
        <w:t xml:space="preserve">CDC </w:t>
      </w:r>
      <w:r w:rsidR="00D75E81" w:rsidRPr="003F4FE7">
        <w:t>region scales and</w:t>
      </w:r>
      <w:r w:rsidR="00ED1742" w:rsidRPr="003F4FE7">
        <w:t xml:space="preserve"> choosing the parameters that</w:t>
      </w:r>
      <w:r w:rsidR="00D75E81" w:rsidRPr="003F4FE7">
        <w:t xml:space="preserve"> </w:t>
      </w:r>
      <w:r w:rsidR="00ED1742" w:rsidRPr="003F4FE7">
        <w:t xml:space="preserve">minimized </w:t>
      </w:r>
      <w:r w:rsidR="00D75E81" w:rsidRPr="003F4FE7">
        <w:t xml:space="preserve">mean absolute error. We then re-scale thermometer incidence </w:t>
      </w:r>
      <w:r w:rsidR="005650BC" w:rsidRPr="003F4FE7">
        <w:t>via a linear calibration of national</w:t>
      </w:r>
      <w:r w:rsidR="00F46CC5" w:rsidRPr="003F4FE7">
        <w:t>-scale</w:t>
      </w:r>
      <w:r w:rsidR="005650BC" w:rsidRPr="003F4FE7">
        <w:t xml:space="preserve"> thermometer ILI to CDC ILI, from August 2016</w:t>
      </w:r>
      <w:r w:rsidR="005650BC">
        <w:t xml:space="preserve"> through August 201</w:t>
      </w:r>
      <w:r w:rsidR="00A012F7">
        <w:t>9</w:t>
      </w:r>
      <w:r w:rsidR="005650BC">
        <w:t xml:space="preserve">, and </w:t>
      </w:r>
      <w:r w:rsidR="0009328C">
        <w:t>apply</w:t>
      </w:r>
      <w:r w:rsidR="005650BC">
        <w:t xml:space="preserve"> this </w:t>
      </w:r>
      <w:r w:rsidR="0009328C">
        <w:t xml:space="preserve">single, linear calibration </w:t>
      </w:r>
      <w:r w:rsidR="005650BC">
        <w:t>to the county data.</w:t>
      </w:r>
      <w:r w:rsidR="008A5501">
        <w:t xml:space="preserve"> </w:t>
      </w:r>
      <w:r w:rsidR="008A5501">
        <w:rPr>
          <w:rStyle w:val="None"/>
        </w:rPr>
        <w:t>The error we observe in our signal is normally distributed about 0 and decreases with regional sensor penetration.</w:t>
      </w:r>
    </w:p>
    <w:p w14:paraId="1D07CD07" w14:textId="77777777" w:rsidR="008A2C97" w:rsidRDefault="008A2C97" w:rsidP="00EE4BE9">
      <w:pPr>
        <w:pStyle w:val="SMText"/>
        <w:spacing w:line="480" w:lineRule="auto"/>
        <w:ind w:firstLine="0"/>
        <w:rPr>
          <w:rStyle w:val="None"/>
        </w:rPr>
      </w:pPr>
    </w:p>
    <w:p w14:paraId="5B0DB4A8" w14:textId="30320DA5" w:rsidR="000D3271" w:rsidRDefault="001B5DD6" w:rsidP="00EE4BE9">
      <w:pPr>
        <w:pStyle w:val="SMText"/>
        <w:spacing w:line="480" w:lineRule="auto"/>
        <w:ind w:firstLine="0"/>
        <w:rPr>
          <w:rStyle w:val="None"/>
        </w:rPr>
      </w:pPr>
      <w:r>
        <w:rPr>
          <w:rStyle w:val="None"/>
        </w:rPr>
        <w:t xml:space="preserve">We </w:t>
      </w:r>
      <w:r w:rsidR="00621001">
        <w:rPr>
          <w:rStyle w:val="None"/>
        </w:rPr>
        <w:t xml:space="preserve">use a different approach to calculate </w:t>
      </w:r>
      <w:r>
        <w:rPr>
          <w:rStyle w:val="None"/>
        </w:rPr>
        <w:t xml:space="preserve">the </w:t>
      </w:r>
      <w:r w:rsidR="00621001">
        <w:rPr>
          <w:rStyle w:val="None"/>
        </w:rPr>
        <w:t xml:space="preserve">anomaly detection </w:t>
      </w:r>
      <w:r>
        <w:rPr>
          <w:rStyle w:val="None"/>
        </w:rPr>
        <w:t>confidence boundary</w:t>
      </w:r>
      <w:r w:rsidR="00621001">
        <w:rPr>
          <w:rStyle w:val="None"/>
        </w:rPr>
        <w:t xml:space="preserve"> </w:t>
      </w:r>
      <w:r>
        <w:rPr>
          <w:rStyle w:val="None"/>
        </w:rPr>
        <w:t xml:space="preserve">for region-specific examples and country-wide county-level maps. </w:t>
      </w:r>
      <w:r w:rsidR="008A2C97">
        <w:rPr>
          <w:rStyle w:val="None"/>
        </w:rPr>
        <w:t xml:space="preserve">For region-specific </w:t>
      </w:r>
      <w:r w:rsidR="001805FF">
        <w:rPr>
          <w:rStyle w:val="None"/>
        </w:rPr>
        <w:t>anomaly detection</w:t>
      </w:r>
      <w:r w:rsidR="008A2C97">
        <w:rPr>
          <w:rStyle w:val="None"/>
        </w:rPr>
        <w:t>, we use the ensemble of forecasts approach</w:t>
      </w:r>
      <w:r w:rsidR="00526DD1">
        <w:rPr>
          <w:rStyle w:val="None"/>
        </w:rPr>
        <w:t>, as</w:t>
      </w:r>
      <w:r w:rsidR="008A2C97">
        <w:rPr>
          <w:rStyle w:val="None"/>
        </w:rPr>
        <w:t xml:space="preserve"> described in the </w:t>
      </w:r>
      <w:r w:rsidR="00526DD1">
        <w:rPr>
          <w:rStyle w:val="None"/>
        </w:rPr>
        <w:t>manuscript,</w:t>
      </w:r>
      <w:r w:rsidR="008A2C97">
        <w:rPr>
          <w:rStyle w:val="None"/>
        </w:rPr>
        <w:t xml:space="preserve"> to identify ILI levels outside of expected influenza. </w:t>
      </w:r>
      <w:r w:rsidR="001805FF">
        <w:rPr>
          <w:rStyle w:val="None"/>
        </w:rPr>
        <w:t xml:space="preserve">In contrast, for </w:t>
      </w:r>
      <w:r w:rsidR="008A2C97">
        <w:rPr>
          <w:rStyle w:val="None"/>
        </w:rPr>
        <w:t>daily anomaly detections across all United States counties, we</w:t>
      </w:r>
      <w:r w:rsidR="00173DDA">
        <w:rPr>
          <w:rStyle w:val="None"/>
        </w:rPr>
        <w:t xml:space="preserve"> run a single influenza forecast</w:t>
      </w:r>
      <w:r w:rsidR="00F3644A">
        <w:rPr>
          <w:rStyle w:val="None"/>
        </w:rPr>
        <w:t xml:space="preserve"> per county</w:t>
      </w:r>
      <w:r w:rsidR="008A2C97">
        <w:rPr>
          <w:rStyle w:val="None"/>
        </w:rPr>
        <w:t xml:space="preserve"> </w:t>
      </w:r>
      <w:r w:rsidR="00173DDA">
        <w:rPr>
          <w:rStyle w:val="None"/>
        </w:rPr>
        <w:t xml:space="preserve">and </w:t>
      </w:r>
      <w:r w:rsidR="008A2C97">
        <w:rPr>
          <w:rStyle w:val="None"/>
        </w:rPr>
        <w:t xml:space="preserve">define </w:t>
      </w:r>
      <w:r w:rsidR="001805FF">
        <w:rPr>
          <w:rStyle w:val="None"/>
        </w:rPr>
        <w:t xml:space="preserve">significant </w:t>
      </w:r>
      <w:r w:rsidR="008A2C97">
        <w:rPr>
          <w:rStyle w:val="None"/>
        </w:rPr>
        <w:t xml:space="preserve">anomalies as </w:t>
      </w:r>
      <w:r w:rsidR="001805FF">
        <w:rPr>
          <w:rStyle w:val="None"/>
        </w:rPr>
        <w:t xml:space="preserve">ILI levels </w:t>
      </w:r>
      <w:r w:rsidR="00D31279">
        <w:rPr>
          <w:rStyle w:val="None"/>
        </w:rPr>
        <w:t xml:space="preserve">outside </w:t>
      </w:r>
      <w:r w:rsidR="008A2C97">
        <w:rPr>
          <w:rStyle w:val="None"/>
        </w:rPr>
        <w:t>the upper</w:t>
      </w:r>
      <w:r w:rsidR="001805FF">
        <w:rPr>
          <w:rStyle w:val="None"/>
        </w:rPr>
        <w:t xml:space="preserve"> bound of the</w:t>
      </w:r>
      <w:r w:rsidR="008A2C97">
        <w:rPr>
          <w:rStyle w:val="None"/>
        </w:rPr>
        <w:t xml:space="preserve"> 95% confidence</w:t>
      </w:r>
      <w:r w:rsidR="00D31279">
        <w:rPr>
          <w:rStyle w:val="None"/>
        </w:rPr>
        <w:t xml:space="preserve"> internal</w:t>
      </w:r>
      <w:r w:rsidR="00173DDA">
        <w:rPr>
          <w:rStyle w:val="None"/>
        </w:rPr>
        <w:t xml:space="preserve"> of the influenza forecast</w:t>
      </w:r>
      <w:r w:rsidR="00D31279">
        <w:rPr>
          <w:rStyle w:val="None"/>
        </w:rPr>
        <w:t xml:space="preserve">, </w:t>
      </w:r>
      <w:r w:rsidR="00173DDA">
        <w:rPr>
          <w:rStyle w:val="None"/>
        </w:rPr>
        <w:t xml:space="preserve">where </w:t>
      </w:r>
      <w:r w:rsidR="00173DDA">
        <w:rPr>
          <w:rStyle w:val="None"/>
        </w:rPr>
        <w:lastRenderedPageBreak/>
        <w:t xml:space="preserve">the interval is </w:t>
      </w:r>
      <w:r w:rsidR="008A2C97">
        <w:rPr>
          <w:rStyle w:val="None"/>
        </w:rPr>
        <w:t>based on observed</w:t>
      </w:r>
      <w:r w:rsidR="00173DDA">
        <w:rPr>
          <w:rStyle w:val="None"/>
        </w:rPr>
        <w:t xml:space="preserve"> ILI</w:t>
      </w:r>
      <w:r w:rsidR="008A2C97">
        <w:rPr>
          <w:rStyle w:val="None"/>
        </w:rPr>
        <w:t xml:space="preserve"> noise </w:t>
      </w:r>
      <w:r w:rsidR="00173DDA">
        <w:rPr>
          <w:rStyle w:val="None"/>
        </w:rPr>
        <w:t>per</w:t>
      </w:r>
      <w:r w:rsidR="008A2C97">
        <w:rPr>
          <w:rStyle w:val="None"/>
        </w:rPr>
        <w:t xml:space="preserve"> region. Here, </w:t>
      </w:r>
      <w:r w:rsidR="001805FF">
        <w:rPr>
          <w:rStyle w:val="None"/>
        </w:rPr>
        <w:t>we</w:t>
      </w:r>
      <w:r w:rsidR="008A2C97">
        <w:rPr>
          <w:rStyle w:val="None"/>
        </w:rPr>
        <w:t xml:space="preserve"> use the standard deviation of </w:t>
      </w:r>
      <w:r>
        <w:rPr>
          <w:rStyle w:val="None"/>
        </w:rPr>
        <w:t xml:space="preserve">county </w:t>
      </w:r>
      <w:r w:rsidR="008A2C97">
        <w:rPr>
          <w:rStyle w:val="None"/>
        </w:rPr>
        <w:t xml:space="preserve">residual ILI </w:t>
      </w:r>
      <w:r w:rsidR="000D3271">
        <w:rPr>
          <w:rStyle w:val="None"/>
        </w:rPr>
        <w:t>(</w:t>
      </w:r>
      <w:r w:rsidR="000D3271" w:rsidRPr="000D3271">
        <w:rPr>
          <w:rStyle w:val="None"/>
          <w:i/>
          <w:iCs/>
        </w:rPr>
        <w:t>SD</w:t>
      </w:r>
      <w:r w:rsidR="00D613E2">
        <w:rPr>
          <w:rStyle w:val="None"/>
          <w:i/>
          <w:iCs/>
          <w:vertAlign w:val="subscript"/>
        </w:rPr>
        <w:t>ILI</w:t>
      </w:r>
      <w:r w:rsidR="000D3271">
        <w:rPr>
          <w:rStyle w:val="None"/>
        </w:rPr>
        <w:t>)</w:t>
      </w:r>
      <w:r w:rsidR="001805FF">
        <w:rPr>
          <w:rStyle w:val="None"/>
        </w:rPr>
        <w:t xml:space="preserve">, </w:t>
      </w:r>
      <w:r>
        <w:rPr>
          <w:rStyle w:val="None"/>
        </w:rPr>
        <w:t>calculated as</w:t>
      </w:r>
      <w:r w:rsidR="001805FF">
        <w:rPr>
          <w:rStyle w:val="None"/>
        </w:rPr>
        <w:t xml:space="preserve"> descri</w:t>
      </w:r>
      <w:r>
        <w:rPr>
          <w:rStyle w:val="None"/>
        </w:rPr>
        <w:t>bed in the manuscript,</w:t>
      </w:r>
      <w:r w:rsidR="000D3271">
        <w:rPr>
          <w:rStyle w:val="None"/>
        </w:rPr>
        <w:t xml:space="preserve"> </w:t>
      </w:r>
      <w:r w:rsidR="008A2C97">
        <w:rPr>
          <w:rStyle w:val="None"/>
        </w:rPr>
        <w:t>to define</w:t>
      </w:r>
      <w:r w:rsidR="00A01DF9">
        <w:rPr>
          <w:rStyle w:val="None"/>
        </w:rPr>
        <w:t xml:space="preserve"> the error in our confidence bounds</w:t>
      </w:r>
      <w:r w:rsidR="008A2C97">
        <w:rPr>
          <w:rStyle w:val="None"/>
        </w:rPr>
        <w:t xml:space="preserve">. Any daily thermometer ILI that is </w:t>
      </w:r>
      <w:r w:rsidR="000D3271">
        <w:rPr>
          <w:rStyle w:val="None"/>
        </w:rPr>
        <w:t>more than 1.96</w:t>
      </w:r>
      <w:r w:rsidR="000D3271">
        <w:rPr>
          <w:rStyle w:val="None"/>
          <w:rFonts w:ascii="MS Mincho" w:hAnsi="MS Mincho" w:cs="MS Mincho" w:hint="eastAsia"/>
          <w:lang w:eastAsia="ja-JP"/>
        </w:rPr>
        <w:t>・</w:t>
      </w:r>
      <w:r w:rsidR="000D3271" w:rsidRPr="000D3271">
        <w:rPr>
          <w:rStyle w:val="None"/>
          <w:i/>
          <w:iCs/>
        </w:rPr>
        <w:t>SD</w:t>
      </w:r>
      <w:r w:rsidR="00D613E2">
        <w:rPr>
          <w:rStyle w:val="None"/>
          <w:i/>
          <w:iCs/>
          <w:vertAlign w:val="subscript"/>
        </w:rPr>
        <w:t>ILI</w:t>
      </w:r>
      <w:r w:rsidR="000D3271">
        <w:rPr>
          <w:rStyle w:val="None"/>
        </w:rPr>
        <w:t xml:space="preserve"> higher than the expected </w:t>
      </w:r>
      <w:r w:rsidR="009D66B4">
        <w:rPr>
          <w:rStyle w:val="None"/>
        </w:rPr>
        <w:t xml:space="preserve">influenza </w:t>
      </w:r>
      <w:r w:rsidR="000D3271">
        <w:rPr>
          <w:rStyle w:val="None"/>
        </w:rPr>
        <w:t>forecast is flagged as anomalous.</w:t>
      </w:r>
      <w:r w:rsidR="009D66B4">
        <w:rPr>
          <w:rStyle w:val="None"/>
        </w:rPr>
        <w:t xml:space="preserve"> Expected influenza forecasts are made for every county on March 1</w:t>
      </w:r>
      <w:r w:rsidR="0091311A" w:rsidRPr="0091311A">
        <w:rPr>
          <w:rStyle w:val="None"/>
          <w:vertAlign w:val="superscript"/>
        </w:rPr>
        <w:t>st</w:t>
      </w:r>
      <w:r w:rsidR="009D66B4">
        <w:rPr>
          <w:rStyle w:val="None"/>
        </w:rPr>
        <w:t>, 2020, and real-time thermometer ILI is compared to these forecasts, daily.</w:t>
      </w:r>
      <w:r w:rsidR="00173DDA">
        <w:rPr>
          <w:rStyle w:val="None"/>
        </w:rPr>
        <w:t xml:space="preserve"> The confidence boundary for this single forecast approach used across all counties is more conservative than the region-specific ensemble approach, where the confidence boundary for anomalous incidence detection maintains a larger spread across the observation period compared to the ensemble method (Fig. S3).</w:t>
      </w:r>
    </w:p>
    <w:p w14:paraId="6F83FA6A" w14:textId="3848C72C" w:rsidR="000D6EE6" w:rsidRDefault="000D6EE6" w:rsidP="00EE4BE9">
      <w:pPr>
        <w:pStyle w:val="SMText"/>
        <w:spacing w:line="480" w:lineRule="auto"/>
        <w:ind w:firstLine="0"/>
      </w:pPr>
      <w:r>
        <w:br w:type="page"/>
      </w:r>
    </w:p>
    <w:p w14:paraId="5EA1A1AB" w14:textId="41F1EBB7" w:rsidR="00D766F1" w:rsidRDefault="000D6EE6" w:rsidP="008E0530">
      <w:pPr>
        <w:pStyle w:val="SMText"/>
        <w:spacing w:line="360" w:lineRule="auto"/>
      </w:pPr>
      <w:r>
        <w:rPr>
          <w:noProof/>
        </w:rPr>
        <w:lastRenderedPageBreak/>
        <w:drawing>
          <wp:inline distT="0" distB="0" distL="0" distR="0" wp14:anchorId="78EC9AA4" wp14:editId="1BDB29C2">
            <wp:extent cx="5640779" cy="2820390"/>
            <wp:effectExtent l="0" t="0" r="0" b="0"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cast errors by mon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363" cy="284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205DD" w14:textId="6AF54BD4" w:rsidR="0096345F" w:rsidRDefault="007411A1" w:rsidP="008E0530">
      <w:pPr>
        <w:pStyle w:val="SMHeading"/>
        <w:spacing w:line="360" w:lineRule="auto"/>
        <w:rPr>
          <w:b w:val="0"/>
          <w:bCs w:val="0"/>
        </w:rPr>
      </w:pPr>
      <w:r w:rsidRPr="00355362">
        <w:t>Fig. S1.</w:t>
      </w:r>
      <w:r w:rsidR="0096345F">
        <w:t xml:space="preserve"> </w:t>
      </w:r>
      <w:r w:rsidR="000D6EE6" w:rsidRPr="0096345F">
        <w:rPr>
          <w:b w:val="0"/>
          <w:bCs w:val="0"/>
        </w:rPr>
        <w:t xml:space="preserve">Mean absolute error by month for the </w:t>
      </w:r>
      <w:r w:rsidR="00ED1777">
        <w:rPr>
          <w:b w:val="0"/>
          <w:bCs w:val="0"/>
        </w:rPr>
        <w:t xml:space="preserve">expected </w:t>
      </w:r>
      <w:r w:rsidR="000D6EE6" w:rsidRPr="0096345F">
        <w:rPr>
          <w:b w:val="0"/>
          <w:bCs w:val="0"/>
        </w:rPr>
        <w:t xml:space="preserve">influenza forecast. Errors were calculated by hindcasting from </w:t>
      </w:r>
      <w:r w:rsidR="00FB31E7">
        <w:rPr>
          <w:b w:val="0"/>
          <w:bCs w:val="0"/>
        </w:rPr>
        <w:t>August 1</w:t>
      </w:r>
      <w:r w:rsidR="00FB31E7" w:rsidRPr="00FB31E7">
        <w:rPr>
          <w:b w:val="0"/>
          <w:bCs w:val="0"/>
          <w:vertAlign w:val="superscript"/>
        </w:rPr>
        <w:t>st</w:t>
      </w:r>
      <w:r w:rsidR="00FB31E7">
        <w:rPr>
          <w:b w:val="0"/>
          <w:bCs w:val="0"/>
        </w:rPr>
        <w:t>, 2018, to March 25</w:t>
      </w:r>
      <w:r w:rsidR="00FB31E7" w:rsidRPr="00FB31E7">
        <w:rPr>
          <w:b w:val="0"/>
          <w:bCs w:val="0"/>
          <w:vertAlign w:val="superscript"/>
        </w:rPr>
        <w:t>th</w:t>
      </w:r>
      <w:r w:rsidR="00FB31E7">
        <w:rPr>
          <w:b w:val="0"/>
          <w:bCs w:val="0"/>
        </w:rPr>
        <w:t>, 2020</w:t>
      </w:r>
      <w:r w:rsidR="000D6EE6" w:rsidRPr="0096345F">
        <w:rPr>
          <w:b w:val="0"/>
          <w:bCs w:val="0"/>
        </w:rPr>
        <w:t xml:space="preserve"> and comparing forecast output to </w:t>
      </w:r>
      <w:r w:rsidR="00FB31E7">
        <w:rPr>
          <w:b w:val="0"/>
          <w:bCs w:val="0"/>
        </w:rPr>
        <w:t>observed</w:t>
      </w:r>
      <w:r w:rsidR="000D6EE6" w:rsidRPr="0096345F">
        <w:rPr>
          <w:b w:val="0"/>
          <w:bCs w:val="0"/>
        </w:rPr>
        <w:t xml:space="preserve"> thermometer</w:t>
      </w:r>
      <w:r w:rsidR="00FB31E7">
        <w:rPr>
          <w:b w:val="0"/>
          <w:bCs w:val="0"/>
        </w:rPr>
        <w:t>-based</w:t>
      </w:r>
      <w:r w:rsidR="000D6EE6" w:rsidRPr="0096345F">
        <w:rPr>
          <w:b w:val="0"/>
          <w:bCs w:val="0"/>
        </w:rPr>
        <w:t xml:space="preserve"> incidence.</w:t>
      </w:r>
    </w:p>
    <w:p w14:paraId="1F19246B" w14:textId="14A2C892" w:rsidR="0096345F" w:rsidRDefault="0096345F" w:rsidP="008E0530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359D5D68" w14:textId="09FE945D" w:rsidR="00935906" w:rsidRDefault="00F8624D" w:rsidP="008E0530">
      <w:pPr>
        <w:pStyle w:val="SMHeading"/>
        <w:spacing w:line="360" w:lineRule="auto"/>
      </w:pPr>
      <w:r>
        <w:rPr>
          <w:noProof/>
        </w:rPr>
        <w:lastRenderedPageBreak/>
        <w:drawing>
          <wp:inline distT="0" distB="0" distL="0" distR="0" wp14:anchorId="068E57FB" wp14:editId="0413711F">
            <wp:extent cx="5943600" cy="2286000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553D1" w14:textId="30B02016" w:rsidR="00C65E73" w:rsidRDefault="00935906" w:rsidP="008E0530">
      <w:pPr>
        <w:pStyle w:val="SMHeading"/>
        <w:spacing w:line="360" w:lineRule="auto"/>
        <w:rPr>
          <w:b w:val="0"/>
          <w:bCs w:val="0"/>
        </w:rPr>
      </w:pPr>
      <w:r w:rsidRPr="00355362">
        <w:t>Fig. S</w:t>
      </w:r>
      <w:r>
        <w:t xml:space="preserve">2. </w:t>
      </w:r>
      <w:r w:rsidR="00726029">
        <w:rPr>
          <w:b w:val="0"/>
          <w:bCs w:val="0"/>
        </w:rPr>
        <w:t>Anomal</w:t>
      </w:r>
      <w:r w:rsidR="00635EC3">
        <w:rPr>
          <w:b w:val="0"/>
          <w:bCs w:val="0"/>
        </w:rPr>
        <w:t>y</w:t>
      </w:r>
      <w:r w:rsidR="00726029">
        <w:rPr>
          <w:b w:val="0"/>
          <w:bCs w:val="0"/>
        </w:rPr>
        <w:t xml:space="preserve"> incidence detections</w:t>
      </w:r>
      <w:r w:rsidR="00354E73">
        <w:rPr>
          <w:b w:val="0"/>
          <w:bCs w:val="0"/>
        </w:rPr>
        <w:t xml:space="preserve"> in</w:t>
      </w:r>
      <w:r w:rsidR="00726029">
        <w:rPr>
          <w:b w:val="0"/>
          <w:bCs w:val="0"/>
        </w:rPr>
        <w:t xml:space="preserve"> </w:t>
      </w:r>
      <w:r w:rsidR="005219BD">
        <w:rPr>
          <w:b w:val="0"/>
          <w:bCs w:val="0"/>
        </w:rPr>
        <w:t>Miami-Dade County, FL, USA</w:t>
      </w:r>
      <w:r>
        <w:rPr>
          <w:b w:val="0"/>
          <w:bCs w:val="0"/>
        </w:rPr>
        <w:t xml:space="preserve"> </w:t>
      </w:r>
      <w:r w:rsidR="00726029">
        <w:rPr>
          <w:b w:val="0"/>
          <w:bCs w:val="0"/>
        </w:rPr>
        <w:t>where</w:t>
      </w:r>
      <w:r>
        <w:rPr>
          <w:b w:val="0"/>
          <w:bCs w:val="0"/>
        </w:rPr>
        <w:t xml:space="preserve"> </w:t>
      </w:r>
      <w:r w:rsidR="005219BD">
        <w:rPr>
          <w:b w:val="0"/>
          <w:bCs w:val="0"/>
        </w:rPr>
        <w:t xml:space="preserve">schools closed </w:t>
      </w:r>
      <w:r w:rsidR="00726029">
        <w:rPr>
          <w:b w:val="0"/>
          <w:bCs w:val="0"/>
        </w:rPr>
        <w:t>on March 16</w:t>
      </w:r>
      <w:r w:rsidR="00726029" w:rsidRPr="00726029">
        <w:rPr>
          <w:b w:val="0"/>
          <w:bCs w:val="0"/>
          <w:vertAlign w:val="superscript"/>
        </w:rPr>
        <w:t>th</w:t>
      </w:r>
      <w:r w:rsidR="00726029">
        <w:rPr>
          <w:b w:val="0"/>
          <w:bCs w:val="0"/>
        </w:rPr>
        <w:t>, 2020</w:t>
      </w:r>
      <w:r>
        <w:rPr>
          <w:b w:val="0"/>
          <w:bCs w:val="0"/>
        </w:rPr>
        <w:t>.</w:t>
      </w:r>
      <w:r w:rsidR="00726029">
        <w:rPr>
          <w:b w:val="0"/>
          <w:bCs w:val="0"/>
        </w:rPr>
        <w:t xml:space="preserve"> The blue line and shaded region represent the median influenza forecast and </w:t>
      </w:r>
      <w:r w:rsidR="004E4CFF">
        <w:rPr>
          <w:b w:val="0"/>
          <w:bCs w:val="0"/>
        </w:rPr>
        <w:t>2.5-</w:t>
      </w:r>
      <w:r w:rsidR="00726029">
        <w:rPr>
          <w:b w:val="0"/>
          <w:bCs w:val="0"/>
        </w:rPr>
        <w:t>9</w:t>
      </w:r>
      <w:r w:rsidR="004E4CFF">
        <w:rPr>
          <w:b w:val="0"/>
          <w:bCs w:val="0"/>
        </w:rPr>
        <w:t>7.5</w:t>
      </w:r>
      <w:r w:rsidR="00726029" w:rsidRPr="00726029">
        <w:rPr>
          <w:b w:val="0"/>
          <w:bCs w:val="0"/>
          <w:vertAlign w:val="superscript"/>
        </w:rPr>
        <w:t>th</w:t>
      </w:r>
      <w:r w:rsidR="00726029">
        <w:rPr>
          <w:b w:val="0"/>
          <w:bCs w:val="0"/>
        </w:rPr>
        <w:t xml:space="preserve"> percentile of ensemble predictions, respectively.</w:t>
      </w:r>
    </w:p>
    <w:p w14:paraId="70ED26C4" w14:textId="77777777" w:rsidR="00C65E73" w:rsidRDefault="00C65E73">
      <w:pPr>
        <w:rPr>
          <w:kern w:val="32"/>
          <w:szCs w:val="24"/>
        </w:rPr>
      </w:pPr>
      <w:r>
        <w:rPr>
          <w:b/>
          <w:bCs/>
        </w:rPr>
        <w:br w:type="page"/>
      </w:r>
    </w:p>
    <w:p w14:paraId="37BAA399" w14:textId="083C891D" w:rsidR="00935906" w:rsidRDefault="008008D7" w:rsidP="008E0530">
      <w:pPr>
        <w:pStyle w:val="SMHeading"/>
        <w:spacing w:line="360" w:lineRule="auto"/>
        <w:rPr>
          <w:b w:val="0"/>
          <w:bCs w:val="0"/>
        </w:rPr>
      </w:pPr>
      <w:r>
        <w:rPr>
          <w:b w:val="0"/>
          <w:bCs w:val="0"/>
          <w:noProof/>
        </w:rPr>
        <w:lastRenderedPageBreak/>
        <w:drawing>
          <wp:inline distT="0" distB="0" distL="0" distR="0" wp14:anchorId="1564DA9B" wp14:editId="1410C29E">
            <wp:extent cx="5943600" cy="22860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S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76769" w14:textId="67F6CB48" w:rsidR="00C65E73" w:rsidRDefault="00C65E73" w:rsidP="00C65E73">
      <w:pPr>
        <w:pStyle w:val="SMHeading"/>
        <w:spacing w:line="360" w:lineRule="auto"/>
        <w:rPr>
          <w:b w:val="0"/>
          <w:bCs w:val="0"/>
        </w:rPr>
      </w:pPr>
      <w:r w:rsidRPr="00355362">
        <w:t>Fig. S</w:t>
      </w:r>
      <w:r w:rsidR="002F066D">
        <w:t>3</w:t>
      </w:r>
      <w:r>
        <w:t xml:space="preserve">. </w:t>
      </w:r>
      <w:r>
        <w:rPr>
          <w:b w:val="0"/>
          <w:bCs w:val="0"/>
        </w:rPr>
        <w:t xml:space="preserve">Median influenza forecast and confidence boundary for </w:t>
      </w:r>
      <w:r w:rsidR="00075BB3">
        <w:rPr>
          <w:b w:val="0"/>
          <w:bCs w:val="0"/>
        </w:rPr>
        <w:t xml:space="preserve">Brooklyn, NY using </w:t>
      </w:r>
      <w:r>
        <w:rPr>
          <w:b w:val="0"/>
          <w:bCs w:val="0"/>
        </w:rPr>
        <w:t xml:space="preserve">the region-specific </w:t>
      </w:r>
      <w:r w:rsidR="00075BB3">
        <w:rPr>
          <w:b w:val="0"/>
          <w:bCs w:val="0"/>
        </w:rPr>
        <w:t>ensemble approach</w:t>
      </w:r>
      <w:r>
        <w:rPr>
          <w:b w:val="0"/>
          <w:bCs w:val="0"/>
        </w:rPr>
        <w:t xml:space="preserve"> (orange line and shaded region) versus the single forecast approach (blue line and shaded region)</w:t>
      </w:r>
      <w:r w:rsidR="00075BB3">
        <w:rPr>
          <w:b w:val="0"/>
          <w:bCs w:val="0"/>
        </w:rPr>
        <w:t xml:space="preserve"> used to detect anomalies across all US counties</w:t>
      </w:r>
      <w:r>
        <w:rPr>
          <w:b w:val="0"/>
          <w:bCs w:val="0"/>
        </w:rPr>
        <w:t xml:space="preserve">. The detection limits </w:t>
      </w:r>
      <w:r w:rsidR="00455C42">
        <w:rPr>
          <w:b w:val="0"/>
          <w:bCs w:val="0"/>
        </w:rPr>
        <w:t xml:space="preserve">used when tracking all US counties </w:t>
      </w:r>
      <w:r>
        <w:rPr>
          <w:b w:val="0"/>
          <w:bCs w:val="0"/>
        </w:rPr>
        <w:t>are more conservative, as the threshold for anomaly detection stays higher throughout the observation period.</w:t>
      </w:r>
    </w:p>
    <w:p w14:paraId="546D9275" w14:textId="77777777" w:rsidR="00C65E73" w:rsidRPr="00935906" w:rsidRDefault="00C65E73" w:rsidP="008E0530">
      <w:pPr>
        <w:pStyle w:val="SMHeading"/>
        <w:spacing w:line="360" w:lineRule="auto"/>
        <w:rPr>
          <w:b w:val="0"/>
          <w:bCs w:val="0"/>
        </w:rPr>
      </w:pPr>
    </w:p>
    <w:p w14:paraId="10BF7DE9" w14:textId="6986F519" w:rsidR="00B9440A" w:rsidRPr="00D849DF" w:rsidRDefault="00B9440A" w:rsidP="008E0530">
      <w:pPr>
        <w:spacing w:line="360" w:lineRule="auto"/>
        <w:rPr>
          <w:b/>
          <w:bCs/>
          <w:kern w:val="32"/>
          <w:szCs w:val="24"/>
        </w:rPr>
      </w:pPr>
    </w:p>
    <w:sectPr w:rsidR="00B9440A" w:rsidRPr="00D849DF" w:rsidSect="00E853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42EEC" w14:textId="77777777" w:rsidR="00147961" w:rsidRDefault="00147961">
      <w:r>
        <w:separator/>
      </w:r>
    </w:p>
  </w:endnote>
  <w:endnote w:type="continuationSeparator" w:id="0">
    <w:p w14:paraId="748553A0" w14:textId="77777777" w:rsidR="00147961" w:rsidRDefault="001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EA3E" w14:textId="32DFF1A6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B22">
      <w:rPr>
        <w:noProof/>
      </w:rPr>
      <w:t>3</w:t>
    </w:r>
    <w:r>
      <w:fldChar w:fldCharType="end"/>
    </w:r>
  </w:p>
  <w:p w14:paraId="211F3547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2E2B" w14:textId="77777777" w:rsidR="00147961" w:rsidRDefault="00147961">
      <w:r>
        <w:separator/>
      </w:r>
    </w:p>
  </w:footnote>
  <w:footnote w:type="continuationSeparator" w:id="0">
    <w:p w14:paraId="1CFBB743" w14:textId="77777777" w:rsidR="00147961" w:rsidRDefault="0014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1F95" w14:textId="77777777" w:rsidR="003A2FD8" w:rsidRPr="005001AC" w:rsidRDefault="003A2FD8" w:rsidP="005001AC">
    <w:pPr>
      <w:jc w:val="right"/>
      <w:rPr>
        <w:sz w:val="20"/>
      </w:rPr>
    </w:pPr>
  </w:p>
  <w:p w14:paraId="3CD866EE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576FC"/>
    <w:rsid w:val="00065EBD"/>
    <w:rsid w:val="000743E9"/>
    <w:rsid w:val="000744D5"/>
    <w:rsid w:val="00075BB3"/>
    <w:rsid w:val="00083B44"/>
    <w:rsid w:val="000850DC"/>
    <w:rsid w:val="0009328C"/>
    <w:rsid w:val="000B78E0"/>
    <w:rsid w:val="000C2771"/>
    <w:rsid w:val="000D3271"/>
    <w:rsid w:val="000D46F4"/>
    <w:rsid w:val="000D6EE6"/>
    <w:rsid w:val="000F0DCE"/>
    <w:rsid w:val="000F6BE3"/>
    <w:rsid w:val="00112C5B"/>
    <w:rsid w:val="00114193"/>
    <w:rsid w:val="00115A38"/>
    <w:rsid w:val="0011687B"/>
    <w:rsid w:val="00124F82"/>
    <w:rsid w:val="00131861"/>
    <w:rsid w:val="00147961"/>
    <w:rsid w:val="0016337A"/>
    <w:rsid w:val="00164269"/>
    <w:rsid w:val="00173DDA"/>
    <w:rsid w:val="001805FF"/>
    <w:rsid w:val="00196615"/>
    <w:rsid w:val="001A1BDE"/>
    <w:rsid w:val="001A21BC"/>
    <w:rsid w:val="001A5775"/>
    <w:rsid w:val="001B5DD6"/>
    <w:rsid w:val="001F0876"/>
    <w:rsid w:val="001F167C"/>
    <w:rsid w:val="001F4C55"/>
    <w:rsid w:val="001F5E91"/>
    <w:rsid w:val="00203763"/>
    <w:rsid w:val="0020682A"/>
    <w:rsid w:val="002077B9"/>
    <w:rsid w:val="00220549"/>
    <w:rsid w:val="00262D72"/>
    <w:rsid w:val="00294FBB"/>
    <w:rsid w:val="002A2C02"/>
    <w:rsid w:val="002A3B6D"/>
    <w:rsid w:val="002C030F"/>
    <w:rsid w:val="002D206C"/>
    <w:rsid w:val="002F066D"/>
    <w:rsid w:val="00331D75"/>
    <w:rsid w:val="00335E6D"/>
    <w:rsid w:val="00341A98"/>
    <w:rsid w:val="00351216"/>
    <w:rsid w:val="003531A2"/>
    <w:rsid w:val="00354E73"/>
    <w:rsid w:val="00355362"/>
    <w:rsid w:val="00363E44"/>
    <w:rsid w:val="003856A8"/>
    <w:rsid w:val="00395E86"/>
    <w:rsid w:val="003A2FD8"/>
    <w:rsid w:val="003B40E6"/>
    <w:rsid w:val="003E64EB"/>
    <w:rsid w:val="003E74FB"/>
    <w:rsid w:val="003F4FE7"/>
    <w:rsid w:val="003F6E14"/>
    <w:rsid w:val="00405336"/>
    <w:rsid w:val="00433B93"/>
    <w:rsid w:val="00455C42"/>
    <w:rsid w:val="004571D5"/>
    <w:rsid w:val="00461D81"/>
    <w:rsid w:val="0046356B"/>
    <w:rsid w:val="00477182"/>
    <w:rsid w:val="004779CB"/>
    <w:rsid w:val="004A52B8"/>
    <w:rsid w:val="004D40E5"/>
    <w:rsid w:val="004E42D8"/>
    <w:rsid w:val="004E4CFF"/>
    <w:rsid w:val="004E7BA2"/>
    <w:rsid w:val="004F7EDF"/>
    <w:rsid w:val="005001AC"/>
    <w:rsid w:val="005021AC"/>
    <w:rsid w:val="0050496B"/>
    <w:rsid w:val="005219BD"/>
    <w:rsid w:val="00526DD1"/>
    <w:rsid w:val="00527D71"/>
    <w:rsid w:val="00533859"/>
    <w:rsid w:val="005520A8"/>
    <w:rsid w:val="005540D2"/>
    <w:rsid w:val="005607DD"/>
    <w:rsid w:val="005650BC"/>
    <w:rsid w:val="00572C69"/>
    <w:rsid w:val="005A558C"/>
    <w:rsid w:val="005E28F8"/>
    <w:rsid w:val="005E6513"/>
    <w:rsid w:val="00621001"/>
    <w:rsid w:val="00635EC3"/>
    <w:rsid w:val="00643D1D"/>
    <w:rsid w:val="00651114"/>
    <w:rsid w:val="00664560"/>
    <w:rsid w:val="00670299"/>
    <w:rsid w:val="00691985"/>
    <w:rsid w:val="00695F8E"/>
    <w:rsid w:val="006A1B64"/>
    <w:rsid w:val="006B5ABB"/>
    <w:rsid w:val="006C5D40"/>
    <w:rsid w:val="006E4864"/>
    <w:rsid w:val="007108F5"/>
    <w:rsid w:val="00713E5B"/>
    <w:rsid w:val="00726029"/>
    <w:rsid w:val="00737CAC"/>
    <w:rsid w:val="007402FC"/>
    <w:rsid w:val="007411A1"/>
    <w:rsid w:val="00793072"/>
    <w:rsid w:val="007C7AC5"/>
    <w:rsid w:val="008008D7"/>
    <w:rsid w:val="00807D35"/>
    <w:rsid w:val="008218C4"/>
    <w:rsid w:val="00826260"/>
    <w:rsid w:val="00867A98"/>
    <w:rsid w:val="00870867"/>
    <w:rsid w:val="00885C9B"/>
    <w:rsid w:val="00895800"/>
    <w:rsid w:val="008A2C97"/>
    <w:rsid w:val="008A5501"/>
    <w:rsid w:val="008C2051"/>
    <w:rsid w:val="008D5D2A"/>
    <w:rsid w:val="008E0530"/>
    <w:rsid w:val="0091311A"/>
    <w:rsid w:val="00914B63"/>
    <w:rsid w:val="009354F3"/>
    <w:rsid w:val="00935906"/>
    <w:rsid w:val="009447DC"/>
    <w:rsid w:val="00944B05"/>
    <w:rsid w:val="009552A9"/>
    <w:rsid w:val="00961BA5"/>
    <w:rsid w:val="0096345F"/>
    <w:rsid w:val="009743A9"/>
    <w:rsid w:val="009A5287"/>
    <w:rsid w:val="009B2AC5"/>
    <w:rsid w:val="009B7984"/>
    <w:rsid w:val="009D66B4"/>
    <w:rsid w:val="009F4BED"/>
    <w:rsid w:val="009F7D93"/>
    <w:rsid w:val="00A012F7"/>
    <w:rsid w:val="00A01DF9"/>
    <w:rsid w:val="00A03A1F"/>
    <w:rsid w:val="00A16BED"/>
    <w:rsid w:val="00A3403B"/>
    <w:rsid w:val="00A374AE"/>
    <w:rsid w:val="00A51A12"/>
    <w:rsid w:val="00A627D4"/>
    <w:rsid w:val="00A6405A"/>
    <w:rsid w:val="00A74DA2"/>
    <w:rsid w:val="00A81F8C"/>
    <w:rsid w:val="00AB399E"/>
    <w:rsid w:val="00AC59D0"/>
    <w:rsid w:val="00AD16B1"/>
    <w:rsid w:val="00AD499C"/>
    <w:rsid w:val="00AF6347"/>
    <w:rsid w:val="00B34A92"/>
    <w:rsid w:val="00B36869"/>
    <w:rsid w:val="00B43B31"/>
    <w:rsid w:val="00B47CFA"/>
    <w:rsid w:val="00B57F00"/>
    <w:rsid w:val="00B77B2A"/>
    <w:rsid w:val="00B82C22"/>
    <w:rsid w:val="00B86AA8"/>
    <w:rsid w:val="00B93DBA"/>
    <w:rsid w:val="00B9440A"/>
    <w:rsid w:val="00BB2D2A"/>
    <w:rsid w:val="00BC3E04"/>
    <w:rsid w:val="00BD58CF"/>
    <w:rsid w:val="00BF0C92"/>
    <w:rsid w:val="00C04CC1"/>
    <w:rsid w:val="00C37DDF"/>
    <w:rsid w:val="00C4096C"/>
    <w:rsid w:val="00C50C6D"/>
    <w:rsid w:val="00C600D9"/>
    <w:rsid w:val="00C65E73"/>
    <w:rsid w:val="00C82B74"/>
    <w:rsid w:val="00C848F3"/>
    <w:rsid w:val="00C92B22"/>
    <w:rsid w:val="00CC1384"/>
    <w:rsid w:val="00CD3720"/>
    <w:rsid w:val="00CF1848"/>
    <w:rsid w:val="00CF5C2F"/>
    <w:rsid w:val="00D04BCF"/>
    <w:rsid w:val="00D143D9"/>
    <w:rsid w:val="00D31279"/>
    <w:rsid w:val="00D5511B"/>
    <w:rsid w:val="00D613E2"/>
    <w:rsid w:val="00D75E81"/>
    <w:rsid w:val="00D766F1"/>
    <w:rsid w:val="00D849DF"/>
    <w:rsid w:val="00E257C8"/>
    <w:rsid w:val="00E41512"/>
    <w:rsid w:val="00E4519A"/>
    <w:rsid w:val="00E853D5"/>
    <w:rsid w:val="00E9773B"/>
    <w:rsid w:val="00EA6F42"/>
    <w:rsid w:val="00EC13A3"/>
    <w:rsid w:val="00EC1A04"/>
    <w:rsid w:val="00EC7C85"/>
    <w:rsid w:val="00ED1742"/>
    <w:rsid w:val="00ED1777"/>
    <w:rsid w:val="00EE04AB"/>
    <w:rsid w:val="00EE4BE9"/>
    <w:rsid w:val="00F125EE"/>
    <w:rsid w:val="00F12E98"/>
    <w:rsid w:val="00F13A67"/>
    <w:rsid w:val="00F22029"/>
    <w:rsid w:val="00F25C5D"/>
    <w:rsid w:val="00F3644A"/>
    <w:rsid w:val="00F46CC5"/>
    <w:rsid w:val="00F515FB"/>
    <w:rsid w:val="00F630EA"/>
    <w:rsid w:val="00F66F80"/>
    <w:rsid w:val="00F7007E"/>
    <w:rsid w:val="00F73193"/>
    <w:rsid w:val="00F74F95"/>
    <w:rsid w:val="00F80705"/>
    <w:rsid w:val="00F8624D"/>
    <w:rsid w:val="00F96AD8"/>
    <w:rsid w:val="00FA1481"/>
    <w:rsid w:val="00FB31E7"/>
    <w:rsid w:val="00FF04E3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character" w:styleId="FollowedHyperlink">
    <w:name w:val="FollowedHyperlink"/>
    <w:semiHidden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character" w:customStyle="1" w:styleId="None">
    <w:name w:val="None"/>
    <w:rsid w:val="00EE04AB"/>
  </w:style>
  <w:style w:type="paragraph" w:customStyle="1" w:styleId="Head">
    <w:name w:val="Head"/>
    <w:rsid w:val="00EE04AB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  <w:outlineLvl w:val="0"/>
    </w:pPr>
    <w:rPr>
      <w:rFonts w:eastAsia="Arial Unicode MS" w:cs="Arial Unicode MS"/>
      <w:b/>
      <w:bCs/>
      <w:color w:val="000000"/>
      <w:kern w:val="28"/>
      <w:sz w:val="28"/>
      <w:szCs w:val="28"/>
      <w:u w:color="000000"/>
      <w:bdr w:val="nil"/>
    </w:rPr>
  </w:style>
  <w:style w:type="paragraph" w:customStyle="1" w:styleId="Authors">
    <w:name w:val="Authors"/>
    <w:rsid w:val="00EE04AB"/>
    <w:pPr>
      <w:pBdr>
        <w:top w:val="nil"/>
        <w:left w:val="nil"/>
        <w:bottom w:val="nil"/>
        <w:right w:val="nil"/>
        <w:between w:val="nil"/>
        <w:bar w:val="nil"/>
      </w:pBdr>
      <w:spacing w:before="120" w:after="360"/>
      <w:jc w:val="center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Link">
    <w:name w:val="Link"/>
    <w:rsid w:val="00EE04AB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@kinsahealt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4030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Microsoft Office User</cp:lastModifiedBy>
  <cp:revision>2</cp:revision>
  <cp:lastPrinted>2020-04-02T22:00:00Z</cp:lastPrinted>
  <dcterms:created xsi:type="dcterms:W3CDTF">2020-04-05T21:31:00Z</dcterms:created>
  <dcterms:modified xsi:type="dcterms:W3CDTF">2020-04-05T21:31:00Z</dcterms:modified>
</cp:coreProperties>
</file>