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CF" w:rsidRPr="00C54BE7" w:rsidRDefault="00C54BE7" w:rsidP="00CA65D7">
      <w:pPr>
        <w:spacing w:line="480" w:lineRule="auto"/>
        <w:rPr>
          <w:b/>
        </w:rPr>
      </w:pPr>
      <w:r w:rsidRPr="00C54BE7">
        <w:rPr>
          <w:b/>
        </w:rPr>
        <w:t>Supplementary Material</w:t>
      </w:r>
    </w:p>
    <w:p w:rsidR="00C54BE7" w:rsidRDefault="00C54BE7" w:rsidP="00CA65D7">
      <w:pPr>
        <w:spacing w:line="480" w:lineRule="auto"/>
      </w:pPr>
    </w:p>
    <w:p w:rsidR="00564D07" w:rsidRDefault="00E716F8" w:rsidP="00CA65D7">
      <w:pPr>
        <w:spacing w:line="480" w:lineRule="auto"/>
      </w:pPr>
      <w:r>
        <w:t>Optimal ADC values for RSI models of the entire pelvic station</w:t>
      </w:r>
      <w:r w:rsidR="004B1906">
        <w:t xml:space="preserve"> field of view</w:t>
      </w:r>
      <w:r w:rsidR="00845D1D">
        <w:t xml:space="preserve">, </w:t>
      </w:r>
      <w:r w:rsidR="00104E15">
        <w:t>describ</w:t>
      </w:r>
      <w:r w:rsidR="00845D1D">
        <w:t>ing</w:t>
      </w:r>
      <w:r w:rsidR="00104E15">
        <w:t xml:space="preserve"> 2 to 5 different tissue compartments. These ADC values were computed in the same manner as outlined for the prostate models, but with the inclusion of </w:t>
      </w:r>
      <w:r w:rsidR="00F32BC9">
        <w:t>all tissue voxels within the entire imaging volume</w:t>
      </w:r>
      <w:r w:rsidR="003E7443">
        <w:t xml:space="preserve"> (rather than only in the prostate and seminal vesicles)</w:t>
      </w:r>
      <w:r w:rsidR="00F32BC9">
        <w:t>.</w:t>
      </w:r>
      <w:r w:rsidR="00C46684">
        <w:t xml:space="preserve"> The relative Bayesian information criterion (</w:t>
      </w:r>
      <w:r w:rsidR="00C46684">
        <w:rPr>
          <w:rFonts w:cstheme="minorHAnsi"/>
        </w:rPr>
        <w:t>Δ</w:t>
      </w:r>
      <w:r w:rsidR="00C46684">
        <w:t xml:space="preserve">BIC) describes how well each model fits the data, with a lower </w:t>
      </w:r>
      <w:r w:rsidR="00C46684">
        <w:rPr>
          <w:rFonts w:cstheme="minorHAnsi"/>
        </w:rPr>
        <w:t>Δ</w:t>
      </w:r>
      <w:r w:rsidR="00C46684">
        <w:t>BIC indicating a better fit.</w:t>
      </w:r>
    </w:p>
    <w:p w:rsidR="00CA65D7" w:rsidRDefault="00CA65D7" w:rsidP="00CA65D7">
      <w:pPr>
        <w:spacing w:line="480" w:lineRule="auto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8"/>
        <w:gridCol w:w="1369"/>
        <w:gridCol w:w="1315"/>
        <w:gridCol w:w="1231"/>
        <w:gridCol w:w="1231"/>
        <w:gridCol w:w="1176"/>
        <w:gridCol w:w="1308"/>
      </w:tblGrid>
      <w:tr w:rsidR="00CE6B9E" w:rsidRPr="006577F9" w:rsidTr="00CE6B9E">
        <w:tc>
          <w:tcPr>
            <w:tcW w:w="2108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CE6B9E" w:rsidRPr="00723953" w:rsidRDefault="00CE6B9E" w:rsidP="005941E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23953">
              <w:rPr>
                <w:rFonts w:ascii="Arial" w:hAnsi="Arial" w:cs="Arial"/>
                <w:b/>
                <w:sz w:val="22"/>
              </w:rPr>
              <w:t>Number of tissue compartments</w:t>
            </w:r>
          </w:p>
        </w:tc>
        <w:tc>
          <w:tcPr>
            <w:tcW w:w="6322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E6B9E" w:rsidRPr="00723953" w:rsidRDefault="00CE6B9E" w:rsidP="005941E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23953">
              <w:rPr>
                <w:rFonts w:ascii="Arial" w:hAnsi="Arial" w:cs="Arial"/>
                <w:b/>
                <w:sz w:val="22"/>
              </w:rPr>
              <w:t>Optimal ADCs for each compartment (mm</w:t>
            </w:r>
            <w:r w:rsidRPr="00723953">
              <w:rPr>
                <w:rFonts w:ascii="Arial" w:hAnsi="Arial" w:cs="Arial"/>
                <w:b/>
                <w:sz w:val="22"/>
                <w:vertAlign w:val="superscript"/>
              </w:rPr>
              <w:t>2</w:t>
            </w:r>
            <w:r w:rsidRPr="00723953">
              <w:rPr>
                <w:rFonts w:ascii="Arial" w:hAnsi="Arial" w:cs="Arial"/>
                <w:b/>
                <w:sz w:val="22"/>
              </w:rPr>
              <w:t>/s)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CE6B9E" w:rsidRPr="00723953" w:rsidRDefault="00CE6B9E" w:rsidP="00CE6B9E">
            <w:pPr>
              <w:jc w:val="center"/>
              <w:rPr>
                <w:rFonts w:cs="Arial"/>
                <w:b/>
              </w:rPr>
            </w:pPr>
            <w:r w:rsidRPr="00723953">
              <w:rPr>
                <w:rFonts w:ascii="Arial" w:hAnsi="Arial" w:cs="Arial"/>
                <w:b/>
                <w:sz w:val="22"/>
              </w:rPr>
              <w:t>ΔBIC</w:t>
            </w:r>
          </w:p>
        </w:tc>
      </w:tr>
      <w:tr w:rsidR="00CE6B9E" w:rsidRPr="006577F9" w:rsidTr="00CE6B9E">
        <w:tc>
          <w:tcPr>
            <w:tcW w:w="210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CE6B9E" w:rsidRPr="006577F9" w:rsidRDefault="00CE6B9E" w:rsidP="005941E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69" w:type="dxa"/>
            <w:tcBorders>
              <w:top w:val="nil"/>
              <w:bottom w:val="single" w:sz="4" w:space="0" w:color="auto"/>
            </w:tcBorders>
            <w:vAlign w:val="center"/>
          </w:tcPr>
          <w:p w:rsidR="00CE6B9E" w:rsidRPr="006577F9" w:rsidRDefault="00CE6B9E" w:rsidP="005941E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315" w:type="dxa"/>
            <w:tcBorders>
              <w:top w:val="nil"/>
              <w:bottom w:val="single" w:sz="4" w:space="0" w:color="auto"/>
            </w:tcBorders>
            <w:vAlign w:val="center"/>
          </w:tcPr>
          <w:p w:rsidR="00CE6B9E" w:rsidRPr="006577F9" w:rsidRDefault="00CE6B9E" w:rsidP="005941E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231" w:type="dxa"/>
            <w:tcBorders>
              <w:top w:val="nil"/>
              <w:bottom w:val="single" w:sz="4" w:space="0" w:color="auto"/>
            </w:tcBorders>
            <w:vAlign w:val="center"/>
          </w:tcPr>
          <w:p w:rsidR="00CE6B9E" w:rsidRPr="006577F9" w:rsidRDefault="00CE6B9E" w:rsidP="005941E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231" w:type="dxa"/>
            <w:tcBorders>
              <w:top w:val="nil"/>
              <w:bottom w:val="single" w:sz="4" w:space="0" w:color="auto"/>
            </w:tcBorders>
            <w:vAlign w:val="center"/>
          </w:tcPr>
          <w:p w:rsidR="00CE6B9E" w:rsidRPr="006577F9" w:rsidRDefault="00CE6B9E" w:rsidP="005941E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17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E6B9E" w:rsidRPr="006577F9" w:rsidRDefault="00CE6B9E" w:rsidP="005941E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308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CE6B9E" w:rsidRDefault="00CE6B9E" w:rsidP="00CE6B9E">
            <w:pPr>
              <w:jc w:val="center"/>
              <w:rPr>
                <w:rFonts w:cs="Arial"/>
              </w:rPr>
            </w:pPr>
          </w:p>
        </w:tc>
      </w:tr>
      <w:tr w:rsidR="00CE6B9E" w:rsidRPr="006577F9" w:rsidTr="00CE6B9E">
        <w:tc>
          <w:tcPr>
            <w:tcW w:w="2108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E6B9E" w:rsidRPr="006577F9" w:rsidRDefault="00CE6B9E" w:rsidP="005941E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36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E6B9E" w:rsidRPr="00C7375C" w:rsidRDefault="00CE6B9E" w:rsidP="005941E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2.4e-4</w:t>
            </w:r>
          </w:p>
        </w:tc>
        <w:tc>
          <w:tcPr>
            <w:tcW w:w="131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E6B9E" w:rsidRPr="00C7375C" w:rsidRDefault="00CE6B9E" w:rsidP="005941E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4.0e-3</w:t>
            </w:r>
          </w:p>
        </w:tc>
        <w:tc>
          <w:tcPr>
            <w:tcW w:w="123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E6B9E" w:rsidRPr="00C7375C" w:rsidRDefault="00CE6B9E" w:rsidP="005941E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3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E6B9E" w:rsidRPr="00C7375C" w:rsidRDefault="00CE6B9E" w:rsidP="005941E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76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E6B9E" w:rsidRPr="00C7375C" w:rsidRDefault="00CE6B9E" w:rsidP="005941E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08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E6B9E" w:rsidRPr="00BC5E09" w:rsidRDefault="00F27092" w:rsidP="00CE6B9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49.9</w:t>
            </w:r>
          </w:p>
        </w:tc>
      </w:tr>
      <w:tr w:rsidR="00CE6B9E" w:rsidRPr="006577F9" w:rsidTr="00CE6B9E">
        <w:tc>
          <w:tcPr>
            <w:tcW w:w="2108" w:type="dxa"/>
            <w:tcBorders>
              <w:top w:val="nil"/>
              <w:left w:val="nil"/>
              <w:bottom w:val="nil"/>
            </w:tcBorders>
            <w:vAlign w:val="center"/>
          </w:tcPr>
          <w:p w:rsidR="00CE6B9E" w:rsidRPr="006577F9" w:rsidRDefault="00CE6B9E" w:rsidP="005941E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369" w:type="dxa"/>
            <w:tcBorders>
              <w:top w:val="nil"/>
              <w:bottom w:val="nil"/>
            </w:tcBorders>
            <w:vAlign w:val="center"/>
          </w:tcPr>
          <w:p w:rsidR="00CE6B9E" w:rsidRPr="00C7375C" w:rsidRDefault="00CE6B9E" w:rsidP="005941E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6.8e-5</w:t>
            </w:r>
          </w:p>
        </w:tc>
        <w:tc>
          <w:tcPr>
            <w:tcW w:w="1315" w:type="dxa"/>
            <w:tcBorders>
              <w:top w:val="nil"/>
              <w:bottom w:val="nil"/>
            </w:tcBorders>
            <w:vAlign w:val="center"/>
          </w:tcPr>
          <w:p w:rsidR="00CE6B9E" w:rsidRPr="00C7375C" w:rsidRDefault="00CE6B9E" w:rsidP="005941E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2.5e-3</w:t>
            </w:r>
          </w:p>
        </w:tc>
        <w:tc>
          <w:tcPr>
            <w:tcW w:w="1231" w:type="dxa"/>
            <w:tcBorders>
              <w:top w:val="nil"/>
              <w:bottom w:val="nil"/>
            </w:tcBorders>
            <w:vAlign w:val="center"/>
          </w:tcPr>
          <w:p w:rsidR="00CE6B9E" w:rsidRPr="00C7375C" w:rsidRDefault="00CE6B9E" w:rsidP="005941EC">
            <w:pPr>
              <w:jc w:val="center"/>
              <w:rPr>
                <w:rFonts w:ascii="Arial" w:hAnsi="Arial" w:cs="Arial"/>
                <w:sz w:val="22"/>
              </w:rPr>
            </w:pPr>
            <m:oMath>
              <m:r>
                <w:rPr>
                  <w:rFonts w:ascii="Cambria Math" w:hAnsi="Cambria Math" w:cs="Arial"/>
                  <w:sz w:val="22"/>
                </w:rPr>
                <m:t>≫</m:t>
              </m:r>
            </m:oMath>
            <w:r>
              <w:rPr>
                <w:rFonts w:ascii="Arial" w:hAnsi="Arial" w:cs="Arial"/>
                <w:sz w:val="22"/>
              </w:rPr>
              <w:t>3.0e-3</w:t>
            </w:r>
          </w:p>
        </w:tc>
        <w:tc>
          <w:tcPr>
            <w:tcW w:w="1231" w:type="dxa"/>
            <w:tcBorders>
              <w:top w:val="nil"/>
              <w:bottom w:val="nil"/>
            </w:tcBorders>
            <w:vAlign w:val="center"/>
          </w:tcPr>
          <w:p w:rsidR="00CE6B9E" w:rsidRPr="00C7375C" w:rsidRDefault="00CE6B9E" w:rsidP="005941E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76" w:type="dxa"/>
            <w:tcBorders>
              <w:top w:val="nil"/>
              <w:bottom w:val="nil"/>
              <w:right w:val="nil"/>
            </w:tcBorders>
            <w:vAlign w:val="center"/>
          </w:tcPr>
          <w:p w:rsidR="00CE6B9E" w:rsidRPr="00C7375C" w:rsidRDefault="00CE6B9E" w:rsidP="005941E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08" w:type="dxa"/>
            <w:tcBorders>
              <w:top w:val="nil"/>
              <w:bottom w:val="nil"/>
              <w:right w:val="nil"/>
            </w:tcBorders>
            <w:vAlign w:val="center"/>
          </w:tcPr>
          <w:p w:rsidR="00CE6B9E" w:rsidRPr="00BC5E09" w:rsidRDefault="009A66C4" w:rsidP="00CE6B9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  <w:r w:rsidR="00046E24">
              <w:rPr>
                <w:rFonts w:ascii="Arial" w:hAnsi="Arial" w:cs="Arial"/>
                <w:sz w:val="22"/>
              </w:rPr>
              <w:t>.2</w:t>
            </w:r>
          </w:p>
        </w:tc>
      </w:tr>
      <w:tr w:rsidR="00CE6B9E" w:rsidRPr="006577F9" w:rsidTr="00CE6B9E">
        <w:tc>
          <w:tcPr>
            <w:tcW w:w="2108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E6B9E" w:rsidRPr="006577F9" w:rsidRDefault="00CE6B9E" w:rsidP="005941E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36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E6B9E" w:rsidRPr="00C7375C" w:rsidRDefault="00CE6B9E" w:rsidP="005941E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31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E6B9E" w:rsidRPr="00C7375C" w:rsidRDefault="00CE6B9E" w:rsidP="005941E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1.2e-3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E6B9E" w:rsidRPr="00C7375C" w:rsidRDefault="00CE6B9E" w:rsidP="005941E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3.1e-3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E6B9E" w:rsidRPr="00C7375C" w:rsidRDefault="00CE6B9E" w:rsidP="005941EC">
            <w:pPr>
              <w:jc w:val="center"/>
              <w:rPr>
                <w:rFonts w:ascii="Arial" w:hAnsi="Arial" w:cs="Arial"/>
                <w:sz w:val="22"/>
              </w:rPr>
            </w:pPr>
            <m:oMath>
              <m:r>
                <w:rPr>
                  <w:rFonts w:ascii="Cambria Math" w:hAnsi="Cambria Math" w:cs="Arial"/>
                  <w:sz w:val="22"/>
                </w:rPr>
                <m:t>≫</m:t>
              </m:r>
            </m:oMath>
            <w:r>
              <w:rPr>
                <w:rFonts w:ascii="Arial" w:hAnsi="Arial" w:cs="Arial"/>
                <w:sz w:val="22"/>
              </w:rPr>
              <w:t>3.0e-3</w:t>
            </w:r>
          </w:p>
        </w:tc>
        <w:tc>
          <w:tcPr>
            <w:tcW w:w="117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E6B9E" w:rsidRPr="00C7375C" w:rsidRDefault="00CE6B9E" w:rsidP="005941E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0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E6B9E" w:rsidRPr="00BC5E09" w:rsidRDefault="009A66C4" w:rsidP="00CE6B9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  <w:r w:rsidR="00046E24">
              <w:rPr>
                <w:rFonts w:ascii="Arial" w:hAnsi="Arial" w:cs="Arial"/>
                <w:sz w:val="22"/>
              </w:rPr>
              <w:t>.0</w:t>
            </w:r>
          </w:p>
        </w:tc>
      </w:tr>
      <w:tr w:rsidR="00CE6B9E" w:rsidRPr="006577F9" w:rsidTr="00CE6B9E">
        <w:tc>
          <w:tcPr>
            <w:tcW w:w="210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E6B9E" w:rsidRPr="006577F9" w:rsidRDefault="00CE6B9E" w:rsidP="005941E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369" w:type="dxa"/>
            <w:tcBorders>
              <w:top w:val="nil"/>
              <w:bottom w:val="single" w:sz="4" w:space="0" w:color="auto"/>
            </w:tcBorders>
            <w:vAlign w:val="center"/>
          </w:tcPr>
          <w:p w:rsidR="00CE6B9E" w:rsidRPr="00C7375C" w:rsidRDefault="00CE6B9E" w:rsidP="005941E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315" w:type="dxa"/>
            <w:tcBorders>
              <w:top w:val="nil"/>
              <w:bottom w:val="single" w:sz="4" w:space="0" w:color="auto"/>
            </w:tcBorders>
            <w:vAlign w:val="center"/>
          </w:tcPr>
          <w:p w:rsidR="00CE6B9E" w:rsidRPr="00C7375C" w:rsidRDefault="00CE6B9E" w:rsidP="005941E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6.3e-4</w:t>
            </w:r>
          </w:p>
        </w:tc>
        <w:tc>
          <w:tcPr>
            <w:tcW w:w="1231" w:type="dxa"/>
            <w:tcBorders>
              <w:top w:val="nil"/>
              <w:bottom w:val="single" w:sz="4" w:space="0" w:color="auto"/>
            </w:tcBorders>
            <w:vAlign w:val="center"/>
          </w:tcPr>
          <w:p w:rsidR="00CE6B9E" w:rsidRPr="00C7375C" w:rsidRDefault="00CE6B9E" w:rsidP="005941E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1.9e-3</w:t>
            </w:r>
          </w:p>
        </w:tc>
        <w:tc>
          <w:tcPr>
            <w:tcW w:w="1231" w:type="dxa"/>
            <w:tcBorders>
              <w:top w:val="nil"/>
              <w:bottom w:val="single" w:sz="4" w:space="0" w:color="auto"/>
            </w:tcBorders>
            <w:vAlign w:val="center"/>
          </w:tcPr>
          <w:p w:rsidR="00CE6B9E" w:rsidRPr="00C7375C" w:rsidRDefault="00CE6B9E" w:rsidP="005941E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3.3e-3</w:t>
            </w:r>
          </w:p>
        </w:tc>
        <w:tc>
          <w:tcPr>
            <w:tcW w:w="117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E6B9E" w:rsidRPr="00C7375C" w:rsidRDefault="00CE6B9E" w:rsidP="005941EC">
            <w:pPr>
              <w:jc w:val="center"/>
              <w:rPr>
                <w:rFonts w:ascii="Arial" w:hAnsi="Arial" w:cs="Arial"/>
                <w:sz w:val="22"/>
              </w:rPr>
            </w:pPr>
            <m:oMath>
              <m:r>
                <w:rPr>
                  <w:rFonts w:ascii="Cambria Math" w:hAnsi="Cambria Math" w:cs="Arial"/>
                  <w:sz w:val="22"/>
                </w:rPr>
                <m:t>≫</m:t>
              </m:r>
            </m:oMath>
            <w:r>
              <w:rPr>
                <w:rFonts w:ascii="Arial" w:hAnsi="Arial" w:cs="Arial"/>
                <w:sz w:val="22"/>
              </w:rPr>
              <w:t>3.0e-3</w:t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E6B9E" w:rsidRPr="00BC5E09" w:rsidRDefault="009A66C4" w:rsidP="00CE6B9E">
            <w:pPr>
              <w:jc w:val="center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0.6</w:t>
            </w:r>
          </w:p>
        </w:tc>
      </w:tr>
    </w:tbl>
    <w:p w:rsidR="0046326C" w:rsidRDefault="0046326C"/>
    <w:sectPr w:rsidR="0046326C" w:rsidSect="00C54B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DC"/>
    <w:rsid w:val="00046E24"/>
    <w:rsid w:val="00104E15"/>
    <w:rsid w:val="00277ECF"/>
    <w:rsid w:val="002B7061"/>
    <w:rsid w:val="00334CE5"/>
    <w:rsid w:val="003E7443"/>
    <w:rsid w:val="0046326C"/>
    <w:rsid w:val="004B1906"/>
    <w:rsid w:val="0054756A"/>
    <w:rsid w:val="00564D07"/>
    <w:rsid w:val="00595488"/>
    <w:rsid w:val="005A7BE8"/>
    <w:rsid w:val="006369B7"/>
    <w:rsid w:val="006622DC"/>
    <w:rsid w:val="007853F4"/>
    <w:rsid w:val="00845D1D"/>
    <w:rsid w:val="009A66C4"/>
    <w:rsid w:val="00BC5E09"/>
    <w:rsid w:val="00C46684"/>
    <w:rsid w:val="00C54BE7"/>
    <w:rsid w:val="00C7375C"/>
    <w:rsid w:val="00CA65D7"/>
    <w:rsid w:val="00CE6B9E"/>
    <w:rsid w:val="00D047CA"/>
    <w:rsid w:val="00E37B56"/>
    <w:rsid w:val="00E716F8"/>
    <w:rsid w:val="00F27092"/>
    <w:rsid w:val="00F32BC9"/>
    <w:rsid w:val="00F91F93"/>
    <w:rsid w:val="00FC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26C"/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26C"/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</cp:lastModifiedBy>
  <cp:revision>2</cp:revision>
  <dcterms:created xsi:type="dcterms:W3CDTF">2020-03-20T00:13:00Z</dcterms:created>
  <dcterms:modified xsi:type="dcterms:W3CDTF">2020-03-20T00:13:00Z</dcterms:modified>
</cp:coreProperties>
</file>