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FA18A" w14:textId="77777777" w:rsidR="00E2627D" w:rsidRPr="00EC54F6" w:rsidRDefault="00E2627D" w:rsidP="0076668A">
      <w:pPr>
        <w:spacing w:after="0"/>
        <w:jc w:val="center"/>
        <w:rPr>
          <w:rFonts w:ascii="Times New Roman" w:hAnsi="Times New Roman" w:cs="Times New Roman"/>
          <w:b/>
          <w:sz w:val="22"/>
          <w:szCs w:val="22"/>
          <w:lang w:val="en"/>
        </w:rPr>
      </w:pPr>
      <w:r w:rsidRPr="00EC54F6">
        <w:rPr>
          <w:rFonts w:ascii="Times New Roman" w:hAnsi="Times New Roman" w:cs="Times New Roman"/>
          <w:b/>
          <w:sz w:val="22"/>
          <w:szCs w:val="22"/>
          <w:lang w:val="en"/>
        </w:rPr>
        <w:t>Supplemental Appendix</w:t>
      </w:r>
    </w:p>
    <w:p w14:paraId="6C14EEF1" w14:textId="77777777" w:rsidR="00E022B7" w:rsidRPr="00EC54F6" w:rsidRDefault="00E022B7" w:rsidP="0076668A">
      <w:pPr>
        <w:pStyle w:val="Heading1"/>
        <w:jc w:val="center"/>
        <w:rPr>
          <w:rFonts w:cs="Times New Roman"/>
          <w:sz w:val="22"/>
          <w:szCs w:val="22"/>
        </w:rPr>
      </w:pPr>
      <w:bookmarkStart w:id="0" w:name="_Toc33610226"/>
      <w:r w:rsidRPr="00EC54F6">
        <w:rPr>
          <w:rFonts w:cs="Times New Roman"/>
          <w:sz w:val="22"/>
          <w:szCs w:val="22"/>
        </w:rPr>
        <w:t>Aerosol and surface stability of SARS-2 (HCoV-19) compared to SARS-CoV</w:t>
      </w:r>
      <w:bookmarkEnd w:id="0"/>
      <w:r w:rsidRPr="00EC54F6">
        <w:rPr>
          <w:rFonts w:cs="Times New Roman"/>
          <w:sz w:val="22"/>
          <w:szCs w:val="22"/>
        </w:rPr>
        <w:t xml:space="preserve"> </w:t>
      </w:r>
    </w:p>
    <w:p w14:paraId="24EAAD86" w14:textId="0BB8A5A9" w:rsidR="00E022B7" w:rsidRPr="00EC54F6" w:rsidRDefault="00E022B7" w:rsidP="0076668A">
      <w:pPr>
        <w:spacing w:after="240"/>
        <w:jc w:val="center"/>
        <w:rPr>
          <w:rFonts w:ascii="Times New Roman" w:hAnsi="Times New Roman" w:cs="Times New Roman"/>
          <w:sz w:val="22"/>
          <w:szCs w:val="22"/>
        </w:rPr>
      </w:pPr>
      <w:proofErr w:type="spellStart"/>
      <w:r w:rsidRPr="00EC54F6">
        <w:rPr>
          <w:rFonts w:ascii="Times New Roman" w:hAnsi="Times New Roman" w:cs="Times New Roman"/>
          <w:sz w:val="22"/>
          <w:szCs w:val="22"/>
        </w:rPr>
        <w:t>Neeltje</w:t>
      </w:r>
      <w:proofErr w:type="spellEnd"/>
      <w:r w:rsidRPr="00EC54F6">
        <w:rPr>
          <w:rFonts w:ascii="Times New Roman" w:hAnsi="Times New Roman" w:cs="Times New Roman"/>
          <w:sz w:val="22"/>
          <w:szCs w:val="22"/>
        </w:rPr>
        <w:t xml:space="preserve"> van Doremalen</w:t>
      </w:r>
      <w:r w:rsidRPr="00EC54F6">
        <w:rPr>
          <w:rFonts w:ascii="Times New Roman" w:hAnsi="Times New Roman" w:cs="Times New Roman"/>
          <w:sz w:val="22"/>
          <w:szCs w:val="22"/>
          <w:vertAlign w:val="superscript"/>
        </w:rPr>
        <w:t>1*</w:t>
      </w:r>
      <w:r w:rsidRPr="00EC54F6">
        <w:rPr>
          <w:rFonts w:ascii="Times New Roman" w:hAnsi="Times New Roman" w:cs="Times New Roman"/>
          <w:sz w:val="22"/>
          <w:szCs w:val="22"/>
        </w:rPr>
        <w:t>, Trenton Bushmaker</w:t>
      </w:r>
      <w:r w:rsidRPr="00EC54F6">
        <w:rPr>
          <w:rFonts w:ascii="Times New Roman" w:hAnsi="Times New Roman" w:cs="Times New Roman"/>
          <w:sz w:val="22"/>
          <w:szCs w:val="22"/>
          <w:vertAlign w:val="superscript"/>
        </w:rPr>
        <w:t>1*</w:t>
      </w:r>
      <w:r w:rsidRPr="00EC54F6">
        <w:rPr>
          <w:rFonts w:ascii="Times New Roman" w:hAnsi="Times New Roman" w:cs="Times New Roman"/>
          <w:sz w:val="22"/>
          <w:szCs w:val="22"/>
        </w:rPr>
        <w:t>, Dylan H. Morris</w:t>
      </w:r>
      <w:r w:rsidRPr="00EC54F6">
        <w:rPr>
          <w:rFonts w:ascii="Times New Roman" w:hAnsi="Times New Roman" w:cs="Times New Roman"/>
          <w:sz w:val="22"/>
          <w:szCs w:val="22"/>
          <w:vertAlign w:val="superscript"/>
        </w:rPr>
        <w:t>2*</w:t>
      </w:r>
      <w:r w:rsidRPr="00EC54F6">
        <w:rPr>
          <w:rFonts w:ascii="Times New Roman" w:hAnsi="Times New Roman" w:cs="Times New Roman"/>
          <w:sz w:val="22"/>
          <w:szCs w:val="22"/>
        </w:rPr>
        <w:t xml:space="preserve">, </w:t>
      </w:r>
      <w:proofErr w:type="spellStart"/>
      <w:r w:rsidRPr="00EC54F6">
        <w:rPr>
          <w:rFonts w:ascii="Times New Roman" w:hAnsi="Times New Roman" w:cs="Times New Roman"/>
          <w:sz w:val="22"/>
          <w:szCs w:val="22"/>
        </w:rPr>
        <w:t>Myndi</w:t>
      </w:r>
      <w:proofErr w:type="spellEnd"/>
      <w:r w:rsidRPr="00EC54F6">
        <w:rPr>
          <w:rFonts w:ascii="Times New Roman" w:hAnsi="Times New Roman" w:cs="Times New Roman"/>
          <w:sz w:val="22"/>
          <w:szCs w:val="22"/>
        </w:rPr>
        <w:t xml:space="preserve"> G. Holbrook</w:t>
      </w:r>
      <w:r w:rsidRPr="00EC54F6">
        <w:rPr>
          <w:rFonts w:ascii="Times New Roman" w:hAnsi="Times New Roman" w:cs="Times New Roman"/>
          <w:sz w:val="22"/>
          <w:szCs w:val="22"/>
          <w:vertAlign w:val="superscript"/>
        </w:rPr>
        <w:t>1</w:t>
      </w:r>
      <w:r w:rsidRPr="00EC54F6">
        <w:rPr>
          <w:rFonts w:ascii="Times New Roman" w:hAnsi="Times New Roman" w:cs="Times New Roman"/>
          <w:sz w:val="22"/>
          <w:szCs w:val="22"/>
        </w:rPr>
        <w:t>, Amandine Gamble</w:t>
      </w:r>
      <w:r w:rsidRPr="00EC54F6">
        <w:rPr>
          <w:rFonts w:ascii="Times New Roman" w:hAnsi="Times New Roman" w:cs="Times New Roman"/>
          <w:sz w:val="22"/>
          <w:szCs w:val="22"/>
          <w:vertAlign w:val="superscript"/>
        </w:rPr>
        <w:t>3</w:t>
      </w:r>
      <w:r w:rsidRPr="00EC54F6">
        <w:rPr>
          <w:rFonts w:ascii="Times New Roman" w:hAnsi="Times New Roman" w:cs="Times New Roman"/>
          <w:sz w:val="22"/>
          <w:szCs w:val="22"/>
        </w:rPr>
        <w:t>, Brandi N. Williamson</w:t>
      </w:r>
      <w:r w:rsidRPr="00EC54F6">
        <w:rPr>
          <w:rFonts w:ascii="Times New Roman" w:hAnsi="Times New Roman" w:cs="Times New Roman"/>
          <w:sz w:val="22"/>
          <w:szCs w:val="22"/>
          <w:vertAlign w:val="superscript"/>
        </w:rPr>
        <w:t>1</w:t>
      </w:r>
      <w:r w:rsidRPr="00EC54F6">
        <w:rPr>
          <w:rFonts w:ascii="Times New Roman" w:hAnsi="Times New Roman" w:cs="Times New Roman"/>
          <w:sz w:val="22"/>
          <w:szCs w:val="22"/>
        </w:rPr>
        <w:t>, Natalie J. Thornburg</w:t>
      </w:r>
      <w:r w:rsidRPr="00EC54F6">
        <w:rPr>
          <w:rFonts w:ascii="Times New Roman" w:hAnsi="Times New Roman" w:cs="Times New Roman"/>
          <w:sz w:val="22"/>
          <w:szCs w:val="22"/>
          <w:vertAlign w:val="superscript"/>
        </w:rPr>
        <w:t>4</w:t>
      </w:r>
      <w:r w:rsidRPr="00EC54F6">
        <w:rPr>
          <w:rFonts w:ascii="Times New Roman" w:hAnsi="Times New Roman" w:cs="Times New Roman"/>
          <w:sz w:val="22"/>
          <w:szCs w:val="22"/>
        </w:rPr>
        <w:t>, Susan I. Gerber</w:t>
      </w:r>
      <w:r w:rsidRPr="00EC54F6">
        <w:rPr>
          <w:rFonts w:ascii="Times New Roman" w:hAnsi="Times New Roman" w:cs="Times New Roman"/>
          <w:sz w:val="22"/>
          <w:szCs w:val="22"/>
          <w:vertAlign w:val="superscript"/>
        </w:rPr>
        <w:t>4</w:t>
      </w:r>
      <w:r w:rsidRPr="00EC54F6">
        <w:rPr>
          <w:rFonts w:ascii="Times New Roman" w:hAnsi="Times New Roman" w:cs="Times New Roman"/>
          <w:sz w:val="22"/>
          <w:szCs w:val="22"/>
        </w:rPr>
        <w:t>, James O. Lloyd-Smith</w:t>
      </w:r>
      <w:r w:rsidRPr="00EC54F6">
        <w:rPr>
          <w:rFonts w:ascii="Times New Roman" w:hAnsi="Times New Roman" w:cs="Times New Roman"/>
          <w:sz w:val="22"/>
          <w:szCs w:val="22"/>
          <w:vertAlign w:val="superscript"/>
        </w:rPr>
        <w:t>3,5</w:t>
      </w:r>
      <w:r w:rsidRPr="00EC54F6">
        <w:rPr>
          <w:rFonts w:ascii="Times New Roman" w:hAnsi="Times New Roman" w:cs="Times New Roman"/>
          <w:sz w:val="22"/>
          <w:szCs w:val="22"/>
        </w:rPr>
        <w:t>, Emmie de Wit</w:t>
      </w:r>
      <w:r w:rsidRPr="00EC54F6">
        <w:rPr>
          <w:rFonts w:ascii="Times New Roman" w:hAnsi="Times New Roman" w:cs="Times New Roman"/>
          <w:sz w:val="22"/>
          <w:szCs w:val="22"/>
          <w:vertAlign w:val="superscript"/>
        </w:rPr>
        <w:t>1</w:t>
      </w:r>
      <w:r w:rsidRPr="00EC54F6">
        <w:rPr>
          <w:rFonts w:ascii="Times New Roman" w:hAnsi="Times New Roman" w:cs="Times New Roman"/>
          <w:sz w:val="22"/>
          <w:szCs w:val="22"/>
        </w:rPr>
        <w:t>, Vincent J. Munster</w:t>
      </w:r>
      <w:r w:rsidRPr="00EC54F6">
        <w:rPr>
          <w:rFonts w:ascii="Times New Roman" w:hAnsi="Times New Roman" w:cs="Times New Roman"/>
          <w:sz w:val="22"/>
          <w:szCs w:val="22"/>
          <w:vertAlign w:val="superscript"/>
        </w:rPr>
        <w:t>1</w:t>
      </w:r>
    </w:p>
    <w:p w14:paraId="5A0FC0EC" w14:textId="77777777" w:rsidR="00E022B7" w:rsidRPr="00EC54F6" w:rsidRDefault="00E022B7" w:rsidP="0076668A">
      <w:pPr>
        <w:pStyle w:val="ListParagraph"/>
        <w:numPr>
          <w:ilvl w:val="0"/>
          <w:numId w:val="1"/>
        </w:numPr>
        <w:spacing w:after="0"/>
        <w:rPr>
          <w:rFonts w:ascii="Times New Roman" w:hAnsi="Times New Roman" w:cs="Times New Roman"/>
          <w:sz w:val="22"/>
          <w:szCs w:val="22"/>
        </w:rPr>
      </w:pPr>
      <w:r w:rsidRPr="00EC54F6">
        <w:rPr>
          <w:rFonts w:ascii="Times New Roman" w:hAnsi="Times New Roman" w:cs="Times New Roman"/>
          <w:sz w:val="22"/>
          <w:szCs w:val="22"/>
        </w:rPr>
        <w:t>Laboratory of Virology, Division of Intramural Research, National Institute of Allergy and Infectious Diseases, National Institutes of Health, Hamilton, MT, USA</w:t>
      </w:r>
    </w:p>
    <w:p w14:paraId="2969165F" w14:textId="77777777" w:rsidR="00E022B7" w:rsidRPr="00EC54F6" w:rsidRDefault="00E022B7" w:rsidP="0076668A">
      <w:pPr>
        <w:pStyle w:val="ListParagraph"/>
        <w:numPr>
          <w:ilvl w:val="0"/>
          <w:numId w:val="1"/>
        </w:numPr>
        <w:spacing w:after="0"/>
        <w:rPr>
          <w:rFonts w:ascii="Times New Roman" w:hAnsi="Times New Roman" w:cs="Times New Roman"/>
          <w:sz w:val="22"/>
          <w:szCs w:val="22"/>
        </w:rPr>
      </w:pPr>
      <w:r w:rsidRPr="00EC54F6">
        <w:rPr>
          <w:rFonts w:ascii="Times New Roman" w:hAnsi="Times New Roman" w:cs="Times New Roman"/>
          <w:sz w:val="22"/>
          <w:szCs w:val="22"/>
        </w:rPr>
        <w:t>Dept. of Ecology and Evolutionary Biology, Princeton University, Princeton, NJ, USA</w:t>
      </w:r>
    </w:p>
    <w:p w14:paraId="3F8BFEEC" w14:textId="77777777" w:rsidR="00E022B7" w:rsidRPr="00EC54F6" w:rsidRDefault="00E022B7" w:rsidP="0076668A">
      <w:pPr>
        <w:pStyle w:val="ListParagraph"/>
        <w:numPr>
          <w:ilvl w:val="0"/>
          <w:numId w:val="1"/>
        </w:numPr>
        <w:spacing w:after="0"/>
        <w:rPr>
          <w:rFonts w:ascii="Times New Roman" w:hAnsi="Times New Roman" w:cs="Times New Roman"/>
          <w:sz w:val="22"/>
          <w:szCs w:val="22"/>
        </w:rPr>
      </w:pPr>
      <w:r w:rsidRPr="00EC54F6">
        <w:rPr>
          <w:rFonts w:ascii="Times New Roman" w:hAnsi="Times New Roman" w:cs="Times New Roman"/>
          <w:sz w:val="22"/>
          <w:szCs w:val="22"/>
        </w:rPr>
        <w:t>Dept. of Ecology and Evolutionary Biology, University of California, Los Angeles, Los Angeles, CA, USA</w:t>
      </w:r>
    </w:p>
    <w:p w14:paraId="78BF775A" w14:textId="77777777" w:rsidR="00E022B7" w:rsidRPr="00EC54F6" w:rsidRDefault="00E022B7" w:rsidP="0076668A">
      <w:pPr>
        <w:pStyle w:val="ListParagraph"/>
        <w:numPr>
          <w:ilvl w:val="0"/>
          <w:numId w:val="1"/>
        </w:numPr>
        <w:spacing w:after="0"/>
        <w:rPr>
          <w:rFonts w:ascii="Times New Roman" w:hAnsi="Times New Roman" w:cs="Times New Roman"/>
          <w:sz w:val="22"/>
          <w:szCs w:val="22"/>
        </w:rPr>
      </w:pPr>
      <w:r w:rsidRPr="00EC54F6">
        <w:rPr>
          <w:rFonts w:ascii="Times New Roman" w:hAnsi="Times New Roman" w:cs="Times New Roman"/>
          <w:color w:val="000000"/>
          <w:sz w:val="22"/>
          <w:szCs w:val="22"/>
          <w:shd w:val="clear" w:color="auto" w:fill="FFFFFF"/>
        </w:rPr>
        <w:t>Division of Viral Diseases, National Center for Immunization and Respiratory Diseases</w:t>
      </w:r>
      <w:r w:rsidRPr="00EC54F6">
        <w:rPr>
          <w:rFonts w:ascii="Times New Roman" w:hAnsi="Times New Roman" w:cs="Times New Roman"/>
          <w:sz w:val="22"/>
          <w:szCs w:val="22"/>
        </w:rPr>
        <w:t>, Centers for Disease Control and Prevention, Atlanta, GA, USA.</w:t>
      </w:r>
    </w:p>
    <w:p w14:paraId="6452ACCE" w14:textId="65980687" w:rsidR="00E022B7" w:rsidRPr="00EC54F6" w:rsidRDefault="00E022B7" w:rsidP="0076668A">
      <w:pPr>
        <w:pStyle w:val="ListParagraph"/>
        <w:numPr>
          <w:ilvl w:val="0"/>
          <w:numId w:val="1"/>
        </w:numPr>
        <w:spacing w:after="240"/>
        <w:ind w:left="714" w:hanging="357"/>
        <w:rPr>
          <w:rFonts w:ascii="Times New Roman" w:hAnsi="Times New Roman" w:cs="Times New Roman"/>
          <w:sz w:val="22"/>
          <w:szCs w:val="22"/>
        </w:rPr>
      </w:pPr>
      <w:r w:rsidRPr="00EC54F6">
        <w:rPr>
          <w:rFonts w:ascii="Times New Roman" w:hAnsi="Times New Roman" w:cs="Times New Roman"/>
          <w:sz w:val="22"/>
          <w:szCs w:val="22"/>
        </w:rPr>
        <w:t>Fogarty International Center, National Institutes of Health, Bethesda, MD, USA</w:t>
      </w:r>
    </w:p>
    <w:p w14:paraId="7DE9C90F" w14:textId="45B7F9F8" w:rsidR="00E022B7" w:rsidRPr="00EC54F6" w:rsidRDefault="00E022B7" w:rsidP="0076668A">
      <w:pPr>
        <w:rPr>
          <w:rFonts w:ascii="Times New Roman" w:hAnsi="Times New Roman" w:cs="Times New Roman"/>
          <w:sz w:val="22"/>
          <w:szCs w:val="22"/>
        </w:rPr>
      </w:pPr>
      <w:r w:rsidRPr="00EC54F6">
        <w:rPr>
          <w:rFonts w:ascii="Times New Roman" w:hAnsi="Times New Roman" w:cs="Times New Roman"/>
          <w:sz w:val="22"/>
          <w:szCs w:val="22"/>
          <w:vertAlign w:val="superscript"/>
        </w:rPr>
        <w:t>*</w:t>
      </w:r>
      <w:r w:rsidRPr="00EC54F6">
        <w:rPr>
          <w:rFonts w:ascii="Times New Roman" w:hAnsi="Times New Roman" w:cs="Times New Roman"/>
          <w:sz w:val="22"/>
          <w:szCs w:val="22"/>
        </w:rPr>
        <w:t xml:space="preserve"> These authors contributed equally to this article</w:t>
      </w:r>
      <w:r w:rsidRPr="00EC54F6">
        <w:rPr>
          <w:rFonts w:ascii="Times New Roman" w:hAnsi="Times New Roman" w:cs="Times New Roman"/>
          <w:sz w:val="22"/>
          <w:szCs w:val="22"/>
        </w:rPr>
        <w:br w:type="page"/>
      </w:r>
    </w:p>
    <w:p w14:paraId="203709D5" w14:textId="3DFD7410" w:rsidR="00E022B7" w:rsidRDefault="00E022B7" w:rsidP="0076668A">
      <w:pPr>
        <w:pStyle w:val="Heading1"/>
        <w:spacing w:before="480" w:after="240"/>
        <w:jc w:val="both"/>
        <w:rPr>
          <w:rFonts w:cs="Times New Roman"/>
          <w:sz w:val="22"/>
          <w:szCs w:val="22"/>
          <w:lang w:val="en"/>
        </w:rPr>
      </w:pPr>
      <w:r w:rsidRPr="0076668A">
        <w:rPr>
          <w:rFonts w:eastAsia="Calibri" w:cs="Times New Roman"/>
          <w:bCs w:val="0"/>
          <w:sz w:val="22"/>
          <w:szCs w:val="22"/>
          <w:lang w:val="en"/>
        </w:rPr>
        <w:lastRenderedPageBreak/>
        <w:t>Supplemental methods</w:t>
      </w:r>
    </w:p>
    <w:p w14:paraId="699EDD5F" w14:textId="76C985E3" w:rsidR="009D078D" w:rsidRPr="0076668A" w:rsidRDefault="009D078D" w:rsidP="0076668A">
      <w:pPr>
        <w:spacing w:before="240" w:after="0"/>
        <w:jc w:val="both"/>
        <w:rPr>
          <w:rFonts w:ascii="Times New Roman" w:hAnsi="Times New Roman" w:cs="Times New Roman"/>
          <w:b/>
          <w:bCs/>
          <w:i/>
          <w:sz w:val="22"/>
          <w:szCs w:val="22"/>
          <w:lang w:val="en"/>
        </w:rPr>
      </w:pPr>
      <w:r w:rsidRPr="0076668A">
        <w:rPr>
          <w:rFonts w:ascii="Times New Roman" w:hAnsi="Times New Roman" w:cs="Times New Roman"/>
          <w:b/>
          <w:bCs/>
          <w:i/>
          <w:sz w:val="22"/>
          <w:szCs w:val="22"/>
          <w:lang w:val="en"/>
        </w:rPr>
        <w:t>Laboratory experiments</w:t>
      </w:r>
    </w:p>
    <w:p w14:paraId="6A709360" w14:textId="6AF18BE8" w:rsidR="00F46A5A" w:rsidRPr="00EC54F6" w:rsidRDefault="00F46A5A" w:rsidP="0076668A">
      <w:pPr>
        <w:spacing w:before="240" w:after="0"/>
        <w:jc w:val="both"/>
        <w:rPr>
          <w:rFonts w:ascii="Times New Roman" w:hAnsi="Times New Roman" w:cs="Times New Roman"/>
          <w:bCs/>
          <w:sz w:val="22"/>
          <w:szCs w:val="22"/>
          <w:u w:val="single"/>
          <w:lang w:val="en"/>
        </w:rPr>
      </w:pPr>
      <w:r>
        <w:rPr>
          <w:rFonts w:ascii="Times New Roman" w:hAnsi="Times New Roman" w:cs="Times New Roman"/>
          <w:bCs/>
          <w:sz w:val="22"/>
          <w:szCs w:val="22"/>
          <w:u w:val="single"/>
          <w:lang w:val="en"/>
        </w:rPr>
        <w:t>Viruses and titration</w:t>
      </w:r>
    </w:p>
    <w:p w14:paraId="0676A40F" w14:textId="66CF02D9" w:rsidR="00F46A5A" w:rsidRDefault="00F46A5A" w:rsidP="0076668A">
      <w:pPr>
        <w:spacing w:before="240" w:after="0"/>
        <w:ind w:firstLine="426"/>
        <w:jc w:val="both"/>
        <w:rPr>
          <w:rFonts w:ascii="Times New Roman" w:hAnsi="Times New Roman" w:cs="Times New Roman"/>
          <w:bCs/>
          <w:sz w:val="22"/>
          <w:szCs w:val="22"/>
          <w:lang w:val="en"/>
        </w:rPr>
      </w:pPr>
      <w:r w:rsidRPr="00842020">
        <w:rPr>
          <w:rFonts w:ascii="Times New Roman" w:hAnsi="Times New Roman" w:cs="Times New Roman"/>
          <w:bCs/>
          <w:sz w:val="22"/>
          <w:szCs w:val="22"/>
          <w:lang w:val="en"/>
        </w:rPr>
        <w:t>HCoV</w:t>
      </w:r>
      <w:r>
        <w:rPr>
          <w:rFonts w:ascii="Times New Roman" w:hAnsi="Times New Roman" w:cs="Times New Roman"/>
          <w:bCs/>
          <w:sz w:val="22"/>
          <w:szCs w:val="22"/>
          <w:lang w:val="en"/>
        </w:rPr>
        <w:t xml:space="preserve">-19 nCoV-WA1-2020 (MN985325.1) </w:t>
      </w:r>
      <w:r>
        <w:rPr>
          <w:rFonts w:ascii="Times New Roman" w:hAnsi="Times New Roman" w:cs="Times New Roman"/>
          <w:bCs/>
          <w:sz w:val="22"/>
          <w:szCs w:val="22"/>
          <w:lang w:val="en"/>
        </w:rPr>
        <w:fldChar w:fldCharType="begin"/>
      </w:r>
      <w:r>
        <w:rPr>
          <w:rFonts w:ascii="Times New Roman" w:hAnsi="Times New Roman" w:cs="Times New Roman"/>
          <w:bCs/>
          <w:sz w:val="22"/>
          <w:szCs w:val="22"/>
          <w:lang w:val="en"/>
        </w:rPr>
        <w:instrText xml:space="preserve"> ADDIN ZOTERO_ITEM CSL_CITATION {"citationID":"31i4OQbc","properties":{"formattedCitation":"(Holshue et al., 2020)","plainCitation":"(Holshue et al., 2020)","noteIndex":0},"citationItems":[{"id":9156,"uris":["http://zotero.org/users/2773777/items/VQMI5D47"],"uri":["http://zotero.org/users/2773777/items/VQMI5D47"],"itemData":{"id":9156,"type":"article-journal","container-title":"New England Journal of Medicine","DOI":"10.1056/NEJMoa2001191","ISSN":"0028-4793","issue":"10","note":"publisher: Massachusetts Medical Society\n_eprint: https://doi.org/10.1056/NEJMoa2001191\nPMID: 32004427","page":"929-936","source":"Taylor and Francis+NEJM","title":"First Case of 2019 Novel Coronavirus in the United States","volume":"382","author":[{"family":"Holshue","given":"Michelle L."},{"family":"DeBolt","given":"Chas"},{"family":"Lindquist","given":"Scott"},{"family":"Lofy","given":"Kathy H."},{"family":"Wiesman","given":"John"},{"family":"Bruce","given":"Hollianne"},{"family":"Spitters","given":"Christopher"},{"family":"Ericson","given":"Keith"},{"family":"Wilkerson","given":"Sara"},{"family":"Tural","given":"Ahmet"},{"family":"Diaz","given":"George"},{"family":"Cohn","given":"Amanda"},{"family":"Fox","given":"LeAnne"},{"family":"Patel","given":"Anita"},{"family":"Gerber","given":"Susan I."},{"family":"Kim","given":"Lindsay"},{"family":"Tong","given":"Suxiang"},{"family":"Lu","given":"Xiaoyan"},{"family":"Lindstrom","given":"Steve"},{"family":"Pallansch","given":"Mark A."},{"family":"Weldon","given":"William C."},{"family":"Biggs","given":"Holly M."},{"family":"Uyeki","given":"Timothy M."},{"family":"Pillai","given":"Satish K."}],"issued":{"date-parts":[["2020",3,5]]}}}],"schema":"https://github.com/citation-style-language/schema/raw/master/csl-citation.json"} </w:instrText>
      </w:r>
      <w:r>
        <w:rPr>
          <w:rFonts w:ascii="Times New Roman" w:hAnsi="Times New Roman" w:cs="Times New Roman"/>
          <w:bCs/>
          <w:sz w:val="22"/>
          <w:szCs w:val="22"/>
          <w:lang w:val="en"/>
        </w:rPr>
        <w:fldChar w:fldCharType="separate"/>
      </w:r>
      <w:r w:rsidRPr="00DC6F4F">
        <w:rPr>
          <w:rFonts w:ascii="Times New Roman" w:hAnsi="Times New Roman" w:cs="Times New Roman"/>
          <w:sz w:val="22"/>
        </w:rPr>
        <w:t>(Holshue et al., 2020)</w:t>
      </w:r>
      <w:r>
        <w:rPr>
          <w:rFonts w:ascii="Times New Roman" w:hAnsi="Times New Roman" w:cs="Times New Roman"/>
          <w:bCs/>
          <w:sz w:val="22"/>
          <w:szCs w:val="22"/>
          <w:lang w:val="en"/>
        </w:rPr>
        <w:fldChar w:fldCharType="end"/>
      </w:r>
      <w:r w:rsidRPr="00842020">
        <w:rPr>
          <w:rFonts w:ascii="Times New Roman" w:hAnsi="Times New Roman" w:cs="Times New Roman"/>
          <w:bCs/>
          <w:sz w:val="22"/>
          <w:szCs w:val="22"/>
          <w:lang w:val="en"/>
        </w:rPr>
        <w:t xml:space="preserve"> and SARS-CoV-1 Tor2 (AY274119.3)</w:t>
      </w:r>
      <w:r>
        <w:rPr>
          <w:rFonts w:ascii="Times New Roman" w:hAnsi="Times New Roman" w:cs="Times New Roman"/>
          <w:bCs/>
          <w:sz w:val="22"/>
          <w:szCs w:val="22"/>
          <w:lang w:val="en"/>
        </w:rPr>
        <w:t xml:space="preserve"> </w:t>
      </w:r>
      <w:r>
        <w:rPr>
          <w:rFonts w:ascii="Times New Roman" w:hAnsi="Times New Roman" w:cs="Times New Roman"/>
          <w:bCs/>
          <w:sz w:val="22"/>
          <w:szCs w:val="22"/>
          <w:lang w:val="en"/>
        </w:rPr>
        <w:fldChar w:fldCharType="begin"/>
      </w:r>
      <w:r>
        <w:rPr>
          <w:rFonts w:ascii="Times New Roman" w:hAnsi="Times New Roman" w:cs="Times New Roman"/>
          <w:bCs/>
          <w:sz w:val="22"/>
          <w:szCs w:val="22"/>
          <w:lang w:val="en"/>
        </w:rPr>
        <w:instrText xml:space="preserve"> ADDIN ZOTERO_ITEM CSL_CITATION {"citationID":"3PirmQAM","properties":{"formattedCitation":"(Marra et al., 2003)","plainCitation":"(Marra et al., 2003)","noteIndex":0},"citationItems":[{"id":9159,"uris":["http://zotero.org/users/2773777/items/MPIBDYHS"],"uri":["http://zotero.org/users/2773777/items/MPIBDYHS"],"itemData":{"id":9159,"type":"article-journal","abstract":"We sequenced the 29,751-base genome of the severe acute respiratory syndrome (SARS)-associated coronavirus known as the Tor2 isolate. The genome sequence reveals that this coronavirus is only moderately related to other known coronaviruses, including two human coronaviruses, HCoV-OC43 and HCoV-229E. Phylogenetic analysis of the predicted viral proteins indicates that the virus does not closely resemble any of the three previously known groups of coronaviruses. The genome sequence will aid in the diagnosis of SARS virus infection in humans and potential animal hosts (using polymerase chain reaction and immunological tests), in the development of antivirals (including neutralizing antibodies), and in the identification of putative epitopes for vaccine development.","container-title":"Science (New York, N.Y.)","DOI":"10.1126/science.1085953","ISSN":"1095-9203","issue":"5624","journalAbbreviation":"Science","language":"eng","note":"PMID: 12730501","page":"1399-1404","source":"PubMed","title":"The Genome sequence of the SARS-associated coronavirus","volume":"300","author":[{"family":"Marra","given":"Marco A."},{"family":"Jones","given":"Steven J. M."},{"family":"Astell","given":"Caroline R."},{"family":"Holt","given":"Robert A."},{"family":"Brooks-Wilson","given":"Angela"},{"family":"Butterfield","given":"Yaron S. N."},{"family":"Khattra","given":"Jaswinder"},{"family":"Asano","given":"Jennifer K."},{"family":"Barber","given":"Sarah A."},{"family":"Chan","given":"Susanna Y."},{"family":"Cloutier","given":"Alison"},{"family":"Coughlin","given":"Shaun M."},{"family":"Freeman","given":"Doug"},{"family":"Girn","given":"Noreen"},{"family":"Griffith","given":"Obi L."},{"family":"Leach","given":"Stephen R."},{"family":"Mayo","given":"Michael"},{"family":"McDonald","given":"Helen"},{"family":"Montgomery","given":"Stephen B."},{"family":"Pandoh","given":"Pawan K."},{"family":"Petrescu","given":"Anca S."},{"family":"Robertson","given":"A. Gordon"},{"family":"Schein","given":"Jacqueline E."},{"family":"Siddiqui","given":"Asim"},{"family":"Smailus","given":"Duane E."},{"family":"Stott","given":"Jeff M."},{"family":"Yang","given":"George S."},{"family":"Plummer","given":"Francis"},{"family":"Andonov","given":"Anton"},{"family":"Artsob","given":"Harvey"},{"family":"Bastien","given":"Nathalie"},{"family":"Bernard","given":"Kathy"},{"family":"Booth","given":"Timothy F."},{"family":"Bowness","given":"Donnie"},{"family":"Czub","given":"Martin"},{"family":"Drebot","given":"Michael"},{"family":"Fernando","given":"Lisa"},{"family":"Flick","given":"Ramon"},{"family":"Garbutt","given":"Michael"},{"family":"Gray","given":"Michael"},{"family":"Grolla","given":"Allen"},{"family":"Jones","given":"Steven"},{"family":"Feldmann","given":"Heinz"},{"family":"Meyers","given":"Adrienne"},{"family":"Kabani","given":"Amin"},{"family":"Li","given":"Yan"},{"family":"Normand","given":"Susan"},{"family":"Stroher","given":"Ute"},{"family":"Tipples","given":"Graham A."},{"family":"Tyler","given":"Shaun"},{"family":"Vogrig","given":"Robert"},{"family":"Ward","given":"Diane"},{"family":"Watson","given":"Brynn"},{"family":"Brunham","given":"Robert C."},{"family":"Krajden","given":"Mel"},{"family":"Petric","given":"Martin"},{"family":"Skowronski","given":"Danuta M."},{"family":"Upton","given":"Chris"},{"family":"Roper","given":"Rachel L."}],"issued":{"date-parts":[["2003",5,30]]}}}],"schema":"https://github.com/citation-style-language/schema/raw/master/csl-citation.json"} </w:instrText>
      </w:r>
      <w:r>
        <w:rPr>
          <w:rFonts w:ascii="Times New Roman" w:hAnsi="Times New Roman" w:cs="Times New Roman"/>
          <w:bCs/>
          <w:sz w:val="22"/>
          <w:szCs w:val="22"/>
          <w:lang w:val="en"/>
        </w:rPr>
        <w:fldChar w:fldCharType="separate"/>
      </w:r>
      <w:r w:rsidRPr="00DC6F4F">
        <w:rPr>
          <w:rFonts w:ascii="Times New Roman" w:hAnsi="Times New Roman" w:cs="Times New Roman"/>
          <w:sz w:val="22"/>
        </w:rPr>
        <w:t>(Marra et al., 2003)</w:t>
      </w:r>
      <w:r>
        <w:rPr>
          <w:rFonts w:ascii="Times New Roman" w:hAnsi="Times New Roman" w:cs="Times New Roman"/>
          <w:bCs/>
          <w:sz w:val="22"/>
          <w:szCs w:val="22"/>
          <w:lang w:val="en"/>
        </w:rPr>
        <w:fldChar w:fldCharType="end"/>
      </w:r>
      <w:r w:rsidRPr="00842020">
        <w:rPr>
          <w:rFonts w:ascii="Times New Roman" w:hAnsi="Times New Roman" w:cs="Times New Roman"/>
          <w:bCs/>
          <w:sz w:val="22"/>
          <w:szCs w:val="22"/>
          <w:lang w:val="en"/>
        </w:rPr>
        <w:t xml:space="preserve"> were the strains used in our comparison. Viable virus in all surface and aerosol samples was quantified by end-point titration on Vero E6 </w:t>
      </w:r>
      <w:r>
        <w:rPr>
          <w:rFonts w:ascii="Times New Roman" w:hAnsi="Times New Roman" w:cs="Times New Roman"/>
          <w:bCs/>
          <w:sz w:val="22"/>
          <w:szCs w:val="22"/>
          <w:lang w:val="en"/>
        </w:rPr>
        <w:t xml:space="preserve">cells as described previously </w:t>
      </w:r>
      <w:r>
        <w:rPr>
          <w:rFonts w:ascii="Times New Roman" w:hAnsi="Times New Roman" w:cs="Times New Roman"/>
          <w:bCs/>
          <w:sz w:val="22"/>
          <w:szCs w:val="22"/>
          <w:lang w:val="en"/>
        </w:rPr>
        <w:fldChar w:fldCharType="begin"/>
      </w:r>
      <w:r>
        <w:rPr>
          <w:rFonts w:ascii="Times New Roman" w:hAnsi="Times New Roman" w:cs="Times New Roman"/>
          <w:bCs/>
          <w:sz w:val="22"/>
          <w:szCs w:val="22"/>
          <w:lang w:val="en"/>
        </w:rPr>
        <w:instrText xml:space="preserve"> ADDIN ZOTERO_ITEM CSL_CITATION {"citationID":"xDTRbLtS","properties":{"formattedCitation":"(van Doremalen et al., 2013)","plainCitation":"(van Doremalen et al., 2013)","noteIndex":0},"citationItems":[{"id":8516,"uris":["http://zotero.org/users/2773777/items/G3KM5S6L"],"uri":["http://zotero.org/users/2773777/items/G3KM5S6L"],"itemData":{"id":8516,"type":"article-journal","container-title":"Eurosurveillance","DOI":"10.2807/1560-7917.ES2013.18.38.20590","ISSN":"1560-7917","issue":"38","language":"en","page":"20590","source":"DOI.org (Crossref)","title":"Stability of Middle East respiratory syndrome coronavirus (MERS-CoV) under different environmental conditions","volume":"18","author":[{"family":"Doremalen","given":"N","non-dropping-particle":"van"},{"family":"Bushmaker","given":"T"},{"family":"Munster","given":"V"}],"issued":{"date-parts":[["2013",9,19]]}}}],"schema":"https://github.com/citation-style-language/schema/raw/master/csl-citation.json"} </w:instrText>
      </w:r>
      <w:r>
        <w:rPr>
          <w:rFonts w:ascii="Times New Roman" w:hAnsi="Times New Roman" w:cs="Times New Roman"/>
          <w:bCs/>
          <w:sz w:val="22"/>
          <w:szCs w:val="22"/>
          <w:lang w:val="en"/>
        </w:rPr>
        <w:fldChar w:fldCharType="separate"/>
      </w:r>
      <w:r w:rsidRPr="00F378E4">
        <w:rPr>
          <w:rFonts w:ascii="Times New Roman" w:hAnsi="Times New Roman" w:cs="Times New Roman"/>
          <w:sz w:val="22"/>
        </w:rPr>
        <w:t>(van Doremalen et al., 2013)</w:t>
      </w:r>
      <w:r>
        <w:rPr>
          <w:rFonts w:ascii="Times New Roman" w:hAnsi="Times New Roman" w:cs="Times New Roman"/>
          <w:bCs/>
          <w:sz w:val="22"/>
          <w:szCs w:val="22"/>
          <w:lang w:val="en"/>
        </w:rPr>
        <w:fldChar w:fldCharType="end"/>
      </w:r>
      <w:r>
        <w:rPr>
          <w:rFonts w:ascii="Times New Roman" w:hAnsi="Times New Roman" w:cs="Times New Roman"/>
          <w:bCs/>
          <w:sz w:val="22"/>
          <w:szCs w:val="22"/>
          <w:lang w:val="en"/>
        </w:rPr>
        <w:t>.</w:t>
      </w:r>
    </w:p>
    <w:p w14:paraId="4A9EF036" w14:textId="3F7A266B" w:rsidR="00842020" w:rsidRPr="00EC54F6" w:rsidRDefault="00F46A5A" w:rsidP="0076668A">
      <w:pPr>
        <w:spacing w:before="240" w:after="240"/>
        <w:jc w:val="both"/>
        <w:rPr>
          <w:rFonts w:ascii="Times New Roman" w:hAnsi="Times New Roman" w:cs="Times New Roman"/>
          <w:bCs/>
          <w:sz w:val="22"/>
          <w:szCs w:val="22"/>
          <w:u w:val="single"/>
          <w:lang w:val="en"/>
        </w:rPr>
      </w:pPr>
      <w:r>
        <w:rPr>
          <w:rFonts w:ascii="Times New Roman" w:hAnsi="Times New Roman" w:cs="Times New Roman"/>
          <w:bCs/>
          <w:sz w:val="22"/>
          <w:szCs w:val="22"/>
          <w:u w:val="single"/>
          <w:lang w:val="en"/>
        </w:rPr>
        <w:t>Virus stability in a</w:t>
      </w:r>
      <w:r w:rsidR="00443424">
        <w:rPr>
          <w:rFonts w:ascii="Times New Roman" w:hAnsi="Times New Roman" w:cs="Times New Roman"/>
          <w:bCs/>
          <w:sz w:val="22"/>
          <w:szCs w:val="22"/>
          <w:u w:val="single"/>
          <w:lang w:val="en"/>
        </w:rPr>
        <w:t>erosols</w:t>
      </w:r>
    </w:p>
    <w:p w14:paraId="4E722A4C" w14:textId="7DCA1058" w:rsidR="00842020" w:rsidRDefault="00842020" w:rsidP="0076668A">
      <w:pPr>
        <w:spacing w:after="240"/>
        <w:ind w:firstLine="426"/>
        <w:jc w:val="both"/>
        <w:rPr>
          <w:rFonts w:ascii="Times New Roman" w:hAnsi="Times New Roman" w:cs="Times New Roman"/>
          <w:bCs/>
          <w:sz w:val="22"/>
          <w:szCs w:val="22"/>
          <w:lang w:val="en"/>
        </w:rPr>
      </w:pPr>
      <w:r w:rsidRPr="00842020">
        <w:rPr>
          <w:rFonts w:ascii="Times New Roman" w:hAnsi="Times New Roman" w:cs="Times New Roman"/>
          <w:bCs/>
          <w:sz w:val="22"/>
          <w:szCs w:val="22"/>
          <w:lang w:val="en"/>
        </w:rPr>
        <w:t>Virus stability in aerosols was determined as described previously at 65% relative humidity (RH) and 21-23°C</w:t>
      </w:r>
      <w:r w:rsidR="009D078D">
        <w:rPr>
          <w:rFonts w:ascii="Times New Roman" w:hAnsi="Times New Roman" w:cs="Times New Roman"/>
          <w:bCs/>
          <w:sz w:val="22"/>
          <w:szCs w:val="22"/>
          <w:lang w:val="en"/>
        </w:rPr>
        <w:t xml:space="preserve"> </w:t>
      </w:r>
      <w:r w:rsidR="009D078D">
        <w:rPr>
          <w:rFonts w:ascii="Times New Roman" w:hAnsi="Times New Roman" w:cs="Times New Roman"/>
          <w:bCs/>
          <w:sz w:val="22"/>
          <w:szCs w:val="22"/>
          <w:lang w:val="en"/>
        </w:rPr>
        <w:fldChar w:fldCharType="begin"/>
      </w:r>
      <w:r w:rsidR="009D078D">
        <w:rPr>
          <w:rFonts w:ascii="Times New Roman" w:hAnsi="Times New Roman" w:cs="Times New Roman"/>
          <w:bCs/>
          <w:sz w:val="22"/>
          <w:szCs w:val="22"/>
          <w:lang w:val="en"/>
        </w:rPr>
        <w:instrText xml:space="preserve"> ADDIN ZOTERO_ITEM CSL_CITATION {"citationID":"n186r8JD","properties":{"formattedCitation":"(Fischer et al., 2016)","plainCitation":"(Fischer et al., 2016)","noteIndex":0},"citationItems":[{"id":9162,"uris":["http://zotero.org/users/2773777/items/GLWT6GMH"],"uri":["http://zotero.org/users/2773777/items/GLWT6GMH"],"itemData":{"id":9162,"type":"article-journal","abstract":"The largest outbreak of Ebola virus disease began in Guéckédou, Guinea, West Africa, in December 2013 and rapidly spread to major population centers in 3 West African countries. Early reports in some scientific and public media speculated that the virus had evolved to more effectively transmit between humans. One route of transmission postulated was aerosol transmission, although there was little epidemiological evidence to support this claim. This study investigates the viability of 2 Zaire ebolavirus strains within aerosols at 22°C and 80% relative humidity over time. The results presented here indicate that there is no difference in virus stability between the 2 strains and that viable virus can be recovered from an aerosol 180 minutes after it is generated.","container-title":"The Journal of Infectious Diseases","DOI":"10.1093/infdis/jiw193","ISSN":"1537-6613","issue":"suppl 3","journalAbbreviation":"J. Infect. Dis.","language":"eng","note":"PMID: 27503365\nPMCID: PMC5050463","page":"S290-S293","source":"PubMed","title":"Comparison of the Aerosol Stability of 2 Strains of Zaire ebolavirus From the 1976 and 2013 Outbreaks","volume":"214","author":[{"family":"Fischer","given":"Robert J."},{"family":"Bushmaker","given":"Trenton"},{"family":"Judson","given":"Seth"},{"family":"Munster","given":"Vincent J."}],"issued":{"date-parts":[["2016"]],"season":"15"}}}],"schema":"https://github.com/citation-style-language/schema/raw/master/csl-citation.json"} </w:instrText>
      </w:r>
      <w:r w:rsidR="009D078D">
        <w:rPr>
          <w:rFonts w:ascii="Times New Roman" w:hAnsi="Times New Roman" w:cs="Times New Roman"/>
          <w:bCs/>
          <w:sz w:val="22"/>
          <w:szCs w:val="22"/>
          <w:lang w:val="en"/>
        </w:rPr>
        <w:fldChar w:fldCharType="separate"/>
      </w:r>
      <w:r w:rsidR="009D078D" w:rsidRPr="0076668A">
        <w:rPr>
          <w:rFonts w:ascii="Times New Roman" w:hAnsi="Times New Roman" w:cs="Times New Roman"/>
          <w:sz w:val="22"/>
        </w:rPr>
        <w:t>(Fischer et al., 2016)</w:t>
      </w:r>
      <w:r w:rsidR="009D078D">
        <w:rPr>
          <w:rFonts w:ascii="Times New Roman" w:hAnsi="Times New Roman" w:cs="Times New Roman"/>
          <w:bCs/>
          <w:sz w:val="22"/>
          <w:szCs w:val="22"/>
          <w:lang w:val="en"/>
        </w:rPr>
        <w:fldChar w:fldCharType="end"/>
      </w:r>
      <w:r w:rsidR="009D078D">
        <w:rPr>
          <w:rFonts w:ascii="Times New Roman" w:hAnsi="Times New Roman" w:cs="Times New Roman"/>
          <w:bCs/>
          <w:sz w:val="22"/>
          <w:szCs w:val="22"/>
          <w:lang w:val="en"/>
        </w:rPr>
        <w:t>.</w:t>
      </w:r>
      <w:r w:rsidRPr="00842020">
        <w:rPr>
          <w:rFonts w:ascii="Times New Roman" w:hAnsi="Times New Roman" w:cs="Times New Roman"/>
          <w:bCs/>
          <w:sz w:val="22"/>
          <w:szCs w:val="22"/>
          <w:lang w:val="en"/>
        </w:rPr>
        <w:t xml:space="preserve"> In short, aerosols (&lt;5 µm) containing HCoV-19 (10</w:t>
      </w:r>
      <w:r w:rsidRPr="0076668A">
        <w:rPr>
          <w:rFonts w:ascii="Times New Roman" w:hAnsi="Times New Roman" w:cs="Times New Roman"/>
          <w:bCs/>
          <w:sz w:val="22"/>
          <w:szCs w:val="22"/>
          <w:vertAlign w:val="superscript"/>
          <w:lang w:val="en"/>
        </w:rPr>
        <w:t>5.25</w:t>
      </w:r>
      <w:r w:rsidRPr="00842020">
        <w:rPr>
          <w:rFonts w:ascii="Times New Roman" w:hAnsi="Times New Roman" w:cs="Times New Roman"/>
          <w:bCs/>
          <w:sz w:val="22"/>
          <w:szCs w:val="22"/>
          <w:lang w:val="en"/>
        </w:rPr>
        <w:t xml:space="preserve"> TCID</w:t>
      </w:r>
      <w:r w:rsidRPr="0076668A">
        <w:rPr>
          <w:rFonts w:ascii="Times New Roman" w:hAnsi="Times New Roman" w:cs="Times New Roman"/>
          <w:bCs/>
          <w:sz w:val="22"/>
          <w:szCs w:val="22"/>
          <w:vertAlign w:val="subscript"/>
          <w:lang w:val="en"/>
        </w:rPr>
        <w:t>50</w:t>
      </w:r>
      <w:r w:rsidRPr="00842020">
        <w:rPr>
          <w:rFonts w:ascii="Times New Roman" w:hAnsi="Times New Roman" w:cs="Times New Roman"/>
          <w:bCs/>
          <w:sz w:val="22"/>
          <w:szCs w:val="22"/>
          <w:lang w:val="en"/>
        </w:rPr>
        <w:t>/mL) or SARS-CoV-1 (10</w:t>
      </w:r>
      <w:r w:rsidRPr="0076668A">
        <w:rPr>
          <w:rFonts w:ascii="Times New Roman" w:hAnsi="Times New Roman" w:cs="Times New Roman"/>
          <w:bCs/>
          <w:sz w:val="22"/>
          <w:szCs w:val="22"/>
          <w:vertAlign w:val="superscript"/>
          <w:lang w:val="en"/>
        </w:rPr>
        <w:t xml:space="preserve">6.75-7 </w:t>
      </w:r>
      <w:r w:rsidRPr="00842020">
        <w:rPr>
          <w:rFonts w:ascii="Times New Roman" w:hAnsi="Times New Roman" w:cs="Times New Roman"/>
          <w:bCs/>
          <w:sz w:val="22"/>
          <w:szCs w:val="22"/>
          <w:lang w:val="en"/>
        </w:rPr>
        <w:t>TCID50/mL) were generated using a 3-jet Collison nebulizer and fed into a Goldberg drum to create an aerosolized environment. Aerosols were maintained in the Goldberg drum and samples were collected at 0, 30, 60, 120 and 180 minutes post-aerosolization on a 47mm gelatin filter (Sartorius). Filters were dissolved in 10 mL of DMEM containing 10% FBS. Three replicate experiments were performed.</w:t>
      </w:r>
    </w:p>
    <w:p w14:paraId="72C1DC05" w14:textId="31269190" w:rsidR="00443424" w:rsidRPr="0076668A" w:rsidRDefault="00F46A5A" w:rsidP="0076668A">
      <w:pPr>
        <w:spacing w:before="240" w:after="240"/>
        <w:jc w:val="both"/>
        <w:rPr>
          <w:rFonts w:ascii="Times New Roman" w:hAnsi="Times New Roman" w:cs="Times New Roman"/>
          <w:bCs/>
          <w:sz w:val="22"/>
          <w:szCs w:val="22"/>
          <w:u w:val="single"/>
          <w:lang w:val="en"/>
        </w:rPr>
      </w:pPr>
      <w:r>
        <w:rPr>
          <w:rFonts w:ascii="Times New Roman" w:hAnsi="Times New Roman" w:cs="Times New Roman"/>
          <w:bCs/>
          <w:sz w:val="22"/>
          <w:szCs w:val="22"/>
          <w:u w:val="single"/>
          <w:lang w:val="en"/>
        </w:rPr>
        <w:t>Virus stability on s</w:t>
      </w:r>
      <w:r w:rsidR="00443424" w:rsidRPr="0076668A">
        <w:rPr>
          <w:rFonts w:ascii="Times New Roman" w:hAnsi="Times New Roman" w:cs="Times New Roman"/>
          <w:bCs/>
          <w:sz w:val="22"/>
          <w:szCs w:val="22"/>
          <w:u w:val="single"/>
          <w:lang w:val="en"/>
        </w:rPr>
        <w:t>urfaces</w:t>
      </w:r>
    </w:p>
    <w:p w14:paraId="5CFB4EC0" w14:textId="25A130CA" w:rsidR="0094072B" w:rsidRDefault="00842020" w:rsidP="0091373B">
      <w:pPr>
        <w:spacing w:after="240"/>
        <w:ind w:firstLine="426"/>
        <w:jc w:val="both"/>
        <w:rPr>
          <w:rFonts w:ascii="Times New Roman" w:hAnsi="Times New Roman" w:cs="Times New Roman"/>
          <w:bCs/>
          <w:sz w:val="22"/>
          <w:szCs w:val="22"/>
          <w:lang w:val="en"/>
        </w:rPr>
      </w:pPr>
      <w:r w:rsidRPr="00842020">
        <w:rPr>
          <w:rFonts w:ascii="Times New Roman" w:hAnsi="Times New Roman" w:cs="Times New Roman"/>
          <w:bCs/>
          <w:sz w:val="22"/>
          <w:szCs w:val="22"/>
          <w:lang w:val="en"/>
        </w:rPr>
        <w:t xml:space="preserve">Surface stability was evaluated on plastic (polypropylene, </w:t>
      </w:r>
      <w:proofErr w:type="spellStart"/>
      <w:r w:rsidRPr="00842020">
        <w:rPr>
          <w:rFonts w:ascii="Times New Roman" w:hAnsi="Times New Roman" w:cs="Times New Roman"/>
          <w:bCs/>
          <w:sz w:val="22"/>
          <w:szCs w:val="22"/>
          <w:lang w:val="en"/>
        </w:rPr>
        <w:t>ePlastics</w:t>
      </w:r>
      <w:proofErr w:type="spellEnd"/>
      <w:r w:rsidRPr="00842020">
        <w:rPr>
          <w:rFonts w:ascii="Times New Roman" w:hAnsi="Times New Roman" w:cs="Times New Roman"/>
          <w:bCs/>
          <w:sz w:val="22"/>
          <w:szCs w:val="22"/>
          <w:lang w:val="en"/>
        </w:rPr>
        <w:t>), AISI 304 alloy stainless steel (Metal Remnants), copper (99.9%) (Metal Remnants) and cardboard (local supplier) representing a variety of household and hospital situations and was performed as described previously at 40% RH and 21-23°C using an inoculum of 10</w:t>
      </w:r>
      <w:r w:rsidRPr="0076668A">
        <w:rPr>
          <w:rFonts w:ascii="Times New Roman" w:hAnsi="Times New Roman" w:cs="Times New Roman"/>
          <w:bCs/>
          <w:sz w:val="22"/>
          <w:szCs w:val="22"/>
          <w:vertAlign w:val="superscript"/>
          <w:lang w:val="en"/>
        </w:rPr>
        <w:t>5</w:t>
      </w:r>
      <w:r w:rsidRPr="00842020">
        <w:rPr>
          <w:rFonts w:ascii="Times New Roman" w:hAnsi="Times New Roman" w:cs="Times New Roman"/>
          <w:bCs/>
          <w:sz w:val="22"/>
          <w:szCs w:val="22"/>
          <w:lang w:val="en"/>
        </w:rPr>
        <w:t xml:space="preserve"> TCID</w:t>
      </w:r>
      <w:r w:rsidRPr="0076668A">
        <w:rPr>
          <w:rFonts w:ascii="Times New Roman" w:hAnsi="Times New Roman" w:cs="Times New Roman"/>
          <w:bCs/>
          <w:sz w:val="22"/>
          <w:szCs w:val="22"/>
          <w:vertAlign w:val="subscript"/>
          <w:lang w:val="en"/>
        </w:rPr>
        <w:t>50</w:t>
      </w:r>
      <w:r w:rsidRPr="00842020">
        <w:rPr>
          <w:rFonts w:ascii="Times New Roman" w:hAnsi="Times New Roman" w:cs="Times New Roman"/>
          <w:bCs/>
          <w:sz w:val="22"/>
          <w:szCs w:val="22"/>
          <w:lang w:val="en"/>
        </w:rPr>
        <w:t>/mL</w:t>
      </w:r>
      <w:r w:rsidR="009D078D">
        <w:rPr>
          <w:rFonts w:ascii="Times New Roman" w:hAnsi="Times New Roman" w:cs="Times New Roman"/>
          <w:bCs/>
          <w:sz w:val="22"/>
          <w:szCs w:val="22"/>
          <w:lang w:val="en"/>
        </w:rPr>
        <w:t xml:space="preserve"> </w:t>
      </w:r>
      <w:r w:rsidR="009D078D">
        <w:rPr>
          <w:rFonts w:ascii="Times New Roman" w:hAnsi="Times New Roman" w:cs="Times New Roman"/>
          <w:bCs/>
          <w:sz w:val="22"/>
          <w:szCs w:val="22"/>
          <w:lang w:val="en"/>
        </w:rPr>
        <w:fldChar w:fldCharType="begin"/>
      </w:r>
      <w:r w:rsidR="009D078D">
        <w:rPr>
          <w:rFonts w:ascii="Times New Roman" w:hAnsi="Times New Roman" w:cs="Times New Roman"/>
          <w:bCs/>
          <w:sz w:val="22"/>
          <w:szCs w:val="22"/>
          <w:lang w:val="en"/>
        </w:rPr>
        <w:instrText xml:space="preserve"> ADDIN ZOTERO_ITEM CSL_CITATION {"citationID":"A4X3CWxk","properties":{"formattedCitation":"(van Doremalen et al., 2013)","plainCitation":"(van Doremalen et al., 2013)","noteIndex":0},"citationItems":[{"id":8516,"uris":["http://zotero.org/users/2773777/items/G3KM5S6L"],"uri":["http://zotero.org/users/2773777/items/G3KM5S6L"],"itemData":{"id":8516,"type":"article-journal","container-title":"Eurosurveillance","DOI":"10.2807/1560-7917.ES2013.18.38.20590","ISSN":"1560-7917","issue":"38","language":"en","page":"20590","source":"DOI.org (Crossref)","title":"Stability of Middle East respiratory syndrome coronavirus (MERS-CoV) under different environmental conditions","volume":"18","author":[{"family":"Doremalen","given":"N","non-dropping-particle":"van"},{"family":"Bushmaker","given":"T"},{"family":"Munster","given":"V"}],"issued":{"date-parts":[["2013",9,19]]}}}],"schema":"https://github.com/citation-style-language/schema/raw/master/csl-citation.json"} </w:instrText>
      </w:r>
      <w:r w:rsidR="009D078D">
        <w:rPr>
          <w:rFonts w:ascii="Times New Roman" w:hAnsi="Times New Roman" w:cs="Times New Roman"/>
          <w:bCs/>
          <w:sz w:val="22"/>
          <w:szCs w:val="22"/>
          <w:lang w:val="en"/>
        </w:rPr>
        <w:fldChar w:fldCharType="separate"/>
      </w:r>
      <w:r w:rsidR="009D078D" w:rsidRPr="00F378E4">
        <w:rPr>
          <w:rFonts w:ascii="Times New Roman" w:hAnsi="Times New Roman" w:cs="Times New Roman"/>
          <w:sz w:val="22"/>
        </w:rPr>
        <w:t>(van Doremalen et al., 2013)</w:t>
      </w:r>
      <w:r w:rsidR="009D078D">
        <w:rPr>
          <w:rFonts w:ascii="Times New Roman" w:hAnsi="Times New Roman" w:cs="Times New Roman"/>
          <w:bCs/>
          <w:sz w:val="22"/>
          <w:szCs w:val="22"/>
          <w:lang w:val="en"/>
        </w:rPr>
        <w:fldChar w:fldCharType="end"/>
      </w:r>
      <w:r w:rsidRPr="00842020">
        <w:rPr>
          <w:rFonts w:ascii="Times New Roman" w:hAnsi="Times New Roman" w:cs="Times New Roman"/>
          <w:bCs/>
          <w:sz w:val="22"/>
          <w:szCs w:val="22"/>
          <w:lang w:val="en"/>
        </w:rPr>
        <w:t>. This inoculum resulted in cycle-threshold values (Ct) between 20 and 22 similar to those observed in samples from human upper and lower respiratory tract</w:t>
      </w:r>
      <w:r w:rsidR="009D078D">
        <w:rPr>
          <w:rFonts w:ascii="Times New Roman" w:hAnsi="Times New Roman" w:cs="Times New Roman"/>
          <w:bCs/>
          <w:sz w:val="22"/>
          <w:szCs w:val="22"/>
          <w:lang w:val="en"/>
        </w:rPr>
        <w:t xml:space="preserve"> </w:t>
      </w:r>
      <w:r w:rsidR="009D078D">
        <w:rPr>
          <w:rFonts w:ascii="Times New Roman" w:hAnsi="Times New Roman" w:cs="Times New Roman"/>
          <w:bCs/>
          <w:sz w:val="22"/>
          <w:szCs w:val="22"/>
          <w:lang w:val="en"/>
        </w:rPr>
        <w:fldChar w:fldCharType="begin"/>
      </w:r>
      <w:r w:rsidR="009D078D">
        <w:rPr>
          <w:rFonts w:ascii="Times New Roman" w:hAnsi="Times New Roman" w:cs="Times New Roman"/>
          <w:bCs/>
          <w:sz w:val="22"/>
          <w:szCs w:val="22"/>
          <w:lang w:val="en"/>
        </w:rPr>
        <w:instrText xml:space="preserve"> ADDIN ZOTERO_ITEM CSL_CITATION {"citationID":"a1qgBxUy","properties":{"formattedCitation":"(Zou et al., 2020)","plainCitation":"(Zou et al., 2020)","noteIndex":0},"citationItems":[{"id":8874,"uris":["http://zotero.org/users/2773777/items/V6NWZGFP"],"uri":["http://zotero.org/users/2773777/items/V6NWZGFP"],"itemData":{"id":8874,"type":"article-journal","container-title":"New England Journal of Medicine","DOI":"10.1056/NEJMc2001737","ISSN":"0028-4793","issue":"0","page":"null","source":"Taylor and Francis+NEJM","title":"SARS-CoV-2 Viral Load in Upper Respiratory Specimens of Infected Patients","volume":"0","author":[{"family":"Zou","given":"Lirong"},{"family":"Ruan","given":"Feng"},{"family":"Huang","given":"Mingxing"},{"family":"Liang","given":"Lijun"},{"family":"Huang","given":"Huitao"},{"family":"Hong","given":"Zhongsi"},{"family":"Yu","given":"Jianxiang"},{"family":"Kang","given":"Min"},{"family":"Song","given":"Yingchao"},{"family":"Xia","given":"Jinyu"},{"family":"Guo","given":"Qianfang"},{"family":"Song","given":"Tie"},{"family":"He","given":"Jianfeng"},{"family":"Yen","given":"Hui-Ling"},{"family":"Peiris","given":"Malik"},{"family":"Wu","given":"Jie"}],"issued":{"date-parts":[["2020",2,19]]}}}],"schema":"https://github.com/citation-style-language/schema/raw/master/csl-citation.json"} </w:instrText>
      </w:r>
      <w:r w:rsidR="009D078D">
        <w:rPr>
          <w:rFonts w:ascii="Times New Roman" w:hAnsi="Times New Roman" w:cs="Times New Roman"/>
          <w:bCs/>
          <w:sz w:val="22"/>
          <w:szCs w:val="22"/>
          <w:lang w:val="en"/>
        </w:rPr>
        <w:fldChar w:fldCharType="separate"/>
      </w:r>
      <w:r w:rsidR="009D078D" w:rsidRPr="0076668A">
        <w:rPr>
          <w:rFonts w:ascii="Times New Roman" w:hAnsi="Times New Roman" w:cs="Times New Roman"/>
          <w:sz w:val="22"/>
        </w:rPr>
        <w:t>(Zou et al., 2020)</w:t>
      </w:r>
      <w:r w:rsidR="009D078D">
        <w:rPr>
          <w:rFonts w:ascii="Times New Roman" w:hAnsi="Times New Roman" w:cs="Times New Roman"/>
          <w:bCs/>
          <w:sz w:val="22"/>
          <w:szCs w:val="22"/>
          <w:lang w:val="en"/>
        </w:rPr>
        <w:fldChar w:fldCharType="end"/>
      </w:r>
      <w:r w:rsidRPr="00842020">
        <w:rPr>
          <w:rFonts w:ascii="Times New Roman" w:hAnsi="Times New Roman" w:cs="Times New Roman"/>
          <w:bCs/>
          <w:sz w:val="22"/>
          <w:szCs w:val="22"/>
          <w:lang w:val="en"/>
        </w:rPr>
        <w:t xml:space="preserve">. In short, 50 µl of virus was deposited on the surface and recovered at predefined time-points by adding 1 mL of DMEM. Stability on cardboard was evaluated by depositing 50 µl of virus on the surface and recovering the inoculum by swabbing of the surface, the swab was deposited 1 mL of DMEM. Three replicate experiments were performed for each surface. </w:t>
      </w:r>
      <w:r w:rsidR="0094072B">
        <w:rPr>
          <w:rFonts w:ascii="Times New Roman" w:hAnsi="Times New Roman" w:cs="Times New Roman"/>
          <w:bCs/>
          <w:sz w:val="22"/>
          <w:szCs w:val="22"/>
          <w:lang w:val="en"/>
        </w:rPr>
        <w:br w:type="page"/>
      </w:r>
    </w:p>
    <w:p w14:paraId="6361D984" w14:textId="06288ECF" w:rsidR="009D078D" w:rsidRPr="00F378E4" w:rsidRDefault="009D078D" w:rsidP="0091373B">
      <w:pPr>
        <w:spacing w:after="240"/>
        <w:jc w:val="both"/>
        <w:rPr>
          <w:rFonts w:ascii="Times New Roman" w:hAnsi="Times New Roman" w:cs="Times New Roman"/>
          <w:b/>
          <w:bCs/>
          <w:i/>
          <w:sz w:val="22"/>
          <w:szCs w:val="22"/>
          <w:lang w:val="en"/>
        </w:rPr>
      </w:pPr>
      <w:r>
        <w:rPr>
          <w:rFonts w:ascii="Times New Roman" w:hAnsi="Times New Roman" w:cs="Times New Roman"/>
          <w:b/>
          <w:bCs/>
          <w:i/>
          <w:sz w:val="22"/>
          <w:szCs w:val="22"/>
          <w:lang w:val="en"/>
        </w:rPr>
        <w:lastRenderedPageBreak/>
        <w:t>Statistical analyses</w:t>
      </w:r>
    </w:p>
    <w:p w14:paraId="7A80E4AD" w14:textId="73476865" w:rsidR="00E2627D" w:rsidRPr="00EC54F6" w:rsidRDefault="00E2627D" w:rsidP="0076668A">
      <w:pPr>
        <w:spacing w:before="240" w:after="240"/>
        <w:jc w:val="both"/>
        <w:rPr>
          <w:rFonts w:ascii="Times New Roman" w:hAnsi="Times New Roman" w:cs="Times New Roman"/>
          <w:bCs/>
          <w:sz w:val="22"/>
          <w:szCs w:val="22"/>
          <w:u w:val="single"/>
          <w:lang w:val="en"/>
        </w:rPr>
      </w:pPr>
      <w:r w:rsidRPr="00EC54F6">
        <w:rPr>
          <w:rFonts w:ascii="Times New Roman" w:hAnsi="Times New Roman" w:cs="Times New Roman"/>
          <w:bCs/>
          <w:sz w:val="22"/>
          <w:szCs w:val="22"/>
          <w:u w:val="single"/>
          <w:lang w:val="en"/>
        </w:rPr>
        <w:t>Bayesian regression model</w:t>
      </w:r>
      <w:r w:rsidR="00391F4B">
        <w:rPr>
          <w:rFonts w:ascii="Times New Roman" w:hAnsi="Times New Roman" w:cs="Times New Roman"/>
          <w:bCs/>
          <w:sz w:val="22"/>
          <w:szCs w:val="22"/>
          <w:u w:val="single"/>
          <w:lang w:val="en"/>
        </w:rPr>
        <w:t xml:space="preserve"> description</w:t>
      </w:r>
    </w:p>
    <w:p w14:paraId="3DD1B8CF" w14:textId="099110A3" w:rsidR="00123D06" w:rsidRDefault="00123D06" w:rsidP="0076668A">
      <w:pPr>
        <w:spacing w:after="240"/>
        <w:ind w:firstLine="426"/>
        <w:jc w:val="both"/>
        <w:rPr>
          <w:rFonts w:ascii="Times New Roman" w:hAnsi="Times New Roman" w:cs="Times New Roman"/>
          <w:bCs/>
          <w:sz w:val="22"/>
          <w:szCs w:val="22"/>
          <w:lang w:val="en"/>
        </w:rPr>
      </w:pPr>
      <w:r w:rsidRPr="00EC54F6">
        <w:rPr>
          <w:rFonts w:ascii="Times New Roman" w:hAnsi="Times New Roman" w:cs="Times New Roman"/>
          <w:bCs/>
          <w:sz w:val="22"/>
          <w:szCs w:val="22"/>
          <w:lang w:val="en"/>
        </w:rPr>
        <w:tab/>
      </w:r>
      <w:r w:rsidR="00AA02FA" w:rsidRPr="00AA02FA">
        <w:rPr>
          <w:rFonts w:ascii="Times New Roman" w:hAnsi="Times New Roman" w:cs="Times New Roman"/>
          <w:bCs/>
          <w:sz w:val="22"/>
          <w:szCs w:val="22"/>
          <w:lang w:val="en"/>
        </w:rPr>
        <w:t>The durations of detectability depend on initial inoculum and sampling method, as expected. To evaluate the inherent stability of the viruses, we estimated the decay rates of viable virus titers using a Bayesian regression model. This modeling approach allowed us to account for differences in initial inoculum levels across replicates, as well as interval-censoring of titer data and other sources of experimental noise. The model yields estimates of posterior distributions of viral decay rates and half-lives in the various experimental conditions – that is, estimates of the range of plausible values for these parameters given our data, with an estim</w:t>
      </w:r>
      <w:r w:rsidR="00AA02FA">
        <w:rPr>
          <w:rFonts w:ascii="Times New Roman" w:hAnsi="Times New Roman" w:cs="Times New Roman"/>
          <w:bCs/>
          <w:sz w:val="22"/>
          <w:szCs w:val="22"/>
          <w:lang w:val="en"/>
        </w:rPr>
        <w:t>ate of the overall uncertainty</w:t>
      </w:r>
      <w:r w:rsidR="006F7BF8">
        <w:rPr>
          <w:rFonts w:ascii="Times New Roman" w:hAnsi="Times New Roman" w:cs="Times New Roman"/>
          <w:bCs/>
          <w:sz w:val="22"/>
          <w:szCs w:val="22"/>
          <w:lang w:val="en"/>
        </w:rPr>
        <w:t xml:space="preserve"> </w:t>
      </w:r>
      <w:r w:rsidR="006F7BF8">
        <w:rPr>
          <w:rFonts w:ascii="Times New Roman" w:hAnsi="Times New Roman" w:cs="Times New Roman"/>
          <w:bCs/>
          <w:sz w:val="22"/>
          <w:szCs w:val="22"/>
          <w:lang w:val="en"/>
        </w:rPr>
        <w:fldChar w:fldCharType="begin"/>
      </w:r>
      <w:r w:rsidR="006F7BF8">
        <w:rPr>
          <w:rFonts w:ascii="Times New Roman" w:hAnsi="Times New Roman" w:cs="Times New Roman"/>
          <w:bCs/>
          <w:sz w:val="22"/>
          <w:szCs w:val="22"/>
          <w:lang w:val="en"/>
        </w:rPr>
        <w:instrText xml:space="preserve"> ADDIN ZOTERO_ITEM CSL_CITATION {"citationID":"fCjZ7BVE","properties":{"formattedCitation":"(Gelman et al., 2013)","plainCitation":"(Gelman et al., 2013)","noteIndex":0},"citationItems":[{"id":9168,"uris":["http://zotero.org/users/2773777/items/CUBBUH5F"],"uri":["http://zotero.org/users/2773777/items/CUBBUH5F"],"itemData":{"id":9168,"type":"book","abstract":"Now in its third edition, this classic book is widely considered the leading text on Bayesian methods, lauded for its accessible, practical approach to analyzing data and solving research problems. Bayesian Data Analysis, Third Edition continues to take an applied approach to analysis using up-to-date Bayesian methods. The authors—all leaders in the statistics community—introduce basic concepts from a data-analytic perspective before presenting advanced methods. Throughout the text, numerous worked examples drawn from real applications and research emphasize the use of Bayesian inference in practice. New to the Third Edition   Four new chapters on nonparametric modeling Coverage of weakly informative priors and boundary-avoiding priors Updated discussion of cross-validation and predictive information criteria Improved convergence monitoring and effective sample size calculations for iterative simulation Presentations of Hamiltonian Monte Carlo, variational Bayes, and expectation propagation New and revised software code   The book can be used in three different ways. For undergraduate students, it introduces Bayesian inference starting from first principles. For graduate students, the text presents effective current approaches to Bayesian modeling and computation in statistics and related fields. For researchers, it provides an assortment of Bayesian methods in applied statistics. Additional materials, including data sets used in the examples, solutions to selected exercises, and software instructions, are available on the book’s web page.","ISBN":"978-1-4398-4095-5","language":"en","note":"Google-Books-ID: ZXL6AQAAQBAJ","number-of-pages":"677","publisher":"CRC Press","source":"Google Books","title":"Bayesian Data Analysis, Third Edition","author":[{"family":"Gelman","given":"Andrew"},{"family":"Carlin","given":"John B."},{"family":"Stern","given":"Hal S."},{"family":"Dunson","given":"David B."},{"family":"Vehtari","given":"Aki"},{"family":"Rubin","given":"Donald B."}],"issued":{"date-parts":[["2013",11,1]]}}}],"schema":"https://github.com/citation-style-language/schema/raw/master/csl-citation.json"} </w:instrText>
      </w:r>
      <w:r w:rsidR="006F7BF8">
        <w:rPr>
          <w:rFonts w:ascii="Times New Roman" w:hAnsi="Times New Roman" w:cs="Times New Roman"/>
          <w:bCs/>
          <w:sz w:val="22"/>
          <w:szCs w:val="22"/>
          <w:lang w:val="en"/>
        </w:rPr>
        <w:fldChar w:fldCharType="separate"/>
      </w:r>
      <w:r w:rsidR="006F7BF8" w:rsidRPr="006F7BF8">
        <w:rPr>
          <w:rFonts w:ascii="Times New Roman" w:hAnsi="Times New Roman" w:cs="Times New Roman"/>
          <w:sz w:val="22"/>
        </w:rPr>
        <w:t>(Gelman et al., 2013)</w:t>
      </w:r>
      <w:r w:rsidR="006F7BF8">
        <w:rPr>
          <w:rFonts w:ascii="Times New Roman" w:hAnsi="Times New Roman" w:cs="Times New Roman"/>
          <w:bCs/>
          <w:sz w:val="22"/>
          <w:szCs w:val="22"/>
          <w:lang w:val="en"/>
        </w:rPr>
        <w:fldChar w:fldCharType="end"/>
      </w:r>
      <w:r w:rsidR="00AA02FA">
        <w:rPr>
          <w:rFonts w:ascii="Times New Roman" w:hAnsi="Times New Roman" w:cs="Times New Roman"/>
          <w:bCs/>
          <w:sz w:val="22"/>
          <w:szCs w:val="22"/>
          <w:lang w:val="en"/>
        </w:rPr>
        <w:t>.</w:t>
      </w:r>
      <w:r w:rsidR="00AA02FA" w:rsidRPr="00AA02FA">
        <w:rPr>
          <w:rFonts w:ascii="Times New Roman" w:hAnsi="Times New Roman" w:cs="Times New Roman"/>
          <w:bCs/>
          <w:sz w:val="22"/>
          <w:szCs w:val="22"/>
          <w:lang w:val="en"/>
        </w:rPr>
        <w:t xml:space="preserve"> </w:t>
      </w:r>
    </w:p>
    <w:p w14:paraId="31ABAFB2" w14:textId="77777777" w:rsidR="00E2627D"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t xml:space="preserve">In the model notation that follows, the symbol ~ denotes that a random variable is distributed according to the given distribution. Normal distributions are parametrized as Normal(mean, standard deviation). Positive-constrained normal distributions (“Half-Normal”) are parametrized as Half-Normal(mode, standard deviation). We use &lt;Distribution Name&gt;CDF(x, parameters) to denote the cumulative distribution function of a probability distribution, so for example </w:t>
      </w:r>
      <w:proofErr w:type="spellStart"/>
      <w:r w:rsidRPr="00EC54F6">
        <w:rPr>
          <w:rFonts w:ascii="Times New Roman" w:hAnsi="Times New Roman" w:cs="Times New Roman"/>
          <w:sz w:val="22"/>
          <w:szCs w:val="22"/>
          <w:lang w:val="en"/>
        </w:rPr>
        <w:t>NormalCDF</w:t>
      </w:r>
      <w:proofErr w:type="spellEnd"/>
      <w:r w:rsidRPr="00EC54F6">
        <w:rPr>
          <w:rFonts w:ascii="Times New Roman" w:hAnsi="Times New Roman" w:cs="Times New Roman"/>
          <w:sz w:val="22"/>
          <w:szCs w:val="22"/>
          <w:lang w:val="en"/>
        </w:rPr>
        <w:t>(5, 0, 1) is the value of the Normal(0, 1) cumulative distribution function at 5.</w:t>
      </w:r>
    </w:p>
    <w:p w14:paraId="274B1C71" w14:textId="1D37F317" w:rsidR="00E2627D"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t>Our data consist of 10 experimental conditions: 2 viruses (</w:t>
      </w:r>
      <w:r w:rsidRPr="00EC54F6">
        <w:rPr>
          <w:rFonts w:ascii="Times New Roman" w:hAnsi="Times New Roman" w:cs="Times New Roman"/>
          <w:sz w:val="22"/>
          <w:szCs w:val="22"/>
        </w:rPr>
        <w:t xml:space="preserve">HCoV-19 and </w:t>
      </w:r>
      <w:r w:rsidRPr="00EC54F6">
        <w:rPr>
          <w:rFonts w:ascii="Times New Roman" w:hAnsi="Times New Roman" w:cs="Times New Roman"/>
          <w:sz w:val="22"/>
          <w:szCs w:val="22"/>
          <w:lang w:val="en"/>
        </w:rPr>
        <w:t>SARS-CoV</w:t>
      </w:r>
      <w:r w:rsidR="006F7BF8">
        <w:rPr>
          <w:rFonts w:ascii="Times New Roman" w:hAnsi="Times New Roman" w:cs="Times New Roman"/>
          <w:sz w:val="22"/>
          <w:szCs w:val="22"/>
          <w:lang w:val="en"/>
        </w:rPr>
        <w:t>-1</w:t>
      </w:r>
      <w:r w:rsidRPr="00EC54F6">
        <w:rPr>
          <w:rFonts w:ascii="Times New Roman" w:hAnsi="Times New Roman" w:cs="Times New Roman"/>
          <w:sz w:val="22"/>
          <w:szCs w:val="22"/>
          <w:lang w:val="en"/>
        </w:rPr>
        <w:t>) by 5 environmental conditions (aerosols, p</w:t>
      </w:r>
      <w:r w:rsidR="006F7BF8">
        <w:rPr>
          <w:rFonts w:ascii="Times New Roman" w:hAnsi="Times New Roman" w:cs="Times New Roman"/>
          <w:sz w:val="22"/>
          <w:szCs w:val="22"/>
          <w:lang w:val="en"/>
        </w:rPr>
        <w:t>lastic</w:t>
      </w:r>
      <w:r w:rsidRPr="00EC54F6">
        <w:rPr>
          <w:rFonts w:ascii="Times New Roman" w:hAnsi="Times New Roman" w:cs="Times New Roman"/>
          <w:sz w:val="22"/>
          <w:szCs w:val="22"/>
          <w:lang w:val="en"/>
        </w:rPr>
        <w:t>, stainless steel copper and cardboard). Each has three replicates, and multiple time</w:t>
      </w:r>
      <w:r w:rsidR="00303780">
        <w:rPr>
          <w:rFonts w:ascii="Times New Roman" w:hAnsi="Times New Roman" w:cs="Times New Roman"/>
          <w:sz w:val="22"/>
          <w:szCs w:val="22"/>
          <w:lang w:val="en"/>
        </w:rPr>
        <w:t>-</w:t>
      </w:r>
      <w:r w:rsidRPr="00EC54F6">
        <w:rPr>
          <w:rFonts w:ascii="Times New Roman" w:hAnsi="Times New Roman" w:cs="Times New Roman"/>
          <w:sz w:val="22"/>
          <w:szCs w:val="22"/>
          <w:lang w:val="en"/>
        </w:rPr>
        <w:t xml:space="preserve">points for each replicate. We analyze the two viruses separately.  For each, we denote by </w:t>
      </w:r>
      <w:proofErr w:type="spellStart"/>
      <w:r w:rsidRPr="00EC54F6">
        <w:rPr>
          <w:rFonts w:ascii="Times New Roman" w:hAnsi="Times New Roman" w:cs="Times New Roman"/>
          <w:sz w:val="22"/>
          <w:szCs w:val="22"/>
          <w:lang w:val="en"/>
        </w:rPr>
        <w:t>y</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the measured log</w:t>
      </w:r>
      <w:r w:rsidRPr="00EC54F6">
        <w:rPr>
          <w:rFonts w:ascii="Times New Roman" w:hAnsi="Times New Roman" w:cs="Times New Roman"/>
          <w:sz w:val="22"/>
          <w:szCs w:val="22"/>
          <w:vertAlign w:val="subscript"/>
          <w:lang w:val="en"/>
        </w:rPr>
        <w:t xml:space="preserve">10 </w:t>
      </w:r>
      <w:r w:rsidRPr="00EC54F6">
        <w:rPr>
          <w:rFonts w:ascii="Times New Roman" w:hAnsi="Times New Roman" w:cs="Times New Roman"/>
          <w:sz w:val="22"/>
          <w:szCs w:val="22"/>
          <w:lang w:val="en"/>
        </w:rPr>
        <w:t xml:space="preserve">titer in experimental condition </w:t>
      </w:r>
      <w:proofErr w:type="spellStart"/>
      <w:r w:rsidRPr="00EC54F6">
        <w:rPr>
          <w:rFonts w:ascii="Times New Roman" w:hAnsi="Times New Roman" w:cs="Times New Roman"/>
          <w:i/>
          <w:sz w:val="22"/>
          <w:szCs w:val="22"/>
          <w:lang w:val="en"/>
        </w:rPr>
        <w:t>i</w:t>
      </w:r>
      <w:proofErr w:type="spellEnd"/>
      <w:r w:rsidRPr="00EC54F6">
        <w:rPr>
          <w:rFonts w:ascii="Times New Roman" w:hAnsi="Times New Roman" w:cs="Times New Roman"/>
          <w:sz w:val="22"/>
          <w:szCs w:val="22"/>
          <w:lang w:val="en"/>
        </w:rPr>
        <w:t xml:space="preserve"> during replicate </w:t>
      </w:r>
      <w:r w:rsidRPr="00EC54F6">
        <w:rPr>
          <w:rFonts w:ascii="Times New Roman" w:hAnsi="Times New Roman" w:cs="Times New Roman"/>
          <w:i/>
          <w:sz w:val="22"/>
          <w:szCs w:val="22"/>
          <w:lang w:val="en"/>
        </w:rPr>
        <w:t>j</w:t>
      </w:r>
      <w:r w:rsidRPr="00EC54F6">
        <w:rPr>
          <w:rFonts w:ascii="Times New Roman" w:hAnsi="Times New Roman" w:cs="Times New Roman"/>
          <w:sz w:val="22"/>
          <w:szCs w:val="22"/>
          <w:lang w:val="en"/>
        </w:rPr>
        <w:t xml:space="preserve"> at time</w:t>
      </w:r>
      <w:r w:rsidR="00303780">
        <w:rPr>
          <w:rFonts w:ascii="Times New Roman" w:hAnsi="Times New Roman" w:cs="Times New Roman"/>
          <w:sz w:val="22"/>
          <w:szCs w:val="22"/>
          <w:lang w:val="en"/>
        </w:rPr>
        <w:t>-</w:t>
      </w:r>
      <w:r w:rsidRPr="00EC54F6">
        <w:rPr>
          <w:rFonts w:ascii="Times New Roman" w:hAnsi="Times New Roman" w:cs="Times New Roman"/>
          <w:sz w:val="22"/>
          <w:szCs w:val="22"/>
          <w:lang w:val="en"/>
        </w:rPr>
        <w:t xml:space="preserve">point </w:t>
      </w:r>
      <w:r w:rsidRPr="00EC54F6">
        <w:rPr>
          <w:rFonts w:ascii="Times New Roman" w:hAnsi="Times New Roman" w:cs="Times New Roman"/>
          <w:i/>
          <w:sz w:val="22"/>
          <w:szCs w:val="22"/>
          <w:lang w:val="en"/>
        </w:rPr>
        <w:t>k</w:t>
      </w:r>
      <w:r w:rsidRPr="00EC54F6">
        <w:rPr>
          <w:rFonts w:ascii="Times New Roman" w:hAnsi="Times New Roman" w:cs="Times New Roman"/>
          <w:sz w:val="22"/>
          <w:szCs w:val="22"/>
          <w:lang w:val="en"/>
        </w:rPr>
        <w:t>. To construct our likelihood function, we need to know the probability of observing a given log</w:t>
      </w:r>
      <w:r w:rsidRPr="00EC54F6">
        <w:rPr>
          <w:rFonts w:ascii="Times New Roman" w:hAnsi="Times New Roman" w:cs="Times New Roman"/>
          <w:sz w:val="22"/>
          <w:szCs w:val="22"/>
          <w:vertAlign w:val="subscript"/>
          <w:lang w:val="en"/>
        </w:rPr>
        <w:t xml:space="preserve">10 </w:t>
      </w:r>
      <w:r w:rsidRPr="00EC54F6">
        <w:rPr>
          <w:rFonts w:ascii="Times New Roman" w:hAnsi="Times New Roman" w:cs="Times New Roman"/>
          <w:sz w:val="22"/>
          <w:szCs w:val="22"/>
          <w:lang w:val="en"/>
        </w:rPr>
        <w:t xml:space="preserve">titer measurement </w:t>
      </w:r>
      <w:proofErr w:type="spellStart"/>
      <w:r w:rsidRPr="00EC54F6">
        <w:rPr>
          <w:rFonts w:ascii="Times New Roman" w:hAnsi="Times New Roman" w:cs="Times New Roman"/>
          <w:sz w:val="22"/>
          <w:szCs w:val="22"/>
          <w:lang w:val="en"/>
        </w:rPr>
        <w:t>y</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given values of the parameters.</w:t>
      </w:r>
    </w:p>
    <w:p w14:paraId="10D751B4" w14:textId="77777777" w:rsidR="00E2627D"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t>Because our titer data are estimated and recorded in increments of 1/</w:t>
      </w:r>
      <w:proofErr w:type="spellStart"/>
      <w:r w:rsidRPr="00EC54F6">
        <w:rPr>
          <w:rFonts w:ascii="Times New Roman" w:hAnsi="Times New Roman" w:cs="Times New Roman"/>
          <w:sz w:val="22"/>
          <w:szCs w:val="22"/>
          <w:lang w:val="en"/>
        </w:rPr>
        <w:t>n</w:t>
      </w:r>
      <w:r w:rsidRPr="00EC54F6">
        <w:rPr>
          <w:rFonts w:ascii="Times New Roman" w:hAnsi="Times New Roman" w:cs="Times New Roman"/>
          <w:sz w:val="22"/>
          <w:szCs w:val="22"/>
          <w:vertAlign w:val="subscript"/>
          <w:lang w:val="en"/>
        </w:rPr>
        <w:t>wells</w:t>
      </w:r>
      <w:proofErr w:type="spellEnd"/>
      <w:r w:rsidRPr="00EC54F6">
        <w:rPr>
          <w:rFonts w:ascii="Times New Roman" w:hAnsi="Times New Roman" w:cs="Times New Roman"/>
          <w:sz w:val="22"/>
          <w:szCs w:val="22"/>
          <w:lang w:val="en"/>
        </w:rPr>
        <w:t xml:space="preserve"> log</w:t>
      </w:r>
      <w:r w:rsidRPr="00EC54F6">
        <w:rPr>
          <w:rFonts w:ascii="Times New Roman" w:hAnsi="Times New Roman" w:cs="Times New Roman"/>
          <w:sz w:val="22"/>
          <w:szCs w:val="22"/>
          <w:vertAlign w:val="subscript"/>
          <w:lang w:val="en"/>
        </w:rPr>
        <w:t>10</w:t>
      </w:r>
      <w:r w:rsidRPr="00EC54F6">
        <w:rPr>
          <w:rFonts w:ascii="Times New Roman" w:hAnsi="Times New Roman" w:cs="Times New Roman"/>
          <w:sz w:val="22"/>
          <w:szCs w:val="22"/>
          <w:lang w:val="en"/>
        </w:rPr>
        <w:t>TCID</w:t>
      </w:r>
      <w:r w:rsidRPr="00EC54F6">
        <w:rPr>
          <w:rFonts w:ascii="Times New Roman" w:hAnsi="Times New Roman" w:cs="Times New Roman"/>
          <w:sz w:val="22"/>
          <w:szCs w:val="22"/>
          <w:vertAlign w:val="subscript"/>
          <w:lang w:val="en"/>
        </w:rPr>
        <w:t>50</w:t>
      </w:r>
      <w:r w:rsidRPr="00EC54F6">
        <w:rPr>
          <w:rFonts w:ascii="Times New Roman" w:hAnsi="Times New Roman" w:cs="Times New Roman"/>
          <w:sz w:val="22"/>
          <w:szCs w:val="22"/>
          <w:lang w:val="en"/>
        </w:rPr>
        <w:t xml:space="preserve">/mL, where </w:t>
      </w:r>
      <w:proofErr w:type="spellStart"/>
      <w:r w:rsidRPr="00EC54F6">
        <w:rPr>
          <w:rFonts w:ascii="Times New Roman" w:hAnsi="Times New Roman" w:cs="Times New Roman"/>
          <w:sz w:val="22"/>
          <w:szCs w:val="22"/>
          <w:lang w:val="en"/>
        </w:rPr>
        <w:t>n</w:t>
      </w:r>
      <w:r w:rsidRPr="00EC54F6">
        <w:rPr>
          <w:rFonts w:ascii="Times New Roman" w:hAnsi="Times New Roman" w:cs="Times New Roman"/>
          <w:sz w:val="22"/>
          <w:szCs w:val="22"/>
          <w:vertAlign w:val="subscript"/>
          <w:lang w:val="en"/>
        </w:rPr>
        <w:t>wells</w:t>
      </w:r>
      <w:proofErr w:type="spellEnd"/>
      <w:r w:rsidRPr="00EC54F6">
        <w:rPr>
          <w:rFonts w:ascii="Times New Roman" w:hAnsi="Times New Roman" w:cs="Times New Roman"/>
          <w:sz w:val="22"/>
          <w:szCs w:val="22"/>
          <w:vertAlign w:val="superscript"/>
          <w:lang w:val="en"/>
        </w:rPr>
        <w:t xml:space="preserve"> </w:t>
      </w:r>
      <w:r w:rsidRPr="00EC54F6">
        <w:rPr>
          <w:rFonts w:ascii="Times New Roman" w:hAnsi="Times New Roman" w:cs="Times New Roman"/>
          <w:sz w:val="22"/>
          <w:szCs w:val="22"/>
          <w:lang w:val="en"/>
        </w:rPr>
        <w:t>is the number of wells used for endpoint titration, our log</w:t>
      </w:r>
      <w:r w:rsidRPr="00EC54F6">
        <w:rPr>
          <w:rFonts w:ascii="Times New Roman" w:hAnsi="Times New Roman" w:cs="Times New Roman"/>
          <w:sz w:val="22"/>
          <w:szCs w:val="22"/>
          <w:vertAlign w:val="subscript"/>
          <w:lang w:val="en"/>
        </w:rPr>
        <w:t xml:space="preserve">10 </w:t>
      </w:r>
      <w:r w:rsidRPr="00EC54F6">
        <w:rPr>
          <w:rFonts w:ascii="Times New Roman" w:hAnsi="Times New Roman" w:cs="Times New Roman"/>
          <w:sz w:val="22"/>
          <w:szCs w:val="22"/>
          <w:lang w:val="en"/>
        </w:rPr>
        <w:t>titer values are interval-censored – only known to within a range of width 1/</w:t>
      </w:r>
      <w:proofErr w:type="spellStart"/>
      <w:r w:rsidRPr="00EC54F6">
        <w:rPr>
          <w:rFonts w:ascii="Times New Roman" w:hAnsi="Times New Roman" w:cs="Times New Roman"/>
          <w:sz w:val="22"/>
          <w:szCs w:val="22"/>
          <w:lang w:val="en"/>
        </w:rPr>
        <w:t>n</w:t>
      </w:r>
      <w:r w:rsidRPr="00EC54F6">
        <w:rPr>
          <w:rFonts w:ascii="Times New Roman" w:hAnsi="Times New Roman" w:cs="Times New Roman"/>
          <w:sz w:val="22"/>
          <w:szCs w:val="22"/>
          <w:vertAlign w:val="subscript"/>
          <w:lang w:val="en"/>
        </w:rPr>
        <w:t>wells</w:t>
      </w:r>
      <w:proofErr w:type="spellEnd"/>
      <w:r w:rsidRPr="00EC54F6">
        <w:rPr>
          <w:rFonts w:ascii="Times New Roman" w:hAnsi="Times New Roman" w:cs="Times New Roman"/>
          <w:sz w:val="22"/>
          <w:szCs w:val="22"/>
          <w:lang w:val="en"/>
        </w:rPr>
        <w:t>. In addition, there is a degree of measurement noise in the titration process itself.</w:t>
      </w:r>
    </w:p>
    <w:p w14:paraId="7C907915" w14:textId="77777777" w:rsidR="00E2627D"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t xml:space="preserve">To model this, we assume that in each experimental condition </w:t>
      </w:r>
      <w:proofErr w:type="spellStart"/>
      <w:r w:rsidRPr="00EC54F6">
        <w:rPr>
          <w:rFonts w:ascii="Times New Roman" w:hAnsi="Times New Roman" w:cs="Times New Roman"/>
          <w:i/>
          <w:sz w:val="22"/>
          <w:szCs w:val="22"/>
          <w:lang w:val="en"/>
        </w:rPr>
        <w:t>i</w:t>
      </w:r>
      <w:proofErr w:type="spellEnd"/>
      <w:r w:rsidRPr="00EC54F6">
        <w:rPr>
          <w:rFonts w:ascii="Times New Roman" w:hAnsi="Times New Roman" w:cs="Times New Roman"/>
          <w:sz w:val="22"/>
          <w:szCs w:val="22"/>
          <w:lang w:val="en"/>
        </w:rPr>
        <w:t>, there is a true underlying log</w:t>
      </w:r>
      <w:r w:rsidRPr="00EC54F6">
        <w:rPr>
          <w:rFonts w:ascii="Times New Roman" w:hAnsi="Times New Roman" w:cs="Times New Roman"/>
          <w:sz w:val="22"/>
          <w:szCs w:val="22"/>
          <w:vertAlign w:val="subscript"/>
          <w:lang w:val="en"/>
        </w:rPr>
        <w:t>10</w:t>
      </w:r>
      <w:r w:rsidRPr="00EC54F6">
        <w:rPr>
          <w:rFonts w:ascii="Times New Roman" w:hAnsi="Times New Roman" w:cs="Times New Roman"/>
          <w:sz w:val="22"/>
          <w:szCs w:val="22"/>
          <w:lang w:val="en"/>
        </w:rPr>
        <w:t xml:space="preserve"> titer </w:t>
      </w:r>
      <w:proofErr w:type="spellStart"/>
      <w:r w:rsidRPr="00EC54F6">
        <w:rPr>
          <w:rFonts w:ascii="Times New Roman" w:hAnsi="Times New Roman" w:cs="Times New Roman"/>
          <w:sz w:val="22"/>
          <w:szCs w:val="22"/>
          <w:lang w:val="en"/>
        </w:rPr>
        <w:t>x</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that is measured with some amount of experimental noise or error </w:t>
      </w:r>
      <w:proofErr w:type="spellStart"/>
      <w:r w:rsidRPr="00EC54F6">
        <w:rPr>
          <w:rFonts w:ascii="Times New Roman" w:hAnsi="Times New Roman" w:cs="Times New Roman"/>
          <w:sz w:val="22"/>
          <w:szCs w:val="22"/>
          <w:lang w:val="en"/>
        </w:rPr>
        <w:t>ε</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and then observed as an interval-censored value </w:t>
      </w:r>
      <w:proofErr w:type="spellStart"/>
      <w:r w:rsidRPr="00EC54F6">
        <w:rPr>
          <w:rFonts w:ascii="Times New Roman" w:hAnsi="Times New Roman" w:cs="Times New Roman"/>
          <w:sz w:val="22"/>
          <w:szCs w:val="22"/>
          <w:lang w:val="en"/>
        </w:rPr>
        <w:t>y</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 </w:t>
      </w:r>
      <w:proofErr w:type="spellStart"/>
      <w:r w:rsidRPr="00EC54F6">
        <w:rPr>
          <w:rFonts w:ascii="Times New Roman" w:hAnsi="Times New Roman" w:cs="Times New Roman"/>
          <w:sz w:val="22"/>
          <w:szCs w:val="22"/>
          <w:lang w:val="en"/>
        </w:rPr>
        <w:t>x</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vertAlign w:val="subscript"/>
          <w:lang w:val="en"/>
        </w:rPr>
        <w:t xml:space="preserve"> </w:t>
      </w:r>
      <w:r w:rsidRPr="00EC54F6">
        <w:rPr>
          <w:rFonts w:ascii="Times New Roman" w:hAnsi="Times New Roman" w:cs="Times New Roman"/>
          <w:sz w:val="22"/>
          <w:szCs w:val="22"/>
          <w:lang w:val="en"/>
        </w:rPr>
        <w:t xml:space="preserve">+ </w:t>
      </w:r>
      <w:proofErr w:type="spellStart"/>
      <w:r w:rsidRPr="00EC54F6">
        <w:rPr>
          <w:rFonts w:ascii="Times New Roman" w:hAnsi="Times New Roman" w:cs="Times New Roman"/>
          <w:sz w:val="22"/>
          <w:szCs w:val="22"/>
          <w:lang w:val="en"/>
        </w:rPr>
        <w:t>ε</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We model the measurement errors </w:t>
      </w:r>
      <w:proofErr w:type="spellStart"/>
      <w:r w:rsidRPr="00EC54F6">
        <w:rPr>
          <w:rFonts w:ascii="Times New Roman" w:hAnsi="Times New Roman" w:cs="Times New Roman"/>
          <w:sz w:val="22"/>
          <w:szCs w:val="22"/>
          <w:lang w:val="en"/>
        </w:rPr>
        <w:t>ε</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as Normally distributed with a standard deviation </w:t>
      </w:r>
      <w:proofErr w:type="spellStart"/>
      <w:r w:rsidRPr="00EC54F6">
        <w:rPr>
          <w:rFonts w:ascii="Times New Roman" w:hAnsi="Times New Roman" w:cs="Times New Roman"/>
          <w:sz w:val="22"/>
          <w:szCs w:val="22"/>
          <w:lang w:val="en"/>
        </w:rPr>
        <w:t>σ</w:t>
      </w:r>
      <w:r w:rsidRPr="00EC54F6">
        <w:rPr>
          <w:rFonts w:ascii="Times New Roman" w:hAnsi="Times New Roman" w:cs="Times New Roman"/>
          <w:sz w:val="22"/>
          <w:szCs w:val="22"/>
          <w:vertAlign w:val="subscript"/>
          <w:lang w:val="en"/>
        </w:rPr>
        <w:t>i</w:t>
      </w:r>
      <w:proofErr w:type="spellEnd"/>
      <w:r w:rsidRPr="00EC54F6">
        <w:rPr>
          <w:rFonts w:ascii="Times New Roman" w:hAnsi="Times New Roman" w:cs="Times New Roman"/>
          <w:sz w:val="22"/>
          <w:szCs w:val="22"/>
          <w:vertAlign w:val="subscript"/>
          <w:lang w:val="en"/>
        </w:rPr>
        <w:t xml:space="preserve"> </w:t>
      </w:r>
      <w:r w:rsidRPr="00EC54F6">
        <w:rPr>
          <w:rFonts w:ascii="Times New Roman" w:hAnsi="Times New Roman" w:cs="Times New Roman"/>
          <w:sz w:val="22"/>
          <w:szCs w:val="22"/>
          <w:lang w:val="en"/>
        </w:rPr>
        <w:t>that is shared by all samples in the given experimental condition; this reflects the fact that some experimental setups may be more or less noisy than others.</w:t>
      </w:r>
    </w:p>
    <w:p w14:paraId="126359AE" w14:textId="77777777" w:rsidR="00E2627D" w:rsidRPr="00EC54F6" w:rsidRDefault="00E2627D" w:rsidP="0076668A">
      <w:pPr>
        <w:spacing w:after="240"/>
        <w:ind w:firstLine="426"/>
        <w:jc w:val="center"/>
        <w:rPr>
          <w:rFonts w:ascii="Times New Roman" w:hAnsi="Times New Roman" w:cs="Times New Roman"/>
          <w:sz w:val="22"/>
          <w:szCs w:val="22"/>
          <w:lang w:val="en"/>
        </w:rPr>
      </w:pPr>
      <w:proofErr w:type="spellStart"/>
      <w:r w:rsidRPr="00EC54F6">
        <w:rPr>
          <w:rFonts w:ascii="Times New Roman" w:hAnsi="Times New Roman" w:cs="Times New Roman"/>
          <w:sz w:val="22"/>
          <w:szCs w:val="22"/>
          <w:lang w:val="en"/>
        </w:rPr>
        <w:lastRenderedPageBreak/>
        <w:t>ε</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vertAlign w:val="subscript"/>
          <w:lang w:val="en"/>
        </w:rPr>
        <w:t xml:space="preserve"> </w:t>
      </w:r>
      <w:r w:rsidRPr="00EC54F6">
        <w:rPr>
          <w:rFonts w:ascii="Times New Roman" w:hAnsi="Times New Roman" w:cs="Times New Roman"/>
          <w:sz w:val="22"/>
          <w:szCs w:val="22"/>
          <w:lang w:val="en"/>
        </w:rPr>
        <w:t xml:space="preserve">~ Normal(0, </w:t>
      </w:r>
      <w:proofErr w:type="spellStart"/>
      <w:r w:rsidRPr="00EC54F6">
        <w:rPr>
          <w:rFonts w:ascii="Times New Roman" w:hAnsi="Times New Roman" w:cs="Times New Roman"/>
          <w:sz w:val="22"/>
          <w:szCs w:val="22"/>
          <w:lang w:val="en"/>
        </w:rPr>
        <w:t>σ</w:t>
      </w:r>
      <w:r w:rsidRPr="00EC54F6">
        <w:rPr>
          <w:rFonts w:ascii="Times New Roman" w:hAnsi="Times New Roman" w:cs="Times New Roman"/>
          <w:sz w:val="22"/>
          <w:szCs w:val="22"/>
          <w:vertAlign w:val="subscript"/>
          <w:lang w:val="en"/>
        </w:rPr>
        <w:t>i</w:t>
      </w:r>
      <w:proofErr w:type="spellEnd"/>
      <w:r w:rsidRPr="00EC54F6">
        <w:rPr>
          <w:rFonts w:ascii="Times New Roman" w:hAnsi="Times New Roman" w:cs="Times New Roman"/>
          <w:sz w:val="22"/>
          <w:szCs w:val="22"/>
          <w:lang w:val="en"/>
        </w:rPr>
        <w:t>)</w:t>
      </w:r>
    </w:p>
    <w:p w14:paraId="69A49D1E" w14:textId="77777777" w:rsidR="00E2627D"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t>We model the probability of observing an interval-censored log</w:t>
      </w:r>
      <w:r w:rsidRPr="00EC54F6">
        <w:rPr>
          <w:rFonts w:ascii="Times New Roman" w:hAnsi="Times New Roman" w:cs="Times New Roman"/>
          <w:sz w:val="22"/>
          <w:szCs w:val="22"/>
          <w:vertAlign w:val="subscript"/>
          <w:lang w:val="en"/>
        </w:rPr>
        <w:t xml:space="preserve">10 </w:t>
      </w:r>
      <w:r w:rsidRPr="00EC54F6">
        <w:rPr>
          <w:rFonts w:ascii="Times New Roman" w:hAnsi="Times New Roman" w:cs="Times New Roman"/>
          <w:sz w:val="22"/>
          <w:szCs w:val="22"/>
          <w:lang w:val="en"/>
        </w:rPr>
        <w:t xml:space="preserve">titer value </w:t>
      </w:r>
      <w:proofErr w:type="spellStart"/>
      <w:r w:rsidRPr="00EC54F6">
        <w:rPr>
          <w:rFonts w:ascii="Times New Roman" w:hAnsi="Times New Roman" w:cs="Times New Roman"/>
          <w:sz w:val="22"/>
          <w:szCs w:val="22"/>
          <w:lang w:val="en"/>
        </w:rPr>
        <w:t>y</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given a true underlying log</w:t>
      </w:r>
      <w:r w:rsidRPr="00EC54F6">
        <w:rPr>
          <w:rFonts w:ascii="Times New Roman" w:hAnsi="Times New Roman" w:cs="Times New Roman"/>
          <w:sz w:val="22"/>
          <w:szCs w:val="22"/>
          <w:vertAlign w:val="subscript"/>
          <w:lang w:val="en"/>
        </w:rPr>
        <w:t>10</w:t>
      </w:r>
      <w:r w:rsidRPr="00EC54F6">
        <w:rPr>
          <w:rFonts w:ascii="Times New Roman" w:hAnsi="Times New Roman" w:cs="Times New Roman"/>
          <w:sz w:val="22"/>
          <w:szCs w:val="22"/>
          <w:lang w:val="en"/>
        </w:rPr>
        <w:t xml:space="preserve"> titer </w:t>
      </w:r>
      <w:proofErr w:type="spellStart"/>
      <w:r w:rsidRPr="00EC54F6">
        <w:rPr>
          <w:rFonts w:ascii="Times New Roman" w:hAnsi="Times New Roman" w:cs="Times New Roman"/>
          <w:sz w:val="22"/>
          <w:szCs w:val="22"/>
          <w:lang w:val="en"/>
        </w:rPr>
        <w:t>x</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and a measurement error standard deviation </w:t>
      </w:r>
      <w:proofErr w:type="spellStart"/>
      <w:r w:rsidRPr="00EC54F6">
        <w:rPr>
          <w:rFonts w:ascii="Times New Roman" w:hAnsi="Times New Roman" w:cs="Times New Roman"/>
          <w:sz w:val="22"/>
          <w:szCs w:val="22"/>
          <w:lang w:val="en"/>
        </w:rPr>
        <w:t>σ</w:t>
      </w:r>
      <w:r w:rsidRPr="00EC54F6">
        <w:rPr>
          <w:rFonts w:ascii="Times New Roman" w:hAnsi="Times New Roman" w:cs="Times New Roman"/>
          <w:sz w:val="22"/>
          <w:szCs w:val="22"/>
          <w:vertAlign w:val="subscript"/>
          <w:lang w:val="en"/>
        </w:rPr>
        <w:t>i</w:t>
      </w:r>
      <w:proofErr w:type="spellEnd"/>
      <w:r w:rsidRPr="00EC54F6">
        <w:rPr>
          <w:rFonts w:ascii="Times New Roman" w:hAnsi="Times New Roman" w:cs="Times New Roman"/>
          <w:sz w:val="22"/>
          <w:szCs w:val="22"/>
          <w:lang w:val="en"/>
        </w:rPr>
        <w:t xml:space="preserve"> as:</w:t>
      </w:r>
    </w:p>
    <w:p w14:paraId="212FBB84" w14:textId="77777777" w:rsidR="00E2627D" w:rsidRPr="00EC54F6" w:rsidRDefault="00E2627D" w:rsidP="0076668A">
      <w:pPr>
        <w:spacing w:after="240"/>
        <w:ind w:firstLine="426"/>
        <w:jc w:val="center"/>
        <w:rPr>
          <w:rFonts w:ascii="Times New Roman" w:hAnsi="Times New Roman" w:cs="Times New Roman"/>
          <w:noProof/>
          <w:sz w:val="22"/>
          <w:szCs w:val="22"/>
        </w:rPr>
      </w:pPr>
      <w:r w:rsidRPr="00EC54F6">
        <w:rPr>
          <w:rFonts w:ascii="Times New Roman" w:hAnsi="Times New Roman" w:cs="Times New Roman"/>
          <w:noProof/>
          <w:sz w:val="22"/>
          <w:szCs w:val="22"/>
        </w:rPr>
        <w:t>P(y</w:t>
      </w:r>
      <w:r w:rsidRPr="00EC54F6">
        <w:rPr>
          <w:rFonts w:ascii="Times New Roman" w:hAnsi="Times New Roman" w:cs="Times New Roman"/>
          <w:noProof/>
          <w:sz w:val="22"/>
          <w:szCs w:val="22"/>
          <w:vertAlign w:val="subscript"/>
        </w:rPr>
        <w:t>ijk</w:t>
      </w:r>
      <w:r w:rsidRPr="00EC54F6">
        <w:rPr>
          <w:rFonts w:ascii="Times New Roman" w:hAnsi="Times New Roman" w:cs="Times New Roman"/>
          <w:noProof/>
          <w:sz w:val="22"/>
          <w:szCs w:val="22"/>
        </w:rPr>
        <w:t xml:space="preserve"> | x</w:t>
      </w:r>
      <w:r w:rsidRPr="00EC54F6">
        <w:rPr>
          <w:rFonts w:ascii="Times New Roman" w:hAnsi="Times New Roman" w:cs="Times New Roman"/>
          <w:noProof/>
          <w:sz w:val="22"/>
          <w:szCs w:val="22"/>
          <w:vertAlign w:val="subscript"/>
        </w:rPr>
        <w:t>ijk</w:t>
      </w:r>
      <w:r w:rsidRPr="00EC54F6">
        <w:rPr>
          <w:rFonts w:ascii="Times New Roman" w:hAnsi="Times New Roman" w:cs="Times New Roman"/>
          <w:noProof/>
          <w:sz w:val="22"/>
          <w:szCs w:val="22"/>
        </w:rPr>
        <w:t>,  σ</w:t>
      </w:r>
      <w:r w:rsidRPr="00EC54F6">
        <w:rPr>
          <w:rFonts w:ascii="Times New Roman" w:hAnsi="Times New Roman" w:cs="Times New Roman"/>
          <w:noProof/>
          <w:sz w:val="22"/>
          <w:szCs w:val="22"/>
          <w:vertAlign w:val="subscript"/>
        </w:rPr>
        <w:t xml:space="preserve">i </w:t>
      </w:r>
      <w:r w:rsidRPr="00EC54F6">
        <w:rPr>
          <w:rFonts w:ascii="Times New Roman" w:hAnsi="Times New Roman" w:cs="Times New Roman"/>
          <w:noProof/>
          <w:sz w:val="22"/>
          <w:szCs w:val="22"/>
        </w:rPr>
        <w:t>) = NormalCDF(y</w:t>
      </w:r>
      <w:r w:rsidRPr="00EC54F6">
        <w:rPr>
          <w:rFonts w:ascii="Times New Roman" w:hAnsi="Times New Roman" w:cs="Times New Roman"/>
          <w:noProof/>
          <w:sz w:val="22"/>
          <w:szCs w:val="22"/>
          <w:vertAlign w:val="subscript"/>
        </w:rPr>
        <w:t>ijk</w:t>
      </w:r>
      <w:r w:rsidRPr="00EC54F6">
        <w:rPr>
          <w:rFonts w:ascii="Times New Roman" w:hAnsi="Times New Roman" w:cs="Times New Roman"/>
          <w:noProof/>
          <w:sz w:val="22"/>
          <w:szCs w:val="22"/>
        </w:rPr>
        <w:t>, x</w:t>
      </w:r>
      <w:r w:rsidRPr="00EC54F6">
        <w:rPr>
          <w:rFonts w:ascii="Times New Roman" w:hAnsi="Times New Roman" w:cs="Times New Roman"/>
          <w:noProof/>
          <w:sz w:val="22"/>
          <w:szCs w:val="22"/>
          <w:vertAlign w:val="subscript"/>
        </w:rPr>
        <w:t>ijk</w:t>
      </w:r>
      <w:r w:rsidRPr="00EC54F6">
        <w:rPr>
          <w:rFonts w:ascii="Times New Roman" w:hAnsi="Times New Roman" w:cs="Times New Roman"/>
          <w:noProof/>
          <w:sz w:val="22"/>
          <w:szCs w:val="22"/>
        </w:rPr>
        <w:t>, σ</w:t>
      </w:r>
      <w:r w:rsidRPr="00EC54F6">
        <w:rPr>
          <w:rFonts w:ascii="Times New Roman" w:hAnsi="Times New Roman" w:cs="Times New Roman"/>
          <w:noProof/>
          <w:sz w:val="22"/>
          <w:szCs w:val="22"/>
          <w:vertAlign w:val="subscript"/>
        </w:rPr>
        <w:t>i</w:t>
      </w:r>
      <w:r w:rsidRPr="00EC54F6">
        <w:rPr>
          <w:rFonts w:ascii="Times New Roman" w:hAnsi="Times New Roman" w:cs="Times New Roman"/>
          <w:noProof/>
          <w:sz w:val="22"/>
          <w:szCs w:val="22"/>
        </w:rPr>
        <w:t>) – NormalCDF(y</w:t>
      </w:r>
      <w:r w:rsidRPr="00EC54F6">
        <w:rPr>
          <w:rFonts w:ascii="Times New Roman" w:hAnsi="Times New Roman" w:cs="Times New Roman"/>
          <w:noProof/>
          <w:sz w:val="22"/>
          <w:szCs w:val="22"/>
          <w:vertAlign w:val="subscript"/>
        </w:rPr>
        <w:t>ijk</w:t>
      </w:r>
      <w:r w:rsidRPr="00EC54F6">
        <w:rPr>
          <w:rFonts w:ascii="Times New Roman" w:hAnsi="Times New Roman" w:cs="Times New Roman"/>
          <w:noProof/>
          <w:sz w:val="22"/>
          <w:szCs w:val="22"/>
        </w:rPr>
        <w:t xml:space="preserve"> – 1/n</w:t>
      </w:r>
      <w:r w:rsidRPr="00EC54F6">
        <w:rPr>
          <w:rFonts w:ascii="Times New Roman" w:hAnsi="Times New Roman" w:cs="Times New Roman"/>
          <w:noProof/>
          <w:sz w:val="22"/>
          <w:szCs w:val="22"/>
          <w:vertAlign w:val="subscript"/>
        </w:rPr>
        <w:t>wells</w:t>
      </w:r>
      <w:r w:rsidRPr="00EC54F6">
        <w:rPr>
          <w:rFonts w:ascii="Times New Roman" w:hAnsi="Times New Roman" w:cs="Times New Roman"/>
          <w:noProof/>
          <w:sz w:val="22"/>
          <w:szCs w:val="22"/>
        </w:rPr>
        <w:t>, x</w:t>
      </w:r>
      <w:r w:rsidRPr="00EC54F6">
        <w:rPr>
          <w:rFonts w:ascii="Times New Roman" w:hAnsi="Times New Roman" w:cs="Times New Roman"/>
          <w:noProof/>
          <w:sz w:val="22"/>
          <w:szCs w:val="22"/>
          <w:vertAlign w:val="subscript"/>
        </w:rPr>
        <w:t>ijk</w:t>
      </w:r>
      <w:r w:rsidRPr="00EC54F6">
        <w:rPr>
          <w:rFonts w:ascii="Times New Roman" w:hAnsi="Times New Roman" w:cs="Times New Roman"/>
          <w:noProof/>
          <w:sz w:val="22"/>
          <w:szCs w:val="22"/>
        </w:rPr>
        <w:t>, σ</w:t>
      </w:r>
      <w:r w:rsidRPr="00EC54F6">
        <w:rPr>
          <w:rFonts w:ascii="Times New Roman" w:hAnsi="Times New Roman" w:cs="Times New Roman"/>
          <w:noProof/>
          <w:sz w:val="22"/>
          <w:szCs w:val="22"/>
          <w:vertAlign w:val="subscript"/>
        </w:rPr>
        <w:t>i</w:t>
      </w:r>
      <w:r w:rsidRPr="00EC54F6">
        <w:rPr>
          <w:rFonts w:ascii="Times New Roman" w:hAnsi="Times New Roman" w:cs="Times New Roman"/>
          <w:noProof/>
          <w:sz w:val="22"/>
          <w:szCs w:val="22"/>
        </w:rPr>
        <w:t>)</w:t>
      </w:r>
    </w:p>
    <w:p w14:paraId="199AC54A" w14:textId="77777777" w:rsidR="00E2627D"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t xml:space="preserve">This reflects the probability given a true value </w:t>
      </w:r>
      <w:proofErr w:type="spellStart"/>
      <w:r w:rsidRPr="00EC54F6">
        <w:rPr>
          <w:rFonts w:ascii="Times New Roman" w:hAnsi="Times New Roman" w:cs="Times New Roman"/>
          <w:sz w:val="22"/>
          <w:szCs w:val="22"/>
          <w:lang w:val="en"/>
        </w:rPr>
        <w:t>x</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plus the measurement error </w:t>
      </w:r>
      <w:proofErr w:type="spellStart"/>
      <w:r w:rsidRPr="00EC54F6">
        <w:rPr>
          <w:rFonts w:ascii="Times New Roman" w:hAnsi="Times New Roman" w:cs="Times New Roman"/>
          <w:sz w:val="22"/>
          <w:szCs w:val="22"/>
          <w:lang w:val="en"/>
        </w:rPr>
        <w:t>x</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 </w:t>
      </w:r>
      <w:proofErr w:type="spellStart"/>
      <w:r w:rsidRPr="00EC54F6">
        <w:rPr>
          <w:rFonts w:ascii="Times New Roman" w:hAnsi="Times New Roman" w:cs="Times New Roman"/>
          <w:sz w:val="22"/>
          <w:szCs w:val="22"/>
          <w:lang w:val="en"/>
        </w:rPr>
        <w:t>ε</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falls between </w:t>
      </w:r>
      <w:proofErr w:type="spellStart"/>
      <w:r w:rsidRPr="00EC54F6">
        <w:rPr>
          <w:rFonts w:ascii="Times New Roman" w:hAnsi="Times New Roman" w:cs="Times New Roman"/>
          <w:sz w:val="22"/>
          <w:szCs w:val="22"/>
          <w:lang w:val="en"/>
        </w:rPr>
        <w:t>y</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 1/</w:t>
      </w:r>
      <w:proofErr w:type="spellStart"/>
      <w:r w:rsidRPr="00EC54F6">
        <w:rPr>
          <w:rFonts w:ascii="Times New Roman" w:hAnsi="Times New Roman" w:cs="Times New Roman"/>
          <w:sz w:val="22"/>
          <w:szCs w:val="22"/>
          <w:lang w:val="en"/>
        </w:rPr>
        <w:t>n</w:t>
      </w:r>
      <w:r w:rsidRPr="00EC54F6">
        <w:rPr>
          <w:rFonts w:ascii="Times New Roman" w:hAnsi="Times New Roman" w:cs="Times New Roman"/>
          <w:sz w:val="22"/>
          <w:szCs w:val="22"/>
          <w:vertAlign w:val="subscript"/>
          <w:lang w:val="en"/>
        </w:rPr>
        <w:t>wells</w:t>
      </w:r>
      <w:proofErr w:type="spellEnd"/>
      <w:r w:rsidRPr="00EC54F6">
        <w:rPr>
          <w:rFonts w:ascii="Times New Roman" w:hAnsi="Times New Roman" w:cs="Times New Roman"/>
          <w:sz w:val="22"/>
          <w:szCs w:val="22"/>
          <w:lang w:val="en"/>
        </w:rPr>
        <w:t xml:space="preserve"> and </w:t>
      </w:r>
      <w:proofErr w:type="spellStart"/>
      <w:r w:rsidRPr="00EC54F6">
        <w:rPr>
          <w:rFonts w:ascii="Times New Roman" w:hAnsi="Times New Roman" w:cs="Times New Roman"/>
          <w:sz w:val="22"/>
          <w:szCs w:val="22"/>
          <w:lang w:val="en"/>
        </w:rPr>
        <w:t>y</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Due to the log</w:t>
      </w:r>
      <w:r w:rsidRPr="00EC54F6">
        <w:rPr>
          <w:rFonts w:ascii="Times New Roman" w:hAnsi="Times New Roman" w:cs="Times New Roman"/>
          <w:sz w:val="22"/>
          <w:szCs w:val="22"/>
          <w:vertAlign w:val="subscript"/>
          <w:lang w:val="en"/>
        </w:rPr>
        <w:t xml:space="preserve">10 </w:t>
      </w:r>
      <w:r w:rsidRPr="00EC54F6">
        <w:rPr>
          <w:rFonts w:ascii="Times New Roman" w:hAnsi="Times New Roman" w:cs="Times New Roman"/>
          <w:sz w:val="22"/>
          <w:szCs w:val="22"/>
          <w:lang w:val="en"/>
        </w:rPr>
        <w:t xml:space="preserve">titer imputation technique used, a titer in that range is most likely to be rounded up and reported as </w:t>
      </w:r>
      <w:proofErr w:type="spellStart"/>
      <w:r w:rsidRPr="00EC54F6">
        <w:rPr>
          <w:rFonts w:ascii="Times New Roman" w:hAnsi="Times New Roman" w:cs="Times New Roman"/>
          <w:sz w:val="22"/>
          <w:szCs w:val="22"/>
          <w:lang w:val="en"/>
        </w:rPr>
        <w:t>y</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w:t>
      </w:r>
    </w:p>
    <w:p w14:paraId="55F54FF8" w14:textId="77777777" w:rsidR="00E2627D"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t>The detection limit of our experiment is 0.5 log</w:t>
      </w:r>
      <w:r w:rsidRPr="00EC54F6">
        <w:rPr>
          <w:rFonts w:ascii="Times New Roman" w:hAnsi="Times New Roman" w:cs="Times New Roman"/>
          <w:sz w:val="22"/>
          <w:szCs w:val="22"/>
          <w:vertAlign w:val="subscript"/>
          <w:lang w:val="en"/>
        </w:rPr>
        <w:t xml:space="preserve">10 </w:t>
      </w:r>
      <w:r w:rsidRPr="00EC54F6">
        <w:rPr>
          <w:rFonts w:ascii="Times New Roman" w:hAnsi="Times New Roman" w:cs="Times New Roman"/>
          <w:sz w:val="22"/>
          <w:szCs w:val="22"/>
          <w:lang w:val="en"/>
        </w:rPr>
        <w:t>TCID</w:t>
      </w:r>
      <w:r w:rsidRPr="00EC54F6">
        <w:rPr>
          <w:rFonts w:ascii="Times New Roman" w:hAnsi="Times New Roman" w:cs="Times New Roman"/>
          <w:sz w:val="22"/>
          <w:szCs w:val="22"/>
          <w:vertAlign w:val="subscript"/>
          <w:lang w:val="en"/>
        </w:rPr>
        <w:t>50</w:t>
      </w:r>
      <w:r w:rsidRPr="00EC54F6">
        <w:rPr>
          <w:rFonts w:ascii="Times New Roman" w:hAnsi="Times New Roman" w:cs="Times New Roman"/>
          <w:sz w:val="22"/>
          <w:szCs w:val="22"/>
          <w:lang w:val="en"/>
        </w:rPr>
        <w:t>/</w:t>
      </w:r>
      <w:proofErr w:type="spellStart"/>
      <w:r w:rsidRPr="00EC54F6">
        <w:rPr>
          <w:rFonts w:ascii="Times New Roman" w:hAnsi="Times New Roman" w:cs="Times New Roman"/>
          <w:sz w:val="22"/>
          <w:szCs w:val="22"/>
          <w:lang w:val="en"/>
        </w:rPr>
        <w:t>mL.</w:t>
      </w:r>
      <w:proofErr w:type="spellEnd"/>
      <w:r w:rsidRPr="00EC54F6">
        <w:rPr>
          <w:rFonts w:ascii="Times New Roman" w:hAnsi="Times New Roman" w:cs="Times New Roman"/>
          <w:sz w:val="22"/>
          <w:szCs w:val="22"/>
          <w:lang w:val="en"/>
        </w:rPr>
        <w:t xml:space="preserve"> The probability of observing an undetectable measured log</w:t>
      </w:r>
      <w:r w:rsidRPr="00EC54F6">
        <w:rPr>
          <w:rFonts w:ascii="Times New Roman" w:hAnsi="Times New Roman" w:cs="Times New Roman"/>
          <w:sz w:val="22"/>
          <w:szCs w:val="22"/>
          <w:vertAlign w:val="subscript"/>
          <w:lang w:val="en"/>
        </w:rPr>
        <w:t>10</w:t>
      </w:r>
      <w:r w:rsidRPr="00EC54F6">
        <w:rPr>
          <w:rFonts w:ascii="Times New Roman" w:hAnsi="Times New Roman" w:cs="Times New Roman"/>
          <w:sz w:val="22"/>
          <w:szCs w:val="22"/>
          <w:lang w:val="en"/>
        </w:rPr>
        <w:t xml:space="preserve"> titer value </w:t>
      </w:r>
      <w:proofErr w:type="spellStart"/>
      <w:r w:rsidRPr="00EC54F6">
        <w:rPr>
          <w:rFonts w:ascii="Times New Roman" w:hAnsi="Times New Roman" w:cs="Times New Roman"/>
          <w:sz w:val="22"/>
          <w:szCs w:val="22"/>
          <w:lang w:val="en"/>
        </w:rPr>
        <w:t>y</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given a true log</w:t>
      </w:r>
      <w:r w:rsidRPr="00EC54F6">
        <w:rPr>
          <w:rFonts w:ascii="Times New Roman" w:hAnsi="Times New Roman" w:cs="Times New Roman"/>
          <w:sz w:val="22"/>
          <w:szCs w:val="22"/>
          <w:vertAlign w:val="subscript"/>
          <w:lang w:val="en"/>
        </w:rPr>
        <w:t>10</w:t>
      </w:r>
      <w:r w:rsidRPr="00EC54F6">
        <w:rPr>
          <w:rFonts w:ascii="Times New Roman" w:hAnsi="Times New Roman" w:cs="Times New Roman"/>
          <w:sz w:val="22"/>
          <w:szCs w:val="22"/>
          <w:lang w:val="en"/>
        </w:rPr>
        <w:t xml:space="preserve"> titer value </w:t>
      </w:r>
      <w:proofErr w:type="spellStart"/>
      <w:r w:rsidRPr="00EC54F6">
        <w:rPr>
          <w:rFonts w:ascii="Times New Roman" w:hAnsi="Times New Roman" w:cs="Times New Roman"/>
          <w:sz w:val="22"/>
          <w:szCs w:val="22"/>
          <w:lang w:val="en"/>
        </w:rPr>
        <w:t>x</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is given by:</w:t>
      </w:r>
    </w:p>
    <w:p w14:paraId="74652D5A" w14:textId="77777777" w:rsidR="00E2627D" w:rsidRPr="00EC54F6" w:rsidRDefault="00E2627D" w:rsidP="0076668A">
      <w:pPr>
        <w:spacing w:after="240"/>
        <w:ind w:firstLine="426"/>
        <w:jc w:val="center"/>
        <w:rPr>
          <w:rFonts w:ascii="Times New Roman" w:hAnsi="Times New Roman" w:cs="Times New Roman"/>
          <w:sz w:val="22"/>
          <w:szCs w:val="22"/>
          <w:lang w:val="en"/>
        </w:rPr>
      </w:pPr>
      <w:r w:rsidRPr="00EC54F6">
        <w:rPr>
          <w:rFonts w:ascii="Times New Roman" w:hAnsi="Times New Roman" w:cs="Times New Roman"/>
          <w:sz w:val="22"/>
          <w:szCs w:val="22"/>
          <w:lang w:val="en"/>
        </w:rPr>
        <w:t>P(</w:t>
      </w:r>
      <w:proofErr w:type="spellStart"/>
      <w:r w:rsidRPr="00EC54F6">
        <w:rPr>
          <w:rFonts w:ascii="Times New Roman" w:hAnsi="Times New Roman" w:cs="Times New Roman"/>
          <w:sz w:val="22"/>
          <w:szCs w:val="22"/>
          <w:lang w:val="en"/>
        </w:rPr>
        <w:t>y</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 0.5 | </w:t>
      </w:r>
      <w:proofErr w:type="spellStart"/>
      <w:r w:rsidRPr="00EC54F6">
        <w:rPr>
          <w:rFonts w:ascii="Times New Roman" w:hAnsi="Times New Roman" w:cs="Times New Roman"/>
          <w:sz w:val="22"/>
          <w:szCs w:val="22"/>
          <w:lang w:val="en"/>
        </w:rPr>
        <w:t>x</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w:t>
      </w:r>
      <w:proofErr w:type="spellStart"/>
      <w:r w:rsidRPr="00EC54F6">
        <w:rPr>
          <w:rFonts w:ascii="Times New Roman" w:hAnsi="Times New Roman" w:cs="Times New Roman"/>
          <w:sz w:val="22"/>
          <w:szCs w:val="22"/>
          <w:lang w:val="en"/>
        </w:rPr>
        <w:t>σ</w:t>
      </w:r>
      <w:r w:rsidRPr="00EC54F6">
        <w:rPr>
          <w:rFonts w:ascii="Times New Roman" w:hAnsi="Times New Roman" w:cs="Times New Roman"/>
          <w:sz w:val="22"/>
          <w:szCs w:val="22"/>
          <w:vertAlign w:val="subscript"/>
          <w:lang w:val="en"/>
        </w:rPr>
        <w:t>i</w:t>
      </w:r>
      <w:proofErr w:type="spellEnd"/>
      <w:r w:rsidRPr="00EC54F6">
        <w:rPr>
          <w:rFonts w:ascii="Times New Roman" w:hAnsi="Times New Roman" w:cs="Times New Roman"/>
          <w:sz w:val="22"/>
          <w:szCs w:val="22"/>
          <w:lang w:val="en"/>
        </w:rPr>
        <w:t xml:space="preserve">) = </w:t>
      </w:r>
      <w:proofErr w:type="spellStart"/>
      <w:r w:rsidRPr="00EC54F6">
        <w:rPr>
          <w:rFonts w:ascii="Times New Roman" w:hAnsi="Times New Roman" w:cs="Times New Roman"/>
          <w:sz w:val="22"/>
          <w:szCs w:val="22"/>
          <w:lang w:val="en"/>
        </w:rPr>
        <w:t>NormalCDF</w:t>
      </w:r>
      <w:proofErr w:type="spellEnd"/>
      <w:r w:rsidRPr="00EC54F6">
        <w:rPr>
          <w:rFonts w:ascii="Times New Roman" w:hAnsi="Times New Roman" w:cs="Times New Roman"/>
          <w:sz w:val="22"/>
          <w:szCs w:val="22"/>
          <w:lang w:val="en"/>
        </w:rPr>
        <w:t xml:space="preserve">(0.5, </w:t>
      </w:r>
      <w:proofErr w:type="spellStart"/>
      <w:r w:rsidRPr="00EC54F6">
        <w:rPr>
          <w:rFonts w:ascii="Times New Roman" w:hAnsi="Times New Roman" w:cs="Times New Roman"/>
          <w:sz w:val="22"/>
          <w:szCs w:val="22"/>
          <w:lang w:val="en"/>
        </w:rPr>
        <w:t>x</w:t>
      </w:r>
      <w:r w:rsidRPr="00EC54F6">
        <w:rPr>
          <w:rFonts w:ascii="Times New Roman" w:hAnsi="Times New Roman" w:cs="Times New Roman"/>
          <w:sz w:val="22"/>
          <w:szCs w:val="22"/>
          <w:vertAlign w:val="subscript"/>
          <w:lang w:val="en"/>
        </w:rPr>
        <w:t>ijk</w:t>
      </w:r>
      <w:proofErr w:type="spellEnd"/>
      <w:r w:rsidRPr="00EC54F6">
        <w:rPr>
          <w:rFonts w:ascii="Times New Roman" w:hAnsi="Times New Roman" w:cs="Times New Roman"/>
          <w:sz w:val="22"/>
          <w:szCs w:val="22"/>
          <w:lang w:val="en"/>
        </w:rPr>
        <w:t xml:space="preserve">, </w:t>
      </w:r>
      <w:proofErr w:type="spellStart"/>
      <w:r w:rsidRPr="00EC54F6">
        <w:rPr>
          <w:rFonts w:ascii="Times New Roman" w:hAnsi="Times New Roman" w:cs="Times New Roman"/>
          <w:sz w:val="22"/>
          <w:szCs w:val="22"/>
          <w:lang w:val="en"/>
        </w:rPr>
        <w:t>σ</w:t>
      </w:r>
      <w:r w:rsidRPr="00EC54F6">
        <w:rPr>
          <w:rFonts w:ascii="Times New Roman" w:hAnsi="Times New Roman" w:cs="Times New Roman"/>
          <w:sz w:val="22"/>
          <w:szCs w:val="22"/>
          <w:vertAlign w:val="subscript"/>
          <w:lang w:val="en"/>
        </w:rPr>
        <w:t>i</w:t>
      </w:r>
      <w:proofErr w:type="spellEnd"/>
      <w:r w:rsidRPr="00EC54F6">
        <w:rPr>
          <w:rFonts w:ascii="Times New Roman" w:hAnsi="Times New Roman" w:cs="Times New Roman"/>
          <w:sz w:val="22"/>
          <w:szCs w:val="22"/>
          <w:lang w:val="en"/>
        </w:rPr>
        <w:t>)</w:t>
      </w:r>
    </w:p>
    <w:p w14:paraId="0B63E45B" w14:textId="77777777" w:rsidR="00E2627D"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t xml:space="preserve">We then model each replicate </w:t>
      </w:r>
      <w:r w:rsidRPr="00EC54F6">
        <w:rPr>
          <w:rFonts w:ascii="Times New Roman" w:hAnsi="Times New Roman" w:cs="Times New Roman"/>
          <w:i/>
          <w:sz w:val="22"/>
          <w:szCs w:val="22"/>
          <w:lang w:val="en"/>
        </w:rPr>
        <w:t xml:space="preserve">j </w:t>
      </w:r>
      <w:r w:rsidRPr="00EC54F6">
        <w:rPr>
          <w:rFonts w:ascii="Times New Roman" w:hAnsi="Times New Roman" w:cs="Times New Roman"/>
          <w:sz w:val="22"/>
          <w:szCs w:val="22"/>
          <w:lang w:val="en"/>
        </w:rPr>
        <w:t xml:space="preserve">for experimental condition </w:t>
      </w:r>
      <w:proofErr w:type="spellStart"/>
      <w:r w:rsidRPr="00EC54F6">
        <w:rPr>
          <w:rFonts w:ascii="Times New Roman" w:hAnsi="Times New Roman" w:cs="Times New Roman"/>
          <w:i/>
          <w:sz w:val="22"/>
          <w:szCs w:val="22"/>
          <w:lang w:val="en"/>
        </w:rPr>
        <w:t>i</w:t>
      </w:r>
      <w:proofErr w:type="spellEnd"/>
      <w:r w:rsidRPr="00EC54F6">
        <w:rPr>
          <w:rFonts w:ascii="Times New Roman" w:hAnsi="Times New Roman" w:cs="Times New Roman"/>
          <w:i/>
          <w:sz w:val="22"/>
          <w:szCs w:val="22"/>
          <w:lang w:val="en"/>
        </w:rPr>
        <w:t xml:space="preserve"> </w:t>
      </w:r>
      <w:r w:rsidRPr="00EC54F6">
        <w:rPr>
          <w:rFonts w:ascii="Times New Roman" w:hAnsi="Times New Roman" w:cs="Times New Roman"/>
          <w:sz w:val="22"/>
          <w:szCs w:val="22"/>
          <w:lang w:val="en"/>
        </w:rPr>
        <w:t>as starting with some true initial log</w:t>
      </w:r>
      <w:r w:rsidRPr="00EC54F6">
        <w:rPr>
          <w:rFonts w:ascii="Times New Roman" w:hAnsi="Times New Roman" w:cs="Times New Roman"/>
          <w:sz w:val="22"/>
          <w:szCs w:val="22"/>
          <w:vertAlign w:val="subscript"/>
          <w:lang w:val="en"/>
        </w:rPr>
        <w:t xml:space="preserve">10 </w:t>
      </w:r>
      <w:r w:rsidRPr="00EC54F6">
        <w:rPr>
          <w:rFonts w:ascii="Times New Roman" w:hAnsi="Times New Roman" w:cs="Times New Roman"/>
          <w:sz w:val="22"/>
          <w:szCs w:val="22"/>
          <w:lang w:val="en"/>
        </w:rPr>
        <w:t xml:space="preserve">titer </w:t>
      </w:r>
      <w:proofErr w:type="spellStart"/>
      <w:r w:rsidRPr="00EC54F6">
        <w:rPr>
          <w:rFonts w:ascii="Times New Roman" w:hAnsi="Times New Roman" w:cs="Times New Roman"/>
          <w:sz w:val="22"/>
          <w:szCs w:val="22"/>
          <w:lang w:val="en"/>
        </w:rPr>
        <w:t>x</w:t>
      </w:r>
      <w:r w:rsidRPr="00EC54F6">
        <w:rPr>
          <w:rFonts w:ascii="Times New Roman" w:hAnsi="Times New Roman" w:cs="Times New Roman"/>
          <w:sz w:val="22"/>
          <w:szCs w:val="22"/>
          <w:vertAlign w:val="subscript"/>
          <w:lang w:val="en"/>
        </w:rPr>
        <w:t>ij</w:t>
      </w:r>
      <w:proofErr w:type="spellEnd"/>
      <w:r w:rsidRPr="00EC54F6">
        <w:rPr>
          <w:rFonts w:ascii="Times New Roman" w:hAnsi="Times New Roman" w:cs="Times New Roman"/>
          <w:sz w:val="22"/>
          <w:szCs w:val="22"/>
          <w:lang w:val="en"/>
        </w:rPr>
        <w:t>(0) = x</w:t>
      </w:r>
      <w:r w:rsidRPr="00EC54F6">
        <w:rPr>
          <w:rFonts w:ascii="Times New Roman" w:hAnsi="Times New Roman" w:cs="Times New Roman"/>
          <w:sz w:val="22"/>
          <w:szCs w:val="22"/>
          <w:vertAlign w:val="subscript"/>
          <w:lang w:val="en"/>
        </w:rPr>
        <w:t>ij0</w:t>
      </w:r>
      <w:r w:rsidRPr="00EC54F6">
        <w:rPr>
          <w:rFonts w:ascii="Times New Roman" w:hAnsi="Times New Roman" w:cs="Times New Roman"/>
          <w:sz w:val="22"/>
          <w:szCs w:val="22"/>
          <w:lang w:val="en"/>
        </w:rPr>
        <w:t xml:space="preserve">. We assume that viruses in experimental condition </w:t>
      </w:r>
      <w:proofErr w:type="spellStart"/>
      <w:r w:rsidRPr="00EC54F6">
        <w:rPr>
          <w:rFonts w:ascii="Times New Roman" w:hAnsi="Times New Roman" w:cs="Times New Roman"/>
          <w:i/>
          <w:sz w:val="22"/>
          <w:szCs w:val="22"/>
          <w:lang w:val="en"/>
        </w:rPr>
        <w:t>i</w:t>
      </w:r>
      <w:proofErr w:type="spellEnd"/>
      <w:r w:rsidRPr="00EC54F6">
        <w:rPr>
          <w:rFonts w:ascii="Times New Roman" w:hAnsi="Times New Roman" w:cs="Times New Roman"/>
          <w:sz w:val="22"/>
          <w:szCs w:val="22"/>
          <w:lang w:val="en"/>
        </w:rPr>
        <w:t xml:space="preserve"> decay exponentially at a rate </w:t>
      </w:r>
      <w:proofErr w:type="spellStart"/>
      <w:r w:rsidRPr="00EC54F6">
        <w:rPr>
          <w:rFonts w:ascii="Times New Roman" w:hAnsi="Times New Roman" w:cs="Times New Roman"/>
          <w:sz w:val="22"/>
          <w:szCs w:val="22"/>
          <w:lang w:val="en"/>
        </w:rPr>
        <w:t>λ</w:t>
      </w:r>
      <w:r w:rsidRPr="00EC54F6">
        <w:rPr>
          <w:rFonts w:ascii="Times New Roman" w:hAnsi="Times New Roman" w:cs="Times New Roman"/>
          <w:sz w:val="22"/>
          <w:szCs w:val="22"/>
          <w:vertAlign w:val="subscript"/>
          <w:lang w:val="en"/>
        </w:rPr>
        <w:t>i</w:t>
      </w:r>
      <w:proofErr w:type="spellEnd"/>
      <w:r w:rsidRPr="00EC54F6">
        <w:rPr>
          <w:rFonts w:ascii="Times New Roman" w:hAnsi="Times New Roman" w:cs="Times New Roman"/>
          <w:sz w:val="22"/>
          <w:szCs w:val="22"/>
          <w:lang w:val="en"/>
        </w:rPr>
        <w:t xml:space="preserve"> over time </w:t>
      </w:r>
      <w:r w:rsidRPr="00EC54F6">
        <w:rPr>
          <w:rFonts w:ascii="Times New Roman" w:hAnsi="Times New Roman" w:cs="Times New Roman"/>
          <w:i/>
          <w:sz w:val="22"/>
          <w:szCs w:val="22"/>
          <w:lang w:val="en"/>
        </w:rPr>
        <w:t>t</w:t>
      </w:r>
      <w:r w:rsidRPr="00EC54F6">
        <w:rPr>
          <w:rFonts w:ascii="Times New Roman" w:hAnsi="Times New Roman" w:cs="Times New Roman"/>
          <w:sz w:val="22"/>
          <w:szCs w:val="22"/>
          <w:lang w:val="en"/>
        </w:rPr>
        <w:t xml:space="preserve">. It follows that </w:t>
      </w:r>
    </w:p>
    <w:p w14:paraId="2A88EC50" w14:textId="77777777" w:rsidR="00E2627D" w:rsidRPr="00EC54F6" w:rsidRDefault="00E2627D" w:rsidP="0076668A">
      <w:pPr>
        <w:spacing w:after="240"/>
        <w:ind w:firstLine="426"/>
        <w:jc w:val="center"/>
        <w:rPr>
          <w:rFonts w:ascii="Times New Roman" w:hAnsi="Times New Roman" w:cs="Times New Roman"/>
          <w:noProof/>
          <w:sz w:val="22"/>
          <w:szCs w:val="22"/>
        </w:rPr>
      </w:pPr>
      <w:r w:rsidRPr="00EC54F6">
        <w:rPr>
          <w:rFonts w:ascii="Times New Roman" w:hAnsi="Times New Roman" w:cs="Times New Roman"/>
          <w:noProof/>
          <w:sz w:val="22"/>
          <w:szCs w:val="22"/>
        </w:rPr>
        <w:t>x</w:t>
      </w:r>
      <w:r w:rsidRPr="00EC54F6">
        <w:rPr>
          <w:rFonts w:ascii="Times New Roman" w:hAnsi="Times New Roman" w:cs="Times New Roman"/>
          <w:noProof/>
          <w:sz w:val="22"/>
          <w:szCs w:val="22"/>
          <w:vertAlign w:val="subscript"/>
        </w:rPr>
        <w:t>ij</w:t>
      </w:r>
      <w:r w:rsidRPr="00EC54F6">
        <w:rPr>
          <w:rFonts w:ascii="Times New Roman" w:hAnsi="Times New Roman" w:cs="Times New Roman"/>
          <w:noProof/>
          <w:sz w:val="22"/>
          <w:szCs w:val="22"/>
        </w:rPr>
        <w:t>(t) = x</w:t>
      </w:r>
      <w:r w:rsidRPr="00EC54F6">
        <w:rPr>
          <w:rFonts w:ascii="Times New Roman" w:hAnsi="Times New Roman" w:cs="Times New Roman"/>
          <w:noProof/>
          <w:sz w:val="22"/>
          <w:szCs w:val="22"/>
          <w:vertAlign w:val="subscript"/>
        </w:rPr>
        <w:t>ij0</w:t>
      </w:r>
      <w:r w:rsidRPr="00EC54F6">
        <w:rPr>
          <w:rFonts w:ascii="Times New Roman" w:hAnsi="Times New Roman" w:cs="Times New Roman"/>
          <w:noProof/>
          <w:sz w:val="22"/>
          <w:szCs w:val="22"/>
        </w:rPr>
        <w:t xml:space="preserve"> – λ</w:t>
      </w:r>
      <w:r w:rsidRPr="00EC54F6">
        <w:rPr>
          <w:rFonts w:ascii="Times New Roman" w:hAnsi="Times New Roman" w:cs="Times New Roman"/>
          <w:noProof/>
          <w:sz w:val="22"/>
          <w:szCs w:val="22"/>
          <w:vertAlign w:val="subscript"/>
        </w:rPr>
        <w:t>i</w:t>
      </w:r>
      <w:r w:rsidRPr="00EC54F6">
        <w:rPr>
          <w:rFonts w:ascii="Times New Roman" w:hAnsi="Times New Roman" w:cs="Times New Roman"/>
          <w:noProof/>
          <w:sz w:val="22"/>
          <w:szCs w:val="22"/>
        </w:rPr>
        <w:t>t</w:t>
      </w:r>
    </w:p>
    <w:p w14:paraId="736C2CD8" w14:textId="067583D7" w:rsidR="008818E2"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t xml:space="preserve">where </w:t>
      </w:r>
      <w:proofErr w:type="spellStart"/>
      <w:r w:rsidRPr="00EC54F6">
        <w:rPr>
          <w:rFonts w:ascii="Times New Roman" w:hAnsi="Times New Roman" w:cs="Times New Roman"/>
          <w:sz w:val="22"/>
          <w:szCs w:val="22"/>
          <w:lang w:val="en"/>
        </w:rPr>
        <w:t>t</w:t>
      </w:r>
      <w:r w:rsidRPr="00EC54F6">
        <w:rPr>
          <w:rFonts w:ascii="Times New Roman" w:hAnsi="Times New Roman" w:cs="Times New Roman"/>
          <w:sz w:val="22"/>
          <w:szCs w:val="22"/>
          <w:vertAlign w:val="subscript"/>
          <w:lang w:val="en"/>
        </w:rPr>
        <w:t>k</w:t>
      </w:r>
      <w:proofErr w:type="spellEnd"/>
      <w:r w:rsidRPr="00EC54F6">
        <w:rPr>
          <w:rFonts w:ascii="Times New Roman" w:hAnsi="Times New Roman" w:cs="Times New Roman"/>
          <w:sz w:val="22"/>
          <w:szCs w:val="22"/>
          <w:vertAlign w:val="subscript"/>
          <w:lang w:val="en"/>
        </w:rPr>
        <w:t xml:space="preserve"> </w:t>
      </w:r>
      <w:r w:rsidRPr="00EC54F6">
        <w:rPr>
          <w:rFonts w:ascii="Times New Roman" w:hAnsi="Times New Roman" w:cs="Times New Roman"/>
          <w:sz w:val="22"/>
          <w:szCs w:val="22"/>
          <w:lang w:val="en"/>
        </w:rPr>
        <w:t>is the k</w:t>
      </w:r>
      <w:r w:rsidRPr="00EC54F6">
        <w:rPr>
          <w:rFonts w:ascii="Times New Roman" w:hAnsi="Times New Roman" w:cs="Times New Roman"/>
          <w:sz w:val="22"/>
          <w:szCs w:val="22"/>
          <w:vertAlign w:val="superscript"/>
          <w:lang w:val="en"/>
        </w:rPr>
        <w:t>th</w:t>
      </w:r>
      <w:r w:rsidRPr="00EC54F6">
        <w:rPr>
          <w:rFonts w:ascii="Times New Roman" w:hAnsi="Times New Roman" w:cs="Times New Roman"/>
          <w:sz w:val="22"/>
          <w:szCs w:val="22"/>
          <w:lang w:val="en"/>
        </w:rPr>
        <w:t xml:space="preserve"> measured time</w:t>
      </w:r>
      <w:r w:rsidR="00303780">
        <w:rPr>
          <w:rFonts w:ascii="Times New Roman" w:hAnsi="Times New Roman" w:cs="Times New Roman"/>
          <w:sz w:val="22"/>
          <w:szCs w:val="22"/>
          <w:lang w:val="en"/>
        </w:rPr>
        <w:t>-</w:t>
      </w:r>
      <w:r w:rsidRPr="00EC54F6">
        <w:rPr>
          <w:rFonts w:ascii="Times New Roman" w:hAnsi="Times New Roman" w:cs="Times New Roman"/>
          <w:sz w:val="22"/>
          <w:szCs w:val="22"/>
          <w:lang w:val="en"/>
        </w:rPr>
        <w:t xml:space="preserve">point. </w:t>
      </w:r>
    </w:p>
    <w:p w14:paraId="2F60C000" w14:textId="5CDF1B9A" w:rsidR="00E2627D" w:rsidRPr="009D078D" w:rsidRDefault="00407BB7" w:rsidP="0076668A">
      <w:pPr>
        <w:spacing w:before="240" w:after="240"/>
        <w:jc w:val="both"/>
        <w:rPr>
          <w:rFonts w:ascii="Times New Roman" w:hAnsi="Times New Roman" w:cs="Times New Roman"/>
          <w:bCs/>
          <w:sz w:val="22"/>
          <w:szCs w:val="22"/>
          <w:u w:val="single"/>
          <w:lang w:val="en"/>
        </w:rPr>
      </w:pPr>
      <w:r w:rsidRPr="009D078D">
        <w:rPr>
          <w:rFonts w:ascii="Times New Roman" w:hAnsi="Times New Roman" w:cs="Times New Roman"/>
          <w:bCs/>
          <w:sz w:val="22"/>
          <w:szCs w:val="22"/>
          <w:u w:val="single"/>
          <w:lang w:val="en"/>
        </w:rPr>
        <w:t>Model p</w:t>
      </w:r>
      <w:r w:rsidR="0021279B" w:rsidRPr="009D078D">
        <w:rPr>
          <w:rFonts w:ascii="Times New Roman" w:hAnsi="Times New Roman" w:cs="Times New Roman"/>
          <w:bCs/>
          <w:sz w:val="22"/>
          <w:szCs w:val="22"/>
          <w:u w:val="single"/>
          <w:lang w:val="en"/>
        </w:rPr>
        <w:t>rior distributions</w:t>
      </w:r>
    </w:p>
    <w:p w14:paraId="372685E4" w14:textId="654F7159" w:rsidR="00E2627D"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t>We place a weakly informative Normal prior distribution on the initial log</w:t>
      </w:r>
      <w:r w:rsidRPr="00EC54F6">
        <w:rPr>
          <w:rFonts w:ascii="Times New Roman" w:hAnsi="Times New Roman" w:cs="Times New Roman"/>
          <w:sz w:val="22"/>
          <w:szCs w:val="22"/>
          <w:vertAlign w:val="subscript"/>
          <w:lang w:val="en"/>
        </w:rPr>
        <w:t>10</w:t>
      </w:r>
      <w:r w:rsidRPr="00EC54F6">
        <w:rPr>
          <w:rFonts w:ascii="Times New Roman" w:hAnsi="Times New Roman" w:cs="Times New Roman"/>
          <w:sz w:val="22"/>
          <w:szCs w:val="22"/>
          <w:lang w:val="en"/>
        </w:rPr>
        <w:t xml:space="preserve"> titers x</w:t>
      </w:r>
      <w:r w:rsidRPr="00EC54F6">
        <w:rPr>
          <w:rFonts w:ascii="Times New Roman" w:hAnsi="Times New Roman" w:cs="Times New Roman"/>
          <w:sz w:val="22"/>
          <w:szCs w:val="22"/>
          <w:vertAlign w:val="subscript"/>
          <w:lang w:val="en"/>
        </w:rPr>
        <w:t>ij0</w:t>
      </w:r>
      <w:r w:rsidRPr="00EC54F6">
        <w:rPr>
          <w:rFonts w:ascii="Times New Roman" w:hAnsi="Times New Roman" w:cs="Times New Roman"/>
          <w:sz w:val="22"/>
          <w:szCs w:val="22"/>
          <w:lang w:val="en"/>
        </w:rPr>
        <w:t xml:space="preserve"> to rule out implausibly large or small values (e.g. in this case undetectable log</w:t>
      </w:r>
      <w:r w:rsidRPr="00EC54F6">
        <w:rPr>
          <w:rFonts w:ascii="Times New Roman" w:hAnsi="Times New Roman" w:cs="Times New Roman"/>
          <w:sz w:val="22"/>
          <w:szCs w:val="22"/>
          <w:vertAlign w:val="subscript"/>
          <w:lang w:val="en"/>
        </w:rPr>
        <w:t xml:space="preserve">10 </w:t>
      </w:r>
      <w:r w:rsidRPr="00EC54F6">
        <w:rPr>
          <w:rFonts w:ascii="Times New Roman" w:hAnsi="Times New Roman" w:cs="Times New Roman"/>
          <w:sz w:val="22"/>
          <w:szCs w:val="22"/>
          <w:lang w:val="en"/>
        </w:rPr>
        <w:t>titers or log</w:t>
      </w:r>
      <w:r w:rsidRPr="00EC54F6">
        <w:rPr>
          <w:rFonts w:ascii="Times New Roman" w:hAnsi="Times New Roman" w:cs="Times New Roman"/>
          <w:sz w:val="22"/>
          <w:szCs w:val="22"/>
          <w:vertAlign w:val="subscript"/>
          <w:lang w:val="en"/>
        </w:rPr>
        <w:t xml:space="preserve">10 </w:t>
      </w:r>
      <w:r w:rsidRPr="00EC54F6">
        <w:rPr>
          <w:rFonts w:ascii="Times New Roman" w:hAnsi="Times New Roman" w:cs="Times New Roman"/>
          <w:sz w:val="22"/>
          <w:szCs w:val="22"/>
          <w:lang w:val="en"/>
        </w:rPr>
        <w:t>titers much higher than the deposited concentration), while allowing the data to determine estimates within plausible ranges:</w:t>
      </w:r>
    </w:p>
    <w:p w14:paraId="6DA9F9A5" w14:textId="33BC3D8C" w:rsidR="00E2627D" w:rsidRPr="00EC54F6" w:rsidRDefault="00E2627D" w:rsidP="0076668A">
      <w:pPr>
        <w:spacing w:after="240"/>
        <w:ind w:firstLine="426"/>
        <w:jc w:val="center"/>
        <w:rPr>
          <w:rFonts w:ascii="Times New Roman" w:hAnsi="Times New Roman" w:cs="Times New Roman"/>
          <w:sz w:val="22"/>
          <w:szCs w:val="22"/>
          <w:lang w:val="en"/>
        </w:rPr>
      </w:pPr>
      <w:r w:rsidRPr="00EC54F6">
        <w:rPr>
          <w:rFonts w:ascii="Times New Roman" w:hAnsi="Times New Roman" w:cs="Times New Roman"/>
          <w:sz w:val="22"/>
          <w:szCs w:val="22"/>
          <w:lang w:val="en"/>
        </w:rPr>
        <w:t>x</w:t>
      </w:r>
      <w:r w:rsidRPr="00EC54F6">
        <w:rPr>
          <w:rFonts w:ascii="Times New Roman" w:hAnsi="Times New Roman" w:cs="Times New Roman"/>
          <w:sz w:val="22"/>
          <w:szCs w:val="22"/>
          <w:vertAlign w:val="subscript"/>
          <w:lang w:val="en"/>
        </w:rPr>
        <w:t>ij0</w:t>
      </w:r>
      <w:r w:rsidRPr="00EC54F6">
        <w:rPr>
          <w:rFonts w:ascii="Times New Roman" w:hAnsi="Times New Roman" w:cs="Times New Roman"/>
          <w:sz w:val="22"/>
          <w:szCs w:val="22"/>
          <w:lang w:val="en"/>
        </w:rPr>
        <w:t xml:space="preserve"> ~ Normal(</w:t>
      </w:r>
      <w:r w:rsidR="00405ECA" w:rsidRPr="00EC54F6">
        <w:rPr>
          <w:rFonts w:ascii="Times New Roman" w:hAnsi="Times New Roman" w:cs="Times New Roman"/>
          <w:sz w:val="22"/>
          <w:szCs w:val="22"/>
          <w:lang w:val="en"/>
        </w:rPr>
        <w:t>4</w:t>
      </w:r>
      <w:r w:rsidRPr="00EC54F6">
        <w:rPr>
          <w:rFonts w:ascii="Times New Roman" w:hAnsi="Times New Roman" w:cs="Times New Roman"/>
          <w:sz w:val="22"/>
          <w:szCs w:val="22"/>
          <w:lang w:val="en"/>
        </w:rPr>
        <w:t xml:space="preserve">.5, </w:t>
      </w:r>
      <w:r w:rsidR="00405ECA" w:rsidRPr="00EC54F6">
        <w:rPr>
          <w:rFonts w:ascii="Times New Roman" w:hAnsi="Times New Roman" w:cs="Times New Roman"/>
          <w:sz w:val="22"/>
          <w:szCs w:val="22"/>
          <w:lang w:val="en"/>
        </w:rPr>
        <w:t>2.5</w:t>
      </w:r>
      <w:r w:rsidRPr="00EC54F6">
        <w:rPr>
          <w:rFonts w:ascii="Times New Roman" w:hAnsi="Times New Roman" w:cs="Times New Roman"/>
          <w:sz w:val="22"/>
          <w:szCs w:val="22"/>
          <w:lang w:val="en"/>
        </w:rPr>
        <w:t>)</w:t>
      </w:r>
    </w:p>
    <w:p w14:paraId="6DD7E531" w14:textId="5791F202" w:rsidR="00E2627D"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t xml:space="preserve">We likewise placed a weakly informative Half-Normal prior on the exponential decay rates </w:t>
      </w:r>
      <w:proofErr w:type="spellStart"/>
      <w:r w:rsidRPr="00EC54F6">
        <w:rPr>
          <w:rFonts w:ascii="Times New Roman" w:hAnsi="Times New Roman" w:cs="Times New Roman"/>
          <w:sz w:val="22"/>
          <w:szCs w:val="22"/>
          <w:lang w:val="en"/>
        </w:rPr>
        <w:t>λ</w:t>
      </w:r>
      <w:r w:rsidRPr="00EC54F6">
        <w:rPr>
          <w:rFonts w:ascii="Times New Roman" w:hAnsi="Times New Roman" w:cs="Times New Roman"/>
          <w:sz w:val="22"/>
          <w:szCs w:val="22"/>
          <w:vertAlign w:val="subscript"/>
          <w:lang w:val="en"/>
        </w:rPr>
        <w:t>i</w:t>
      </w:r>
      <w:proofErr w:type="spellEnd"/>
      <w:r w:rsidRPr="00EC54F6">
        <w:rPr>
          <w:rFonts w:ascii="Times New Roman" w:hAnsi="Times New Roman" w:cs="Times New Roman"/>
          <w:sz w:val="22"/>
          <w:szCs w:val="22"/>
          <w:lang w:val="en"/>
        </w:rPr>
        <w:t>:</w:t>
      </w:r>
    </w:p>
    <w:p w14:paraId="0CF06C17" w14:textId="74665E78" w:rsidR="00212AAD" w:rsidRDefault="00E2627D" w:rsidP="0091373B">
      <w:pPr>
        <w:spacing w:after="0" w:line="240" w:lineRule="auto"/>
        <w:jc w:val="center"/>
        <w:rPr>
          <w:rFonts w:ascii="Times New Roman" w:hAnsi="Times New Roman" w:cs="Times New Roman"/>
          <w:sz w:val="22"/>
          <w:szCs w:val="22"/>
          <w:lang w:val="en"/>
        </w:rPr>
      </w:pPr>
      <w:proofErr w:type="spellStart"/>
      <w:r w:rsidRPr="00EC54F6">
        <w:rPr>
          <w:rFonts w:ascii="Times New Roman" w:hAnsi="Times New Roman" w:cs="Times New Roman"/>
          <w:sz w:val="22"/>
          <w:szCs w:val="22"/>
          <w:lang w:val="en"/>
        </w:rPr>
        <w:t>λ</w:t>
      </w:r>
      <w:r w:rsidRPr="00EC54F6">
        <w:rPr>
          <w:rFonts w:ascii="Times New Roman" w:hAnsi="Times New Roman" w:cs="Times New Roman"/>
          <w:sz w:val="22"/>
          <w:szCs w:val="22"/>
          <w:vertAlign w:val="subscript"/>
          <w:lang w:val="en"/>
        </w:rPr>
        <w:t>i</w:t>
      </w:r>
      <w:proofErr w:type="spellEnd"/>
      <w:r w:rsidRPr="00EC54F6">
        <w:rPr>
          <w:rFonts w:ascii="Times New Roman" w:hAnsi="Times New Roman" w:cs="Times New Roman"/>
          <w:sz w:val="22"/>
          <w:szCs w:val="22"/>
          <w:lang w:val="en"/>
        </w:rPr>
        <w:t xml:space="preserve"> ~ Half-Normal(0.5, 4)</w:t>
      </w:r>
      <w:r w:rsidR="00212AAD">
        <w:rPr>
          <w:rFonts w:ascii="Times New Roman" w:hAnsi="Times New Roman" w:cs="Times New Roman"/>
          <w:sz w:val="22"/>
          <w:szCs w:val="22"/>
          <w:lang w:val="en"/>
        </w:rPr>
        <w:br w:type="page"/>
      </w:r>
    </w:p>
    <w:p w14:paraId="25FA4D80" w14:textId="6756EDDF" w:rsidR="00E2627D" w:rsidRPr="00EC54F6" w:rsidRDefault="00E2627D" w:rsidP="0076668A">
      <w:pPr>
        <w:spacing w:after="240"/>
        <w:ind w:firstLine="426"/>
        <w:jc w:val="both"/>
        <w:rPr>
          <w:rFonts w:ascii="Times New Roman" w:hAnsi="Times New Roman" w:cs="Times New Roman"/>
          <w:sz w:val="22"/>
          <w:szCs w:val="22"/>
          <w:lang w:val="en"/>
        </w:rPr>
      </w:pPr>
      <w:r w:rsidRPr="00EC54F6">
        <w:rPr>
          <w:rFonts w:ascii="Times New Roman" w:hAnsi="Times New Roman" w:cs="Times New Roman"/>
          <w:sz w:val="22"/>
          <w:szCs w:val="22"/>
          <w:lang w:val="en"/>
        </w:rPr>
        <w:lastRenderedPageBreak/>
        <w:t xml:space="preserve">We placed a weakly informative Half-Normal prior on the standard deviations of the experimental error distributions </w:t>
      </w:r>
      <w:proofErr w:type="spellStart"/>
      <w:r w:rsidRPr="00EC54F6">
        <w:rPr>
          <w:rFonts w:ascii="Times New Roman" w:hAnsi="Times New Roman" w:cs="Times New Roman"/>
          <w:sz w:val="22"/>
          <w:szCs w:val="22"/>
          <w:lang w:val="en"/>
        </w:rPr>
        <w:t>σ</w:t>
      </w:r>
      <w:r w:rsidRPr="00EC54F6">
        <w:rPr>
          <w:rFonts w:ascii="Times New Roman" w:hAnsi="Times New Roman" w:cs="Times New Roman"/>
          <w:sz w:val="22"/>
          <w:szCs w:val="22"/>
          <w:vertAlign w:val="subscript"/>
          <w:lang w:val="en"/>
        </w:rPr>
        <w:t>i</w:t>
      </w:r>
      <w:proofErr w:type="spellEnd"/>
      <w:r w:rsidRPr="00EC54F6">
        <w:rPr>
          <w:rFonts w:ascii="Times New Roman" w:hAnsi="Times New Roman" w:cs="Times New Roman"/>
          <w:sz w:val="22"/>
          <w:szCs w:val="22"/>
          <w:lang w:val="en"/>
        </w:rPr>
        <w:t>:</w:t>
      </w:r>
    </w:p>
    <w:p w14:paraId="0E7C0071" w14:textId="77777777" w:rsidR="00E2627D" w:rsidRPr="00EC54F6" w:rsidRDefault="00E2627D" w:rsidP="0076668A">
      <w:pPr>
        <w:spacing w:after="240"/>
        <w:ind w:firstLine="426"/>
        <w:jc w:val="center"/>
        <w:rPr>
          <w:rFonts w:ascii="Times New Roman" w:hAnsi="Times New Roman" w:cs="Times New Roman"/>
          <w:sz w:val="22"/>
          <w:szCs w:val="22"/>
          <w:lang w:val="en"/>
        </w:rPr>
      </w:pPr>
      <w:proofErr w:type="spellStart"/>
      <w:r w:rsidRPr="00EC54F6">
        <w:rPr>
          <w:rFonts w:ascii="Times New Roman" w:hAnsi="Times New Roman" w:cs="Times New Roman"/>
          <w:sz w:val="22"/>
          <w:szCs w:val="22"/>
          <w:lang w:val="en"/>
        </w:rPr>
        <w:t>σ</w:t>
      </w:r>
      <w:r w:rsidRPr="00EC54F6">
        <w:rPr>
          <w:rFonts w:ascii="Times New Roman" w:hAnsi="Times New Roman" w:cs="Times New Roman"/>
          <w:sz w:val="22"/>
          <w:szCs w:val="22"/>
          <w:vertAlign w:val="subscript"/>
          <w:lang w:val="en"/>
        </w:rPr>
        <w:t>i</w:t>
      </w:r>
      <w:proofErr w:type="spellEnd"/>
      <w:r w:rsidRPr="00EC54F6">
        <w:rPr>
          <w:rFonts w:ascii="Times New Roman" w:hAnsi="Times New Roman" w:cs="Times New Roman"/>
          <w:sz w:val="22"/>
          <w:szCs w:val="22"/>
          <w:lang w:val="en"/>
        </w:rPr>
        <w:t xml:space="preserve"> ~ Half-Normal(0, 2)</w:t>
      </w:r>
    </w:p>
    <w:p w14:paraId="6AE56CC1" w14:textId="63E376F6" w:rsidR="00B64787" w:rsidRPr="0076668A" w:rsidRDefault="00B64787" w:rsidP="0076668A">
      <w:pPr>
        <w:spacing w:before="240" w:after="240"/>
        <w:jc w:val="both"/>
        <w:rPr>
          <w:rFonts w:ascii="Times New Roman" w:hAnsi="Times New Roman" w:cs="Times New Roman"/>
          <w:bCs/>
          <w:sz w:val="22"/>
          <w:szCs w:val="22"/>
          <w:u w:val="single"/>
          <w:lang w:val="en"/>
        </w:rPr>
      </w:pPr>
      <w:r w:rsidRPr="0076668A">
        <w:rPr>
          <w:rFonts w:ascii="Times New Roman" w:hAnsi="Times New Roman" w:cs="Times New Roman"/>
          <w:bCs/>
          <w:sz w:val="22"/>
          <w:szCs w:val="22"/>
          <w:u w:val="single"/>
          <w:lang w:val="en"/>
        </w:rPr>
        <w:t>Markov Chain Monte Carlo Methods</w:t>
      </w:r>
    </w:p>
    <w:p w14:paraId="49CADE7F" w14:textId="489026A1" w:rsidR="00124A89" w:rsidRPr="00EC54F6" w:rsidRDefault="00B64787" w:rsidP="0076668A">
      <w:pPr>
        <w:spacing w:after="240"/>
        <w:ind w:firstLine="426"/>
        <w:jc w:val="both"/>
        <w:rPr>
          <w:rFonts w:ascii="Times New Roman" w:hAnsi="Times New Roman" w:cs="Times New Roman"/>
          <w:sz w:val="22"/>
          <w:szCs w:val="22"/>
        </w:rPr>
      </w:pPr>
      <w:r w:rsidRPr="00EC54F6">
        <w:rPr>
          <w:rFonts w:ascii="Times New Roman" w:hAnsi="Times New Roman" w:cs="Times New Roman"/>
          <w:bCs/>
          <w:sz w:val="22"/>
          <w:szCs w:val="22"/>
        </w:rPr>
        <w:t xml:space="preserve">We drew posterior samples </w:t>
      </w:r>
      <w:r w:rsidR="005A6EDE" w:rsidRPr="00EC54F6">
        <w:rPr>
          <w:rFonts w:ascii="Times New Roman" w:hAnsi="Times New Roman" w:cs="Times New Roman"/>
          <w:bCs/>
          <w:sz w:val="22"/>
          <w:szCs w:val="22"/>
        </w:rPr>
        <w:t>using</w:t>
      </w:r>
      <w:r w:rsidR="00CD4D7C" w:rsidRPr="00EC54F6">
        <w:rPr>
          <w:rFonts w:ascii="Times New Roman" w:hAnsi="Times New Roman" w:cs="Times New Roman"/>
          <w:bCs/>
          <w:sz w:val="22"/>
          <w:szCs w:val="22"/>
        </w:rPr>
        <w:t xml:space="preserve"> </w:t>
      </w:r>
      <w:r w:rsidRPr="00EC54F6">
        <w:rPr>
          <w:rFonts w:ascii="Times New Roman" w:hAnsi="Times New Roman" w:cs="Times New Roman"/>
          <w:bCs/>
          <w:sz w:val="22"/>
          <w:szCs w:val="22"/>
        </w:rPr>
        <w:t>Stan</w:t>
      </w:r>
      <w:r w:rsidR="00CD4D7C" w:rsidRPr="00EC54F6">
        <w:rPr>
          <w:rFonts w:ascii="Times New Roman" w:hAnsi="Times New Roman" w:cs="Times New Roman"/>
          <w:bCs/>
          <w:sz w:val="22"/>
          <w:szCs w:val="22"/>
        </w:rPr>
        <w:t>, which implements a No-U-Turn</w:t>
      </w:r>
      <w:r w:rsidR="005A6EDE" w:rsidRPr="00EC54F6">
        <w:rPr>
          <w:rFonts w:ascii="Times New Roman" w:hAnsi="Times New Roman" w:cs="Times New Roman"/>
          <w:bCs/>
          <w:sz w:val="22"/>
          <w:szCs w:val="22"/>
        </w:rPr>
        <w:t xml:space="preserve"> Sampler (a form of Markov Chain Monte Carlo)</w:t>
      </w:r>
      <w:r w:rsidR="00CD4D7C" w:rsidRPr="00EC54F6">
        <w:rPr>
          <w:rFonts w:ascii="Times New Roman" w:hAnsi="Times New Roman" w:cs="Times New Roman"/>
          <w:bCs/>
          <w:sz w:val="22"/>
          <w:szCs w:val="22"/>
        </w:rPr>
        <w:t xml:space="preserve">. We ran four replicate chains from random initial conditions for 2000 iterations, with the first 1000 iterations as a warmup/adaptation period. We saved the final 1000 iterations from each chain, giving us a total of 4000 posterior samples. </w:t>
      </w:r>
      <w:r w:rsidRPr="00EC54F6">
        <w:rPr>
          <w:rFonts w:ascii="Times New Roman" w:hAnsi="Times New Roman" w:cs="Times New Roman"/>
          <w:bCs/>
          <w:sz w:val="22"/>
          <w:szCs w:val="22"/>
        </w:rPr>
        <w:t xml:space="preserve">We assessed convergence by inspecting trace plots and examining </w:t>
      </w:r>
      <w:r w:rsidRPr="00EC54F6">
        <w:rPr>
          <w:rFonts w:ascii="Times New Roman" w:hAnsi="Times New Roman" w:cs="Times New Roman"/>
          <w:bCs/>
          <w:i/>
          <w:iCs/>
          <w:sz w:val="22"/>
          <w:szCs w:val="22"/>
        </w:rPr>
        <w:t>R̂</w:t>
      </w:r>
      <w:r w:rsidRPr="00EC54F6">
        <w:rPr>
          <w:rFonts w:ascii="Times New Roman" w:hAnsi="Times New Roman" w:cs="Times New Roman"/>
          <w:bCs/>
          <w:sz w:val="22"/>
          <w:szCs w:val="22"/>
        </w:rPr>
        <w:t xml:space="preserve"> and effective sample size (</w:t>
      </w:r>
      <w:proofErr w:type="spellStart"/>
      <w:r w:rsidRPr="00EC54F6">
        <w:rPr>
          <w:rFonts w:ascii="Times New Roman" w:hAnsi="Times New Roman" w:cs="Times New Roman"/>
          <w:bCs/>
          <w:sz w:val="22"/>
          <w:szCs w:val="22"/>
        </w:rPr>
        <w:t>n</w:t>
      </w:r>
      <w:r w:rsidRPr="00EC54F6">
        <w:rPr>
          <w:rFonts w:ascii="Times New Roman" w:hAnsi="Times New Roman" w:cs="Times New Roman"/>
          <w:bCs/>
          <w:sz w:val="22"/>
          <w:szCs w:val="22"/>
          <w:vertAlign w:val="subscript"/>
        </w:rPr>
        <w:t>eff</w:t>
      </w:r>
      <w:proofErr w:type="spellEnd"/>
      <w:r w:rsidRPr="00EC54F6">
        <w:rPr>
          <w:rFonts w:ascii="Times New Roman" w:hAnsi="Times New Roman" w:cs="Times New Roman"/>
          <w:bCs/>
          <w:sz w:val="22"/>
          <w:szCs w:val="22"/>
        </w:rPr>
        <w:t>) statistics (</w:t>
      </w:r>
      <w:r w:rsidRPr="00EC54F6">
        <w:rPr>
          <w:rFonts w:ascii="Times New Roman" w:hAnsi="Times New Roman" w:cs="Times New Roman"/>
          <w:bCs/>
          <w:i/>
          <w:iCs/>
          <w:sz w:val="22"/>
          <w:szCs w:val="22"/>
        </w:rPr>
        <w:t xml:space="preserve">R̂ </w:t>
      </w:r>
      <w:r w:rsidRPr="00EC54F6">
        <w:rPr>
          <w:rFonts w:ascii="Times New Roman" w:hAnsi="Times New Roman" w:cs="Times New Roman"/>
          <w:bCs/>
          <w:sz w:val="22"/>
          <w:szCs w:val="22"/>
        </w:rPr>
        <w:t>for all parameters ≤ 1.00</w:t>
      </w:r>
      <w:r w:rsidR="0032540F">
        <w:rPr>
          <w:rFonts w:ascii="Times New Roman" w:hAnsi="Times New Roman" w:cs="Times New Roman"/>
          <w:bCs/>
          <w:sz w:val="22"/>
          <w:szCs w:val="22"/>
        </w:rPr>
        <w:t>3</w:t>
      </w:r>
      <w:r w:rsidRPr="00EC54F6">
        <w:rPr>
          <w:rFonts w:ascii="Times New Roman" w:hAnsi="Times New Roman" w:cs="Times New Roman"/>
          <w:bCs/>
          <w:sz w:val="22"/>
          <w:szCs w:val="22"/>
        </w:rPr>
        <w:t xml:space="preserve">, </w:t>
      </w:r>
      <w:proofErr w:type="spellStart"/>
      <w:r w:rsidRPr="00EC54F6">
        <w:rPr>
          <w:rFonts w:ascii="Times New Roman" w:hAnsi="Times New Roman" w:cs="Times New Roman"/>
          <w:bCs/>
          <w:sz w:val="22"/>
          <w:szCs w:val="22"/>
        </w:rPr>
        <w:t>n</w:t>
      </w:r>
      <w:r w:rsidRPr="00EC54F6">
        <w:rPr>
          <w:rFonts w:ascii="Times New Roman" w:hAnsi="Times New Roman" w:cs="Times New Roman"/>
          <w:bCs/>
          <w:sz w:val="22"/>
          <w:szCs w:val="22"/>
          <w:vertAlign w:val="subscript"/>
        </w:rPr>
        <w:t>eff</w:t>
      </w:r>
      <w:proofErr w:type="spellEnd"/>
      <w:r w:rsidRPr="00EC54F6">
        <w:rPr>
          <w:rFonts w:ascii="Times New Roman" w:hAnsi="Times New Roman" w:cs="Times New Roman"/>
          <w:bCs/>
          <w:sz w:val="22"/>
          <w:szCs w:val="22"/>
        </w:rPr>
        <w:t xml:space="preserve"> for all parameters</w:t>
      </w:r>
      <w:r w:rsidR="00CD4D7C" w:rsidRPr="00EC54F6">
        <w:rPr>
          <w:rFonts w:ascii="Times New Roman" w:hAnsi="Times New Roman" w:cs="Times New Roman"/>
          <w:bCs/>
          <w:sz w:val="22"/>
          <w:szCs w:val="22"/>
        </w:rPr>
        <w:t xml:space="preserve"> ≥</w:t>
      </w:r>
      <w:r w:rsidR="009964E5">
        <w:rPr>
          <w:rFonts w:ascii="Times New Roman" w:hAnsi="Times New Roman" w:cs="Times New Roman"/>
          <w:bCs/>
          <w:sz w:val="22"/>
          <w:szCs w:val="22"/>
        </w:rPr>
        <w:t>28</w:t>
      </w:r>
      <w:r w:rsidR="00CD4D7C" w:rsidRPr="00EC54F6">
        <w:rPr>
          <w:rFonts w:ascii="Times New Roman" w:hAnsi="Times New Roman" w:cs="Times New Roman"/>
          <w:bCs/>
          <w:sz w:val="22"/>
          <w:szCs w:val="22"/>
        </w:rPr>
        <w:t>% of total samples).</w:t>
      </w:r>
    </w:p>
    <w:p w14:paraId="06F14F4D" w14:textId="3689518A" w:rsidR="00124A89" w:rsidRPr="00EC54F6" w:rsidRDefault="00124A89" w:rsidP="0076668A">
      <w:pPr>
        <w:pStyle w:val="Heading1"/>
        <w:spacing w:before="480" w:after="240"/>
        <w:jc w:val="both"/>
        <w:rPr>
          <w:rFonts w:cs="Times New Roman"/>
          <w:sz w:val="22"/>
          <w:szCs w:val="22"/>
        </w:rPr>
      </w:pPr>
      <w:r w:rsidRPr="0091373B">
        <w:rPr>
          <w:rFonts w:eastAsia="Calibri" w:cs="Times New Roman"/>
          <w:sz w:val="22"/>
          <w:szCs w:val="22"/>
          <w:lang w:val="en"/>
        </w:rPr>
        <w:t xml:space="preserve">Supplemental </w:t>
      </w:r>
      <w:r w:rsidR="00B9475A" w:rsidRPr="0076668A">
        <w:rPr>
          <w:rFonts w:cs="Times New Roman"/>
          <w:sz w:val="22"/>
          <w:szCs w:val="22"/>
          <w:lang w:val="en"/>
        </w:rPr>
        <w:t>t</w:t>
      </w:r>
      <w:r w:rsidR="00854D13" w:rsidRPr="0091373B">
        <w:rPr>
          <w:rFonts w:ascii="Arial" w:eastAsia="Calibri" w:hAnsi="Arial" w:cs="Times New Roman"/>
          <w:b w:val="0"/>
          <w:bCs w:val="0"/>
          <w:sz w:val="22"/>
          <w:szCs w:val="22"/>
          <w:lang w:val="en"/>
        </w:rPr>
        <w:t xml:space="preserve">able and </w:t>
      </w:r>
      <w:r w:rsidR="00B9475A">
        <w:rPr>
          <w:rFonts w:cs="Times New Roman"/>
          <w:sz w:val="22"/>
          <w:szCs w:val="22"/>
          <w:lang w:val="en"/>
        </w:rPr>
        <w:t>f</w:t>
      </w:r>
      <w:r w:rsidR="00B9475A" w:rsidRPr="0091373B">
        <w:rPr>
          <w:rFonts w:eastAsia="Calibri" w:cs="Times New Roman"/>
          <w:sz w:val="22"/>
          <w:szCs w:val="22"/>
          <w:lang w:val="en"/>
        </w:rPr>
        <w:t>igures</w:t>
      </w:r>
    </w:p>
    <w:p w14:paraId="5A9992A5" w14:textId="3AC52817" w:rsidR="00854D13" w:rsidRPr="00AE1BDD" w:rsidRDefault="00854D13" w:rsidP="0076668A">
      <w:pPr>
        <w:spacing w:before="240"/>
        <w:jc w:val="both"/>
      </w:pPr>
      <w:r w:rsidRPr="0076668A">
        <w:rPr>
          <w:rFonts w:ascii="Times New Roman" w:hAnsi="Times New Roman" w:cs="Times New Roman"/>
          <w:sz w:val="22"/>
          <w:szCs w:val="22"/>
        </w:rPr>
        <w:t>Table 1. Posterior median estimates and 95% credible intervals (2.5%–97.5% quantile range) for half-lives of HCoV-19 and SARS-CoV</w:t>
      </w:r>
      <w:r>
        <w:rPr>
          <w:rFonts w:ascii="Times New Roman" w:hAnsi="Times New Roman" w:cs="Times New Roman"/>
          <w:sz w:val="22"/>
          <w:szCs w:val="22"/>
        </w:rPr>
        <w:t>-1</w:t>
      </w:r>
      <w:r w:rsidRPr="0076668A">
        <w:rPr>
          <w:rFonts w:ascii="Times New Roman" w:hAnsi="Times New Roman" w:cs="Times New Roman"/>
          <w:sz w:val="22"/>
          <w:szCs w:val="22"/>
        </w:rPr>
        <w:t xml:space="preserve"> in aerosols and on various surfaces, as well as a median estimate and 95% credible interval for the difference between the two half-lives (HCoV-19 – SARS-CoV</w:t>
      </w:r>
      <w:r>
        <w:rPr>
          <w:rFonts w:ascii="Times New Roman" w:hAnsi="Times New Roman" w:cs="Times New Roman"/>
          <w:sz w:val="22"/>
          <w:szCs w:val="22"/>
        </w:rPr>
        <w:t>-1</w:t>
      </w:r>
      <w:r w:rsidRPr="0076668A">
        <w:rPr>
          <w:rFonts w:ascii="Times New Roman" w:hAnsi="Times New Roman" w:cs="Times New Roman"/>
          <w:sz w:val="22"/>
          <w:szCs w:val="22"/>
        </w:rPr>
        <w:t>).</w:t>
      </w:r>
      <w:r w:rsidR="00443424">
        <w:rPr>
          <w:rFonts w:ascii="Times New Roman" w:hAnsi="Times New Roman" w:cs="Times New Roman"/>
          <w:sz w:val="22"/>
          <w:szCs w:val="22"/>
        </w:rPr>
        <w:t xml:space="preserve"> </w:t>
      </w:r>
    </w:p>
    <w:tbl>
      <w:tblPr>
        <w:tblW w:w="9771" w:type="dxa"/>
        <w:jc w:val="center"/>
        <w:tblLayout w:type="fixed"/>
        <w:tblLook w:val="04A0" w:firstRow="1" w:lastRow="0" w:firstColumn="1" w:lastColumn="0" w:noHBand="0" w:noVBand="1"/>
      </w:tblPr>
      <w:tblGrid>
        <w:gridCol w:w="1111"/>
        <w:gridCol w:w="841"/>
        <w:gridCol w:w="947"/>
        <w:gridCol w:w="974"/>
        <w:gridCol w:w="36"/>
        <w:gridCol w:w="973"/>
        <w:gridCol w:w="976"/>
        <w:gridCol w:w="982"/>
        <w:gridCol w:w="976"/>
        <w:gridCol w:w="976"/>
        <w:gridCol w:w="979"/>
      </w:tblGrid>
      <w:tr w:rsidR="00854D13" w:rsidRPr="0076668A" w14:paraId="3C3EA0BF" w14:textId="77777777" w:rsidTr="0076668A">
        <w:trPr>
          <w:cantSplit/>
          <w:trHeight w:val="274"/>
          <w:jc w:val="center"/>
        </w:trPr>
        <w:tc>
          <w:tcPr>
            <w:tcW w:w="1111" w:type="dxa"/>
            <w:shd w:val="clear" w:color="auto" w:fill="FFFFFF"/>
            <w:tcMar>
              <w:top w:w="0" w:type="dxa"/>
              <w:left w:w="0" w:type="dxa"/>
              <w:bottom w:w="0" w:type="dxa"/>
              <w:right w:w="0" w:type="dxa"/>
            </w:tcMar>
          </w:tcPr>
          <w:p w14:paraId="509BAEA3" w14:textId="77777777" w:rsidR="00854D13" w:rsidRPr="0076668A" w:rsidRDefault="00854D13" w:rsidP="0076668A">
            <w:pPr>
              <w:spacing w:before="80" w:after="80"/>
              <w:ind w:left="79" w:right="79"/>
            </w:pPr>
          </w:p>
        </w:tc>
        <w:tc>
          <w:tcPr>
            <w:tcW w:w="2798" w:type="dxa"/>
            <w:gridSpan w:val="4"/>
            <w:tcBorders>
              <w:right w:val="single" w:sz="4" w:space="0" w:color="FFFFFF" w:themeColor="background1"/>
            </w:tcBorders>
            <w:shd w:val="clear" w:color="auto" w:fill="FFFFFF"/>
            <w:tcMar>
              <w:top w:w="0" w:type="dxa"/>
              <w:left w:w="0" w:type="dxa"/>
              <w:bottom w:w="0" w:type="dxa"/>
              <w:right w:w="0" w:type="dxa"/>
            </w:tcMar>
          </w:tcPr>
          <w:p w14:paraId="7F87963A" w14:textId="77777777" w:rsidR="00854D13" w:rsidRPr="0076668A" w:rsidRDefault="00854D13" w:rsidP="0076668A">
            <w:pPr>
              <w:spacing w:before="80" w:after="80"/>
              <w:ind w:left="79" w:right="79"/>
              <w:jc w:val="center"/>
              <w:rPr>
                <w:b/>
                <w:bCs/>
              </w:rPr>
            </w:pPr>
            <w:r w:rsidRPr="0076668A">
              <w:rPr>
                <w:rFonts w:eastAsia="Arial"/>
                <w:b/>
                <w:bCs/>
                <w:color w:val="111111"/>
              </w:rPr>
              <w:t>HCoV-19</w:t>
            </w:r>
          </w:p>
        </w:tc>
        <w:tc>
          <w:tcPr>
            <w:tcW w:w="2931" w:type="dxa"/>
            <w:gridSpan w:val="3"/>
            <w:tcBorders>
              <w:left w:val="single" w:sz="4" w:space="0" w:color="FFFFFF" w:themeColor="background1"/>
            </w:tcBorders>
            <w:shd w:val="clear" w:color="auto" w:fill="FFFFFF"/>
            <w:tcMar>
              <w:top w:w="0" w:type="dxa"/>
              <w:left w:w="0" w:type="dxa"/>
              <w:bottom w:w="0" w:type="dxa"/>
              <w:right w:w="0" w:type="dxa"/>
            </w:tcMar>
          </w:tcPr>
          <w:p w14:paraId="0F9B284F" w14:textId="77777777" w:rsidR="00854D13" w:rsidRPr="0076668A" w:rsidRDefault="00854D13" w:rsidP="0076668A">
            <w:pPr>
              <w:spacing w:before="80" w:after="80"/>
              <w:ind w:left="79" w:right="79"/>
              <w:jc w:val="center"/>
              <w:rPr>
                <w:b/>
                <w:bCs/>
              </w:rPr>
            </w:pPr>
            <w:r w:rsidRPr="0076668A">
              <w:rPr>
                <w:rFonts w:eastAsia="Arial"/>
                <w:b/>
                <w:bCs/>
                <w:color w:val="111111"/>
              </w:rPr>
              <w:t>SARS-CoV-1</w:t>
            </w:r>
          </w:p>
        </w:tc>
        <w:tc>
          <w:tcPr>
            <w:tcW w:w="2931" w:type="dxa"/>
            <w:gridSpan w:val="3"/>
            <w:shd w:val="clear" w:color="auto" w:fill="FFFFFF"/>
            <w:tcMar>
              <w:top w:w="0" w:type="dxa"/>
              <w:left w:w="0" w:type="dxa"/>
              <w:bottom w:w="0" w:type="dxa"/>
              <w:right w:w="0" w:type="dxa"/>
            </w:tcMar>
          </w:tcPr>
          <w:p w14:paraId="4E660E47" w14:textId="77777777" w:rsidR="00854D13" w:rsidRPr="0076668A" w:rsidRDefault="00854D13" w:rsidP="0076668A">
            <w:pPr>
              <w:spacing w:before="80" w:after="80"/>
              <w:ind w:left="79" w:right="79"/>
              <w:jc w:val="center"/>
              <w:rPr>
                <w:b/>
                <w:bCs/>
              </w:rPr>
            </w:pPr>
            <w:r w:rsidRPr="0076668A">
              <w:rPr>
                <w:rFonts w:eastAsia="Arial"/>
                <w:b/>
                <w:bCs/>
                <w:color w:val="111111"/>
              </w:rPr>
              <w:t>HCoV-19 – SARS-CoV-1</w:t>
            </w:r>
          </w:p>
        </w:tc>
      </w:tr>
      <w:tr w:rsidR="0076668A" w:rsidRPr="0076668A" w14:paraId="0FB956C3" w14:textId="77777777" w:rsidTr="0076668A">
        <w:trPr>
          <w:cantSplit/>
          <w:trHeight w:val="274"/>
          <w:jc w:val="center"/>
        </w:trPr>
        <w:tc>
          <w:tcPr>
            <w:tcW w:w="1111" w:type="dxa"/>
            <w:tcBorders>
              <w:bottom w:val="single" w:sz="8" w:space="0" w:color="000000"/>
            </w:tcBorders>
            <w:shd w:val="clear" w:color="auto" w:fill="FFFFFF"/>
            <w:tcMar>
              <w:top w:w="0" w:type="dxa"/>
              <w:left w:w="0" w:type="dxa"/>
              <w:bottom w:w="0" w:type="dxa"/>
              <w:right w:w="0" w:type="dxa"/>
            </w:tcMar>
          </w:tcPr>
          <w:p w14:paraId="49A988E4" w14:textId="77777777" w:rsidR="00854D13" w:rsidRPr="0076668A" w:rsidRDefault="00854D13" w:rsidP="0076668A">
            <w:pPr>
              <w:spacing w:before="80" w:after="80"/>
              <w:ind w:left="79" w:right="79"/>
            </w:pPr>
          </w:p>
        </w:tc>
        <w:tc>
          <w:tcPr>
            <w:tcW w:w="2798" w:type="dxa"/>
            <w:gridSpan w:val="4"/>
            <w:tcBorders>
              <w:bottom w:val="single" w:sz="8" w:space="0" w:color="000000"/>
              <w:right w:val="single" w:sz="4" w:space="0" w:color="FFFFFF" w:themeColor="background1"/>
            </w:tcBorders>
            <w:shd w:val="clear" w:color="auto" w:fill="FFFFFF"/>
            <w:tcMar>
              <w:top w:w="0" w:type="dxa"/>
              <w:left w:w="0" w:type="dxa"/>
              <w:bottom w:w="0" w:type="dxa"/>
              <w:right w:w="0" w:type="dxa"/>
            </w:tcMar>
          </w:tcPr>
          <w:p w14:paraId="07F573F0" w14:textId="77777777" w:rsidR="00854D13" w:rsidRPr="0076668A" w:rsidRDefault="00854D13" w:rsidP="0076668A">
            <w:pPr>
              <w:spacing w:before="80" w:after="80"/>
              <w:ind w:left="79" w:right="79"/>
              <w:jc w:val="center"/>
            </w:pPr>
            <w:r w:rsidRPr="0076668A">
              <w:rPr>
                <w:rFonts w:eastAsia="Arial"/>
                <w:color w:val="111111"/>
              </w:rPr>
              <w:t>half-life (</w:t>
            </w:r>
            <w:proofErr w:type="spellStart"/>
            <w:r w:rsidRPr="0076668A">
              <w:rPr>
                <w:rFonts w:eastAsia="Arial"/>
                <w:color w:val="111111"/>
              </w:rPr>
              <w:t>hrs</w:t>
            </w:r>
            <w:proofErr w:type="spellEnd"/>
            <w:r w:rsidRPr="0076668A">
              <w:rPr>
                <w:rFonts w:eastAsia="Arial"/>
                <w:color w:val="111111"/>
              </w:rPr>
              <w:t>)</w:t>
            </w:r>
          </w:p>
        </w:tc>
        <w:tc>
          <w:tcPr>
            <w:tcW w:w="2931" w:type="dxa"/>
            <w:gridSpan w:val="3"/>
            <w:tcBorders>
              <w:left w:val="single" w:sz="4" w:space="0" w:color="FFFFFF" w:themeColor="background1"/>
              <w:bottom w:val="single" w:sz="8" w:space="0" w:color="000000"/>
            </w:tcBorders>
            <w:shd w:val="clear" w:color="auto" w:fill="FFFFFF"/>
            <w:tcMar>
              <w:top w:w="0" w:type="dxa"/>
              <w:left w:w="0" w:type="dxa"/>
              <w:bottom w:w="0" w:type="dxa"/>
              <w:right w:w="0" w:type="dxa"/>
            </w:tcMar>
          </w:tcPr>
          <w:p w14:paraId="6E6D813F" w14:textId="77777777" w:rsidR="00854D13" w:rsidRPr="0076668A" w:rsidRDefault="00854D13" w:rsidP="0076668A">
            <w:pPr>
              <w:spacing w:before="80" w:after="80"/>
              <w:ind w:left="79" w:right="79"/>
              <w:jc w:val="center"/>
            </w:pPr>
            <w:r w:rsidRPr="0076668A">
              <w:rPr>
                <w:rFonts w:eastAsia="Arial"/>
                <w:color w:val="111111"/>
              </w:rPr>
              <w:t>half-life (</w:t>
            </w:r>
            <w:proofErr w:type="spellStart"/>
            <w:r w:rsidRPr="0076668A">
              <w:rPr>
                <w:rFonts w:eastAsia="Arial"/>
                <w:color w:val="111111"/>
              </w:rPr>
              <w:t>hrs</w:t>
            </w:r>
            <w:proofErr w:type="spellEnd"/>
            <w:r w:rsidRPr="0076668A">
              <w:rPr>
                <w:rFonts w:eastAsia="Arial"/>
                <w:color w:val="111111"/>
              </w:rPr>
              <w:t>)</w:t>
            </w:r>
          </w:p>
        </w:tc>
        <w:tc>
          <w:tcPr>
            <w:tcW w:w="2931" w:type="dxa"/>
            <w:gridSpan w:val="3"/>
            <w:tcBorders>
              <w:bottom w:val="single" w:sz="8" w:space="0" w:color="000000"/>
            </w:tcBorders>
            <w:shd w:val="clear" w:color="auto" w:fill="FFFFFF"/>
            <w:tcMar>
              <w:top w:w="0" w:type="dxa"/>
              <w:left w:w="0" w:type="dxa"/>
              <w:bottom w:w="0" w:type="dxa"/>
              <w:right w:w="0" w:type="dxa"/>
            </w:tcMar>
          </w:tcPr>
          <w:p w14:paraId="7A043D87" w14:textId="77777777" w:rsidR="00854D13" w:rsidRPr="0076668A" w:rsidRDefault="00854D13" w:rsidP="0076668A">
            <w:pPr>
              <w:spacing w:before="80" w:after="80"/>
              <w:ind w:left="79" w:right="79"/>
              <w:jc w:val="center"/>
            </w:pPr>
            <w:r w:rsidRPr="0076668A">
              <w:rPr>
                <w:rFonts w:eastAsia="Arial"/>
                <w:color w:val="111111"/>
              </w:rPr>
              <w:t>difference (</w:t>
            </w:r>
            <w:proofErr w:type="spellStart"/>
            <w:r w:rsidRPr="0076668A">
              <w:rPr>
                <w:rFonts w:eastAsia="Arial"/>
                <w:color w:val="111111"/>
              </w:rPr>
              <w:t>hrs</w:t>
            </w:r>
            <w:proofErr w:type="spellEnd"/>
            <w:r w:rsidRPr="0076668A">
              <w:rPr>
                <w:rFonts w:eastAsia="Arial"/>
                <w:color w:val="111111"/>
              </w:rPr>
              <w:t>)</w:t>
            </w:r>
          </w:p>
        </w:tc>
      </w:tr>
      <w:tr w:rsidR="0076668A" w:rsidRPr="0076668A" w14:paraId="63107C42" w14:textId="77777777" w:rsidTr="0076668A">
        <w:trPr>
          <w:cantSplit/>
          <w:trHeight w:val="266"/>
          <w:jc w:val="center"/>
        </w:trPr>
        <w:tc>
          <w:tcPr>
            <w:tcW w:w="1111" w:type="dxa"/>
            <w:tcBorders>
              <w:right w:val="single" w:sz="4" w:space="0" w:color="auto"/>
            </w:tcBorders>
            <w:shd w:val="clear" w:color="auto" w:fill="FFFFFF"/>
            <w:tcMar>
              <w:top w:w="0" w:type="dxa"/>
              <w:left w:w="0" w:type="dxa"/>
              <w:bottom w:w="0" w:type="dxa"/>
              <w:right w:w="0" w:type="dxa"/>
            </w:tcMar>
          </w:tcPr>
          <w:p w14:paraId="54422DE9" w14:textId="77777777" w:rsidR="00854D13" w:rsidRPr="0076668A" w:rsidRDefault="00854D13" w:rsidP="0076668A">
            <w:pPr>
              <w:spacing w:before="80" w:after="80"/>
              <w:ind w:left="79" w:right="79"/>
              <w:rPr>
                <w:i/>
                <w:iCs/>
              </w:rPr>
            </w:pPr>
            <w:r w:rsidRPr="0076668A">
              <w:rPr>
                <w:rFonts w:eastAsia="Arial"/>
                <w:i/>
                <w:iCs/>
                <w:color w:val="111111"/>
              </w:rPr>
              <w:t>Material</w:t>
            </w:r>
          </w:p>
        </w:tc>
        <w:tc>
          <w:tcPr>
            <w:tcW w:w="841" w:type="dxa"/>
            <w:tcBorders>
              <w:left w:val="single" w:sz="4" w:space="0" w:color="auto"/>
            </w:tcBorders>
            <w:shd w:val="clear" w:color="auto" w:fill="FFFFFF"/>
            <w:tcMar>
              <w:top w:w="0" w:type="dxa"/>
              <w:left w:w="0" w:type="dxa"/>
              <w:bottom w:w="0" w:type="dxa"/>
              <w:right w:w="0" w:type="dxa"/>
            </w:tcMar>
          </w:tcPr>
          <w:p w14:paraId="09E830E5" w14:textId="77777777" w:rsidR="00854D13" w:rsidRPr="0076668A" w:rsidRDefault="00854D13" w:rsidP="0076668A">
            <w:pPr>
              <w:spacing w:before="80" w:after="80"/>
              <w:ind w:left="79" w:right="79"/>
              <w:jc w:val="center"/>
              <w:rPr>
                <w:i/>
                <w:iCs/>
              </w:rPr>
            </w:pPr>
            <w:r w:rsidRPr="0076668A">
              <w:rPr>
                <w:rFonts w:eastAsia="Arial"/>
                <w:i/>
                <w:iCs/>
                <w:color w:val="111111"/>
              </w:rPr>
              <w:t xml:space="preserve">median   </w:t>
            </w:r>
          </w:p>
        </w:tc>
        <w:tc>
          <w:tcPr>
            <w:tcW w:w="947" w:type="dxa"/>
            <w:shd w:val="clear" w:color="auto" w:fill="FFFFFF"/>
            <w:tcMar>
              <w:top w:w="0" w:type="dxa"/>
              <w:left w:w="0" w:type="dxa"/>
              <w:bottom w:w="0" w:type="dxa"/>
              <w:right w:w="0" w:type="dxa"/>
            </w:tcMar>
          </w:tcPr>
          <w:p w14:paraId="2BA86E3A" w14:textId="77777777" w:rsidR="00854D13" w:rsidRPr="0076668A" w:rsidRDefault="00854D13" w:rsidP="0076668A">
            <w:pPr>
              <w:spacing w:before="80" w:after="80"/>
              <w:ind w:left="79" w:right="79"/>
              <w:jc w:val="center"/>
              <w:rPr>
                <w:i/>
                <w:iCs/>
              </w:rPr>
            </w:pPr>
            <w:r w:rsidRPr="0076668A">
              <w:rPr>
                <w:rFonts w:eastAsia="Arial"/>
                <w:i/>
                <w:iCs/>
                <w:color w:val="111111"/>
              </w:rPr>
              <w:t>2.5%</w:t>
            </w:r>
          </w:p>
        </w:tc>
        <w:tc>
          <w:tcPr>
            <w:tcW w:w="974" w:type="dxa"/>
            <w:tcBorders>
              <w:right w:val="single" w:sz="4" w:space="0" w:color="auto"/>
            </w:tcBorders>
            <w:shd w:val="clear" w:color="auto" w:fill="FFFFFF"/>
            <w:tcMar>
              <w:top w:w="0" w:type="dxa"/>
              <w:left w:w="0" w:type="dxa"/>
              <w:bottom w:w="0" w:type="dxa"/>
              <w:right w:w="0" w:type="dxa"/>
            </w:tcMar>
          </w:tcPr>
          <w:p w14:paraId="779960E9" w14:textId="77777777" w:rsidR="00854D13" w:rsidRPr="0076668A" w:rsidRDefault="00854D13" w:rsidP="0076668A">
            <w:pPr>
              <w:spacing w:before="80" w:after="80"/>
              <w:ind w:left="79" w:right="79"/>
              <w:jc w:val="center"/>
              <w:rPr>
                <w:i/>
                <w:iCs/>
              </w:rPr>
            </w:pPr>
            <w:r w:rsidRPr="0076668A">
              <w:rPr>
                <w:rFonts w:eastAsia="Arial"/>
                <w:i/>
                <w:iCs/>
                <w:color w:val="111111"/>
              </w:rPr>
              <w:t>97.5%</w:t>
            </w:r>
          </w:p>
        </w:tc>
        <w:tc>
          <w:tcPr>
            <w:tcW w:w="1009" w:type="dxa"/>
            <w:gridSpan w:val="2"/>
            <w:tcBorders>
              <w:left w:val="single" w:sz="4" w:space="0" w:color="auto"/>
            </w:tcBorders>
            <w:shd w:val="clear" w:color="auto" w:fill="FFFFFF"/>
            <w:tcMar>
              <w:top w:w="0" w:type="dxa"/>
              <w:left w:w="0" w:type="dxa"/>
              <w:bottom w:w="0" w:type="dxa"/>
              <w:right w:w="0" w:type="dxa"/>
            </w:tcMar>
          </w:tcPr>
          <w:p w14:paraId="5227D38A" w14:textId="77777777" w:rsidR="00854D13" w:rsidRPr="0076668A" w:rsidRDefault="00854D13" w:rsidP="0076668A">
            <w:pPr>
              <w:spacing w:before="80" w:after="80"/>
              <w:ind w:left="79" w:right="79"/>
              <w:jc w:val="center"/>
              <w:rPr>
                <w:i/>
                <w:iCs/>
              </w:rPr>
            </w:pPr>
            <w:r w:rsidRPr="0076668A">
              <w:rPr>
                <w:rFonts w:eastAsia="Arial"/>
                <w:i/>
                <w:iCs/>
                <w:color w:val="111111"/>
              </w:rPr>
              <w:t xml:space="preserve">median   </w:t>
            </w:r>
          </w:p>
        </w:tc>
        <w:tc>
          <w:tcPr>
            <w:tcW w:w="976" w:type="dxa"/>
            <w:shd w:val="clear" w:color="auto" w:fill="FFFFFF"/>
            <w:tcMar>
              <w:top w:w="0" w:type="dxa"/>
              <w:left w:w="0" w:type="dxa"/>
              <w:bottom w:w="0" w:type="dxa"/>
              <w:right w:w="0" w:type="dxa"/>
            </w:tcMar>
          </w:tcPr>
          <w:p w14:paraId="5CEB2993" w14:textId="77777777" w:rsidR="00854D13" w:rsidRPr="0076668A" w:rsidRDefault="00854D13" w:rsidP="0076668A">
            <w:pPr>
              <w:spacing w:before="80" w:after="80"/>
              <w:ind w:left="79" w:right="79"/>
              <w:jc w:val="center"/>
              <w:rPr>
                <w:i/>
                <w:iCs/>
              </w:rPr>
            </w:pPr>
            <w:r w:rsidRPr="0076668A">
              <w:rPr>
                <w:rFonts w:eastAsia="Arial"/>
                <w:i/>
                <w:iCs/>
                <w:color w:val="111111"/>
              </w:rPr>
              <w:t xml:space="preserve">2.5% </w:t>
            </w:r>
          </w:p>
        </w:tc>
        <w:tc>
          <w:tcPr>
            <w:tcW w:w="980" w:type="dxa"/>
            <w:tcBorders>
              <w:right w:val="single" w:sz="4" w:space="0" w:color="auto"/>
            </w:tcBorders>
            <w:shd w:val="clear" w:color="auto" w:fill="FFFFFF"/>
            <w:tcMar>
              <w:top w:w="0" w:type="dxa"/>
              <w:left w:w="0" w:type="dxa"/>
              <w:bottom w:w="0" w:type="dxa"/>
              <w:right w:w="0" w:type="dxa"/>
            </w:tcMar>
          </w:tcPr>
          <w:p w14:paraId="44A6E171" w14:textId="77777777" w:rsidR="00854D13" w:rsidRPr="0076668A" w:rsidRDefault="00854D13" w:rsidP="0076668A">
            <w:pPr>
              <w:spacing w:before="80" w:after="80"/>
              <w:ind w:left="79" w:right="79"/>
              <w:jc w:val="center"/>
              <w:rPr>
                <w:i/>
                <w:iCs/>
              </w:rPr>
            </w:pPr>
            <w:r w:rsidRPr="0076668A">
              <w:rPr>
                <w:rFonts w:eastAsia="Arial"/>
                <w:i/>
                <w:iCs/>
                <w:color w:val="111111"/>
              </w:rPr>
              <w:t>97.5%</w:t>
            </w:r>
          </w:p>
        </w:tc>
        <w:tc>
          <w:tcPr>
            <w:tcW w:w="976" w:type="dxa"/>
            <w:tcBorders>
              <w:left w:val="single" w:sz="4" w:space="0" w:color="auto"/>
            </w:tcBorders>
            <w:shd w:val="clear" w:color="auto" w:fill="FFFFFF"/>
            <w:tcMar>
              <w:top w:w="0" w:type="dxa"/>
              <w:left w:w="0" w:type="dxa"/>
              <w:bottom w:w="0" w:type="dxa"/>
              <w:right w:w="0" w:type="dxa"/>
            </w:tcMar>
          </w:tcPr>
          <w:p w14:paraId="51237B40" w14:textId="77777777" w:rsidR="00854D13" w:rsidRPr="0076668A" w:rsidRDefault="00854D13" w:rsidP="0076668A">
            <w:pPr>
              <w:spacing w:before="80" w:after="80"/>
              <w:ind w:left="79" w:right="79"/>
              <w:jc w:val="center"/>
              <w:rPr>
                <w:i/>
                <w:iCs/>
              </w:rPr>
            </w:pPr>
            <w:r w:rsidRPr="0076668A">
              <w:rPr>
                <w:rFonts w:eastAsia="Arial"/>
                <w:i/>
                <w:iCs/>
                <w:color w:val="111111"/>
              </w:rPr>
              <w:t xml:space="preserve">median      </w:t>
            </w:r>
          </w:p>
        </w:tc>
        <w:tc>
          <w:tcPr>
            <w:tcW w:w="976" w:type="dxa"/>
            <w:shd w:val="clear" w:color="auto" w:fill="FFFFFF"/>
            <w:tcMar>
              <w:top w:w="0" w:type="dxa"/>
              <w:left w:w="0" w:type="dxa"/>
              <w:bottom w:w="0" w:type="dxa"/>
              <w:right w:w="0" w:type="dxa"/>
            </w:tcMar>
          </w:tcPr>
          <w:p w14:paraId="593C1FDD" w14:textId="77777777" w:rsidR="00854D13" w:rsidRPr="0076668A" w:rsidRDefault="00854D13" w:rsidP="0076668A">
            <w:pPr>
              <w:spacing w:before="80" w:after="80"/>
              <w:ind w:left="79" w:right="79"/>
              <w:jc w:val="center"/>
              <w:rPr>
                <w:i/>
                <w:iCs/>
              </w:rPr>
            </w:pPr>
            <w:r w:rsidRPr="0076668A">
              <w:rPr>
                <w:rFonts w:eastAsia="Arial"/>
                <w:i/>
                <w:iCs/>
                <w:color w:val="111111"/>
              </w:rPr>
              <w:t xml:space="preserve">2.5% </w:t>
            </w:r>
          </w:p>
        </w:tc>
        <w:tc>
          <w:tcPr>
            <w:tcW w:w="977" w:type="dxa"/>
            <w:shd w:val="clear" w:color="auto" w:fill="FFFFFF"/>
            <w:tcMar>
              <w:top w:w="0" w:type="dxa"/>
              <w:left w:w="0" w:type="dxa"/>
              <w:bottom w:w="0" w:type="dxa"/>
              <w:right w:w="0" w:type="dxa"/>
            </w:tcMar>
          </w:tcPr>
          <w:p w14:paraId="729F446A" w14:textId="77777777" w:rsidR="00854D13" w:rsidRPr="0076668A" w:rsidRDefault="00854D13" w:rsidP="0076668A">
            <w:pPr>
              <w:spacing w:before="80" w:after="80"/>
              <w:ind w:left="79" w:right="79"/>
              <w:jc w:val="center"/>
              <w:rPr>
                <w:i/>
                <w:iCs/>
              </w:rPr>
            </w:pPr>
            <w:r w:rsidRPr="0076668A">
              <w:rPr>
                <w:rFonts w:eastAsia="Arial"/>
                <w:i/>
                <w:iCs/>
                <w:color w:val="111111"/>
              </w:rPr>
              <w:t>97.5%</w:t>
            </w:r>
          </w:p>
        </w:tc>
      </w:tr>
      <w:tr w:rsidR="0076668A" w:rsidRPr="0076668A" w14:paraId="314A8CE4" w14:textId="77777777" w:rsidTr="0076668A">
        <w:trPr>
          <w:cantSplit/>
          <w:trHeight w:val="256"/>
          <w:jc w:val="center"/>
        </w:trPr>
        <w:tc>
          <w:tcPr>
            <w:tcW w:w="1111" w:type="dxa"/>
            <w:tcBorders>
              <w:right w:val="single" w:sz="4" w:space="0" w:color="auto"/>
            </w:tcBorders>
            <w:shd w:val="clear" w:color="auto" w:fill="FFFFFF"/>
            <w:tcMar>
              <w:top w:w="0" w:type="dxa"/>
              <w:left w:w="0" w:type="dxa"/>
              <w:bottom w:w="0" w:type="dxa"/>
              <w:right w:w="0" w:type="dxa"/>
            </w:tcMar>
          </w:tcPr>
          <w:p w14:paraId="0A7BE398" w14:textId="77777777" w:rsidR="00376040" w:rsidRPr="0076668A" w:rsidRDefault="00376040" w:rsidP="0076668A">
            <w:pPr>
              <w:spacing w:before="80" w:after="80"/>
              <w:ind w:left="79" w:right="79"/>
            </w:pPr>
            <w:r w:rsidRPr="0076668A">
              <w:rPr>
                <w:rFonts w:eastAsia="Arial"/>
                <w:color w:val="111111"/>
              </w:rPr>
              <w:t>Aerosols</w:t>
            </w:r>
          </w:p>
        </w:tc>
        <w:tc>
          <w:tcPr>
            <w:tcW w:w="841" w:type="dxa"/>
            <w:tcBorders>
              <w:left w:val="single" w:sz="4" w:space="0" w:color="auto"/>
            </w:tcBorders>
            <w:shd w:val="clear" w:color="auto" w:fill="FFFFFF"/>
            <w:tcMar>
              <w:top w:w="0" w:type="dxa"/>
              <w:left w:w="0" w:type="dxa"/>
              <w:bottom w:w="0" w:type="dxa"/>
              <w:right w:w="0" w:type="dxa"/>
            </w:tcMar>
          </w:tcPr>
          <w:p w14:paraId="4DD6FC1C" w14:textId="2B35C3D6" w:rsidR="00376040" w:rsidRPr="0076668A" w:rsidRDefault="00376040" w:rsidP="0076668A">
            <w:pPr>
              <w:spacing w:before="80" w:after="80"/>
              <w:ind w:left="79" w:right="79"/>
              <w:jc w:val="center"/>
            </w:pPr>
            <w:r w:rsidRPr="0076668A">
              <w:t xml:space="preserve">1.09 </w:t>
            </w:r>
          </w:p>
        </w:tc>
        <w:tc>
          <w:tcPr>
            <w:tcW w:w="947" w:type="dxa"/>
            <w:shd w:val="clear" w:color="auto" w:fill="FFFFFF"/>
            <w:tcMar>
              <w:top w:w="0" w:type="dxa"/>
              <w:left w:w="0" w:type="dxa"/>
              <w:bottom w:w="0" w:type="dxa"/>
              <w:right w:w="0" w:type="dxa"/>
            </w:tcMar>
          </w:tcPr>
          <w:p w14:paraId="4B92995C" w14:textId="48A6B4A5" w:rsidR="00376040" w:rsidRPr="0076668A" w:rsidRDefault="00376040" w:rsidP="0076668A">
            <w:pPr>
              <w:spacing w:before="80" w:after="80"/>
              <w:ind w:left="79" w:right="79"/>
              <w:jc w:val="center"/>
            </w:pPr>
            <w:r w:rsidRPr="0076668A">
              <w:t xml:space="preserve">0.64 </w:t>
            </w:r>
          </w:p>
        </w:tc>
        <w:tc>
          <w:tcPr>
            <w:tcW w:w="974" w:type="dxa"/>
            <w:tcBorders>
              <w:right w:val="single" w:sz="4" w:space="0" w:color="auto"/>
            </w:tcBorders>
            <w:shd w:val="clear" w:color="auto" w:fill="FFFFFF"/>
            <w:tcMar>
              <w:top w:w="0" w:type="dxa"/>
              <w:left w:w="0" w:type="dxa"/>
              <w:bottom w:w="0" w:type="dxa"/>
              <w:right w:w="0" w:type="dxa"/>
            </w:tcMar>
          </w:tcPr>
          <w:p w14:paraId="52123A6F" w14:textId="3E6CF7DB" w:rsidR="00376040" w:rsidRPr="0076668A" w:rsidRDefault="00376040" w:rsidP="0076668A">
            <w:pPr>
              <w:spacing w:before="80" w:after="80"/>
              <w:ind w:left="79" w:right="79"/>
              <w:jc w:val="center"/>
            </w:pPr>
            <w:r w:rsidRPr="0076668A">
              <w:t>2.64</w:t>
            </w:r>
          </w:p>
        </w:tc>
        <w:tc>
          <w:tcPr>
            <w:tcW w:w="1009" w:type="dxa"/>
            <w:gridSpan w:val="2"/>
            <w:tcBorders>
              <w:left w:val="single" w:sz="4" w:space="0" w:color="auto"/>
            </w:tcBorders>
            <w:shd w:val="clear" w:color="auto" w:fill="FFFFFF"/>
            <w:tcMar>
              <w:top w:w="0" w:type="dxa"/>
              <w:left w:w="0" w:type="dxa"/>
              <w:bottom w:w="0" w:type="dxa"/>
              <w:right w:w="0" w:type="dxa"/>
            </w:tcMar>
          </w:tcPr>
          <w:p w14:paraId="20589043" w14:textId="756D6532" w:rsidR="00376040" w:rsidRPr="0076668A" w:rsidRDefault="00376040" w:rsidP="0076668A">
            <w:pPr>
              <w:spacing w:before="80" w:after="80"/>
              <w:ind w:left="79" w:right="79"/>
              <w:jc w:val="center"/>
            </w:pPr>
            <w:r w:rsidRPr="0076668A">
              <w:t xml:space="preserve">1.18 </w:t>
            </w:r>
          </w:p>
        </w:tc>
        <w:tc>
          <w:tcPr>
            <w:tcW w:w="976" w:type="dxa"/>
            <w:shd w:val="clear" w:color="auto" w:fill="FFFFFF"/>
            <w:tcMar>
              <w:top w:w="0" w:type="dxa"/>
              <w:left w:w="0" w:type="dxa"/>
              <w:bottom w:w="0" w:type="dxa"/>
              <w:right w:w="0" w:type="dxa"/>
            </w:tcMar>
          </w:tcPr>
          <w:p w14:paraId="00A32F50" w14:textId="00D02ACD" w:rsidR="00376040" w:rsidRPr="0076668A" w:rsidRDefault="00376040" w:rsidP="0076668A">
            <w:pPr>
              <w:spacing w:before="80" w:after="80"/>
              <w:ind w:left="79" w:right="79"/>
              <w:jc w:val="center"/>
            </w:pPr>
            <w:r w:rsidRPr="0076668A">
              <w:t>0.778</w:t>
            </w:r>
          </w:p>
        </w:tc>
        <w:tc>
          <w:tcPr>
            <w:tcW w:w="980" w:type="dxa"/>
            <w:tcBorders>
              <w:right w:val="single" w:sz="4" w:space="0" w:color="auto"/>
            </w:tcBorders>
            <w:shd w:val="clear" w:color="auto" w:fill="FFFFFF"/>
            <w:tcMar>
              <w:top w:w="0" w:type="dxa"/>
              <w:left w:w="0" w:type="dxa"/>
              <w:bottom w:w="0" w:type="dxa"/>
              <w:right w:w="0" w:type="dxa"/>
            </w:tcMar>
          </w:tcPr>
          <w:p w14:paraId="0F5AC2CB" w14:textId="4D06A2DC" w:rsidR="00376040" w:rsidRPr="0076668A" w:rsidRDefault="00376040" w:rsidP="0076668A">
            <w:pPr>
              <w:spacing w:before="80" w:after="80"/>
              <w:ind w:left="79" w:right="79"/>
              <w:jc w:val="center"/>
            </w:pPr>
            <w:r w:rsidRPr="0076668A">
              <w:t>2.43</w:t>
            </w:r>
          </w:p>
        </w:tc>
        <w:tc>
          <w:tcPr>
            <w:tcW w:w="976" w:type="dxa"/>
            <w:tcBorders>
              <w:left w:val="single" w:sz="4" w:space="0" w:color="auto"/>
            </w:tcBorders>
            <w:shd w:val="clear" w:color="auto" w:fill="FFFFFF"/>
            <w:tcMar>
              <w:top w:w="0" w:type="dxa"/>
              <w:left w:w="0" w:type="dxa"/>
              <w:bottom w:w="0" w:type="dxa"/>
              <w:right w:w="0" w:type="dxa"/>
            </w:tcMar>
          </w:tcPr>
          <w:p w14:paraId="27EF981A" w14:textId="12A2A818" w:rsidR="00376040" w:rsidRPr="0076668A" w:rsidRDefault="00376040" w:rsidP="0076668A">
            <w:pPr>
              <w:spacing w:before="80" w:after="80"/>
              <w:ind w:left="79" w:right="79"/>
              <w:jc w:val="center"/>
            </w:pPr>
            <w:r w:rsidRPr="0076668A">
              <w:t>-0.0913</w:t>
            </w:r>
          </w:p>
        </w:tc>
        <w:tc>
          <w:tcPr>
            <w:tcW w:w="976" w:type="dxa"/>
            <w:shd w:val="clear" w:color="auto" w:fill="FFFFFF"/>
            <w:tcMar>
              <w:top w:w="0" w:type="dxa"/>
              <w:left w:w="0" w:type="dxa"/>
              <w:bottom w:w="0" w:type="dxa"/>
              <w:right w:w="0" w:type="dxa"/>
            </w:tcMar>
          </w:tcPr>
          <w:p w14:paraId="2DAADED2" w14:textId="05175B51" w:rsidR="00376040" w:rsidRPr="0076668A" w:rsidRDefault="00376040" w:rsidP="0076668A">
            <w:pPr>
              <w:spacing w:before="80" w:after="80"/>
              <w:ind w:left="79" w:right="79"/>
              <w:jc w:val="center"/>
            </w:pPr>
            <w:r w:rsidRPr="0076668A">
              <w:t xml:space="preserve">-1.35   </w:t>
            </w:r>
          </w:p>
        </w:tc>
        <w:tc>
          <w:tcPr>
            <w:tcW w:w="977" w:type="dxa"/>
            <w:shd w:val="clear" w:color="auto" w:fill="FFFFFF"/>
            <w:tcMar>
              <w:top w:w="0" w:type="dxa"/>
              <w:left w:w="0" w:type="dxa"/>
              <w:bottom w:w="0" w:type="dxa"/>
              <w:right w:w="0" w:type="dxa"/>
            </w:tcMar>
          </w:tcPr>
          <w:p w14:paraId="0F32F76B" w14:textId="6C16E78C" w:rsidR="00376040" w:rsidRPr="0076668A" w:rsidRDefault="00376040" w:rsidP="0076668A">
            <w:pPr>
              <w:spacing w:before="80" w:after="80"/>
              <w:ind w:left="79" w:right="79"/>
              <w:jc w:val="center"/>
            </w:pPr>
            <w:r w:rsidRPr="0076668A">
              <w:t xml:space="preserve">1.39  </w:t>
            </w:r>
          </w:p>
        </w:tc>
      </w:tr>
      <w:tr w:rsidR="0076668A" w:rsidRPr="0076668A" w14:paraId="1086C518" w14:textId="77777777" w:rsidTr="0076668A">
        <w:trPr>
          <w:cantSplit/>
          <w:trHeight w:val="266"/>
          <w:jc w:val="center"/>
        </w:trPr>
        <w:tc>
          <w:tcPr>
            <w:tcW w:w="1111" w:type="dxa"/>
            <w:tcBorders>
              <w:right w:val="single" w:sz="4" w:space="0" w:color="auto"/>
            </w:tcBorders>
            <w:shd w:val="clear" w:color="auto" w:fill="FFFFFF"/>
            <w:tcMar>
              <w:top w:w="0" w:type="dxa"/>
              <w:left w:w="0" w:type="dxa"/>
              <w:bottom w:w="0" w:type="dxa"/>
              <w:right w:w="0" w:type="dxa"/>
            </w:tcMar>
          </w:tcPr>
          <w:p w14:paraId="140BCDD3" w14:textId="77777777" w:rsidR="00376040" w:rsidRPr="0076668A" w:rsidRDefault="00376040" w:rsidP="0076668A">
            <w:pPr>
              <w:spacing w:before="80" w:after="80"/>
              <w:ind w:left="79" w:right="79"/>
            </w:pPr>
            <w:r w:rsidRPr="0076668A">
              <w:rPr>
                <w:rFonts w:eastAsia="Arial"/>
                <w:color w:val="111111"/>
              </w:rPr>
              <w:t>Copper</w:t>
            </w:r>
          </w:p>
        </w:tc>
        <w:tc>
          <w:tcPr>
            <w:tcW w:w="841" w:type="dxa"/>
            <w:tcBorders>
              <w:left w:val="single" w:sz="4" w:space="0" w:color="auto"/>
            </w:tcBorders>
            <w:shd w:val="clear" w:color="auto" w:fill="FFFFFF"/>
            <w:tcMar>
              <w:top w:w="0" w:type="dxa"/>
              <w:left w:w="0" w:type="dxa"/>
              <w:bottom w:w="0" w:type="dxa"/>
              <w:right w:w="0" w:type="dxa"/>
            </w:tcMar>
          </w:tcPr>
          <w:p w14:paraId="23E3E252" w14:textId="45BDDDBF" w:rsidR="00376040" w:rsidRPr="0076668A" w:rsidRDefault="00376040" w:rsidP="0076668A">
            <w:pPr>
              <w:spacing w:before="80" w:after="80"/>
              <w:ind w:left="79" w:right="79"/>
              <w:jc w:val="center"/>
            </w:pPr>
            <w:r w:rsidRPr="0076668A">
              <w:t>0.774</w:t>
            </w:r>
          </w:p>
        </w:tc>
        <w:tc>
          <w:tcPr>
            <w:tcW w:w="947" w:type="dxa"/>
            <w:shd w:val="clear" w:color="auto" w:fill="FFFFFF"/>
            <w:tcMar>
              <w:top w:w="0" w:type="dxa"/>
              <w:left w:w="0" w:type="dxa"/>
              <w:bottom w:w="0" w:type="dxa"/>
              <w:right w:w="0" w:type="dxa"/>
            </w:tcMar>
          </w:tcPr>
          <w:p w14:paraId="786E2AA1" w14:textId="1FF0B3D7" w:rsidR="00376040" w:rsidRPr="0076668A" w:rsidRDefault="00376040" w:rsidP="0076668A">
            <w:pPr>
              <w:spacing w:before="80" w:after="80"/>
              <w:ind w:left="79" w:right="79"/>
              <w:jc w:val="center"/>
            </w:pPr>
            <w:r w:rsidRPr="0076668A">
              <w:t>0.427</w:t>
            </w:r>
          </w:p>
        </w:tc>
        <w:tc>
          <w:tcPr>
            <w:tcW w:w="974" w:type="dxa"/>
            <w:tcBorders>
              <w:right w:val="single" w:sz="4" w:space="0" w:color="auto"/>
            </w:tcBorders>
            <w:shd w:val="clear" w:color="auto" w:fill="FFFFFF"/>
            <w:tcMar>
              <w:top w:w="0" w:type="dxa"/>
              <w:left w:w="0" w:type="dxa"/>
              <w:bottom w:w="0" w:type="dxa"/>
              <w:right w:w="0" w:type="dxa"/>
            </w:tcMar>
          </w:tcPr>
          <w:p w14:paraId="35666BF2" w14:textId="70301592" w:rsidR="00376040" w:rsidRPr="0076668A" w:rsidRDefault="00376040" w:rsidP="0076668A">
            <w:pPr>
              <w:spacing w:before="80" w:after="80"/>
              <w:ind w:left="79" w:right="79"/>
              <w:jc w:val="center"/>
            </w:pPr>
            <w:r w:rsidRPr="0076668A">
              <w:t>1.19</w:t>
            </w:r>
          </w:p>
        </w:tc>
        <w:tc>
          <w:tcPr>
            <w:tcW w:w="1009" w:type="dxa"/>
            <w:gridSpan w:val="2"/>
            <w:tcBorders>
              <w:left w:val="single" w:sz="4" w:space="0" w:color="auto"/>
            </w:tcBorders>
            <w:shd w:val="clear" w:color="auto" w:fill="FFFFFF"/>
            <w:tcMar>
              <w:top w:w="0" w:type="dxa"/>
              <w:left w:w="0" w:type="dxa"/>
              <w:bottom w:w="0" w:type="dxa"/>
              <w:right w:w="0" w:type="dxa"/>
            </w:tcMar>
          </w:tcPr>
          <w:p w14:paraId="3547F21D" w14:textId="7FB87367" w:rsidR="00376040" w:rsidRPr="0076668A" w:rsidRDefault="00376040" w:rsidP="0076668A">
            <w:pPr>
              <w:spacing w:before="80" w:after="80"/>
              <w:ind w:left="79" w:right="79"/>
              <w:jc w:val="center"/>
            </w:pPr>
            <w:r w:rsidRPr="0076668A">
              <w:t xml:space="preserve">1.5  </w:t>
            </w:r>
          </w:p>
        </w:tc>
        <w:tc>
          <w:tcPr>
            <w:tcW w:w="976" w:type="dxa"/>
            <w:shd w:val="clear" w:color="auto" w:fill="FFFFFF"/>
            <w:tcMar>
              <w:top w:w="0" w:type="dxa"/>
              <w:left w:w="0" w:type="dxa"/>
              <w:bottom w:w="0" w:type="dxa"/>
              <w:right w:w="0" w:type="dxa"/>
            </w:tcMar>
          </w:tcPr>
          <w:p w14:paraId="24201C27" w14:textId="62302FE0" w:rsidR="00376040" w:rsidRPr="0076668A" w:rsidRDefault="00376040" w:rsidP="0076668A">
            <w:pPr>
              <w:spacing w:before="80" w:after="80"/>
              <w:ind w:left="79" w:right="79"/>
              <w:jc w:val="center"/>
            </w:pPr>
            <w:r w:rsidRPr="0076668A">
              <w:t>0.929</w:t>
            </w:r>
          </w:p>
        </w:tc>
        <w:tc>
          <w:tcPr>
            <w:tcW w:w="980" w:type="dxa"/>
            <w:tcBorders>
              <w:right w:val="single" w:sz="4" w:space="0" w:color="auto"/>
            </w:tcBorders>
            <w:shd w:val="clear" w:color="auto" w:fill="FFFFFF"/>
            <w:tcMar>
              <w:top w:w="0" w:type="dxa"/>
              <w:left w:w="0" w:type="dxa"/>
              <w:bottom w:w="0" w:type="dxa"/>
              <w:right w:w="0" w:type="dxa"/>
            </w:tcMar>
          </w:tcPr>
          <w:p w14:paraId="7EE4C0EE" w14:textId="6DA98F25" w:rsidR="00376040" w:rsidRPr="0076668A" w:rsidRDefault="00376040" w:rsidP="0076668A">
            <w:pPr>
              <w:spacing w:before="80" w:after="80"/>
              <w:ind w:left="79" w:right="79"/>
              <w:jc w:val="center"/>
            </w:pPr>
            <w:r w:rsidRPr="0076668A">
              <w:t>2.66</w:t>
            </w:r>
          </w:p>
        </w:tc>
        <w:tc>
          <w:tcPr>
            <w:tcW w:w="976" w:type="dxa"/>
            <w:tcBorders>
              <w:left w:val="single" w:sz="4" w:space="0" w:color="auto"/>
            </w:tcBorders>
            <w:shd w:val="clear" w:color="auto" w:fill="FFFFFF"/>
            <w:tcMar>
              <w:top w:w="0" w:type="dxa"/>
              <w:left w:w="0" w:type="dxa"/>
              <w:bottom w:w="0" w:type="dxa"/>
              <w:right w:w="0" w:type="dxa"/>
            </w:tcMar>
          </w:tcPr>
          <w:p w14:paraId="28CA7694" w14:textId="1CE5786D" w:rsidR="00376040" w:rsidRPr="0076668A" w:rsidRDefault="00376040" w:rsidP="0076668A">
            <w:pPr>
              <w:spacing w:before="80" w:after="80"/>
              <w:ind w:left="79" w:right="79"/>
              <w:jc w:val="center"/>
            </w:pPr>
            <w:r w:rsidRPr="0076668A">
              <w:t xml:space="preserve">-0.735 </w:t>
            </w:r>
          </w:p>
        </w:tc>
        <w:tc>
          <w:tcPr>
            <w:tcW w:w="976" w:type="dxa"/>
            <w:shd w:val="clear" w:color="auto" w:fill="FFFFFF"/>
            <w:tcMar>
              <w:top w:w="0" w:type="dxa"/>
              <w:left w:w="0" w:type="dxa"/>
              <w:bottom w:w="0" w:type="dxa"/>
              <w:right w:w="0" w:type="dxa"/>
            </w:tcMar>
          </w:tcPr>
          <w:p w14:paraId="7A33D903" w14:textId="2A49BC59" w:rsidR="00376040" w:rsidRPr="0076668A" w:rsidRDefault="00376040" w:rsidP="0076668A">
            <w:pPr>
              <w:spacing w:before="80" w:after="80"/>
              <w:ind w:left="79" w:right="79"/>
              <w:jc w:val="center"/>
            </w:pPr>
            <w:r w:rsidRPr="0076668A">
              <w:t xml:space="preserve">-1.91   </w:t>
            </w:r>
          </w:p>
        </w:tc>
        <w:tc>
          <w:tcPr>
            <w:tcW w:w="977" w:type="dxa"/>
            <w:shd w:val="clear" w:color="auto" w:fill="FFFFFF"/>
            <w:tcMar>
              <w:top w:w="0" w:type="dxa"/>
              <w:left w:w="0" w:type="dxa"/>
              <w:bottom w:w="0" w:type="dxa"/>
              <w:right w:w="0" w:type="dxa"/>
            </w:tcMar>
          </w:tcPr>
          <w:p w14:paraId="321952B5" w14:textId="69CB787F" w:rsidR="00376040" w:rsidRPr="0076668A" w:rsidRDefault="00376040" w:rsidP="0076668A">
            <w:pPr>
              <w:spacing w:before="80" w:after="80"/>
              <w:ind w:left="79" w:right="79"/>
              <w:jc w:val="center"/>
            </w:pPr>
            <w:r w:rsidRPr="0076668A">
              <w:t>-0.0339</w:t>
            </w:r>
          </w:p>
        </w:tc>
      </w:tr>
      <w:tr w:rsidR="0076668A" w:rsidRPr="0076668A" w14:paraId="483F3AAB" w14:textId="77777777" w:rsidTr="0076668A">
        <w:trPr>
          <w:cantSplit/>
          <w:trHeight w:val="256"/>
          <w:jc w:val="center"/>
        </w:trPr>
        <w:tc>
          <w:tcPr>
            <w:tcW w:w="1111" w:type="dxa"/>
            <w:tcBorders>
              <w:right w:val="single" w:sz="4" w:space="0" w:color="auto"/>
            </w:tcBorders>
            <w:shd w:val="clear" w:color="auto" w:fill="FFFFFF"/>
            <w:tcMar>
              <w:top w:w="0" w:type="dxa"/>
              <w:left w:w="0" w:type="dxa"/>
              <w:bottom w:w="0" w:type="dxa"/>
              <w:right w:w="0" w:type="dxa"/>
            </w:tcMar>
          </w:tcPr>
          <w:p w14:paraId="1D43ED4E" w14:textId="77777777" w:rsidR="00376040" w:rsidRPr="0076668A" w:rsidRDefault="00376040" w:rsidP="0076668A">
            <w:pPr>
              <w:spacing w:before="80" w:after="80"/>
              <w:ind w:left="79" w:right="79"/>
            </w:pPr>
            <w:r w:rsidRPr="0076668A">
              <w:rPr>
                <w:rFonts w:eastAsia="Arial"/>
                <w:color w:val="111111"/>
              </w:rPr>
              <w:t>Cardboard</w:t>
            </w:r>
          </w:p>
        </w:tc>
        <w:tc>
          <w:tcPr>
            <w:tcW w:w="841" w:type="dxa"/>
            <w:tcBorders>
              <w:left w:val="single" w:sz="4" w:space="0" w:color="auto"/>
            </w:tcBorders>
            <w:shd w:val="clear" w:color="auto" w:fill="FFFFFF"/>
            <w:tcMar>
              <w:top w:w="0" w:type="dxa"/>
              <w:left w:w="0" w:type="dxa"/>
              <w:bottom w:w="0" w:type="dxa"/>
              <w:right w:w="0" w:type="dxa"/>
            </w:tcMar>
          </w:tcPr>
          <w:p w14:paraId="51F39D08" w14:textId="3DDA9BFE" w:rsidR="00376040" w:rsidRPr="0076668A" w:rsidRDefault="00376040" w:rsidP="0076668A">
            <w:pPr>
              <w:spacing w:before="80" w:after="80"/>
              <w:ind w:left="79" w:right="79"/>
              <w:jc w:val="center"/>
            </w:pPr>
            <w:r w:rsidRPr="0076668A">
              <w:t xml:space="preserve">3.46 </w:t>
            </w:r>
          </w:p>
        </w:tc>
        <w:tc>
          <w:tcPr>
            <w:tcW w:w="947" w:type="dxa"/>
            <w:shd w:val="clear" w:color="auto" w:fill="FFFFFF"/>
            <w:tcMar>
              <w:top w:w="0" w:type="dxa"/>
              <w:left w:w="0" w:type="dxa"/>
              <w:bottom w:w="0" w:type="dxa"/>
              <w:right w:w="0" w:type="dxa"/>
            </w:tcMar>
          </w:tcPr>
          <w:p w14:paraId="09DC11A1" w14:textId="069F42C8" w:rsidR="00376040" w:rsidRPr="0076668A" w:rsidRDefault="00376040" w:rsidP="0076668A">
            <w:pPr>
              <w:spacing w:before="80" w:after="80"/>
              <w:ind w:left="79" w:right="79"/>
              <w:jc w:val="center"/>
            </w:pPr>
            <w:r w:rsidRPr="0076668A">
              <w:t xml:space="preserve">2.34 </w:t>
            </w:r>
          </w:p>
        </w:tc>
        <w:tc>
          <w:tcPr>
            <w:tcW w:w="974" w:type="dxa"/>
            <w:tcBorders>
              <w:right w:val="single" w:sz="4" w:space="0" w:color="auto"/>
            </w:tcBorders>
            <w:shd w:val="clear" w:color="auto" w:fill="FFFFFF"/>
            <w:tcMar>
              <w:top w:w="0" w:type="dxa"/>
              <w:left w:w="0" w:type="dxa"/>
              <w:bottom w:w="0" w:type="dxa"/>
              <w:right w:w="0" w:type="dxa"/>
            </w:tcMar>
          </w:tcPr>
          <w:p w14:paraId="5A9CF92C" w14:textId="26D1AE87" w:rsidR="00376040" w:rsidRPr="0076668A" w:rsidRDefault="00376040" w:rsidP="0076668A">
            <w:pPr>
              <w:spacing w:before="80" w:after="80"/>
              <w:ind w:left="79" w:right="79"/>
              <w:jc w:val="center"/>
            </w:pPr>
            <w:r w:rsidRPr="0076668A">
              <w:t xml:space="preserve">5   </w:t>
            </w:r>
          </w:p>
        </w:tc>
        <w:tc>
          <w:tcPr>
            <w:tcW w:w="1009" w:type="dxa"/>
            <w:gridSpan w:val="2"/>
            <w:tcBorders>
              <w:left w:val="single" w:sz="4" w:space="0" w:color="auto"/>
            </w:tcBorders>
            <w:shd w:val="clear" w:color="auto" w:fill="FFFFFF"/>
            <w:tcMar>
              <w:top w:w="0" w:type="dxa"/>
              <w:left w:w="0" w:type="dxa"/>
              <w:bottom w:w="0" w:type="dxa"/>
              <w:right w:w="0" w:type="dxa"/>
            </w:tcMar>
          </w:tcPr>
          <w:p w14:paraId="530FE2DA" w14:textId="5521298A" w:rsidR="00376040" w:rsidRPr="0076668A" w:rsidRDefault="00376040" w:rsidP="0076668A">
            <w:pPr>
              <w:spacing w:before="80" w:after="80"/>
              <w:ind w:left="79" w:right="79"/>
              <w:jc w:val="center"/>
            </w:pPr>
            <w:r w:rsidRPr="0076668A">
              <w:t>0.587</w:t>
            </w:r>
          </w:p>
        </w:tc>
        <w:tc>
          <w:tcPr>
            <w:tcW w:w="976" w:type="dxa"/>
            <w:shd w:val="clear" w:color="auto" w:fill="FFFFFF"/>
            <w:tcMar>
              <w:top w:w="0" w:type="dxa"/>
              <w:left w:w="0" w:type="dxa"/>
              <w:bottom w:w="0" w:type="dxa"/>
              <w:right w:w="0" w:type="dxa"/>
            </w:tcMar>
          </w:tcPr>
          <w:p w14:paraId="237EA52E" w14:textId="74436B52" w:rsidR="00376040" w:rsidRPr="0076668A" w:rsidRDefault="00376040" w:rsidP="0076668A">
            <w:pPr>
              <w:spacing w:before="80" w:after="80"/>
              <w:ind w:left="79" w:right="79"/>
              <w:jc w:val="center"/>
            </w:pPr>
            <w:r w:rsidRPr="0076668A">
              <w:t>0.317</w:t>
            </w:r>
          </w:p>
        </w:tc>
        <w:tc>
          <w:tcPr>
            <w:tcW w:w="980" w:type="dxa"/>
            <w:tcBorders>
              <w:right w:val="single" w:sz="4" w:space="0" w:color="auto"/>
            </w:tcBorders>
            <w:shd w:val="clear" w:color="auto" w:fill="FFFFFF"/>
            <w:tcMar>
              <w:top w:w="0" w:type="dxa"/>
              <w:left w:w="0" w:type="dxa"/>
              <w:bottom w:w="0" w:type="dxa"/>
              <w:right w:w="0" w:type="dxa"/>
            </w:tcMar>
          </w:tcPr>
          <w:p w14:paraId="4C93A356" w14:textId="597920F9" w:rsidR="00376040" w:rsidRPr="0076668A" w:rsidRDefault="00376040" w:rsidP="0076668A">
            <w:pPr>
              <w:spacing w:before="80" w:after="80"/>
              <w:ind w:left="79" w:right="79"/>
              <w:jc w:val="center"/>
            </w:pPr>
            <w:r w:rsidRPr="0076668A">
              <w:t>1.21</w:t>
            </w:r>
          </w:p>
        </w:tc>
        <w:tc>
          <w:tcPr>
            <w:tcW w:w="976" w:type="dxa"/>
            <w:tcBorders>
              <w:left w:val="single" w:sz="4" w:space="0" w:color="auto"/>
            </w:tcBorders>
            <w:shd w:val="clear" w:color="auto" w:fill="FFFFFF"/>
            <w:tcMar>
              <w:top w:w="0" w:type="dxa"/>
              <w:left w:w="0" w:type="dxa"/>
              <w:bottom w:w="0" w:type="dxa"/>
              <w:right w:w="0" w:type="dxa"/>
            </w:tcMar>
          </w:tcPr>
          <w:p w14:paraId="56EDFAF9" w14:textId="16F2D7C9" w:rsidR="00376040" w:rsidRPr="0076668A" w:rsidRDefault="00376040" w:rsidP="0076668A">
            <w:pPr>
              <w:spacing w:before="80" w:after="80"/>
              <w:ind w:left="79" w:right="79"/>
              <w:jc w:val="center"/>
            </w:pPr>
            <w:r w:rsidRPr="0076668A">
              <w:t xml:space="preserve">2.85  </w:t>
            </w:r>
          </w:p>
        </w:tc>
        <w:tc>
          <w:tcPr>
            <w:tcW w:w="976" w:type="dxa"/>
            <w:shd w:val="clear" w:color="auto" w:fill="FFFFFF"/>
            <w:tcMar>
              <w:top w:w="0" w:type="dxa"/>
              <w:left w:w="0" w:type="dxa"/>
              <w:bottom w:w="0" w:type="dxa"/>
              <w:right w:w="0" w:type="dxa"/>
            </w:tcMar>
          </w:tcPr>
          <w:p w14:paraId="02C20F68" w14:textId="7D4D0000" w:rsidR="00376040" w:rsidRPr="0076668A" w:rsidRDefault="00376040" w:rsidP="0076668A">
            <w:pPr>
              <w:spacing w:before="80" w:after="80"/>
              <w:ind w:left="79" w:right="79"/>
              <w:jc w:val="center"/>
            </w:pPr>
            <w:r w:rsidRPr="0076668A">
              <w:t xml:space="preserve">1.58   </w:t>
            </w:r>
          </w:p>
        </w:tc>
        <w:tc>
          <w:tcPr>
            <w:tcW w:w="977" w:type="dxa"/>
            <w:shd w:val="clear" w:color="auto" w:fill="FFFFFF"/>
            <w:tcMar>
              <w:top w:w="0" w:type="dxa"/>
              <w:left w:w="0" w:type="dxa"/>
              <w:bottom w:w="0" w:type="dxa"/>
              <w:right w:w="0" w:type="dxa"/>
            </w:tcMar>
          </w:tcPr>
          <w:p w14:paraId="69D5C04D" w14:textId="0E05F2DE" w:rsidR="00376040" w:rsidRPr="0076668A" w:rsidRDefault="00376040" w:rsidP="0076668A">
            <w:pPr>
              <w:spacing w:before="80" w:after="80"/>
              <w:ind w:left="79" w:right="79"/>
              <w:jc w:val="center"/>
            </w:pPr>
            <w:r w:rsidRPr="0076668A">
              <w:t xml:space="preserve">4.41  </w:t>
            </w:r>
          </w:p>
        </w:tc>
      </w:tr>
      <w:tr w:rsidR="0076668A" w:rsidRPr="0076668A" w14:paraId="25479EBC" w14:textId="77777777" w:rsidTr="0076668A">
        <w:trPr>
          <w:cantSplit/>
          <w:trHeight w:val="266"/>
          <w:jc w:val="center"/>
        </w:trPr>
        <w:tc>
          <w:tcPr>
            <w:tcW w:w="1111" w:type="dxa"/>
            <w:tcBorders>
              <w:right w:val="single" w:sz="4" w:space="0" w:color="auto"/>
            </w:tcBorders>
            <w:shd w:val="clear" w:color="auto" w:fill="FFFFFF"/>
            <w:tcMar>
              <w:top w:w="0" w:type="dxa"/>
              <w:left w:w="0" w:type="dxa"/>
              <w:bottom w:w="0" w:type="dxa"/>
              <w:right w:w="0" w:type="dxa"/>
            </w:tcMar>
          </w:tcPr>
          <w:p w14:paraId="3CBA83CB" w14:textId="77777777" w:rsidR="00376040" w:rsidRPr="0076668A" w:rsidRDefault="00376040" w:rsidP="0076668A">
            <w:pPr>
              <w:spacing w:before="80" w:after="80"/>
              <w:ind w:left="79" w:right="79"/>
            </w:pPr>
            <w:r w:rsidRPr="0076668A">
              <w:rPr>
                <w:rFonts w:eastAsia="Arial"/>
                <w:color w:val="111111"/>
              </w:rPr>
              <w:t>Steel</w:t>
            </w:r>
          </w:p>
        </w:tc>
        <w:tc>
          <w:tcPr>
            <w:tcW w:w="841" w:type="dxa"/>
            <w:tcBorders>
              <w:left w:val="single" w:sz="4" w:space="0" w:color="auto"/>
            </w:tcBorders>
            <w:shd w:val="clear" w:color="auto" w:fill="FFFFFF"/>
            <w:tcMar>
              <w:top w:w="0" w:type="dxa"/>
              <w:left w:w="0" w:type="dxa"/>
              <w:bottom w:w="0" w:type="dxa"/>
              <w:right w:w="0" w:type="dxa"/>
            </w:tcMar>
          </w:tcPr>
          <w:p w14:paraId="5A5EDC22" w14:textId="1542F3A9" w:rsidR="00376040" w:rsidRPr="0076668A" w:rsidRDefault="00376040" w:rsidP="0076668A">
            <w:pPr>
              <w:spacing w:before="80" w:after="80"/>
              <w:ind w:left="79" w:right="79"/>
              <w:jc w:val="center"/>
            </w:pPr>
            <w:r w:rsidRPr="0076668A">
              <w:t xml:space="preserve">5.63 </w:t>
            </w:r>
          </w:p>
        </w:tc>
        <w:tc>
          <w:tcPr>
            <w:tcW w:w="947" w:type="dxa"/>
            <w:shd w:val="clear" w:color="auto" w:fill="FFFFFF"/>
            <w:tcMar>
              <w:top w:w="0" w:type="dxa"/>
              <w:left w:w="0" w:type="dxa"/>
              <w:bottom w:w="0" w:type="dxa"/>
              <w:right w:w="0" w:type="dxa"/>
            </w:tcMar>
          </w:tcPr>
          <w:p w14:paraId="042FF8F2" w14:textId="448A5909" w:rsidR="00376040" w:rsidRPr="0076668A" w:rsidRDefault="00376040" w:rsidP="0076668A">
            <w:pPr>
              <w:spacing w:before="80" w:after="80"/>
              <w:ind w:left="79" w:right="79"/>
              <w:jc w:val="center"/>
            </w:pPr>
            <w:r w:rsidRPr="0076668A">
              <w:t xml:space="preserve">4.59 </w:t>
            </w:r>
          </w:p>
        </w:tc>
        <w:tc>
          <w:tcPr>
            <w:tcW w:w="974" w:type="dxa"/>
            <w:tcBorders>
              <w:right w:val="single" w:sz="4" w:space="0" w:color="auto"/>
            </w:tcBorders>
            <w:shd w:val="clear" w:color="auto" w:fill="FFFFFF"/>
            <w:tcMar>
              <w:top w:w="0" w:type="dxa"/>
              <w:left w:w="0" w:type="dxa"/>
              <w:bottom w:w="0" w:type="dxa"/>
              <w:right w:w="0" w:type="dxa"/>
            </w:tcMar>
          </w:tcPr>
          <w:p w14:paraId="3F6E014E" w14:textId="0A86826B" w:rsidR="00376040" w:rsidRPr="0076668A" w:rsidRDefault="00376040" w:rsidP="0076668A">
            <w:pPr>
              <w:spacing w:before="80" w:after="80"/>
              <w:ind w:left="79" w:right="79"/>
              <w:jc w:val="center"/>
            </w:pPr>
            <w:r w:rsidRPr="0076668A">
              <w:t>6.86</w:t>
            </w:r>
          </w:p>
        </w:tc>
        <w:tc>
          <w:tcPr>
            <w:tcW w:w="1009" w:type="dxa"/>
            <w:gridSpan w:val="2"/>
            <w:tcBorders>
              <w:left w:val="single" w:sz="4" w:space="0" w:color="auto"/>
            </w:tcBorders>
            <w:shd w:val="clear" w:color="auto" w:fill="FFFFFF"/>
            <w:tcMar>
              <w:top w:w="0" w:type="dxa"/>
              <w:left w:w="0" w:type="dxa"/>
              <w:bottom w:w="0" w:type="dxa"/>
              <w:right w:w="0" w:type="dxa"/>
            </w:tcMar>
          </w:tcPr>
          <w:p w14:paraId="7A34D94F" w14:textId="6545F5AC" w:rsidR="00376040" w:rsidRPr="0076668A" w:rsidRDefault="00376040" w:rsidP="0076668A">
            <w:pPr>
              <w:spacing w:before="80" w:after="80"/>
              <w:ind w:left="79" w:right="79"/>
              <w:jc w:val="center"/>
            </w:pPr>
            <w:r w:rsidRPr="0076668A">
              <w:t xml:space="preserve">4.16 </w:t>
            </w:r>
          </w:p>
        </w:tc>
        <w:tc>
          <w:tcPr>
            <w:tcW w:w="976" w:type="dxa"/>
            <w:shd w:val="clear" w:color="auto" w:fill="FFFFFF"/>
            <w:tcMar>
              <w:top w:w="0" w:type="dxa"/>
              <w:left w:w="0" w:type="dxa"/>
              <w:bottom w:w="0" w:type="dxa"/>
              <w:right w:w="0" w:type="dxa"/>
            </w:tcMar>
          </w:tcPr>
          <w:p w14:paraId="5881B2F2" w14:textId="47EEA72B" w:rsidR="00376040" w:rsidRPr="0076668A" w:rsidRDefault="00376040" w:rsidP="0076668A">
            <w:pPr>
              <w:spacing w:before="80" w:after="80"/>
              <w:ind w:left="79" w:right="79"/>
              <w:jc w:val="center"/>
            </w:pPr>
            <w:r w:rsidRPr="0076668A">
              <w:t xml:space="preserve">3.3  </w:t>
            </w:r>
          </w:p>
        </w:tc>
        <w:tc>
          <w:tcPr>
            <w:tcW w:w="980" w:type="dxa"/>
            <w:tcBorders>
              <w:right w:val="single" w:sz="4" w:space="0" w:color="auto"/>
            </w:tcBorders>
            <w:shd w:val="clear" w:color="auto" w:fill="FFFFFF"/>
            <w:tcMar>
              <w:top w:w="0" w:type="dxa"/>
              <w:left w:w="0" w:type="dxa"/>
              <w:bottom w:w="0" w:type="dxa"/>
              <w:right w:w="0" w:type="dxa"/>
            </w:tcMar>
          </w:tcPr>
          <w:p w14:paraId="02BAC283" w14:textId="298FF4BD" w:rsidR="00376040" w:rsidRPr="0076668A" w:rsidRDefault="00376040" w:rsidP="0076668A">
            <w:pPr>
              <w:spacing w:before="80" w:after="80"/>
              <w:ind w:left="79" w:right="79"/>
              <w:jc w:val="center"/>
            </w:pPr>
            <w:r w:rsidRPr="0076668A">
              <w:t>5.22</w:t>
            </w:r>
          </w:p>
        </w:tc>
        <w:tc>
          <w:tcPr>
            <w:tcW w:w="976" w:type="dxa"/>
            <w:tcBorders>
              <w:left w:val="single" w:sz="4" w:space="0" w:color="auto"/>
            </w:tcBorders>
            <w:shd w:val="clear" w:color="auto" w:fill="FFFFFF"/>
            <w:tcMar>
              <w:top w:w="0" w:type="dxa"/>
              <w:left w:w="0" w:type="dxa"/>
              <w:bottom w:w="0" w:type="dxa"/>
              <w:right w:w="0" w:type="dxa"/>
            </w:tcMar>
          </w:tcPr>
          <w:p w14:paraId="51C4D1D6" w14:textId="12ACC184" w:rsidR="00376040" w:rsidRPr="0076668A" w:rsidRDefault="00376040" w:rsidP="0076668A">
            <w:pPr>
              <w:spacing w:before="80" w:after="80"/>
              <w:ind w:left="79" w:right="79"/>
              <w:jc w:val="center"/>
            </w:pPr>
            <w:r w:rsidRPr="0076668A">
              <w:t xml:space="preserve">1.46  </w:t>
            </w:r>
          </w:p>
        </w:tc>
        <w:tc>
          <w:tcPr>
            <w:tcW w:w="976" w:type="dxa"/>
            <w:shd w:val="clear" w:color="auto" w:fill="FFFFFF"/>
            <w:tcMar>
              <w:top w:w="0" w:type="dxa"/>
              <w:left w:w="0" w:type="dxa"/>
              <w:bottom w:w="0" w:type="dxa"/>
              <w:right w:w="0" w:type="dxa"/>
            </w:tcMar>
          </w:tcPr>
          <w:p w14:paraId="06B2EC12" w14:textId="0888AA0A" w:rsidR="00376040" w:rsidRPr="0076668A" w:rsidRDefault="00376040" w:rsidP="0076668A">
            <w:pPr>
              <w:spacing w:before="80" w:after="80"/>
              <w:ind w:left="79" w:right="79"/>
              <w:jc w:val="center"/>
            </w:pPr>
            <w:r w:rsidRPr="0076668A">
              <w:t>0.00127</w:t>
            </w:r>
          </w:p>
        </w:tc>
        <w:tc>
          <w:tcPr>
            <w:tcW w:w="977" w:type="dxa"/>
            <w:shd w:val="clear" w:color="auto" w:fill="FFFFFF"/>
            <w:tcMar>
              <w:top w:w="0" w:type="dxa"/>
              <w:left w:w="0" w:type="dxa"/>
              <w:bottom w:w="0" w:type="dxa"/>
              <w:right w:w="0" w:type="dxa"/>
            </w:tcMar>
          </w:tcPr>
          <w:p w14:paraId="1917132F" w14:textId="7DF0073D" w:rsidR="00376040" w:rsidRPr="0076668A" w:rsidRDefault="00376040" w:rsidP="0076668A">
            <w:pPr>
              <w:spacing w:before="80" w:after="80"/>
              <w:ind w:left="79" w:right="79"/>
              <w:jc w:val="center"/>
            </w:pPr>
            <w:r w:rsidRPr="0076668A">
              <w:t xml:space="preserve">2.96  </w:t>
            </w:r>
          </w:p>
        </w:tc>
      </w:tr>
      <w:tr w:rsidR="0076668A" w:rsidRPr="0076668A" w14:paraId="010DBFDD" w14:textId="77777777" w:rsidTr="0076668A">
        <w:trPr>
          <w:cantSplit/>
          <w:trHeight w:val="256"/>
          <w:jc w:val="center"/>
        </w:trPr>
        <w:tc>
          <w:tcPr>
            <w:tcW w:w="1111" w:type="dxa"/>
            <w:tcBorders>
              <w:right w:val="single" w:sz="4" w:space="0" w:color="auto"/>
            </w:tcBorders>
            <w:shd w:val="clear" w:color="auto" w:fill="FFFFFF"/>
            <w:tcMar>
              <w:top w:w="0" w:type="dxa"/>
              <w:left w:w="0" w:type="dxa"/>
              <w:bottom w:w="0" w:type="dxa"/>
              <w:right w:w="0" w:type="dxa"/>
            </w:tcMar>
          </w:tcPr>
          <w:p w14:paraId="47A14FAA" w14:textId="77777777" w:rsidR="00376040" w:rsidRPr="0076668A" w:rsidRDefault="00376040" w:rsidP="0076668A">
            <w:pPr>
              <w:spacing w:before="80" w:after="80"/>
              <w:ind w:left="79" w:right="79"/>
            </w:pPr>
            <w:r w:rsidRPr="0076668A">
              <w:rPr>
                <w:rFonts w:eastAsia="Arial"/>
                <w:color w:val="111111"/>
              </w:rPr>
              <w:t>Plastic</w:t>
            </w:r>
          </w:p>
        </w:tc>
        <w:tc>
          <w:tcPr>
            <w:tcW w:w="841" w:type="dxa"/>
            <w:tcBorders>
              <w:left w:val="single" w:sz="4" w:space="0" w:color="auto"/>
            </w:tcBorders>
            <w:shd w:val="clear" w:color="auto" w:fill="FFFFFF"/>
            <w:tcMar>
              <w:top w:w="0" w:type="dxa"/>
              <w:left w:w="0" w:type="dxa"/>
              <w:bottom w:w="0" w:type="dxa"/>
              <w:right w:w="0" w:type="dxa"/>
            </w:tcMar>
          </w:tcPr>
          <w:p w14:paraId="1279FD89" w14:textId="7C52A58B" w:rsidR="00376040" w:rsidRPr="0076668A" w:rsidRDefault="00376040" w:rsidP="0076668A">
            <w:pPr>
              <w:spacing w:before="80" w:after="80"/>
              <w:ind w:left="79" w:right="79"/>
              <w:jc w:val="center"/>
            </w:pPr>
            <w:r w:rsidRPr="0076668A">
              <w:t xml:space="preserve">6.81 </w:t>
            </w:r>
          </w:p>
        </w:tc>
        <w:tc>
          <w:tcPr>
            <w:tcW w:w="947" w:type="dxa"/>
            <w:shd w:val="clear" w:color="auto" w:fill="FFFFFF"/>
            <w:tcMar>
              <w:top w:w="0" w:type="dxa"/>
              <w:left w:w="0" w:type="dxa"/>
              <w:bottom w:w="0" w:type="dxa"/>
              <w:right w:w="0" w:type="dxa"/>
            </w:tcMar>
          </w:tcPr>
          <w:p w14:paraId="6D001CE6" w14:textId="09A5C567" w:rsidR="00376040" w:rsidRPr="0076668A" w:rsidRDefault="00376040" w:rsidP="0076668A">
            <w:pPr>
              <w:spacing w:before="80" w:after="80"/>
              <w:ind w:left="79" w:right="79"/>
              <w:jc w:val="center"/>
            </w:pPr>
            <w:r w:rsidRPr="0076668A">
              <w:t xml:space="preserve">5.62 </w:t>
            </w:r>
          </w:p>
        </w:tc>
        <w:tc>
          <w:tcPr>
            <w:tcW w:w="974" w:type="dxa"/>
            <w:tcBorders>
              <w:right w:val="single" w:sz="4" w:space="0" w:color="auto"/>
            </w:tcBorders>
            <w:shd w:val="clear" w:color="auto" w:fill="FFFFFF"/>
            <w:tcMar>
              <w:top w:w="0" w:type="dxa"/>
              <w:left w:w="0" w:type="dxa"/>
              <w:bottom w:w="0" w:type="dxa"/>
              <w:right w:w="0" w:type="dxa"/>
            </w:tcMar>
          </w:tcPr>
          <w:p w14:paraId="3861A33C" w14:textId="3792B64B" w:rsidR="00376040" w:rsidRPr="0076668A" w:rsidRDefault="00376040" w:rsidP="0076668A">
            <w:pPr>
              <w:spacing w:before="80" w:after="80"/>
              <w:ind w:left="79" w:right="79"/>
              <w:jc w:val="center"/>
            </w:pPr>
            <w:r w:rsidRPr="0076668A">
              <w:t>8.17</w:t>
            </w:r>
          </w:p>
        </w:tc>
        <w:tc>
          <w:tcPr>
            <w:tcW w:w="1009" w:type="dxa"/>
            <w:gridSpan w:val="2"/>
            <w:tcBorders>
              <w:left w:val="single" w:sz="4" w:space="0" w:color="auto"/>
            </w:tcBorders>
            <w:shd w:val="clear" w:color="auto" w:fill="FFFFFF"/>
            <w:tcMar>
              <w:top w:w="0" w:type="dxa"/>
              <w:left w:w="0" w:type="dxa"/>
              <w:bottom w:w="0" w:type="dxa"/>
              <w:right w:w="0" w:type="dxa"/>
            </w:tcMar>
          </w:tcPr>
          <w:p w14:paraId="14BFFC0F" w14:textId="126825BA" w:rsidR="00376040" w:rsidRPr="0076668A" w:rsidRDefault="00376040" w:rsidP="0076668A">
            <w:pPr>
              <w:spacing w:before="80" w:after="80"/>
              <w:ind w:left="79" w:right="79"/>
              <w:jc w:val="center"/>
            </w:pPr>
            <w:r w:rsidRPr="0076668A">
              <w:t xml:space="preserve">7.55 </w:t>
            </w:r>
          </w:p>
        </w:tc>
        <w:tc>
          <w:tcPr>
            <w:tcW w:w="976" w:type="dxa"/>
            <w:shd w:val="clear" w:color="auto" w:fill="FFFFFF"/>
            <w:tcMar>
              <w:top w:w="0" w:type="dxa"/>
              <w:left w:w="0" w:type="dxa"/>
              <w:bottom w:w="0" w:type="dxa"/>
              <w:right w:w="0" w:type="dxa"/>
            </w:tcMar>
          </w:tcPr>
          <w:p w14:paraId="243574F6" w14:textId="407C192D" w:rsidR="00376040" w:rsidRPr="0076668A" w:rsidRDefault="00376040" w:rsidP="0076668A">
            <w:pPr>
              <w:spacing w:before="80" w:after="80"/>
              <w:ind w:left="79" w:right="79"/>
              <w:jc w:val="center"/>
            </w:pPr>
            <w:r w:rsidRPr="0076668A">
              <w:t xml:space="preserve">6.29 </w:t>
            </w:r>
          </w:p>
        </w:tc>
        <w:tc>
          <w:tcPr>
            <w:tcW w:w="980" w:type="dxa"/>
            <w:tcBorders>
              <w:right w:val="single" w:sz="4" w:space="0" w:color="auto"/>
            </w:tcBorders>
            <w:shd w:val="clear" w:color="auto" w:fill="FFFFFF"/>
            <w:tcMar>
              <w:top w:w="0" w:type="dxa"/>
              <w:left w:w="0" w:type="dxa"/>
              <w:bottom w:w="0" w:type="dxa"/>
              <w:right w:w="0" w:type="dxa"/>
            </w:tcMar>
          </w:tcPr>
          <w:p w14:paraId="31D4CCF9" w14:textId="73DEAD8F" w:rsidR="00376040" w:rsidRPr="0076668A" w:rsidRDefault="00376040" w:rsidP="0076668A">
            <w:pPr>
              <w:spacing w:before="80" w:after="80"/>
              <w:ind w:left="79" w:right="79"/>
              <w:jc w:val="center"/>
            </w:pPr>
            <w:r w:rsidRPr="0076668A">
              <w:t>9.04</w:t>
            </w:r>
          </w:p>
        </w:tc>
        <w:tc>
          <w:tcPr>
            <w:tcW w:w="976" w:type="dxa"/>
            <w:tcBorders>
              <w:left w:val="single" w:sz="4" w:space="0" w:color="auto"/>
            </w:tcBorders>
            <w:shd w:val="clear" w:color="auto" w:fill="FFFFFF"/>
            <w:tcMar>
              <w:top w:w="0" w:type="dxa"/>
              <w:left w:w="0" w:type="dxa"/>
              <w:bottom w:w="0" w:type="dxa"/>
              <w:right w:w="0" w:type="dxa"/>
            </w:tcMar>
          </w:tcPr>
          <w:p w14:paraId="4BC82A7F" w14:textId="40B53B77" w:rsidR="00376040" w:rsidRPr="0076668A" w:rsidRDefault="00376040" w:rsidP="0076668A">
            <w:pPr>
              <w:spacing w:before="80" w:after="80"/>
              <w:ind w:left="79" w:right="79"/>
              <w:jc w:val="center"/>
            </w:pPr>
            <w:r w:rsidRPr="0076668A">
              <w:t xml:space="preserve">-0.722 </w:t>
            </w:r>
          </w:p>
        </w:tc>
        <w:tc>
          <w:tcPr>
            <w:tcW w:w="976" w:type="dxa"/>
            <w:shd w:val="clear" w:color="auto" w:fill="FFFFFF"/>
            <w:tcMar>
              <w:top w:w="0" w:type="dxa"/>
              <w:left w:w="0" w:type="dxa"/>
              <w:bottom w:w="0" w:type="dxa"/>
              <w:right w:w="0" w:type="dxa"/>
            </w:tcMar>
          </w:tcPr>
          <w:p w14:paraId="59133343" w14:textId="03B70918" w:rsidR="00376040" w:rsidRPr="0076668A" w:rsidRDefault="00376040" w:rsidP="0076668A">
            <w:pPr>
              <w:spacing w:before="80" w:after="80"/>
              <w:ind w:left="79" w:right="79"/>
              <w:jc w:val="center"/>
            </w:pPr>
            <w:r w:rsidRPr="0076668A">
              <w:t xml:space="preserve">-2.64   </w:t>
            </w:r>
          </w:p>
        </w:tc>
        <w:tc>
          <w:tcPr>
            <w:tcW w:w="977" w:type="dxa"/>
            <w:shd w:val="clear" w:color="auto" w:fill="FFFFFF"/>
            <w:tcMar>
              <w:top w:w="0" w:type="dxa"/>
              <w:left w:w="0" w:type="dxa"/>
              <w:bottom w:w="0" w:type="dxa"/>
              <w:right w:w="0" w:type="dxa"/>
            </w:tcMar>
          </w:tcPr>
          <w:p w14:paraId="50A2651C" w14:textId="1FE48E6D" w:rsidR="00376040" w:rsidRPr="0076668A" w:rsidRDefault="00376040" w:rsidP="0076668A">
            <w:pPr>
              <w:spacing w:before="80" w:after="80"/>
              <w:ind w:left="79" w:right="79"/>
              <w:jc w:val="center"/>
            </w:pPr>
            <w:r w:rsidRPr="0076668A">
              <w:t xml:space="preserve">1.16  </w:t>
            </w:r>
          </w:p>
        </w:tc>
      </w:tr>
    </w:tbl>
    <w:p w14:paraId="695D8C6E" w14:textId="77777777" w:rsidR="00854D13" w:rsidRDefault="00854D13" w:rsidP="0076668A">
      <w:pPr>
        <w:spacing w:before="240"/>
        <w:jc w:val="both"/>
        <w:rPr>
          <w:rFonts w:ascii="Times New Roman" w:hAnsi="Times New Roman" w:cs="Times New Roman"/>
          <w:sz w:val="22"/>
          <w:szCs w:val="22"/>
        </w:rPr>
      </w:pPr>
    </w:p>
    <w:p w14:paraId="727BF3AB" w14:textId="0F53054D" w:rsidR="00B308E2" w:rsidRPr="00EC54F6" w:rsidRDefault="005D03EB" w:rsidP="0076668A">
      <w:pPr>
        <w:spacing w:before="240"/>
        <w:jc w:val="both"/>
        <w:rPr>
          <w:rFonts w:ascii="Times New Roman" w:hAnsi="Times New Roman" w:cs="Times New Roman"/>
          <w:sz w:val="22"/>
          <w:szCs w:val="22"/>
        </w:rPr>
      </w:pPr>
      <w:r w:rsidRPr="00EC54F6">
        <w:rPr>
          <w:rFonts w:ascii="Times New Roman" w:hAnsi="Times New Roman" w:cs="Times New Roman"/>
          <w:sz w:val="22"/>
          <w:szCs w:val="22"/>
        </w:rPr>
        <w:t>Figures S1</w:t>
      </w:r>
      <w:r w:rsidR="0041348B">
        <w:rPr>
          <w:rFonts w:ascii="Times New Roman" w:hAnsi="Times New Roman" w:cs="Times New Roman"/>
          <w:sz w:val="22"/>
          <w:szCs w:val="22"/>
        </w:rPr>
        <w:t>–</w:t>
      </w:r>
      <w:r w:rsidR="000D07F9" w:rsidRPr="00EC54F6">
        <w:rPr>
          <w:rFonts w:ascii="Times New Roman" w:hAnsi="Times New Roman" w:cs="Times New Roman"/>
          <w:sz w:val="22"/>
          <w:szCs w:val="22"/>
        </w:rPr>
        <w:t xml:space="preserve">S5 </w:t>
      </w:r>
      <w:r w:rsidR="00B9475A">
        <w:rPr>
          <w:rFonts w:ascii="Times New Roman" w:hAnsi="Times New Roman" w:cs="Times New Roman"/>
          <w:sz w:val="22"/>
          <w:szCs w:val="22"/>
        </w:rPr>
        <w:t xml:space="preserve">(below) </w:t>
      </w:r>
      <w:r w:rsidR="000D07F9" w:rsidRPr="00EC54F6">
        <w:rPr>
          <w:rFonts w:ascii="Times New Roman" w:hAnsi="Times New Roman" w:cs="Times New Roman"/>
          <w:sz w:val="22"/>
          <w:szCs w:val="22"/>
        </w:rPr>
        <w:t>show Bayesian fits to individual replicate virus decay data for each virus. Replicates are shown in panel columns, viruses in panel rows.</w:t>
      </w:r>
      <w:r w:rsidR="00B207E9" w:rsidRPr="00EC54F6">
        <w:rPr>
          <w:rFonts w:ascii="Times New Roman" w:hAnsi="Times New Roman" w:cs="Times New Roman"/>
          <w:sz w:val="22"/>
          <w:szCs w:val="22"/>
        </w:rPr>
        <w:t xml:space="preserve"> Lines are 50 random draws per panel from the posterior </w:t>
      </w:r>
      <w:r w:rsidR="00B207E9" w:rsidRPr="00EC54F6">
        <w:rPr>
          <w:rFonts w:ascii="Times New Roman" w:hAnsi="Times New Roman" w:cs="Times New Roman"/>
          <w:sz w:val="22"/>
          <w:szCs w:val="22"/>
        </w:rPr>
        <w:lastRenderedPageBreak/>
        <w:t>distribution of fitted lines, to show level of uncertainty.</w:t>
      </w:r>
      <w:r w:rsidR="00401213" w:rsidRPr="00EC54F6">
        <w:rPr>
          <w:rFonts w:ascii="Times New Roman" w:hAnsi="Times New Roman" w:cs="Times New Roman"/>
          <w:sz w:val="22"/>
          <w:szCs w:val="22"/>
        </w:rPr>
        <w:t xml:space="preserve"> Time axis </w:t>
      </w:r>
      <w:r w:rsidR="00376040">
        <w:rPr>
          <w:rFonts w:ascii="Times New Roman" w:hAnsi="Times New Roman" w:cs="Times New Roman"/>
          <w:sz w:val="22"/>
          <w:szCs w:val="22"/>
        </w:rPr>
        <w:t>is</w:t>
      </w:r>
      <w:r w:rsidR="00401213" w:rsidRPr="00EC54F6">
        <w:rPr>
          <w:rFonts w:ascii="Times New Roman" w:hAnsi="Times New Roman" w:cs="Times New Roman"/>
          <w:sz w:val="22"/>
          <w:szCs w:val="22"/>
        </w:rPr>
        <w:t xml:space="preserve"> shown out to the latest time taken to reach an undetectable titer</w:t>
      </w:r>
      <w:r w:rsidR="00376040">
        <w:rPr>
          <w:rFonts w:ascii="Times New Roman" w:hAnsi="Times New Roman" w:cs="Times New Roman"/>
          <w:sz w:val="22"/>
          <w:szCs w:val="22"/>
        </w:rPr>
        <w:t xml:space="preserve"> in the considered experimental conditions. </w:t>
      </w:r>
    </w:p>
    <w:p w14:paraId="183FD7E4" w14:textId="7564A290" w:rsidR="005D03EB" w:rsidRPr="00EC54F6" w:rsidRDefault="006F7BF8" w:rsidP="0076668A">
      <w:pPr>
        <w:rPr>
          <w:rFonts w:ascii="Times New Roman" w:hAnsi="Times New Roman" w:cs="Times New Roman"/>
          <w:sz w:val="22"/>
          <w:szCs w:val="22"/>
        </w:rPr>
      </w:pPr>
      <w:r>
        <w:rPr>
          <w:noProof/>
        </w:rPr>
        <w:drawing>
          <wp:inline distT="0" distB="0" distL="0" distR="0" wp14:anchorId="2CDD6979" wp14:editId="452419D4">
            <wp:extent cx="5943600" cy="2764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5943600" cy="2764155"/>
                    </a:xfrm>
                    <a:prstGeom prst="rect">
                      <a:avLst/>
                    </a:prstGeom>
                  </pic:spPr>
                </pic:pic>
              </a:graphicData>
            </a:graphic>
          </wp:inline>
        </w:drawing>
      </w:r>
      <w:r w:rsidDel="00376040">
        <w:rPr>
          <w:rFonts w:ascii="Times New Roman" w:hAnsi="Times New Roman" w:cs="Times New Roman"/>
          <w:noProof/>
          <w:sz w:val="22"/>
          <w:szCs w:val="22"/>
        </w:rPr>
        <w:t xml:space="preserve"> </w:t>
      </w:r>
    </w:p>
    <w:p w14:paraId="5022DC0F" w14:textId="61FED77B" w:rsidR="00EC54F6" w:rsidRPr="00EC54F6" w:rsidRDefault="005D03EB" w:rsidP="0076668A">
      <w:pPr>
        <w:spacing w:after="240"/>
        <w:jc w:val="both"/>
        <w:rPr>
          <w:rFonts w:ascii="Times New Roman" w:hAnsi="Times New Roman" w:cs="Times New Roman"/>
          <w:sz w:val="22"/>
          <w:szCs w:val="22"/>
        </w:rPr>
      </w:pPr>
      <w:r w:rsidRPr="00EC54F6">
        <w:rPr>
          <w:rFonts w:ascii="Times New Roman" w:hAnsi="Times New Roman" w:cs="Times New Roman"/>
          <w:sz w:val="22"/>
          <w:szCs w:val="22"/>
        </w:rPr>
        <w:t>Figure S1. Individual replicate fits for aerosols. Columns show replicates, rows show virus (HCoV-19 above, SARS</w:t>
      </w:r>
      <w:r w:rsidR="00303780">
        <w:rPr>
          <w:rFonts w:ascii="Times New Roman" w:hAnsi="Times New Roman" w:cs="Times New Roman"/>
          <w:sz w:val="22"/>
          <w:szCs w:val="22"/>
        </w:rPr>
        <w:t>-CoV-1</w:t>
      </w:r>
      <w:r w:rsidRPr="00EC54F6">
        <w:rPr>
          <w:rFonts w:ascii="Times New Roman" w:hAnsi="Times New Roman" w:cs="Times New Roman"/>
          <w:sz w:val="22"/>
          <w:szCs w:val="22"/>
        </w:rPr>
        <w:t xml:space="preserve"> below).</w:t>
      </w:r>
      <w:r w:rsidR="00401213" w:rsidRPr="00EC54F6">
        <w:rPr>
          <w:rFonts w:ascii="Times New Roman" w:hAnsi="Times New Roman" w:cs="Times New Roman"/>
          <w:sz w:val="22"/>
          <w:szCs w:val="22"/>
        </w:rPr>
        <w:t xml:space="preserve"> Lines are 50 random draws per panel from the posterior distribution of fitted lines, to show level of uncertainty.</w:t>
      </w:r>
    </w:p>
    <w:p w14:paraId="07101E71" w14:textId="3CDE744F" w:rsidR="00B207E9" w:rsidRPr="00EC54F6" w:rsidRDefault="006F7BF8" w:rsidP="0076668A">
      <w:pPr>
        <w:rPr>
          <w:rFonts w:ascii="Times New Roman" w:hAnsi="Times New Roman" w:cs="Times New Roman"/>
          <w:sz w:val="22"/>
          <w:szCs w:val="22"/>
        </w:rPr>
      </w:pPr>
      <w:r>
        <w:rPr>
          <w:noProof/>
        </w:rPr>
        <w:drawing>
          <wp:inline distT="0" distB="0" distL="0" distR="0" wp14:anchorId="4E2F42B9" wp14:editId="061FA2C7">
            <wp:extent cx="5943600" cy="2764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5943600" cy="2764155"/>
                    </a:xfrm>
                    <a:prstGeom prst="rect">
                      <a:avLst/>
                    </a:prstGeom>
                  </pic:spPr>
                </pic:pic>
              </a:graphicData>
            </a:graphic>
          </wp:inline>
        </w:drawing>
      </w:r>
      <w:r w:rsidDel="00376040">
        <w:rPr>
          <w:rFonts w:ascii="Times New Roman" w:hAnsi="Times New Roman" w:cs="Times New Roman"/>
          <w:noProof/>
          <w:sz w:val="22"/>
          <w:szCs w:val="22"/>
        </w:rPr>
        <w:t xml:space="preserve"> </w:t>
      </w:r>
    </w:p>
    <w:p w14:paraId="02F2EC56" w14:textId="60782060" w:rsidR="00EC54F6" w:rsidRPr="00EC54F6" w:rsidRDefault="00B207E9" w:rsidP="0076668A">
      <w:pPr>
        <w:spacing w:after="240"/>
        <w:jc w:val="both"/>
        <w:rPr>
          <w:rFonts w:ascii="Times New Roman" w:hAnsi="Times New Roman" w:cs="Times New Roman"/>
          <w:sz w:val="22"/>
          <w:szCs w:val="22"/>
        </w:rPr>
      </w:pPr>
      <w:r w:rsidRPr="00EC54F6">
        <w:rPr>
          <w:rFonts w:ascii="Times New Roman" w:hAnsi="Times New Roman" w:cs="Times New Roman"/>
          <w:sz w:val="22"/>
          <w:szCs w:val="22"/>
        </w:rPr>
        <w:t>Figure S2. Individual replicate fits for plastic. Columns show replicates, rows show virus (HCoV-19 above, SARS</w:t>
      </w:r>
      <w:r w:rsidR="00303780">
        <w:rPr>
          <w:rFonts w:ascii="Times New Roman" w:hAnsi="Times New Roman" w:cs="Times New Roman"/>
          <w:sz w:val="22"/>
          <w:szCs w:val="22"/>
        </w:rPr>
        <w:t>-CoV-1</w:t>
      </w:r>
      <w:r w:rsidRPr="00EC54F6">
        <w:rPr>
          <w:rFonts w:ascii="Times New Roman" w:hAnsi="Times New Roman" w:cs="Times New Roman"/>
          <w:sz w:val="22"/>
          <w:szCs w:val="22"/>
        </w:rPr>
        <w:t xml:space="preserve"> below).</w:t>
      </w:r>
      <w:r w:rsidR="00401213" w:rsidRPr="00EC54F6">
        <w:rPr>
          <w:rFonts w:ascii="Times New Roman" w:hAnsi="Times New Roman" w:cs="Times New Roman"/>
          <w:sz w:val="22"/>
          <w:szCs w:val="22"/>
        </w:rPr>
        <w:t xml:space="preserve"> Lines are 50 random draws per panel from the posterior distribution of fitted lines, to show level of uncertainty.</w:t>
      </w:r>
    </w:p>
    <w:p w14:paraId="5027117C" w14:textId="4AF67BA9" w:rsidR="00B207E9" w:rsidRPr="00EC54F6" w:rsidRDefault="006F7BF8" w:rsidP="0076668A">
      <w:pPr>
        <w:rPr>
          <w:rFonts w:ascii="Times New Roman" w:hAnsi="Times New Roman" w:cs="Times New Roman"/>
          <w:sz w:val="22"/>
          <w:szCs w:val="22"/>
        </w:rPr>
      </w:pPr>
      <w:r>
        <w:rPr>
          <w:noProof/>
        </w:rPr>
        <w:lastRenderedPageBreak/>
        <w:drawing>
          <wp:inline distT="0" distB="0" distL="0" distR="0" wp14:anchorId="39A70BDE" wp14:editId="587F0C67">
            <wp:extent cx="5943600" cy="2764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5943600" cy="2764155"/>
                    </a:xfrm>
                    <a:prstGeom prst="rect">
                      <a:avLst/>
                    </a:prstGeom>
                  </pic:spPr>
                </pic:pic>
              </a:graphicData>
            </a:graphic>
          </wp:inline>
        </w:drawing>
      </w:r>
      <w:r w:rsidDel="00376040">
        <w:rPr>
          <w:rFonts w:ascii="Times New Roman" w:hAnsi="Times New Roman" w:cs="Times New Roman"/>
          <w:noProof/>
          <w:sz w:val="22"/>
          <w:szCs w:val="22"/>
        </w:rPr>
        <w:t xml:space="preserve"> </w:t>
      </w:r>
    </w:p>
    <w:p w14:paraId="5330E687" w14:textId="7F464E58" w:rsidR="00EC54F6" w:rsidRPr="00EC54F6" w:rsidRDefault="00B207E9" w:rsidP="0076668A">
      <w:pPr>
        <w:spacing w:after="240"/>
        <w:jc w:val="both"/>
        <w:rPr>
          <w:rFonts w:ascii="Times New Roman" w:hAnsi="Times New Roman" w:cs="Times New Roman"/>
          <w:sz w:val="22"/>
          <w:szCs w:val="22"/>
        </w:rPr>
      </w:pPr>
      <w:r w:rsidRPr="00EC54F6">
        <w:rPr>
          <w:rFonts w:ascii="Times New Roman" w:hAnsi="Times New Roman" w:cs="Times New Roman"/>
          <w:sz w:val="22"/>
          <w:szCs w:val="22"/>
        </w:rPr>
        <w:t>Figure S3. Individual replicate fits for steel. Columns show replicates, rows show virus (HCoV-19 above, SARS</w:t>
      </w:r>
      <w:r w:rsidR="00303780">
        <w:rPr>
          <w:rFonts w:ascii="Times New Roman" w:hAnsi="Times New Roman" w:cs="Times New Roman"/>
          <w:sz w:val="22"/>
          <w:szCs w:val="22"/>
        </w:rPr>
        <w:t>-CoV-1</w:t>
      </w:r>
      <w:r w:rsidRPr="00EC54F6">
        <w:rPr>
          <w:rFonts w:ascii="Times New Roman" w:hAnsi="Times New Roman" w:cs="Times New Roman"/>
          <w:sz w:val="22"/>
          <w:szCs w:val="22"/>
        </w:rPr>
        <w:t xml:space="preserve"> below).</w:t>
      </w:r>
      <w:r w:rsidR="00401213" w:rsidRPr="00EC54F6">
        <w:rPr>
          <w:rFonts w:ascii="Times New Roman" w:hAnsi="Times New Roman" w:cs="Times New Roman"/>
          <w:sz w:val="22"/>
          <w:szCs w:val="22"/>
        </w:rPr>
        <w:t xml:space="preserve"> Lines are 50 random draws per panel from the posterior distribution of fitted lines, to show level of uncertainty.</w:t>
      </w:r>
    </w:p>
    <w:p w14:paraId="42930A32" w14:textId="15708DB5" w:rsidR="00B207E9" w:rsidRPr="00EC54F6" w:rsidRDefault="006F7BF8" w:rsidP="0076668A">
      <w:pPr>
        <w:rPr>
          <w:rFonts w:ascii="Times New Roman" w:hAnsi="Times New Roman" w:cs="Times New Roman"/>
          <w:sz w:val="22"/>
          <w:szCs w:val="22"/>
        </w:rPr>
      </w:pPr>
      <w:r>
        <w:rPr>
          <w:noProof/>
        </w:rPr>
        <w:drawing>
          <wp:inline distT="0" distB="0" distL="0" distR="0" wp14:anchorId="32C72F14" wp14:editId="1E65D148">
            <wp:extent cx="5943600" cy="2764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5943600" cy="2764155"/>
                    </a:xfrm>
                    <a:prstGeom prst="rect">
                      <a:avLst/>
                    </a:prstGeom>
                  </pic:spPr>
                </pic:pic>
              </a:graphicData>
            </a:graphic>
          </wp:inline>
        </w:drawing>
      </w:r>
      <w:r w:rsidDel="00376040">
        <w:rPr>
          <w:rFonts w:ascii="Times New Roman" w:hAnsi="Times New Roman" w:cs="Times New Roman"/>
          <w:noProof/>
          <w:sz w:val="22"/>
          <w:szCs w:val="22"/>
        </w:rPr>
        <w:t xml:space="preserve"> </w:t>
      </w:r>
    </w:p>
    <w:p w14:paraId="1311AC56" w14:textId="22D84294" w:rsidR="00EC54F6" w:rsidRPr="00EC54F6" w:rsidRDefault="00B207E9" w:rsidP="0076668A">
      <w:pPr>
        <w:spacing w:after="240"/>
        <w:jc w:val="both"/>
        <w:rPr>
          <w:rFonts w:ascii="Times New Roman" w:hAnsi="Times New Roman" w:cs="Times New Roman"/>
          <w:sz w:val="22"/>
          <w:szCs w:val="22"/>
        </w:rPr>
      </w:pPr>
      <w:r w:rsidRPr="00EC54F6">
        <w:rPr>
          <w:rFonts w:ascii="Times New Roman" w:hAnsi="Times New Roman" w:cs="Times New Roman"/>
          <w:sz w:val="22"/>
          <w:szCs w:val="22"/>
        </w:rPr>
        <w:t>Figure S4. Individual replicate fits for copper. Columns show replicates, rows show virus (HCoV-19 above, SARS</w:t>
      </w:r>
      <w:r w:rsidR="00303780">
        <w:rPr>
          <w:rFonts w:ascii="Times New Roman" w:hAnsi="Times New Roman" w:cs="Times New Roman"/>
          <w:sz w:val="22"/>
          <w:szCs w:val="22"/>
        </w:rPr>
        <w:t>-CoV-1</w:t>
      </w:r>
      <w:r w:rsidRPr="00EC54F6">
        <w:rPr>
          <w:rFonts w:ascii="Times New Roman" w:hAnsi="Times New Roman" w:cs="Times New Roman"/>
          <w:sz w:val="22"/>
          <w:szCs w:val="22"/>
        </w:rPr>
        <w:t xml:space="preserve"> below).</w:t>
      </w:r>
      <w:r w:rsidR="00401213" w:rsidRPr="00EC54F6">
        <w:rPr>
          <w:rFonts w:ascii="Times New Roman" w:hAnsi="Times New Roman" w:cs="Times New Roman"/>
          <w:sz w:val="22"/>
          <w:szCs w:val="22"/>
        </w:rPr>
        <w:t xml:space="preserve"> Lines are 50 random draws per panel from the posterior distribution of fitted lines, to show level of uncertainty.</w:t>
      </w:r>
      <w:r w:rsidR="00186CB3">
        <w:rPr>
          <w:rFonts w:ascii="Times New Roman" w:hAnsi="Times New Roman" w:cs="Times New Roman"/>
          <w:sz w:val="22"/>
          <w:szCs w:val="22"/>
        </w:rPr>
        <w:t xml:space="preserve"> </w:t>
      </w:r>
      <w:r w:rsidR="00186CB3" w:rsidRPr="00EC54F6">
        <w:rPr>
          <w:rFonts w:ascii="Times New Roman" w:hAnsi="Times New Roman" w:cs="Times New Roman"/>
          <w:sz w:val="22"/>
          <w:szCs w:val="22"/>
        </w:rPr>
        <w:t>Fits are substantially poorer for SARS</w:t>
      </w:r>
      <w:r w:rsidR="00186CB3">
        <w:rPr>
          <w:rFonts w:ascii="Times New Roman" w:hAnsi="Times New Roman" w:cs="Times New Roman"/>
          <w:sz w:val="22"/>
          <w:szCs w:val="22"/>
        </w:rPr>
        <w:t>-CoV-1</w:t>
      </w:r>
      <w:r w:rsidR="00186CB3" w:rsidRPr="00EC54F6">
        <w:rPr>
          <w:rFonts w:ascii="Times New Roman" w:hAnsi="Times New Roman" w:cs="Times New Roman"/>
          <w:sz w:val="22"/>
          <w:szCs w:val="22"/>
        </w:rPr>
        <w:t xml:space="preserve"> than for HCoV-19, and data do not follow a linear downward trend over time, suggesting that the difference in observed decay rates should be interpreted with caution.</w:t>
      </w:r>
    </w:p>
    <w:p w14:paraId="34C59FE8" w14:textId="76733DA7" w:rsidR="00ED409A" w:rsidRPr="00EC54F6" w:rsidRDefault="006F7BF8" w:rsidP="0076668A">
      <w:pPr>
        <w:rPr>
          <w:rFonts w:ascii="Times New Roman" w:hAnsi="Times New Roman" w:cs="Times New Roman"/>
          <w:sz w:val="22"/>
          <w:szCs w:val="22"/>
        </w:rPr>
      </w:pPr>
      <w:r>
        <w:rPr>
          <w:noProof/>
        </w:rPr>
        <w:lastRenderedPageBreak/>
        <w:drawing>
          <wp:inline distT="0" distB="0" distL="0" distR="0" wp14:anchorId="14283A16" wp14:editId="0C58EC12">
            <wp:extent cx="5943600" cy="2764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943600" cy="2764155"/>
                    </a:xfrm>
                    <a:prstGeom prst="rect">
                      <a:avLst/>
                    </a:prstGeom>
                  </pic:spPr>
                </pic:pic>
              </a:graphicData>
            </a:graphic>
          </wp:inline>
        </w:drawing>
      </w:r>
      <w:r w:rsidDel="00376040">
        <w:rPr>
          <w:rFonts w:ascii="Times New Roman" w:hAnsi="Times New Roman" w:cs="Times New Roman"/>
          <w:noProof/>
          <w:sz w:val="22"/>
          <w:szCs w:val="22"/>
        </w:rPr>
        <w:t xml:space="preserve"> </w:t>
      </w:r>
    </w:p>
    <w:p w14:paraId="3B6FFA94" w14:textId="44A5184A" w:rsidR="00702BF8" w:rsidRDefault="005D03EB" w:rsidP="0076668A">
      <w:pPr>
        <w:jc w:val="both"/>
        <w:rPr>
          <w:rFonts w:ascii="Times New Roman" w:eastAsia="Times New Roman" w:hAnsi="Times New Roman" w:cs="Times New Roman"/>
          <w:b/>
          <w:bCs/>
          <w:sz w:val="22"/>
          <w:szCs w:val="22"/>
          <w:lang w:val="en"/>
        </w:rPr>
      </w:pPr>
      <w:r w:rsidRPr="00EC54F6">
        <w:rPr>
          <w:rFonts w:ascii="Times New Roman" w:hAnsi="Times New Roman" w:cs="Times New Roman"/>
          <w:sz w:val="22"/>
          <w:szCs w:val="22"/>
        </w:rPr>
        <w:t>Figure S</w:t>
      </w:r>
      <w:r w:rsidR="00B207E9" w:rsidRPr="00EC54F6">
        <w:rPr>
          <w:rFonts w:ascii="Times New Roman" w:hAnsi="Times New Roman" w:cs="Times New Roman"/>
          <w:sz w:val="22"/>
          <w:szCs w:val="22"/>
        </w:rPr>
        <w:t>5</w:t>
      </w:r>
      <w:r w:rsidRPr="00EC54F6">
        <w:rPr>
          <w:rFonts w:ascii="Times New Roman" w:hAnsi="Times New Roman" w:cs="Times New Roman"/>
          <w:sz w:val="22"/>
          <w:szCs w:val="22"/>
        </w:rPr>
        <w:t>. Individual replicate fits for cardboard. Columns show replicates, rows show virus (HCoV-19 above, SARS</w:t>
      </w:r>
      <w:r w:rsidR="00303780">
        <w:rPr>
          <w:rFonts w:ascii="Times New Roman" w:hAnsi="Times New Roman" w:cs="Times New Roman"/>
          <w:sz w:val="22"/>
          <w:szCs w:val="22"/>
        </w:rPr>
        <w:t>-CoV-1</w:t>
      </w:r>
      <w:r w:rsidRPr="00EC54F6">
        <w:rPr>
          <w:rFonts w:ascii="Times New Roman" w:hAnsi="Times New Roman" w:cs="Times New Roman"/>
          <w:sz w:val="22"/>
          <w:szCs w:val="22"/>
        </w:rPr>
        <w:t xml:space="preserve"> below). </w:t>
      </w:r>
      <w:r w:rsidR="00401213" w:rsidRPr="00EC54F6">
        <w:rPr>
          <w:rFonts w:ascii="Times New Roman" w:hAnsi="Times New Roman" w:cs="Times New Roman"/>
          <w:sz w:val="22"/>
          <w:szCs w:val="22"/>
        </w:rPr>
        <w:t xml:space="preserve">Lines are 50 random draws per panel from the posterior distribution of fitted lines, to show level of uncertainty. </w:t>
      </w:r>
      <w:r w:rsidRPr="00EC54F6">
        <w:rPr>
          <w:rFonts w:ascii="Times New Roman" w:hAnsi="Times New Roman" w:cs="Times New Roman"/>
          <w:sz w:val="22"/>
          <w:szCs w:val="22"/>
        </w:rPr>
        <w:t>Fits are substantially poorer for SARS</w:t>
      </w:r>
      <w:r w:rsidR="006F7BF8">
        <w:rPr>
          <w:rFonts w:ascii="Times New Roman" w:hAnsi="Times New Roman" w:cs="Times New Roman"/>
          <w:sz w:val="22"/>
          <w:szCs w:val="22"/>
        </w:rPr>
        <w:t>-CoV-1</w:t>
      </w:r>
      <w:r w:rsidRPr="00EC54F6">
        <w:rPr>
          <w:rFonts w:ascii="Times New Roman" w:hAnsi="Times New Roman" w:cs="Times New Roman"/>
          <w:sz w:val="22"/>
          <w:szCs w:val="22"/>
        </w:rPr>
        <w:t xml:space="preserve"> than for HCoV-19, and data do not follow a linear downward trend over time, suggesting that the difference in observed decay rates should be interpreted with caution.</w:t>
      </w:r>
    </w:p>
    <w:p w14:paraId="61CFB568" w14:textId="425113C3" w:rsidR="00AE46B4" w:rsidRPr="0076668A" w:rsidRDefault="00AE46B4" w:rsidP="0076668A">
      <w:pPr>
        <w:spacing w:before="480" w:after="240"/>
        <w:ind w:left="425" w:hanging="425"/>
        <w:jc w:val="both"/>
        <w:rPr>
          <w:rFonts w:ascii="Times New Roman" w:hAnsi="Times New Roman" w:cs="Times New Roman"/>
          <w:b/>
          <w:sz w:val="22"/>
          <w:szCs w:val="22"/>
          <w:lang w:val="en"/>
        </w:rPr>
      </w:pPr>
      <w:r w:rsidRPr="0076668A">
        <w:rPr>
          <w:rFonts w:ascii="Times New Roman" w:hAnsi="Times New Roman" w:cs="Times New Roman"/>
          <w:b/>
          <w:sz w:val="22"/>
          <w:szCs w:val="22"/>
          <w:lang w:val="en"/>
        </w:rPr>
        <w:t>Supplemental references</w:t>
      </w:r>
    </w:p>
    <w:p w14:paraId="0BADD946" w14:textId="77777777" w:rsidR="00B9475A" w:rsidRPr="0076668A" w:rsidRDefault="00702BF8" w:rsidP="0076668A">
      <w:pPr>
        <w:pStyle w:val="Bibliography"/>
        <w:spacing w:line="360" w:lineRule="auto"/>
        <w:ind w:left="426" w:hanging="426"/>
        <w:rPr>
          <w:rFonts w:ascii="Times New Roman" w:hAnsi="Times New Roman" w:cs="Times New Roman"/>
          <w:sz w:val="22"/>
          <w:szCs w:val="24"/>
        </w:rPr>
      </w:pPr>
      <w:r>
        <w:fldChar w:fldCharType="begin"/>
      </w:r>
      <w:r w:rsidR="00B9475A">
        <w:instrText xml:space="preserve"> ADDIN ZOTERO_BIBL {"uncited":[],"omitted":[],"custom":[[["http://zotero.org/users/2773777/items/G3KM5S6L"],"van Doremalen, N., Bushmaker, T., Munster, V., 2013. Stability of Middle East respiratory syndrome coronavirus (MERS-CoV) under different environmental conditions. Eurosurveillance 18, 20590."],[["http://zotero.org/users/2773777/items/V6NWZGFP"],"Zou, L., Ruan, F., Huang, M., Liang, L., Huang, H., Hong, Z., Yu, J., Kang, M., Song, Y., Xia, J., Guo, Q., Song, T., He, J., Yen, H.-L., Peiris, M., Wu, J., 2020. SARS-CoV-2 Viral Load in Upper Respiratory Specimens of Infected Patients. N. Engl. J. Med. In press."],[["http://zotero.org/users/2773777/items/VQMI5D47"],"Holshue, M.L., DeBolt, C., Lindquist, S., Lofy, K.H., Wiesman, J., Bruce, H., Spitters, C., Ericson, K., Wilkerson, S., Tural, A., Diaz, G., Cohn, A., Fox, L., Patel, A., Gerber, S.I., Kim, L., Tong, S., Lu, X., Lindstrom, S., Pallansch, M.A., Weldon, W.C., Biggs, H.M., Uyeki, T.M., Pillai, S.K., 2020. First Case of 2019 Novel Coronavirus in the United States. N. Engl. J. Med. 382, 929\\uc0\\u8211{}936."],[["http://zotero.org/users/2773777/items/MPIBDYHS"],"Marra, M.A., Jones, S.J.M., Astell, C.R., Holt, R.A., Brooks-Wilson, A., Butterfield, Y.S.N., Khattra, J., Asano, J.K., Barber, S.A., Chan, S.Y., Cloutier, A., Coughlin, S.M., Freeman, D., Girn, N., Griffith, O.L., Leach, S.R., Mayo, M., McDonald, H., Montgomery, S.B., Pandoh, P.K., Petrescu, A.S., Robertson, A.G., Schein, J.E., Siddiqui, A., Smailus, D.E., Stott, J.M., Yang, G.S., Plummer, F., Andonov, A., Artsob, H., Bastien, N., Bernard, K., Booth, T.F., Bowness, D., Czub, M., Drebot, M., Fernando, L., Flick, R., Garbutt, M., Gray, M., Grolla, A., Jones, S., Feldmann, H., Meyers, A., Kabani, A., Li, Y., Normand, S., Stroher, U., Tipples, G.A., Tyler, S., Vogrig, R., Ward, D., Watson, B., Brunham, R.C., Krajden, M., Petric, M., Skowronski, D.M., Upton, C., Roper, R.L., 2003. The Genome sequence of the SARS-associated coronavirus. Science 300, 1399\\uc0\\u8211{}1404."],[["http://zotero.org/users/2773777/items/GLWT6GMH"],"Fischer, R.J., Bushmaker, T., Judson, S., Munster, V.J., 2016. Comparison of the Aerosol Stability of 2 Strains of Zaire ebolavirus From the 1976 and 2013 Outbreaks. J. Infect. Dis. 214, 290\\uc0\\u8211{}293."]]} CSL_BIBLIOGRAPHY </w:instrText>
      </w:r>
      <w:r>
        <w:fldChar w:fldCharType="separate"/>
      </w:r>
      <w:r w:rsidR="00B9475A" w:rsidRPr="0076668A">
        <w:rPr>
          <w:rFonts w:ascii="Times New Roman" w:hAnsi="Times New Roman" w:cs="Times New Roman"/>
          <w:sz w:val="22"/>
          <w:szCs w:val="24"/>
        </w:rPr>
        <w:t>Fischer, R.J., Bushmaker, T., Judson, S., Munster, V.J., 2016. Comparison of the Aerosol Stability of 2 Strains of Zaire ebolavirus From the 1976 and 2013 Outbreaks. J. Infect. Dis. 214, 290–293.</w:t>
      </w:r>
    </w:p>
    <w:p w14:paraId="2774FE1D" w14:textId="77777777" w:rsidR="00B9475A" w:rsidRPr="0076668A" w:rsidRDefault="00B9475A" w:rsidP="0076668A">
      <w:pPr>
        <w:pStyle w:val="Bibliography"/>
        <w:spacing w:line="360" w:lineRule="auto"/>
        <w:ind w:left="426" w:hanging="426"/>
        <w:rPr>
          <w:rFonts w:ascii="Times New Roman" w:hAnsi="Times New Roman" w:cs="Times New Roman"/>
          <w:sz w:val="22"/>
          <w:szCs w:val="24"/>
        </w:rPr>
      </w:pPr>
      <w:r w:rsidRPr="0076668A">
        <w:rPr>
          <w:rFonts w:ascii="Times New Roman" w:hAnsi="Times New Roman" w:cs="Times New Roman"/>
          <w:sz w:val="22"/>
          <w:szCs w:val="24"/>
        </w:rPr>
        <w:t>Gelman, A., Carlin, J.B., Stern, H.S., Dunson, D.B., Vehtari, A., Rubin, D.B., 2013. Bayesian Data Analysis, Third Edition. CRC Press.</w:t>
      </w:r>
    </w:p>
    <w:p w14:paraId="4E457467" w14:textId="77777777" w:rsidR="00B9475A" w:rsidRPr="0076668A" w:rsidRDefault="00B9475A" w:rsidP="0076668A">
      <w:pPr>
        <w:pStyle w:val="Bibliography"/>
        <w:spacing w:line="360" w:lineRule="auto"/>
        <w:ind w:left="426" w:hanging="426"/>
        <w:rPr>
          <w:rFonts w:ascii="Times New Roman" w:hAnsi="Times New Roman" w:cs="Times New Roman"/>
          <w:sz w:val="22"/>
          <w:szCs w:val="24"/>
        </w:rPr>
      </w:pPr>
      <w:r w:rsidRPr="0076668A">
        <w:rPr>
          <w:rFonts w:ascii="Times New Roman" w:hAnsi="Times New Roman" w:cs="Times New Roman"/>
          <w:sz w:val="22"/>
          <w:szCs w:val="24"/>
        </w:rPr>
        <w:t>Holshue, M.L., DeBolt, C., Lindquist, S., Lofy, K.H., Wiesman, J., Bruce, H., Spitters, C., Ericson, K., Wilkerson, S., Tural, A., Diaz, G., Cohn, A., Fox, L., Patel, A., Gerber, S.I., Kim, L., Tong, S., Lu, X., Lindstrom, S., Pallansch, M.A., Weldon, W.C., Biggs, H.M., Uyeki, T.M., Pillai, S.K., 2020. First Case of 2019 Novel Coronavirus in the United States. N. Engl. J. Med. 382, 929–936.</w:t>
      </w:r>
    </w:p>
    <w:p w14:paraId="598F7366" w14:textId="77777777" w:rsidR="00B9475A" w:rsidRPr="0076668A" w:rsidRDefault="00B9475A" w:rsidP="0076668A">
      <w:pPr>
        <w:pStyle w:val="Bibliography"/>
        <w:spacing w:line="360" w:lineRule="auto"/>
        <w:ind w:left="426" w:hanging="426"/>
        <w:rPr>
          <w:rFonts w:ascii="Times New Roman" w:hAnsi="Times New Roman" w:cs="Times New Roman"/>
          <w:sz w:val="22"/>
          <w:szCs w:val="24"/>
        </w:rPr>
      </w:pPr>
      <w:r w:rsidRPr="0076668A">
        <w:rPr>
          <w:rFonts w:ascii="Times New Roman" w:hAnsi="Times New Roman" w:cs="Times New Roman"/>
          <w:sz w:val="22"/>
          <w:szCs w:val="24"/>
        </w:rPr>
        <w:t xml:space="preserve">Marra, M.A., Jones, S.J.M., Astell, C.R., Holt, R.A., Brooks-Wilson, A., Butterfield, Y.S.N., Khattra, J., Asano, J.K., Barber, S.A., Chan, S.Y., Cloutier, A., Coughlin, S.M., Freeman, D., Girn, N., Griffith, O.L., Leach, S.R., Mayo, M., McDonald, H., Montgomery, S.B., Pandoh, P.K., Petrescu, A.S., Robertson, A.G., Schein, J.E., Siddiqui, A., Smailus, D.E., Stott, J.M., Yang, G.S., Plummer, F., Andonov, A., Artsob, H., Bastien, N., Bernard, K., Booth, T.F., Bowness, D., Czub, M., Drebot, M., Fernando, L., Flick, R., Garbutt, M., Gray, M., Grolla, A., Jones, S., Feldmann, H., Meyers, A., </w:t>
      </w:r>
      <w:r w:rsidRPr="0076668A">
        <w:rPr>
          <w:rFonts w:ascii="Times New Roman" w:hAnsi="Times New Roman" w:cs="Times New Roman"/>
          <w:sz w:val="22"/>
          <w:szCs w:val="24"/>
        </w:rPr>
        <w:lastRenderedPageBreak/>
        <w:t>Kabani, A., Li, Y., Normand, S., Stroher, U., Tipples, G.A., Tyler, S., Vogrig, R., Ward, D., Watson, B., Brunham, R.C., Krajden, M., Petric, M., Skowronski, D.M., Upton, C., Roper, R.L., 2003. The Genome sequence of the SARS-associated coronavirus. Science 300, 1399–1404.</w:t>
      </w:r>
    </w:p>
    <w:p w14:paraId="6F4B040B" w14:textId="77777777" w:rsidR="00B9475A" w:rsidRPr="0076668A" w:rsidRDefault="00B9475A" w:rsidP="0076668A">
      <w:pPr>
        <w:pStyle w:val="Bibliography"/>
        <w:spacing w:line="360" w:lineRule="auto"/>
        <w:ind w:left="426" w:hanging="426"/>
        <w:rPr>
          <w:rFonts w:ascii="Times New Roman" w:hAnsi="Times New Roman" w:cs="Times New Roman"/>
          <w:sz w:val="22"/>
          <w:szCs w:val="24"/>
        </w:rPr>
      </w:pPr>
      <w:r w:rsidRPr="0076668A">
        <w:rPr>
          <w:rFonts w:ascii="Times New Roman" w:hAnsi="Times New Roman" w:cs="Times New Roman"/>
          <w:sz w:val="22"/>
          <w:szCs w:val="24"/>
        </w:rPr>
        <w:t>van Doremalen, N., Bushmaker, T., Munster, V., 2013. Stability of Middle East respiratory syndrome coronavirus (MERS-CoV) under different environmental conditions. Eurosurveillance 18, 20590.</w:t>
      </w:r>
    </w:p>
    <w:p w14:paraId="2BE6FABB" w14:textId="77777777" w:rsidR="00B9475A" w:rsidRPr="0076668A" w:rsidRDefault="00B9475A" w:rsidP="0076668A">
      <w:pPr>
        <w:pStyle w:val="Bibliography"/>
        <w:spacing w:line="360" w:lineRule="auto"/>
        <w:ind w:left="426" w:hanging="426"/>
        <w:rPr>
          <w:rFonts w:ascii="Times New Roman" w:hAnsi="Times New Roman" w:cs="Times New Roman"/>
          <w:sz w:val="22"/>
          <w:szCs w:val="24"/>
        </w:rPr>
      </w:pPr>
      <w:r w:rsidRPr="0076668A">
        <w:rPr>
          <w:rFonts w:ascii="Times New Roman" w:hAnsi="Times New Roman" w:cs="Times New Roman"/>
          <w:sz w:val="22"/>
          <w:szCs w:val="24"/>
        </w:rPr>
        <w:t>Zou, L., Ruan, F., Huang, M., Liang, L., Huang, H., Hong, Z., Yu, J., Kang, M., Song, Y., Xia, J., Guo, Q., Song, T., He, J., Yen, H.-L., Peiris, M., Wu, J., 2020. SARS-CoV-2 Viral Load in Upper Respiratory Specimens of Infected Patients. N. Engl. J. Med. In press.</w:t>
      </w:r>
    </w:p>
    <w:p w14:paraId="178347C8" w14:textId="7B756730" w:rsidR="00B9475A" w:rsidRPr="00F378E4" w:rsidRDefault="00702BF8" w:rsidP="0076668A">
      <w:pPr>
        <w:spacing w:before="480" w:after="240"/>
        <w:ind w:left="425" w:hanging="425"/>
        <w:jc w:val="both"/>
        <w:rPr>
          <w:rFonts w:ascii="Times New Roman" w:hAnsi="Times New Roman" w:cs="Times New Roman"/>
          <w:sz w:val="22"/>
          <w:szCs w:val="22"/>
          <w:lang w:val="en"/>
        </w:rPr>
      </w:pPr>
      <w:r>
        <w:rPr>
          <w:rFonts w:ascii="Times New Roman" w:hAnsi="Times New Roman" w:cs="Times New Roman"/>
          <w:sz w:val="22"/>
          <w:szCs w:val="22"/>
        </w:rPr>
        <w:fldChar w:fldCharType="end"/>
      </w:r>
      <w:r w:rsidR="00B9475A" w:rsidRPr="00F378E4">
        <w:rPr>
          <w:rFonts w:ascii="Times New Roman" w:hAnsi="Times New Roman" w:cs="Times New Roman"/>
          <w:b/>
          <w:sz w:val="22"/>
          <w:szCs w:val="22"/>
          <w:lang w:val="en"/>
        </w:rPr>
        <w:t xml:space="preserve">Code and data </w:t>
      </w:r>
      <w:bookmarkStart w:id="1" w:name="_GoBack"/>
      <w:r w:rsidR="00B9475A" w:rsidRPr="00F378E4">
        <w:rPr>
          <w:rFonts w:ascii="Times New Roman" w:hAnsi="Times New Roman" w:cs="Times New Roman"/>
          <w:b/>
          <w:sz w:val="22"/>
          <w:szCs w:val="22"/>
          <w:lang w:val="en"/>
        </w:rPr>
        <w:t>availability</w:t>
      </w:r>
      <w:bookmarkEnd w:id="1"/>
    </w:p>
    <w:p w14:paraId="22657543" w14:textId="77777777" w:rsidR="00B9475A" w:rsidRPr="00F378E4" w:rsidRDefault="00B9475A" w:rsidP="0076668A">
      <w:pPr>
        <w:spacing w:after="240"/>
        <w:ind w:firstLine="425"/>
        <w:jc w:val="both"/>
        <w:rPr>
          <w:rFonts w:ascii="Times New Roman" w:hAnsi="Times New Roman" w:cs="Times New Roman"/>
          <w:bCs/>
          <w:sz w:val="22"/>
          <w:szCs w:val="22"/>
        </w:rPr>
      </w:pPr>
      <w:r w:rsidRPr="00F378E4">
        <w:rPr>
          <w:rFonts w:ascii="Times New Roman" w:hAnsi="Times New Roman" w:cs="Times New Roman"/>
          <w:bCs/>
          <w:sz w:val="22"/>
          <w:szCs w:val="22"/>
        </w:rPr>
        <w:t xml:space="preserve">Code and data to reproduce the Bayesian estimation results and produce corresponding figures are archived online at OSF: &lt;insert link&gt; and available on </w:t>
      </w:r>
      <w:proofErr w:type="spellStart"/>
      <w:r w:rsidRPr="00F378E4">
        <w:rPr>
          <w:rFonts w:ascii="Times New Roman" w:hAnsi="Times New Roman" w:cs="Times New Roman"/>
          <w:bCs/>
          <w:sz w:val="22"/>
          <w:szCs w:val="22"/>
        </w:rPr>
        <w:t>Github</w:t>
      </w:r>
      <w:proofErr w:type="spellEnd"/>
      <w:r w:rsidRPr="00F378E4">
        <w:rPr>
          <w:rFonts w:ascii="Times New Roman" w:hAnsi="Times New Roman" w:cs="Times New Roman"/>
          <w:bCs/>
          <w:sz w:val="22"/>
          <w:szCs w:val="22"/>
        </w:rPr>
        <w:t>: &lt;insert link&gt;</w:t>
      </w:r>
    </w:p>
    <w:p w14:paraId="7EBFD07A" w14:textId="77777777" w:rsidR="00B9475A" w:rsidRPr="0076668A" w:rsidRDefault="00B9475A" w:rsidP="0076668A">
      <w:pPr>
        <w:spacing w:before="480" w:after="240"/>
        <w:ind w:left="425" w:hanging="425"/>
        <w:jc w:val="both"/>
        <w:rPr>
          <w:rFonts w:ascii="Times New Roman" w:hAnsi="Times New Roman" w:cs="Times New Roman"/>
          <w:b/>
          <w:sz w:val="22"/>
          <w:szCs w:val="22"/>
          <w:lang w:val="en"/>
        </w:rPr>
      </w:pPr>
      <w:r w:rsidRPr="0076668A">
        <w:rPr>
          <w:rFonts w:ascii="Times New Roman" w:hAnsi="Times New Roman" w:cs="Times New Roman"/>
          <w:b/>
          <w:sz w:val="22"/>
          <w:szCs w:val="22"/>
          <w:lang w:val="en"/>
        </w:rPr>
        <w:t>Acknowledgements</w:t>
      </w:r>
    </w:p>
    <w:p w14:paraId="6443553D" w14:textId="5A496BDD" w:rsidR="00B9475A" w:rsidRPr="00B9475A" w:rsidRDefault="00B9475A" w:rsidP="0076668A">
      <w:pPr>
        <w:spacing w:after="240"/>
        <w:ind w:firstLine="425"/>
        <w:jc w:val="both"/>
        <w:rPr>
          <w:rFonts w:ascii="Times New Roman" w:hAnsi="Times New Roman" w:cs="Times New Roman"/>
          <w:bCs/>
          <w:sz w:val="22"/>
          <w:szCs w:val="22"/>
        </w:rPr>
      </w:pPr>
      <w:r w:rsidRPr="0076668A">
        <w:rPr>
          <w:rFonts w:ascii="Times New Roman" w:hAnsi="Times New Roman" w:cs="Times New Roman"/>
          <w:bCs/>
          <w:sz w:val="22"/>
          <w:szCs w:val="22"/>
        </w:rPr>
        <w:t xml:space="preserve">We would like to thank </w:t>
      </w:r>
      <w:proofErr w:type="spellStart"/>
      <w:r w:rsidRPr="0076668A">
        <w:rPr>
          <w:rFonts w:ascii="Times New Roman" w:hAnsi="Times New Roman" w:cs="Times New Roman"/>
          <w:bCs/>
          <w:sz w:val="22"/>
          <w:szCs w:val="22"/>
        </w:rPr>
        <w:t>Kwe</w:t>
      </w:r>
      <w:proofErr w:type="spellEnd"/>
      <w:r w:rsidRPr="0076668A">
        <w:rPr>
          <w:rFonts w:ascii="Times New Roman" w:hAnsi="Times New Roman" w:cs="Times New Roman"/>
          <w:bCs/>
          <w:sz w:val="22"/>
          <w:szCs w:val="22"/>
        </w:rPr>
        <w:t xml:space="preserve"> Claude </w:t>
      </w:r>
      <w:proofErr w:type="spellStart"/>
      <w:r w:rsidRPr="0076668A">
        <w:rPr>
          <w:rFonts w:ascii="Times New Roman" w:hAnsi="Times New Roman" w:cs="Times New Roman"/>
          <w:bCs/>
          <w:sz w:val="22"/>
          <w:szCs w:val="22"/>
        </w:rPr>
        <w:t>Yinde</w:t>
      </w:r>
      <w:proofErr w:type="spellEnd"/>
      <w:r w:rsidRPr="0076668A">
        <w:rPr>
          <w:rFonts w:ascii="Times New Roman" w:hAnsi="Times New Roman" w:cs="Times New Roman"/>
          <w:bCs/>
          <w:sz w:val="22"/>
          <w:szCs w:val="22"/>
        </w:rPr>
        <w:t xml:space="preserve"> and Michael </w:t>
      </w:r>
      <w:proofErr w:type="spellStart"/>
      <w:r w:rsidRPr="0076668A">
        <w:rPr>
          <w:rFonts w:ascii="Times New Roman" w:hAnsi="Times New Roman" w:cs="Times New Roman"/>
          <w:bCs/>
          <w:sz w:val="22"/>
          <w:szCs w:val="22"/>
        </w:rPr>
        <w:t>Letko</w:t>
      </w:r>
      <w:proofErr w:type="spellEnd"/>
      <w:r w:rsidRPr="0076668A">
        <w:rPr>
          <w:rFonts w:ascii="Times New Roman" w:hAnsi="Times New Roman" w:cs="Times New Roman"/>
          <w:bCs/>
          <w:sz w:val="22"/>
          <w:szCs w:val="22"/>
        </w:rPr>
        <w:t xml:space="preserve"> for experimental assistance. This research was supported by the Intramural Research Program of the National Institute of Allergy and Infectious Diseases (NIAID), National Institutes of Health (NIH). JOL-S and AG were supported by the Defense Advanced Research Projects Agency DARPA PREEMPT # D18AC00031, and JOL-S was supported by the U.S. National Science Foundation (DEB-1557022) and the Strategic Environmental Research and Development Program (SERDP, RC‐2635) of the U.S. Department of Defense. The findings and conclusions in this report are those of the author(s) and do not necessarily represent the official position of the Centers for Disease Control and Prevention. Names of specific vendors, manufacturers, or products are included for public health and informational purposes; inclusion does not imply endorsement of the vendors, manufacturers, or products by the Centers for Disease Control and Prevention or the US Department of Health and Human Services.</w:t>
      </w:r>
    </w:p>
    <w:sectPr w:rsidR="00B9475A" w:rsidRPr="00B9475A" w:rsidSect="009A3AD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B2293" w14:textId="77777777" w:rsidR="00774F82" w:rsidRDefault="00774F82" w:rsidP="005D03EB">
      <w:pPr>
        <w:spacing w:after="0" w:line="240" w:lineRule="auto"/>
      </w:pPr>
      <w:r>
        <w:separator/>
      </w:r>
    </w:p>
  </w:endnote>
  <w:endnote w:type="continuationSeparator" w:id="0">
    <w:p w14:paraId="6111A3F8" w14:textId="77777777" w:rsidR="00774F82" w:rsidRDefault="00774F82" w:rsidP="005D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7C898" w14:textId="77777777" w:rsidR="00774F82" w:rsidRDefault="00774F82" w:rsidP="005D03EB">
      <w:pPr>
        <w:spacing w:after="0" w:line="240" w:lineRule="auto"/>
      </w:pPr>
      <w:r>
        <w:separator/>
      </w:r>
    </w:p>
  </w:footnote>
  <w:footnote w:type="continuationSeparator" w:id="0">
    <w:p w14:paraId="438AD670" w14:textId="77777777" w:rsidR="00774F82" w:rsidRDefault="00774F82" w:rsidP="005D0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F4D56"/>
    <w:multiLevelType w:val="hybridMultilevel"/>
    <w:tmpl w:val="32E4C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27D"/>
    <w:rsid w:val="00065528"/>
    <w:rsid w:val="000A2E2E"/>
    <w:rsid w:val="000D07F9"/>
    <w:rsid w:val="00123D06"/>
    <w:rsid w:val="00124A89"/>
    <w:rsid w:val="00162F8C"/>
    <w:rsid w:val="00163E07"/>
    <w:rsid w:val="00186CB3"/>
    <w:rsid w:val="00190B1A"/>
    <w:rsid w:val="0021279B"/>
    <w:rsid w:val="00212AAD"/>
    <w:rsid w:val="00227B2C"/>
    <w:rsid w:val="002B1674"/>
    <w:rsid w:val="00303780"/>
    <w:rsid w:val="0032540F"/>
    <w:rsid w:val="003551D1"/>
    <w:rsid w:val="00376040"/>
    <w:rsid w:val="00391F4B"/>
    <w:rsid w:val="00401213"/>
    <w:rsid w:val="00405ECA"/>
    <w:rsid w:val="00407BB7"/>
    <w:rsid w:val="0041348B"/>
    <w:rsid w:val="00443424"/>
    <w:rsid w:val="004D52E4"/>
    <w:rsid w:val="00537D75"/>
    <w:rsid w:val="005A6EDE"/>
    <w:rsid w:val="005D03EB"/>
    <w:rsid w:val="006F7BF8"/>
    <w:rsid w:val="00702BF8"/>
    <w:rsid w:val="00711992"/>
    <w:rsid w:val="007639B3"/>
    <w:rsid w:val="0076668A"/>
    <w:rsid w:val="00774F82"/>
    <w:rsid w:val="00837DE4"/>
    <w:rsid w:val="00840AAD"/>
    <w:rsid w:val="00842020"/>
    <w:rsid w:val="00854D13"/>
    <w:rsid w:val="008818E2"/>
    <w:rsid w:val="0091373B"/>
    <w:rsid w:val="0094072B"/>
    <w:rsid w:val="00953E9E"/>
    <w:rsid w:val="00985D3D"/>
    <w:rsid w:val="009964E5"/>
    <w:rsid w:val="009A3AD0"/>
    <w:rsid w:val="009D078D"/>
    <w:rsid w:val="00AA02FA"/>
    <w:rsid w:val="00AC2B64"/>
    <w:rsid w:val="00AE0DDF"/>
    <w:rsid w:val="00AE46B4"/>
    <w:rsid w:val="00B207E9"/>
    <w:rsid w:val="00B308E2"/>
    <w:rsid w:val="00B64787"/>
    <w:rsid w:val="00B7786E"/>
    <w:rsid w:val="00B9475A"/>
    <w:rsid w:val="00BC7A3F"/>
    <w:rsid w:val="00BE7329"/>
    <w:rsid w:val="00C57F59"/>
    <w:rsid w:val="00C623FB"/>
    <w:rsid w:val="00CD4D7C"/>
    <w:rsid w:val="00CE1B9B"/>
    <w:rsid w:val="00D05DC8"/>
    <w:rsid w:val="00D06EBF"/>
    <w:rsid w:val="00D6783F"/>
    <w:rsid w:val="00E022B7"/>
    <w:rsid w:val="00E04B7D"/>
    <w:rsid w:val="00E2627D"/>
    <w:rsid w:val="00E41398"/>
    <w:rsid w:val="00E91A7B"/>
    <w:rsid w:val="00E96E11"/>
    <w:rsid w:val="00EC54F6"/>
    <w:rsid w:val="00ED409A"/>
    <w:rsid w:val="00F43F05"/>
    <w:rsid w:val="00F46A5A"/>
    <w:rsid w:val="00F62E44"/>
    <w:rsid w:val="00F96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17F87"/>
  <w15:chartTrackingRefBased/>
  <w15:docId w15:val="{7DC303D8-580C-5844-8645-28F9B8B32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27D"/>
    <w:pPr>
      <w:spacing w:after="160" w:line="360" w:lineRule="auto"/>
    </w:pPr>
    <w:rPr>
      <w:rFonts w:ascii="Arial" w:hAnsi="Arial" w:cs="Arial"/>
    </w:rPr>
  </w:style>
  <w:style w:type="paragraph" w:styleId="Heading1">
    <w:name w:val="heading 1"/>
    <w:basedOn w:val="Normal"/>
    <w:next w:val="Normal"/>
    <w:link w:val="Heading1Char"/>
    <w:uiPriority w:val="9"/>
    <w:qFormat/>
    <w:rsid w:val="00E022B7"/>
    <w:pPr>
      <w:keepNext/>
      <w:keepLines/>
      <w:spacing w:before="240" w:after="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E2627D"/>
  </w:style>
  <w:style w:type="paragraph" w:styleId="BalloonText">
    <w:name w:val="Balloon Text"/>
    <w:basedOn w:val="Normal"/>
    <w:link w:val="BalloonTextChar"/>
    <w:uiPriority w:val="99"/>
    <w:semiHidden/>
    <w:unhideWhenUsed/>
    <w:rsid w:val="00E022B7"/>
    <w:pPr>
      <w:spacing w:after="0" w:line="240" w:lineRule="auto"/>
    </w:pPr>
    <w:rPr>
      <w:rFonts w:ascii="Times New Roman" w:hAnsi="Times New Roman" w:cs="Times New Roman"/>
      <w:sz w:val="18"/>
      <w:szCs w:val="18"/>
    </w:rPr>
  </w:style>
  <w:style w:type="character" w:customStyle="1" w:styleId="BalloonTextChar">
    <w:name w:val="Balloon Text Char"/>
    <w:link w:val="BalloonText"/>
    <w:uiPriority w:val="99"/>
    <w:semiHidden/>
    <w:rsid w:val="00E022B7"/>
    <w:rPr>
      <w:rFonts w:ascii="Times New Roman" w:hAnsi="Times New Roman" w:cs="Times New Roman"/>
      <w:sz w:val="18"/>
      <w:szCs w:val="18"/>
    </w:rPr>
  </w:style>
  <w:style w:type="character" w:customStyle="1" w:styleId="Heading1Char">
    <w:name w:val="Heading 1 Char"/>
    <w:link w:val="Heading1"/>
    <w:uiPriority w:val="9"/>
    <w:rsid w:val="00E022B7"/>
    <w:rPr>
      <w:rFonts w:ascii="Times New Roman" w:eastAsia="Times New Roman" w:hAnsi="Times New Roman" w:cs="Arial"/>
      <w:b/>
      <w:bCs/>
    </w:rPr>
  </w:style>
  <w:style w:type="paragraph" w:styleId="ListParagraph">
    <w:name w:val="List Paragraph"/>
    <w:basedOn w:val="Normal"/>
    <w:uiPriority w:val="34"/>
    <w:qFormat/>
    <w:rsid w:val="00E022B7"/>
    <w:pPr>
      <w:ind w:left="720"/>
      <w:contextualSpacing/>
    </w:pPr>
  </w:style>
  <w:style w:type="paragraph" w:styleId="TOC1">
    <w:name w:val="toc 1"/>
    <w:basedOn w:val="Normal"/>
    <w:next w:val="Normal"/>
    <w:autoRedefine/>
    <w:uiPriority w:val="39"/>
    <w:unhideWhenUsed/>
    <w:rsid w:val="00E022B7"/>
    <w:pPr>
      <w:spacing w:before="120" w:after="120"/>
    </w:pPr>
    <w:rPr>
      <w:rFonts w:ascii="Calibri" w:hAnsi="Calibri"/>
      <w:b/>
      <w:bCs/>
      <w:caps/>
    </w:rPr>
  </w:style>
  <w:style w:type="paragraph" w:styleId="TOC2">
    <w:name w:val="toc 2"/>
    <w:basedOn w:val="Normal"/>
    <w:next w:val="Normal"/>
    <w:autoRedefine/>
    <w:uiPriority w:val="39"/>
    <w:unhideWhenUsed/>
    <w:rsid w:val="00E022B7"/>
    <w:pPr>
      <w:spacing w:after="0"/>
      <w:ind w:left="200"/>
    </w:pPr>
    <w:rPr>
      <w:rFonts w:ascii="Calibri" w:hAnsi="Calibri"/>
      <w:smallCaps/>
    </w:rPr>
  </w:style>
  <w:style w:type="paragraph" w:styleId="TOC3">
    <w:name w:val="toc 3"/>
    <w:basedOn w:val="Normal"/>
    <w:next w:val="Normal"/>
    <w:autoRedefine/>
    <w:uiPriority w:val="39"/>
    <w:unhideWhenUsed/>
    <w:rsid w:val="00E022B7"/>
    <w:pPr>
      <w:spacing w:after="0"/>
      <w:ind w:left="400"/>
    </w:pPr>
    <w:rPr>
      <w:rFonts w:ascii="Calibri" w:hAnsi="Calibri"/>
      <w:i/>
      <w:iCs/>
    </w:rPr>
  </w:style>
  <w:style w:type="paragraph" w:styleId="TOC4">
    <w:name w:val="toc 4"/>
    <w:basedOn w:val="Normal"/>
    <w:next w:val="Normal"/>
    <w:autoRedefine/>
    <w:uiPriority w:val="39"/>
    <w:unhideWhenUsed/>
    <w:rsid w:val="00E022B7"/>
    <w:pPr>
      <w:spacing w:after="0"/>
      <w:ind w:left="600"/>
    </w:pPr>
    <w:rPr>
      <w:rFonts w:ascii="Calibri" w:hAnsi="Calibri"/>
      <w:sz w:val="18"/>
      <w:szCs w:val="18"/>
    </w:rPr>
  </w:style>
  <w:style w:type="paragraph" w:styleId="TOC5">
    <w:name w:val="toc 5"/>
    <w:basedOn w:val="Normal"/>
    <w:next w:val="Normal"/>
    <w:autoRedefine/>
    <w:uiPriority w:val="39"/>
    <w:unhideWhenUsed/>
    <w:rsid w:val="00E022B7"/>
    <w:pPr>
      <w:spacing w:after="0"/>
      <w:ind w:left="800"/>
    </w:pPr>
    <w:rPr>
      <w:rFonts w:ascii="Calibri" w:hAnsi="Calibri"/>
      <w:sz w:val="18"/>
      <w:szCs w:val="18"/>
    </w:rPr>
  </w:style>
  <w:style w:type="paragraph" w:styleId="TOC6">
    <w:name w:val="toc 6"/>
    <w:basedOn w:val="Normal"/>
    <w:next w:val="Normal"/>
    <w:autoRedefine/>
    <w:uiPriority w:val="39"/>
    <w:unhideWhenUsed/>
    <w:rsid w:val="00E022B7"/>
    <w:pPr>
      <w:spacing w:after="0"/>
      <w:ind w:left="1000"/>
    </w:pPr>
    <w:rPr>
      <w:rFonts w:ascii="Calibri" w:hAnsi="Calibri"/>
      <w:sz w:val="18"/>
      <w:szCs w:val="18"/>
    </w:rPr>
  </w:style>
  <w:style w:type="paragraph" w:styleId="TOC7">
    <w:name w:val="toc 7"/>
    <w:basedOn w:val="Normal"/>
    <w:next w:val="Normal"/>
    <w:autoRedefine/>
    <w:uiPriority w:val="39"/>
    <w:unhideWhenUsed/>
    <w:rsid w:val="00E022B7"/>
    <w:pPr>
      <w:spacing w:after="0"/>
      <w:ind w:left="1200"/>
    </w:pPr>
    <w:rPr>
      <w:rFonts w:ascii="Calibri" w:hAnsi="Calibri"/>
      <w:sz w:val="18"/>
      <w:szCs w:val="18"/>
    </w:rPr>
  </w:style>
  <w:style w:type="paragraph" w:styleId="TOC8">
    <w:name w:val="toc 8"/>
    <w:basedOn w:val="Normal"/>
    <w:next w:val="Normal"/>
    <w:autoRedefine/>
    <w:uiPriority w:val="39"/>
    <w:unhideWhenUsed/>
    <w:rsid w:val="00E022B7"/>
    <w:pPr>
      <w:spacing w:after="0"/>
      <w:ind w:left="1400"/>
    </w:pPr>
    <w:rPr>
      <w:rFonts w:ascii="Calibri" w:hAnsi="Calibri"/>
      <w:sz w:val="18"/>
      <w:szCs w:val="18"/>
    </w:rPr>
  </w:style>
  <w:style w:type="paragraph" w:styleId="TOC9">
    <w:name w:val="toc 9"/>
    <w:basedOn w:val="Normal"/>
    <w:next w:val="Normal"/>
    <w:autoRedefine/>
    <w:uiPriority w:val="39"/>
    <w:unhideWhenUsed/>
    <w:rsid w:val="00E022B7"/>
    <w:pPr>
      <w:spacing w:after="0"/>
      <w:ind w:left="1600"/>
    </w:pPr>
    <w:rPr>
      <w:rFonts w:ascii="Calibri" w:hAnsi="Calibri"/>
      <w:sz w:val="18"/>
      <w:szCs w:val="18"/>
    </w:rPr>
  </w:style>
  <w:style w:type="character" w:styleId="Hyperlink">
    <w:name w:val="Hyperlink"/>
    <w:uiPriority w:val="99"/>
    <w:unhideWhenUsed/>
    <w:rsid w:val="00E022B7"/>
    <w:rPr>
      <w:color w:val="0563C1"/>
      <w:u w:val="single"/>
    </w:rPr>
  </w:style>
  <w:style w:type="paragraph" w:styleId="Header">
    <w:name w:val="header"/>
    <w:basedOn w:val="Normal"/>
    <w:link w:val="HeaderChar"/>
    <w:uiPriority w:val="99"/>
    <w:unhideWhenUsed/>
    <w:rsid w:val="005D03EB"/>
    <w:pPr>
      <w:tabs>
        <w:tab w:val="center" w:pos="4680"/>
        <w:tab w:val="right" w:pos="9360"/>
      </w:tabs>
      <w:spacing w:after="0" w:line="240" w:lineRule="auto"/>
    </w:pPr>
  </w:style>
  <w:style w:type="character" w:customStyle="1" w:styleId="HeaderChar">
    <w:name w:val="Header Char"/>
    <w:link w:val="Header"/>
    <w:uiPriority w:val="99"/>
    <w:rsid w:val="005D03EB"/>
    <w:rPr>
      <w:rFonts w:ascii="Arial" w:hAnsi="Arial" w:cs="Arial"/>
      <w:sz w:val="20"/>
      <w:szCs w:val="20"/>
    </w:rPr>
  </w:style>
  <w:style w:type="paragraph" w:styleId="Footer">
    <w:name w:val="footer"/>
    <w:basedOn w:val="Normal"/>
    <w:link w:val="FooterChar"/>
    <w:uiPriority w:val="99"/>
    <w:unhideWhenUsed/>
    <w:rsid w:val="005D03EB"/>
    <w:pPr>
      <w:tabs>
        <w:tab w:val="center" w:pos="4680"/>
        <w:tab w:val="right" w:pos="9360"/>
      </w:tabs>
      <w:spacing w:after="0" w:line="240" w:lineRule="auto"/>
    </w:pPr>
  </w:style>
  <w:style w:type="character" w:customStyle="1" w:styleId="FooterChar">
    <w:name w:val="Footer Char"/>
    <w:link w:val="Footer"/>
    <w:uiPriority w:val="99"/>
    <w:rsid w:val="005D03EB"/>
    <w:rPr>
      <w:rFonts w:ascii="Arial" w:hAnsi="Arial" w:cs="Arial"/>
      <w:sz w:val="20"/>
      <w:szCs w:val="20"/>
    </w:rPr>
  </w:style>
  <w:style w:type="character" w:styleId="CommentReference">
    <w:name w:val="annotation reference"/>
    <w:basedOn w:val="DefaultParagraphFont"/>
    <w:uiPriority w:val="99"/>
    <w:semiHidden/>
    <w:unhideWhenUsed/>
    <w:rsid w:val="00854D13"/>
    <w:rPr>
      <w:sz w:val="16"/>
      <w:szCs w:val="16"/>
    </w:rPr>
  </w:style>
  <w:style w:type="paragraph" w:styleId="CommentText">
    <w:name w:val="annotation text"/>
    <w:basedOn w:val="Normal"/>
    <w:link w:val="CommentTextChar"/>
    <w:uiPriority w:val="99"/>
    <w:semiHidden/>
    <w:unhideWhenUsed/>
    <w:rsid w:val="00854D13"/>
    <w:pPr>
      <w:spacing w:line="240" w:lineRule="auto"/>
    </w:pPr>
  </w:style>
  <w:style w:type="character" w:customStyle="1" w:styleId="CommentTextChar">
    <w:name w:val="Comment Text Char"/>
    <w:basedOn w:val="DefaultParagraphFont"/>
    <w:link w:val="CommentText"/>
    <w:uiPriority w:val="99"/>
    <w:semiHidden/>
    <w:rsid w:val="00854D13"/>
    <w:rPr>
      <w:rFonts w:ascii="Arial" w:hAnsi="Arial" w:cs="Arial"/>
    </w:rPr>
  </w:style>
  <w:style w:type="paragraph" w:styleId="CommentSubject">
    <w:name w:val="annotation subject"/>
    <w:basedOn w:val="CommentText"/>
    <w:next w:val="CommentText"/>
    <w:link w:val="CommentSubjectChar"/>
    <w:uiPriority w:val="99"/>
    <w:semiHidden/>
    <w:unhideWhenUsed/>
    <w:rsid w:val="00854D13"/>
    <w:rPr>
      <w:b/>
      <w:bCs/>
    </w:rPr>
  </w:style>
  <w:style w:type="character" w:customStyle="1" w:styleId="CommentSubjectChar">
    <w:name w:val="Comment Subject Char"/>
    <w:basedOn w:val="CommentTextChar"/>
    <w:link w:val="CommentSubject"/>
    <w:uiPriority w:val="99"/>
    <w:semiHidden/>
    <w:rsid w:val="00854D13"/>
    <w:rPr>
      <w:rFonts w:ascii="Arial" w:hAnsi="Arial" w:cs="Arial"/>
      <w:b/>
      <w:bCs/>
    </w:rPr>
  </w:style>
  <w:style w:type="paragraph" w:styleId="Bibliography">
    <w:name w:val="Bibliography"/>
    <w:basedOn w:val="Normal"/>
    <w:next w:val="Normal"/>
    <w:uiPriority w:val="37"/>
    <w:unhideWhenUsed/>
    <w:rsid w:val="00702BF8"/>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28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4421</Words>
  <Characters>25202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H. Morris</dc:creator>
  <cp:keywords/>
  <dc:description/>
  <cp:lastModifiedBy>Munster, Vincent (NIH/NIAID) [E]</cp:lastModifiedBy>
  <cp:revision>3</cp:revision>
  <dcterms:created xsi:type="dcterms:W3CDTF">2020-03-12T13:20:00Z</dcterms:created>
  <dcterms:modified xsi:type="dcterms:W3CDTF">2020-03-12T13:21:00Z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zotero-version="5.0.84"&gt;&lt;session id="a02SyINt"/&gt;&lt;style id="http://www.zotero.org/styles/international-journal-for-parasitology-parasites-and-wildlife" hasBibliography="1" bibliographyStyleHasBeenSet="1"/&gt;&lt;prefs&gt;&lt;pref name="automatic</vt:lpwstr>
  </property>
  <property fmtid="{D5CDD505-2E9C-101B-9397-08002B2CF9AE}" pid="3" name="ZOTERO_PREF_2">
    <vt:lpwstr>JournalAbbreviations" value="true"/&gt;&lt;pref name="fieldType" value="Field"/&gt;&lt;/prefs&gt;&lt;/data&gt;</vt:lpwstr>
  </property>
</Properties>
</file>