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FA18A" w14:textId="77777777" w:rsidR="00E2627D" w:rsidRPr="00EC54F6" w:rsidRDefault="00E2627D" w:rsidP="00E022B7">
      <w:pPr>
        <w:spacing w:after="0" w:line="480" w:lineRule="auto"/>
        <w:jc w:val="center"/>
        <w:rPr>
          <w:rFonts w:ascii="Times New Roman" w:hAnsi="Times New Roman" w:cs="Times New Roman"/>
          <w:b/>
          <w:sz w:val="22"/>
          <w:szCs w:val="22"/>
          <w:lang w:val="en"/>
        </w:rPr>
      </w:pPr>
      <w:bookmarkStart w:id="0" w:name="_GoBack"/>
      <w:bookmarkEnd w:id="0"/>
      <w:r w:rsidRPr="00EC54F6">
        <w:rPr>
          <w:rFonts w:ascii="Times New Roman" w:hAnsi="Times New Roman" w:cs="Times New Roman"/>
          <w:b/>
          <w:sz w:val="22"/>
          <w:szCs w:val="22"/>
          <w:lang w:val="en"/>
        </w:rPr>
        <w:t>Supplemental Appendix</w:t>
      </w:r>
    </w:p>
    <w:p w14:paraId="6C14EEF1" w14:textId="77777777" w:rsidR="00E022B7" w:rsidRPr="00EC54F6" w:rsidRDefault="00E022B7" w:rsidP="00E022B7">
      <w:pPr>
        <w:pStyle w:val="Heading1"/>
        <w:spacing w:line="480" w:lineRule="auto"/>
        <w:jc w:val="center"/>
        <w:rPr>
          <w:rFonts w:cs="Times New Roman"/>
          <w:sz w:val="22"/>
          <w:szCs w:val="22"/>
        </w:rPr>
      </w:pPr>
      <w:bookmarkStart w:id="1" w:name="_Toc33610226"/>
      <w:r w:rsidRPr="00EC54F6">
        <w:rPr>
          <w:rFonts w:cs="Times New Roman"/>
          <w:sz w:val="22"/>
          <w:szCs w:val="22"/>
        </w:rPr>
        <w:t>Aerosol and surface stability of SARS-2 (HCoV-19) compared to SARS-CoV</w:t>
      </w:r>
      <w:bookmarkEnd w:id="1"/>
      <w:r w:rsidRPr="00EC54F6">
        <w:rPr>
          <w:rFonts w:cs="Times New Roman"/>
          <w:sz w:val="22"/>
          <w:szCs w:val="22"/>
        </w:rPr>
        <w:t xml:space="preserve"> </w:t>
      </w:r>
    </w:p>
    <w:p w14:paraId="7A1F7C26" w14:textId="77777777" w:rsidR="00E022B7" w:rsidRPr="00EC54F6" w:rsidRDefault="00E022B7" w:rsidP="00E022B7">
      <w:pPr>
        <w:spacing w:after="0" w:line="480" w:lineRule="auto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EC54F6">
        <w:rPr>
          <w:rFonts w:ascii="Times New Roman" w:hAnsi="Times New Roman" w:cs="Times New Roman"/>
          <w:sz w:val="22"/>
          <w:szCs w:val="22"/>
        </w:rPr>
        <w:t>Neeltje van Doremalen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1*</w:t>
      </w:r>
      <w:r w:rsidRPr="00EC54F6">
        <w:rPr>
          <w:rFonts w:ascii="Times New Roman" w:hAnsi="Times New Roman" w:cs="Times New Roman"/>
          <w:sz w:val="22"/>
          <w:szCs w:val="22"/>
        </w:rPr>
        <w:t>, Trenton Bushmaker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1*</w:t>
      </w:r>
      <w:r w:rsidRPr="00EC54F6">
        <w:rPr>
          <w:rFonts w:ascii="Times New Roman" w:hAnsi="Times New Roman" w:cs="Times New Roman"/>
          <w:sz w:val="22"/>
          <w:szCs w:val="22"/>
        </w:rPr>
        <w:t>, Dylan H. Morris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2*</w:t>
      </w:r>
      <w:r w:rsidRPr="00EC54F6">
        <w:rPr>
          <w:rFonts w:ascii="Times New Roman" w:hAnsi="Times New Roman" w:cs="Times New Roman"/>
          <w:sz w:val="22"/>
          <w:szCs w:val="22"/>
        </w:rPr>
        <w:t>, Myndi G. Holbrook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C54F6">
        <w:rPr>
          <w:rFonts w:ascii="Times New Roman" w:hAnsi="Times New Roman" w:cs="Times New Roman"/>
          <w:sz w:val="22"/>
          <w:szCs w:val="22"/>
        </w:rPr>
        <w:t>, Amandine Gamble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EC54F6">
        <w:rPr>
          <w:rFonts w:ascii="Times New Roman" w:hAnsi="Times New Roman" w:cs="Times New Roman"/>
          <w:sz w:val="22"/>
          <w:szCs w:val="22"/>
        </w:rPr>
        <w:t>, Brandi N. Williamson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C54F6">
        <w:rPr>
          <w:rFonts w:ascii="Times New Roman" w:hAnsi="Times New Roman" w:cs="Times New Roman"/>
          <w:sz w:val="22"/>
          <w:szCs w:val="22"/>
        </w:rPr>
        <w:t>, Natalie J. Thornburg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EC54F6">
        <w:rPr>
          <w:rFonts w:ascii="Times New Roman" w:hAnsi="Times New Roman" w:cs="Times New Roman"/>
          <w:sz w:val="22"/>
          <w:szCs w:val="22"/>
        </w:rPr>
        <w:t>, Susan I. Gerber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Pr="00EC54F6">
        <w:rPr>
          <w:rFonts w:ascii="Times New Roman" w:hAnsi="Times New Roman" w:cs="Times New Roman"/>
          <w:sz w:val="22"/>
          <w:szCs w:val="22"/>
        </w:rPr>
        <w:t>, James O. Lloyd-Smith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3,5</w:t>
      </w:r>
      <w:r w:rsidRPr="00EC54F6">
        <w:rPr>
          <w:rFonts w:ascii="Times New Roman" w:hAnsi="Times New Roman" w:cs="Times New Roman"/>
          <w:sz w:val="22"/>
          <w:szCs w:val="22"/>
        </w:rPr>
        <w:t>, Emmie de Wit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EC54F6">
        <w:rPr>
          <w:rFonts w:ascii="Times New Roman" w:hAnsi="Times New Roman" w:cs="Times New Roman"/>
          <w:sz w:val="22"/>
          <w:szCs w:val="22"/>
        </w:rPr>
        <w:t>, Vincent J. Munster</w:t>
      </w: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1</w:t>
      </w:r>
    </w:p>
    <w:p w14:paraId="24EAAD86" w14:textId="77777777" w:rsidR="00E022B7" w:rsidRPr="00EC54F6" w:rsidRDefault="00E022B7" w:rsidP="00E022B7">
      <w:pPr>
        <w:spacing w:after="0" w:line="480" w:lineRule="auto"/>
        <w:rPr>
          <w:rFonts w:ascii="Times New Roman" w:hAnsi="Times New Roman" w:cs="Times New Roman"/>
          <w:sz w:val="22"/>
          <w:szCs w:val="22"/>
        </w:rPr>
      </w:pPr>
    </w:p>
    <w:p w14:paraId="5A0FC0EC" w14:textId="77777777" w:rsidR="00E022B7" w:rsidRPr="00EC54F6" w:rsidRDefault="00E022B7" w:rsidP="00E022B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Laboratory of Virology, Division of Intramural Research, National Institute of Allergy and Infectious Diseases, National Institutes of Health, Hamilton, MT, USA</w:t>
      </w:r>
    </w:p>
    <w:p w14:paraId="2969165F" w14:textId="77777777" w:rsidR="00E022B7" w:rsidRPr="00EC54F6" w:rsidRDefault="00E022B7" w:rsidP="00E022B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Dept. of Ecology and Evolutionary Biology, Princeton University, Princeton, NJ, USA</w:t>
      </w:r>
    </w:p>
    <w:p w14:paraId="3F8BFEEC" w14:textId="77777777" w:rsidR="00E022B7" w:rsidRPr="00EC54F6" w:rsidRDefault="00E022B7" w:rsidP="00E022B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Dept. of Ecology and Evolutionary Biology, University of California, Los Angeles, Los Angeles, CA, USA</w:t>
      </w:r>
    </w:p>
    <w:p w14:paraId="78BF775A" w14:textId="77777777" w:rsidR="00E022B7" w:rsidRPr="00EC54F6" w:rsidRDefault="00E022B7" w:rsidP="00E022B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Division of Viral Diseases, National Center for Immunization and Respiratory Diseases</w:t>
      </w:r>
      <w:r w:rsidRPr="00EC54F6">
        <w:rPr>
          <w:rFonts w:ascii="Times New Roman" w:hAnsi="Times New Roman" w:cs="Times New Roman"/>
          <w:sz w:val="22"/>
          <w:szCs w:val="22"/>
        </w:rPr>
        <w:t>, Centers for Disease Control and Prevention, Atlanta, GA, USA.</w:t>
      </w:r>
    </w:p>
    <w:p w14:paraId="6452ACCE" w14:textId="77777777" w:rsidR="00E022B7" w:rsidRPr="00EC54F6" w:rsidRDefault="00E022B7" w:rsidP="00E022B7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Fogarty International Center, National Institutes of Health, Bethesda, MD, USA</w:t>
      </w:r>
    </w:p>
    <w:p w14:paraId="52BC5771" w14:textId="77777777" w:rsidR="00E022B7" w:rsidRPr="00EC54F6" w:rsidRDefault="00E022B7" w:rsidP="00E022B7">
      <w:pPr>
        <w:spacing w:after="0" w:line="480" w:lineRule="auto"/>
        <w:ind w:left="360"/>
        <w:rPr>
          <w:rFonts w:ascii="Times New Roman" w:hAnsi="Times New Roman" w:cs="Times New Roman"/>
          <w:sz w:val="22"/>
          <w:szCs w:val="22"/>
        </w:rPr>
      </w:pPr>
    </w:p>
    <w:p w14:paraId="1E736684" w14:textId="77777777" w:rsidR="00E022B7" w:rsidRPr="00EC54F6" w:rsidRDefault="00E022B7" w:rsidP="00E022B7">
      <w:pPr>
        <w:spacing w:after="0" w:line="480" w:lineRule="auto"/>
        <w:rPr>
          <w:rFonts w:ascii="Times New Roman" w:hAnsi="Times New Roman" w:cs="Times New Roman"/>
          <w:sz w:val="22"/>
          <w:szCs w:val="22"/>
        </w:rPr>
      </w:pPr>
    </w:p>
    <w:p w14:paraId="4C308EF9" w14:textId="77777777" w:rsidR="00E022B7" w:rsidRPr="00EC54F6" w:rsidRDefault="00E022B7" w:rsidP="00E022B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  <w:vertAlign w:val="superscript"/>
        </w:rPr>
        <w:t>*</w:t>
      </w:r>
      <w:r w:rsidRPr="00EC54F6">
        <w:rPr>
          <w:rFonts w:ascii="Times New Roman" w:hAnsi="Times New Roman" w:cs="Times New Roman"/>
          <w:sz w:val="22"/>
          <w:szCs w:val="22"/>
        </w:rPr>
        <w:t xml:space="preserve"> These authors contributed equally to this article</w:t>
      </w:r>
    </w:p>
    <w:p w14:paraId="7DE9C90F" w14:textId="77777777" w:rsidR="00E022B7" w:rsidRPr="00EC54F6" w:rsidRDefault="00E022B7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br w:type="page"/>
      </w:r>
    </w:p>
    <w:p w14:paraId="0CD34627" w14:textId="77777777" w:rsidR="00E022B7" w:rsidRPr="00EC54F6" w:rsidRDefault="00E022B7" w:rsidP="00E022B7">
      <w:pPr>
        <w:pStyle w:val="Heading1"/>
        <w:rPr>
          <w:rFonts w:cs="Times New Roman"/>
          <w:sz w:val="22"/>
          <w:szCs w:val="22"/>
          <w:lang w:val="en"/>
        </w:rPr>
      </w:pPr>
      <w:r w:rsidRPr="00EC54F6">
        <w:rPr>
          <w:rFonts w:cs="Times New Roman"/>
          <w:sz w:val="22"/>
          <w:szCs w:val="22"/>
          <w:lang w:val="en"/>
        </w:rPr>
        <w:lastRenderedPageBreak/>
        <w:t>Supplemental methods</w:t>
      </w:r>
    </w:p>
    <w:p w14:paraId="203709D5" w14:textId="77777777" w:rsidR="00E022B7" w:rsidRPr="00EC54F6" w:rsidRDefault="00E022B7" w:rsidP="00E2627D">
      <w:pPr>
        <w:spacing w:after="0" w:line="480" w:lineRule="auto"/>
        <w:rPr>
          <w:rFonts w:ascii="Times New Roman" w:hAnsi="Times New Roman" w:cs="Times New Roman"/>
          <w:bCs/>
          <w:sz w:val="22"/>
          <w:szCs w:val="22"/>
          <w:lang w:val="en"/>
        </w:rPr>
      </w:pPr>
    </w:p>
    <w:p w14:paraId="7A80E4AD" w14:textId="73476865" w:rsidR="00E2627D" w:rsidRPr="00EC54F6" w:rsidRDefault="00E2627D" w:rsidP="00E2627D">
      <w:pPr>
        <w:spacing w:after="0" w:line="480" w:lineRule="auto"/>
        <w:rPr>
          <w:rFonts w:ascii="Times New Roman" w:hAnsi="Times New Roman" w:cs="Times New Roman"/>
          <w:bCs/>
          <w:sz w:val="22"/>
          <w:szCs w:val="22"/>
          <w:u w:val="single"/>
          <w:lang w:val="en"/>
        </w:rPr>
      </w:pPr>
      <w:r w:rsidRPr="00EC54F6">
        <w:rPr>
          <w:rFonts w:ascii="Times New Roman" w:hAnsi="Times New Roman" w:cs="Times New Roman"/>
          <w:bCs/>
          <w:sz w:val="22"/>
          <w:szCs w:val="22"/>
          <w:u w:val="single"/>
          <w:lang w:val="en"/>
        </w:rPr>
        <w:t>Bayesian regression model</w:t>
      </w:r>
      <w:r w:rsidR="00391F4B">
        <w:rPr>
          <w:rFonts w:ascii="Times New Roman" w:hAnsi="Times New Roman" w:cs="Times New Roman"/>
          <w:bCs/>
          <w:sz w:val="22"/>
          <w:szCs w:val="22"/>
          <w:u w:val="single"/>
          <w:lang w:val="en"/>
        </w:rPr>
        <w:t xml:space="preserve"> description</w:t>
      </w:r>
    </w:p>
    <w:p w14:paraId="3DD1B8CF" w14:textId="51ABC054" w:rsidR="00123D06" w:rsidRDefault="00123D06" w:rsidP="00E2627D">
      <w:pPr>
        <w:spacing w:after="0" w:line="480" w:lineRule="auto"/>
        <w:rPr>
          <w:rFonts w:ascii="Times New Roman" w:hAnsi="Times New Roman" w:cs="Times New Roman"/>
          <w:bCs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bCs/>
          <w:sz w:val="22"/>
          <w:szCs w:val="22"/>
          <w:lang w:val="en"/>
        </w:rPr>
        <w:tab/>
        <w:t>Here we describe in detail the Bayesian regression model that we used to estimate exponential decay rates and half-lives.</w:t>
      </w:r>
    </w:p>
    <w:p w14:paraId="44FE34DA" w14:textId="77777777" w:rsidR="00E91A7B" w:rsidRPr="00EC54F6" w:rsidRDefault="00E91A7B" w:rsidP="00E2627D">
      <w:pPr>
        <w:spacing w:after="0" w:line="480" w:lineRule="auto"/>
        <w:rPr>
          <w:rFonts w:ascii="Times New Roman" w:hAnsi="Times New Roman" w:cs="Times New Roman"/>
          <w:b/>
          <w:sz w:val="22"/>
          <w:szCs w:val="22"/>
          <w:lang w:val="en"/>
        </w:rPr>
      </w:pPr>
    </w:p>
    <w:p w14:paraId="31ABAFB2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In the model notation that follows, the symbol ~ denotes that a random variable is distributed according to the given distribution. Normal distributions are parametrized as Normal(mean, standard deviation). Positive-constrained normal distributions (“Half-Normal”) are parametrized as Half-Normal(mode, standard deviation). We use &lt;Distribution Name&gt;CDF(x, parameters) to denote the cumulative distribution function of a probability distribution, so for example NormalCDF(5, 0, 1) is the value of the Normal(0, 1) cumulative distribution function at 5.</w:t>
      </w:r>
    </w:p>
    <w:p w14:paraId="228018FB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274B1C71" w14:textId="1628D71C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Our data consist of 10 experimental conditions: 2 viruses (</w:t>
      </w:r>
      <w:r w:rsidRPr="00EC54F6">
        <w:rPr>
          <w:rFonts w:ascii="Times New Roman" w:hAnsi="Times New Roman" w:cs="Times New Roman"/>
          <w:sz w:val="22"/>
          <w:szCs w:val="22"/>
        </w:rPr>
        <w:t xml:space="preserve">HCoV-19 and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SARS-CoV) by 5 environmental conditions (aerosols, polypropylene, stainless steel copper and cardboard). Each has three replicates, and multiple time</w:t>
      </w:r>
      <w:r w:rsidR="00303780">
        <w:rPr>
          <w:rFonts w:ascii="Times New Roman" w:hAnsi="Times New Roman" w:cs="Times New Roman"/>
          <w:sz w:val="22"/>
          <w:szCs w:val="22"/>
          <w:lang w:val="en"/>
        </w:rPr>
        <w:t>-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points for each replicate. We analyze the two viruses separately.  For each, we denote by 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the measured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titer in experimental condition </w:t>
      </w:r>
      <w:r w:rsidRPr="00EC54F6">
        <w:rPr>
          <w:rFonts w:ascii="Times New Roman" w:hAnsi="Times New Roman" w:cs="Times New Roman"/>
          <w:i/>
          <w:sz w:val="22"/>
          <w:szCs w:val="22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during replicate </w:t>
      </w:r>
      <w:r w:rsidRPr="00EC54F6">
        <w:rPr>
          <w:rFonts w:ascii="Times New Roman" w:hAnsi="Times New Roman" w:cs="Times New Roman"/>
          <w:i/>
          <w:sz w:val="22"/>
          <w:szCs w:val="22"/>
          <w:lang w:val="en"/>
        </w:rPr>
        <w:t>j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at time</w:t>
      </w:r>
      <w:r w:rsidR="00303780">
        <w:rPr>
          <w:rFonts w:ascii="Times New Roman" w:hAnsi="Times New Roman" w:cs="Times New Roman"/>
          <w:sz w:val="22"/>
          <w:szCs w:val="22"/>
          <w:lang w:val="en"/>
        </w:rPr>
        <w:t>-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point </w:t>
      </w:r>
      <w:r w:rsidRPr="00EC54F6">
        <w:rPr>
          <w:rFonts w:ascii="Times New Roman" w:hAnsi="Times New Roman" w:cs="Times New Roman"/>
          <w:i/>
          <w:sz w:val="22"/>
          <w:szCs w:val="22"/>
          <w:lang w:val="en"/>
        </w:rPr>
        <w:t>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. To construct our likelihood function, we need to know the probability of observing a given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titer measurement 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given values of the parameters.</w:t>
      </w:r>
    </w:p>
    <w:p w14:paraId="078EEAEE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10D751B4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Because our titer data are estimated and recorded in increments of 1/n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wells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10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TCID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50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/mL, where n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wells</w:t>
      </w:r>
      <w:r w:rsidRPr="00EC54F6">
        <w:rPr>
          <w:rFonts w:ascii="Times New Roman" w:hAnsi="Times New Roman" w:cs="Times New Roman"/>
          <w:sz w:val="22"/>
          <w:szCs w:val="22"/>
          <w:vertAlign w:val="superscript"/>
          <w:lang w:val="en"/>
        </w:rPr>
        <w:t xml:space="preserve">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is the number of wells used for endpoint titration, our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titer values are interval-censored – only known to within a range of width 1/n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wells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. In addition, there is a degree of measurement noise in the titration process itself.</w:t>
      </w:r>
    </w:p>
    <w:p w14:paraId="2F66246F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7C907915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lastRenderedPageBreak/>
        <w:t xml:space="preserve">To model this, we assume that in each experimental condition </w:t>
      </w:r>
      <w:r w:rsidRPr="00EC54F6">
        <w:rPr>
          <w:rFonts w:ascii="Times New Roman" w:hAnsi="Times New Roman" w:cs="Times New Roman"/>
          <w:i/>
          <w:sz w:val="22"/>
          <w:szCs w:val="22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, there is a true underlying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10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titer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that is measured with some amount of experimental noise or error ε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and then observed as an interval-censored value 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≈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ijk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+ ε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. We model the measurement errors ε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as Normally distributed with a standard deviation σ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i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that is shared by all samples in the given experimental condition; this reflects the fact that some experimental setups may be more or less noisy than others.</w:t>
      </w:r>
    </w:p>
    <w:p w14:paraId="4D8214C3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126359AE" w14:textId="77777777" w:rsidR="00E2627D" w:rsidRPr="00EC54F6" w:rsidRDefault="00E2627D" w:rsidP="00E262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ε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ijk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~ Normal(0, σ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)</w:t>
      </w:r>
    </w:p>
    <w:p w14:paraId="08741DB7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69A49D1E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We model the probability of observing an interval-censored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titer value 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given a true underlying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10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titer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and a measurement error standard deviation σ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as:</w:t>
      </w:r>
    </w:p>
    <w:p w14:paraId="6B2C651B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212FBB84" w14:textId="77777777" w:rsidR="00E2627D" w:rsidRPr="00EC54F6" w:rsidRDefault="00E2627D" w:rsidP="00E2627D">
      <w:pPr>
        <w:spacing w:after="0" w:line="480" w:lineRule="auto"/>
        <w:ind w:firstLine="720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EC54F6">
        <w:rPr>
          <w:rFonts w:ascii="Times New Roman" w:hAnsi="Times New Roman" w:cs="Times New Roman"/>
          <w:noProof/>
          <w:sz w:val="22"/>
          <w:szCs w:val="22"/>
        </w:rPr>
        <w:t>P(y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ijk</w:t>
      </w:r>
      <w:r w:rsidRPr="00EC54F6">
        <w:rPr>
          <w:rFonts w:ascii="Times New Roman" w:hAnsi="Times New Roman" w:cs="Times New Roman"/>
          <w:noProof/>
          <w:sz w:val="22"/>
          <w:szCs w:val="22"/>
        </w:rPr>
        <w:t xml:space="preserve"> | x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ijk</w:t>
      </w:r>
      <w:r w:rsidRPr="00EC54F6">
        <w:rPr>
          <w:rFonts w:ascii="Times New Roman" w:hAnsi="Times New Roman" w:cs="Times New Roman"/>
          <w:noProof/>
          <w:sz w:val="22"/>
          <w:szCs w:val="22"/>
        </w:rPr>
        <w:t>,  σ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 xml:space="preserve">i </w:t>
      </w:r>
      <w:r w:rsidRPr="00EC54F6">
        <w:rPr>
          <w:rFonts w:ascii="Times New Roman" w:hAnsi="Times New Roman" w:cs="Times New Roman"/>
          <w:noProof/>
          <w:sz w:val="22"/>
          <w:szCs w:val="22"/>
        </w:rPr>
        <w:t>) = NormalCDF(y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ijk</w:t>
      </w:r>
      <w:r w:rsidRPr="00EC54F6">
        <w:rPr>
          <w:rFonts w:ascii="Times New Roman" w:hAnsi="Times New Roman" w:cs="Times New Roman"/>
          <w:noProof/>
          <w:sz w:val="22"/>
          <w:szCs w:val="22"/>
        </w:rPr>
        <w:t>, x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ijk</w:t>
      </w:r>
      <w:r w:rsidRPr="00EC54F6">
        <w:rPr>
          <w:rFonts w:ascii="Times New Roman" w:hAnsi="Times New Roman" w:cs="Times New Roman"/>
          <w:noProof/>
          <w:sz w:val="22"/>
          <w:szCs w:val="22"/>
        </w:rPr>
        <w:t>, σ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</w:t>
      </w:r>
      <w:r w:rsidRPr="00EC54F6">
        <w:rPr>
          <w:rFonts w:ascii="Times New Roman" w:hAnsi="Times New Roman" w:cs="Times New Roman"/>
          <w:noProof/>
          <w:sz w:val="22"/>
          <w:szCs w:val="22"/>
        </w:rPr>
        <w:t>) – NormalCDF(y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ijk</w:t>
      </w:r>
      <w:r w:rsidRPr="00EC54F6">
        <w:rPr>
          <w:rFonts w:ascii="Times New Roman" w:hAnsi="Times New Roman" w:cs="Times New Roman"/>
          <w:noProof/>
          <w:sz w:val="22"/>
          <w:szCs w:val="22"/>
        </w:rPr>
        <w:t xml:space="preserve"> – 1/n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wells</w:t>
      </w:r>
      <w:r w:rsidRPr="00EC54F6">
        <w:rPr>
          <w:rFonts w:ascii="Times New Roman" w:hAnsi="Times New Roman" w:cs="Times New Roman"/>
          <w:noProof/>
          <w:sz w:val="22"/>
          <w:szCs w:val="22"/>
        </w:rPr>
        <w:t>, x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ijk</w:t>
      </w:r>
      <w:r w:rsidRPr="00EC54F6">
        <w:rPr>
          <w:rFonts w:ascii="Times New Roman" w:hAnsi="Times New Roman" w:cs="Times New Roman"/>
          <w:noProof/>
          <w:sz w:val="22"/>
          <w:szCs w:val="22"/>
        </w:rPr>
        <w:t>, σ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</w:t>
      </w:r>
      <w:r w:rsidRPr="00EC54F6">
        <w:rPr>
          <w:rFonts w:ascii="Times New Roman" w:hAnsi="Times New Roman" w:cs="Times New Roman"/>
          <w:noProof/>
          <w:sz w:val="22"/>
          <w:szCs w:val="22"/>
        </w:rPr>
        <w:t>)</w:t>
      </w:r>
    </w:p>
    <w:p w14:paraId="3F39706C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199AC54A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This reflects the probability given a true value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plus the measurement error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+ ε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falls between 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– 1/n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wells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and 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. Due to the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titer imputation technique used, a titer in that range is most likely to be rounded up and reported as 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.</w:t>
      </w:r>
    </w:p>
    <w:p w14:paraId="618F6A7E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55F54FF8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The detection limit of our experiment is 0.5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TCID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50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/mL. The probability of observing an undetectable measured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10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titer value 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given a true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10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titer value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is given by:</w:t>
      </w:r>
    </w:p>
    <w:p w14:paraId="3F09C206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74652D5A" w14:textId="77777777" w:rsidR="00E2627D" w:rsidRPr="00EC54F6" w:rsidRDefault="00E2627D" w:rsidP="00E262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P(y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≤ 0.5 |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,  σ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) = NormalCDF(0.5,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ijk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, σ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)</w:t>
      </w:r>
    </w:p>
    <w:p w14:paraId="6889D958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0B63E45B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We then model each replicate </w:t>
      </w:r>
      <w:r w:rsidRPr="00EC54F6">
        <w:rPr>
          <w:rFonts w:ascii="Times New Roman" w:hAnsi="Times New Roman" w:cs="Times New Roman"/>
          <w:i/>
          <w:sz w:val="22"/>
          <w:szCs w:val="22"/>
          <w:lang w:val="en"/>
        </w:rPr>
        <w:t xml:space="preserve">j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for experimental condition </w:t>
      </w:r>
      <w:r w:rsidRPr="00EC54F6">
        <w:rPr>
          <w:rFonts w:ascii="Times New Roman" w:hAnsi="Times New Roman" w:cs="Times New Roman"/>
          <w:i/>
          <w:sz w:val="22"/>
          <w:szCs w:val="22"/>
          <w:lang w:val="en"/>
        </w:rPr>
        <w:t xml:space="preserve">i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as starting with some true initial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titer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(0) =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. We assume that viruses in experimental condition </w:t>
      </w:r>
      <w:r w:rsidRPr="00EC54F6">
        <w:rPr>
          <w:rFonts w:ascii="Times New Roman" w:hAnsi="Times New Roman" w:cs="Times New Roman"/>
          <w:i/>
          <w:sz w:val="22"/>
          <w:szCs w:val="22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decay exponentially at a rate λ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over time </w:t>
      </w:r>
      <w:r w:rsidRPr="00EC54F6">
        <w:rPr>
          <w:rFonts w:ascii="Times New Roman" w:hAnsi="Times New Roman" w:cs="Times New Roman"/>
          <w:i/>
          <w:sz w:val="22"/>
          <w:szCs w:val="22"/>
          <w:lang w:val="en"/>
        </w:rPr>
        <w:t>t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. It follows that </w:t>
      </w:r>
    </w:p>
    <w:p w14:paraId="123C334E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2A88EC50" w14:textId="77777777" w:rsidR="00E2627D" w:rsidRPr="00EC54F6" w:rsidRDefault="00E2627D" w:rsidP="00E2627D">
      <w:pPr>
        <w:spacing w:after="0" w:line="480" w:lineRule="auto"/>
        <w:ind w:firstLine="720"/>
        <w:jc w:val="center"/>
        <w:rPr>
          <w:rFonts w:ascii="Times New Roman" w:hAnsi="Times New Roman" w:cs="Times New Roman"/>
          <w:noProof/>
          <w:sz w:val="22"/>
          <w:szCs w:val="22"/>
        </w:rPr>
      </w:pPr>
      <w:r w:rsidRPr="00EC54F6">
        <w:rPr>
          <w:rFonts w:ascii="Times New Roman" w:hAnsi="Times New Roman" w:cs="Times New Roman"/>
          <w:noProof/>
          <w:sz w:val="22"/>
          <w:szCs w:val="22"/>
        </w:rPr>
        <w:lastRenderedPageBreak/>
        <w:t>x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ij</w:t>
      </w:r>
      <w:r w:rsidRPr="00EC54F6">
        <w:rPr>
          <w:rFonts w:ascii="Times New Roman" w:hAnsi="Times New Roman" w:cs="Times New Roman"/>
          <w:noProof/>
          <w:sz w:val="22"/>
          <w:szCs w:val="22"/>
        </w:rPr>
        <w:t>(t) = x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ij0</w:t>
      </w:r>
      <w:r w:rsidRPr="00EC54F6">
        <w:rPr>
          <w:rFonts w:ascii="Times New Roman" w:hAnsi="Times New Roman" w:cs="Times New Roman"/>
          <w:noProof/>
          <w:sz w:val="22"/>
          <w:szCs w:val="22"/>
        </w:rPr>
        <w:t xml:space="preserve"> – λ</w:t>
      </w:r>
      <w:r w:rsidRPr="00EC54F6">
        <w:rPr>
          <w:rFonts w:ascii="Times New Roman" w:hAnsi="Times New Roman" w:cs="Times New Roman"/>
          <w:noProof/>
          <w:sz w:val="22"/>
          <w:szCs w:val="22"/>
          <w:vertAlign w:val="subscript"/>
        </w:rPr>
        <w:t>i</w:t>
      </w:r>
      <w:r w:rsidRPr="00EC54F6">
        <w:rPr>
          <w:rFonts w:ascii="Times New Roman" w:hAnsi="Times New Roman" w:cs="Times New Roman"/>
          <w:noProof/>
          <w:sz w:val="22"/>
          <w:szCs w:val="22"/>
        </w:rPr>
        <w:t>t</w:t>
      </w:r>
    </w:p>
    <w:p w14:paraId="61DE7CA5" w14:textId="68752DBD" w:rsidR="00E2627D" w:rsidRDefault="00E2627D" w:rsidP="00E2627D">
      <w:pPr>
        <w:spacing w:after="0" w:line="480" w:lineRule="auto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where t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k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is the k</w:t>
      </w:r>
      <w:r w:rsidRPr="00EC54F6">
        <w:rPr>
          <w:rFonts w:ascii="Times New Roman" w:hAnsi="Times New Roman" w:cs="Times New Roman"/>
          <w:sz w:val="22"/>
          <w:szCs w:val="22"/>
          <w:vertAlign w:val="superscript"/>
          <w:lang w:val="en"/>
        </w:rPr>
        <w:t>th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measured time</w:t>
      </w:r>
      <w:r w:rsidR="00303780">
        <w:rPr>
          <w:rFonts w:ascii="Times New Roman" w:hAnsi="Times New Roman" w:cs="Times New Roman"/>
          <w:sz w:val="22"/>
          <w:szCs w:val="22"/>
          <w:lang w:val="en"/>
        </w:rPr>
        <w:t>-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point. </w:t>
      </w:r>
    </w:p>
    <w:p w14:paraId="736C2CD8" w14:textId="77777777" w:rsidR="008818E2" w:rsidRPr="00EC54F6" w:rsidRDefault="008818E2" w:rsidP="00E2627D">
      <w:pPr>
        <w:spacing w:after="0" w:line="480" w:lineRule="auto"/>
        <w:rPr>
          <w:rFonts w:ascii="Times New Roman" w:hAnsi="Times New Roman" w:cs="Times New Roman"/>
          <w:sz w:val="22"/>
          <w:szCs w:val="22"/>
          <w:lang w:val="en"/>
        </w:rPr>
      </w:pPr>
    </w:p>
    <w:p w14:paraId="2F60C000" w14:textId="5CDF1B9A" w:rsidR="00E2627D" w:rsidRPr="0021279B" w:rsidRDefault="00407BB7" w:rsidP="0021279B">
      <w:pPr>
        <w:spacing w:after="0" w:line="480" w:lineRule="auto"/>
        <w:rPr>
          <w:rFonts w:ascii="Times New Roman" w:hAnsi="Times New Roman" w:cs="Times New Roman"/>
          <w:sz w:val="22"/>
          <w:szCs w:val="22"/>
          <w:u w:val="single"/>
          <w:lang w:val="en"/>
        </w:rPr>
      </w:pPr>
      <w:r>
        <w:rPr>
          <w:rFonts w:ascii="Times New Roman" w:hAnsi="Times New Roman" w:cs="Times New Roman"/>
          <w:sz w:val="22"/>
          <w:szCs w:val="22"/>
          <w:u w:val="single"/>
          <w:lang w:val="en"/>
        </w:rPr>
        <w:t>Model p</w:t>
      </w:r>
      <w:r w:rsidR="0021279B">
        <w:rPr>
          <w:rFonts w:ascii="Times New Roman" w:hAnsi="Times New Roman" w:cs="Times New Roman"/>
          <w:sz w:val="22"/>
          <w:szCs w:val="22"/>
          <w:u w:val="single"/>
          <w:lang w:val="en"/>
        </w:rPr>
        <w:t>rior distributions</w:t>
      </w:r>
    </w:p>
    <w:p w14:paraId="2DB295B8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We place a weakly informative Normal prior distribution on the initial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10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titers 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to rule out implausibly large or small values (e.g. in this case undetectable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titers or log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 xml:space="preserve">10 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titers much higher than the deposited concentration), while allowing the data to determine estimates within plausible ranges:</w:t>
      </w:r>
    </w:p>
    <w:p w14:paraId="372685E4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5BEB51B2" w14:textId="4A2C6E86" w:rsidR="00E2627D" w:rsidRPr="00EC54F6" w:rsidRDefault="00E2627D" w:rsidP="00E262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x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ij0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~ Normal(</w:t>
      </w:r>
      <w:r w:rsidR="00405ECA" w:rsidRPr="00EC54F6">
        <w:rPr>
          <w:rFonts w:ascii="Times New Roman" w:hAnsi="Times New Roman" w:cs="Times New Roman"/>
          <w:sz w:val="22"/>
          <w:szCs w:val="22"/>
          <w:lang w:val="en"/>
        </w:rPr>
        <w:t>4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.5, </w:t>
      </w:r>
      <w:r w:rsidR="00405ECA" w:rsidRPr="00EC54F6">
        <w:rPr>
          <w:rFonts w:ascii="Times New Roman" w:hAnsi="Times New Roman" w:cs="Times New Roman"/>
          <w:sz w:val="22"/>
          <w:szCs w:val="22"/>
          <w:lang w:val="en"/>
        </w:rPr>
        <w:t>2.5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)</w:t>
      </w:r>
    </w:p>
    <w:p w14:paraId="6DA9F9A5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2CDB22EF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We likewise placed a weakly informative Half-Normal prior on the exponential decay rates λ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:</w:t>
      </w:r>
    </w:p>
    <w:p w14:paraId="6DD7E531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0E8075C0" w14:textId="77777777" w:rsidR="00E2627D" w:rsidRPr="00EC54F6" w:rsidRDefault="00E2627D" w:rsidP="00E262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λ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~ Half-Normal(0.5, 4)</w:t>
      </w:r>
    </w:p>
    <w:p w14:paraId="7131FE6B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</w:p>
    <w:p w14:paraId="25FA4D80" w14:textId="77777777" w:rsidR="00E2627D" w:rsidRPr="00EC54F6" w:rsidRDefault="00E2627D" w:rsidP="00E2627D">
      <w:pPr>
        <w:spacing w:after="0" w:line="480" w:lineRule="auto"/>
        <w:ind w:firstLine="720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We placed a weakly informative Half-Normal prior on the standard deviations of the experimental error distributions σ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>:</w:t>
      </w:r>
    </w:p>
    <w:p w14:paraId="0E7C0071" w14:textId="77777777" w:rsidR="00E2627D" w:rsidRPr="00EC54F6" w:rsidRDefault="00E2627D" w:rsidP="00E2627D">
      <w:pPr>
        <w:spacing w:after="0" w:line="480" w:lineRule="auto"/>
        <w:ind w:firstLine="720"/>
        <w:jc w:val="center"/>
        <w:rPr>
          <w:rFonts w:ascii="Times New Roman" w:hAnsi="Times New Roman" w:cs="Times New Roman"/>
          <w:sz w:val="22"/>
          <w:szCs w:val="22"/>
          <w:lang w:val="en"/>
        </w:rPr>
      </w:pPr>
      <w:r w:rsidRPr="00EC54F6">
        <w:rPr>
          <w:rFonts w:ascii="Times New Roman" w:hAnsi="Times New Roman" w:cs="Times New Roman"/>
          <w:sz w:val="22"/>
          <w:szCs w:val="22"/>
          <w:lang w:val="en"/>
        </w:rPr>
        <w:t>σ</w:t>
      </w:r>
      <w:r w:rsidRPr="00EC54F6">
        <w:rPr>
          <w:rFonts w:ascii="Times New Roman" w:hAnsi="Times New Roman" w:cs="Times New Roman"/>
          <w:sz w:val="22"/>
          <w:szCs w:val="22"/>
          <w:vertAlign w:val="subscript"/>
          <w:lang w:val="en"/>
        </w:rPr>
        <w:t>i</w:t>
      </w:r>
      <w:r w:rsidRPr="00EC54F6">
        <w:rPr>
          <w:rFonts w:ascii="Times New Roman" w:hAnsi="Times New Roman" w:cs="Times New Roman"/>
          <w:sz w:val="22"/>
          <w:szCs w:val="22"/>
          <w:lang w:val="en"/>
        </w:rPr>
        <w:t xml:space="preserve"> ~ Half-Normal(0, 2)</w:t>
      </w:r>
    </w:p>
    <w:p w14:paraId="4629B9D4" w14:textId="58CA7B34" w:rsidR="00E2627D" w:rsidRPr="00EC54F6" w:rsidRDefault="00E2627D" w:rsidP="00E2627D">
      <w:pPr>
        <w:spacing w:after="0" w:line="480" w:lineRule="auto"/>
        <w:rPr>
          <w:rFonts w:ascii="Times New Roman" w:hAnsi="Times New Roman" w:cs="Times New Roman"/>
          <w:bCs/>
          <w:sz w:val="22"/>
          <w:szCs w:val="22"/>
        </w:rPr>
      </w:pPr>
    </w:p>
    <w:p w14:paraId="6AE56CC1" w14:textId="63E376F6" w:rsidR="00B64787" w:rsidRPr="00EC54F6" w:rsidRDefault="00B64787" w:rsidP="00E2627D">
      <w:pPr>
        <w:spacing w:after="0" w:line="480" w:lineRule="auto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EC54F6">
        <w:rPr>
          <w:rFonts w:ascii="Times New Roman" w:hAnsi="Times New Roman" w:cs="Times New Roman"/>
          <w:bCs/>
          <w:sz w:val="22"/>
          <w:szCs w:val="22"/>
          <w:u w:val="single"/>
        </w:rPr>
        <w:t>Markov Chain Monte Carlo Methods</w:t>
      </w:r>
    </w:p>
    <w:p w14:paraId="698859F0" w14:textId="0A9DC306" w:rsidR="00B64787" w:rsidRPr="00EC54F6" w:rsidRDefault="00B64787" w:rsidP="00B64787">
      <w:pPr>
        <w:spacing w:after="0"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EC54F6">
        <w:rPr>
          <w:rFonts w:ascii="Times New Roman" w:hAnsi="Times New Roman" w:cs="Times New Roman"/>
          <w:bCs/>
          <w:sz w:val="22"/>
          <w:szCs w:val="22"/>
        </w:rPr>
        <w:tab/>
        <w:t xml:space="preserve">We drew posterior samples </w:t>
      </w:r>
      <w:r w:rsidR="005A6EDE" w:rsidRPr="00EC54F6">
        <w:rPr>
          <w:rFonts w:ascii="Times New Roman" w:hAnsi="Times New Roman" w:cs="Times New Roman"/>
          <w:bCs/>
          <w:sz w:val="22"/>
          <w:szCs w:val="22"/>
        </w:rPr>
        <w:t>using</w:t>
      </w:r>
      <w:r w:rsidR="00CD4D7C" w:rsidRPr="00EC54F6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EC54F6">
        <w:rPr>
          <w:rFonts w:ascii="Times New Roman" w:hAnsi="Times New Roman" w:cs="Times New Roman"/>
          <w:bCs/>
          <w:sz w:val="22"/>
          <w:szCs w:val="22"/>
        </w:rPr>
        <w:t>Stan</w:t>
      </w:r>
      <w:r w:rsidR="00CD4D7C" w:rsidRPr="00EC54F6">
        <w:rPr>
          <w:rFonts w:ascii="Times New Roman" w:hAnsi="Times New Roman" w:cs="Times New Roman"/>
          <w:bCs/>
          <w:sz w:val="22"/>
          <w:szCs w:val="22"/>
        </w:rPr>
        <w:t>, which implements a No-U-Turn</w:t>
      </w:r>
      <w:r w:rsidR="005A6EDE" w:rsidRPr="00EC54F6">
        <w:rPr>
          <w:rFonts w:ascii="Times New Roman" w:hAnsi="Times New Roman" w:cs="Times New Roman"/>
          <w:bCs/>
          <w:sz w:val="22"/>
          <w:szCs w:val="22"/>
        </w:rPr>
        <w:t xml:space="preserve"> Sampler (a form of Markov Chain Monte Carlo)</w:t>
      </w:r>
      <w:r w:rsidR="00CD4D7C" w:rsidRPr="00EC54F6">
        <w:rPr>
          <w:rFonts w:ascii="Times New Roman" w:hAnsi="Times New Roman" w:cs="Times New Roman"/>
          <w:bCs/>
          <w:sz w:val="22"/>
          <w:szCs w:val="22"/>
        </w:rPr>
        <w:t xml:space="preserve">. We ran four replicate chains from random initial conditions for 2000 iterations, with the first 1000 iterations as a warmup/adaptation period. We saved the final 1000 iterations from each chain, giving us a total of 4000 posterior samples. </w:t>
      </w:r>
      <w:r w:rsidRPr="00EC54F6">
        <w:rPr>
          <w:rFonts w:ascii="Times New Roman" w:hAnsi="Times New Roman" w:cs="Times New Roman"/>
          <w:bCs/>
          <w:sz w:val="22"/>
          <w:szCs w:val="22"/>
        </w:rPr>
        <w:t xml:space="preserve">We assessed convergence by inspecting trace plots and examining </w:t>
      </w:r>
      <w:r w:rsidRPr="00EC54F6">
        <w:rPr>
          <w:rFonts w:ascii="Times New Roman" w:hAnsi="Times New Roman" w:cs="Times New Roman"/>
          <w:bCs/>
          <w:i/>
          <w:iCs/>
          <w:sz w:val="22"/>
          <w:szCs w:val="22"/>
        </w:rPr>
        <w:t>R̂</w:t>
      </w:r>
      <w:r w:rsidRPr="00EC54F6">
        <w:rPr>
          <w:rFonts w:ascii="Times New Roman" w:hAnsi="Times New Roman" w:cs="Times New Roman"/>
          <w:bCs/>
          <w:sz w:val="22"/>
          <w:szCs w:val="22"/>
        </w:rPr>
        <w:t xml:space="preserve"> and effective sample size (n</w:t>
      </w:r>
      <w:r w:rsidRPr="00EC54F6">
        <w:rPr>
          <w:rFonts w:ascii="Times New Roman" w:hAnsi="Times New Roman" w:cs="Times New Roman"/>
          <w:bCs/>
          <w:sz w:val="22"/>
          <w:szCs w:val="22"/>
          <w:vertAlign w:val="subscript"/>
        </w:rPr>
        <w:t>eff</w:t>
      </w:r>
      <w:r w:rsidRPr="00EC54F6">
        <w:rPr>
          <w:rFonts w:ascii="Times New Roman" w:hAnsi="Times New Roman" w:cs="Times New Roman"/>
          <w:bCs/>
          <w:sz w:val="22"/>
          <w:szCs w:val="22"/>
        </w:rPr>
        <w:t>) statistics (</w:t>
      </w:r>
      <w:r w:rsidRPr="00EC54F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R̂ </w:t>
      </w:r>
      <w:r w:rsidRPr="00EC54F6">
        <w:rPr>
          <w:rFonts w:ascii="Times New Roman" w:hAnsi="Times New Roman" w:cs="Times New Roman"/>
          <w:bCs/>
          <w:sz w:val="22"/>
          <w:szCs w:val="22"/>
        </w:rPr>
        <w:t>for all parameters ≤ 1.00</w:t>
      </w:r>
      <w:r w:rsidR="0032540F">
        <w:rPr>
          <w:rFonts w:ascii="Times New Roman" w:hAnsi="Times New Roman" w:cs="Times New Roman"/>
          <w:bCs/>
          <w:sz w:val="22"/>
          <w:szCs w:val="22"/>
        </w:rPr>
        <w:t>3</w:t>
      </w:r>
      <w:r w:rsidRPr="00EC54F6">
        <w:rPr>
          <w:rFonts w:ascii="Times New Roman" w:hAnsi="Times New Roman" w:cs="Times New Roman"/>
          <w:bCs/>
          <w:sz w:val="22"/>
          <w:szCs w:val="22"/>
        </w:rPr>
        <w:t>, n</w:t>
      </w:r>
      <w:r w:rsidRPr="00EC54F6">
        <w:rPr>
          <w:rFonts w:ascii="Times New Roman" w:hAnsi="Times New Roman" w:cs="Times New Roman"/>
          <w:bCs/>
          <w:sz w:val="22"/>
          <w:szCs w:val="22"/>
          <w:vertAlign w:val="subscript"/>
        </w:rPr>
        <w:t>eff</w:t>
      </w:r>
      <w:r w:rsidRPr="00EC54F6">
        <w:rPr>
          <w:rFonts w:ascii="Times New Roman" w:hAnsi="Times New Roman" w:cs="Times New Roman"/>
          <w:bCs/>
          <w:sz w:val="22"/>
          <w:szCs w:val="22"/>
        </w:rPr>
        <w:t xml:space="preserve"> for all parameters</w:t>
      </w:r>
      <w:r w:rsidR="00CD4D7C" w:rsidRPr="00EC54F6">
        <w:rPr>
          <w:rFonts w:ascii="Times New Roman" w:hAnsi="Times New Roman" w:cs="Times New Roman"/>
          <w:bCs/>
          <w:sz w:val="22"/>
          <w:szCs w:val="22"/>
        </w:rPr>
        <w:t xml:space="preserve"> ≥</w:t>
      </w:r>
      <w:r w:rsidR="009964E5">
        <w:rPr>
          <w:rFonts w:ascii="Times New Roman" w:hAnsi="Times New Roman" w:cs="Times New Roman"/>
          <w:bCs/>
          <w:sz w:val="22"/>
          <w:szCs w:val="22"/>
        </w:rPr>
        <w:t>28</w:t>
      </w:r>
      <w:r w:rsidR="00CD4D7C" w:rsidRPr="00EC54F6">
        <w:rPr>
          <w:rFonts w:ascii="Times New Roman" w:hAnsi="Times New Roman" w:cs="Times New Roman"/>
          <w:bCs/>
          <w:sz w:val="22"/>
          <w:szCs w:val="22"/>
        </w:rPr>
        <w:t xml:space="preserve">% of total samples). </w:t>
      </w:r>
    </w:p>
    <w:p w14:paraId="49CADE7F" w14:textId="03E0FE4C" w:rsidR="00124A89" w:rsidRPr="00EC54F6" w:rsidRDefault="00124A89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br w:type="page"/>
      </w:r>
    </w:p>
    <w:p w14:paraId="06C677DF" w14:textId="77777777" w:rsidR="009A3AD0" w:rsidRPr="00EC54F6" w:rsidRDefault="00124A89" w:rsidP="00124A89">
      <w:pPr>
        <w:pStyle w:val="Heading1"/>
        <w:rPr>
          <w:rFonts w:cs="Times New Roman"/>
          <w:sz w:val="22"/>
          <w:szCs w:val="22"/>
        </w:rPr>
      </w:pPr>
      <w:r w:rsidRPr="00EC54F6">
        <w:rPr>
          <w:rFonts w:cs="Times New Roman"/>
          <w:sz w:val="22"/>
          <w:szCs w:val="22"/>
        </w:rPr>
        <w:lastRenderedPageBreak/>
        <w:t>Supplemental Figures</w:t>
      </w:r>
    </w:p>
    <w:p w14:paraId="06F14F4D" w14:textId="77777777" w:rsidR="00124A89" w:rsidRPr="00EC54F6" w:rsidRDefault="00124A89" w:rsidP="00124A89">
      <w:pPr>
        <w:rPr>
          <w:rFonts w:ascii="Times New Roman" w:hAnsi="Times New Roman" w:cs="Times New Roman"/>
          <w:sz w:val="22"/>
          <w:szCs w:val="22"/>
        </w:rPr>
      </w:pPr>
    </w:p>
    <w:p w14:paraId="727BF3AB" w14:textId="4549267C" w:rsidR="00B308E2" w:rsidRPr="00EC54F6" w:rsidRDefault="005D03EB" w:rsidP="00124A89">
      <w:pPr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Figures S1</w:t>
      </w:r>
      <w:r w:rsidR="0041348B">
        <w:rPr>
          <w:rFonts w:ascii="Times New Roman" w:hAnsi="Times New Roman" w:cs="Times New Roman"/>
          <w:sz w:val="22"/>
          <w:szCs w:val="22"/>
        </w:rPr>
        <w:t>–</w:t>
      </w:r>
      <w:r w:rsidR="000D07F9" w:rsidRPr="00EC54F6">
        <w:rPr>
          <w:rFonts w:ascii="Times New Roman" w:hAnsi="Times New Roman" w:cs="Times New Roman"/>
          <w:sz w:val="22"/>
          <w:szCs w:val="22"/>
        </w:rPr>
        <w:t>S5 show Bayesian fits to individual replicate virus decay data for each virus. Replicates are shown in panel columns, viruses in panel rows.</w:t>
      </w:r>
      <w:r w:rsidR="00B207E9" w:rsidRPr="00EC54F6">
        <w:rPr>
          <w:rFonts w:ascii="Times New Roman" w:hAnsi="Times New Roman" w:cs="Times New Roman"/>
          <w:sz w:val="22"/>
          <w:szCs w:val="22"/>
        </w:rPr>
        <w:t xml:space="preserve"> Lines are 50 random draws per panel from the posterior distribution of fitted lines, to show level of uncertainty.</w:t>
      </w:r>
      <w:r w:rsidR="00401213" w:rsidRPr="00EC54F6">
        <w:rPr>
          <w:rFonts w:ascii="Times New Roman" w:hAnsi="Times New Roman" w:cs="Times New Roman"/>
          <w:sz w:val="22"/>
          <w:szCs w:val="22"/>
        </w:rPr>
        <w:t xml:space="preserve"> Time axis on same scale across all figures, shown out to the latest time taken to reach an undetectable titer (96 hours, for all replicates of both viruses on plastic).</w:t>
      </w:r>
    </w:p>
    <w:p w14:paraId="183FD7E4" w14:textId="42A61339" w:rsidR="005D03EB" w:rsidRPr="00EC54F6" w:rsidRDefault="00EC54F6" w:rsidP="00124A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83C38A0" wp14:editId="1B750B6D">
            <wp:extent cx="5943600" cy="2764790"/>
            <wp:effectExtent l="0" t="0" r="0" b="3810"/>
            <wp:docPr id="11" name="Picture 1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ure_individual_fit_Aerosol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A078A" w14:textId="315E87C2" w:rsidR="00B207E9" w:rsidRDefault="005D03EB" w:rsidP="00124A89">
      <w:pPr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Figure S1. Individual replicate fits for aerosols. Columns show replicates, rows show virus (HCoV-19 above, SARS</w:t>
      </w:r>
      <w:r w:rsidR="00303780">
        <w:rPr>
          <w:rFonts w:ascii="Times New Roman" w:hAnsi="Times New Roman" w:cs="Times New Roman"/>
          <w:sz w:val="22"/>
          <w:szCs w:val="22"/>
        </w:rPr>
        <w:t>-CoV-1</w:t>
      </w:r>
      <w:r w:rsidRPr="00EC54F6">
        <w:rPr>
          <w:rFonts w:ascii="Times New Roman" w:hAnsi="Times New Roman" w:cs="Times New Roman"/>
          <w:sz w:val="22"/>
          <w:szCs w:val="22"/>
        </w:rPr>
        <w:t xml:space="preserve"> below).</w:t>
      </w:r>
      <w:r w:rsidR="00401213" w:rsidRPr="00EC54F6">
        <w:rPr>
          <w:rFonts w:ascii="Times New Roman" w:hAnsi="Times New Roman" w:cs="Times New Roman"/>
          <w:sz w:val="22"/>
          <w:szCs w:val="22"/>
        </w:rPr>
        <w:t xml:space="preserve"> Lines are 50 random draws per panel from the posterior distribution of fitted lines, to show level of uncertainty.</w:t>
      </w:r>
    </w:p>
    <w:p w14:paraId="5022DC0F" w14:textId="77777777" w:rsidR="00EC54F6" w:rsidRPr="00EC54F6" w:rsidRDefault="00EC54F6" w:rsidP="00124A89">
      <w:pPr>
        <w:rPr>
          <w:rFonts w:ascii="Times New Roman" w:hAnsi="Times New Roman" w:cs="Times New Roman"/>
          <w:sz w:val="22"/>
          <w:szCs w:val="22"/>
        </w:rPr>
      </w:pPr>
    </w:p>
    <w:p w14:paraId="07101E71" w14:textId="6BEC60AB" w:rsidR="00B207E9" w:rsidRPr="00EC54F6" w:rsidRDefault="00EC54F6" w:rsidP="00124A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66456A25" wp14:editId="6AE6C270">
            <wp:extent cx="5943600" cy="2764790"/>
            <wp:effectExtent l="0" t="0" r="0" b="3810"/>
            <wp:docPr id="5" name="Picture 5" descr="A picture containing text, sky, map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_individual_fit_Plast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C7858" w14:textId="35DD325F" w:rsidR="00B207E9" w:rsidRDefault="00B207E9" w:rsidP="00124A89">
      <w:pPr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Figure S2. Individual replicate fits for plastic (polypropylene). Columns show replicates, rows show virus (HCoV-19 above, SARS</w:t>
      </w:r>
      <w:r w:rsidR="00303780">
        <w:rPr>
          <w:rFonts w:ascii="Times New Roman" w:hAnsi="Times New Roman" w:cs="Times New Roman"/>
          <w:sz w:val="22"/>
          <w:szCs w:val="22"/>
        </w:rPr>
        <w:t>-CoV-1</w:t>
      </w:r>
      <w:r w:rsidRPr="00EC54F6">
        <w:rPr>
          <w:rFonts w:ascii="Times New Roman" w:hAnsi="Times New Roman" w:cs="Times New Roman"/>
          <w:sz w:val="22"/>
          <w:szCs w:val="22"/>
        </w:rPr>
        <w:t xml:space="preserve"> below).</w:t>
      </w:r>
      <w:r w:rsidR="00401213" w:rsidRPr="00EC54F6">
        <w:rPr>
          <w:rFonts w:ascii="Times New Roman" w:hAnsi="Times New Roman" w:cs="Times New Roman"/>
          <w:sz w:val="22"/>
          <w:szCs w:val="22"/>
        </w:rPr>
        <w:t xml:space="preserve"> Lines are 50 random draws per panel from the posterior distribution of fitted lines, to show level of uncertainty.</w:t>
      </w:r>
    </w:p>
    <w:p w14:paraId="02F2EC56" w14:textId="77777777" w:rsidR="00EC54F6" w:rsidRPr="00EC54F6" w:rsidRDefault="00EC54F6" w:rsidP="00124A89">
      <w:pPr>
        <w:rPr>
          <w:rFonts w:ascii="Times New Roman" w:hAnsi="Times New Roman" w:cs="Times New Roman"/>
          <w:sz w:val="22"/>
          <w:szCs w:val="22"/>
        </w:rPr>
      </w:pPr>
    </w:p>
    <w:p w14:paraId="5027117C" w14:textId="657A0BB7" w:rsidR="00B207E9" w:rsidRPr="00EC54F6" w:rsidRDefault="00EC54F6" w:rsidP="00124A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16205355" wp14:editId="074E36A6">
            <wp:extent cx="5943600" cy="2764790"/>
            <wp:effectExtent l="0" t="0" r="0" b="3810"/>
            <wp:docPr id="4" name="Picture 4" descr="A picture containing text, indoor, sky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_individual_fit_Stee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6B271" w14:textId="7619703D" w:rsidR="00B207E9" w:rsidRDefault="00B207E9" w:rsidP="00B207E9">
      <w:pPr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Figure S3. Individual replicate fits for steel. Columns show replicates, rows show virus (HCoV-19 above, SARS</w:t>
      </w:r>
      <w:r w:rsidR="00303780">
        <w:rPr>
          <w:rFonts w:ascii="Times New Roman" w:hAnsi="Times New Roman" w:cs="Times New Roman"/>
          <w:sz w:val="22"/>
          <w:szCs w:val="22"/>
        </w:rPr>
        <w:t>-CoV-1</w:t>
      </w:r>
      <w:r w:rsidRPr="00EC54F6">
        <w:rPr>
          <w:rFonts w:ascii="Times New Roman" w:hAnsi="Times New Roman" w:cs="Times New Roman"/>
          <w:sz w:val="22"/>
          <w:szCs w:val="22"/>
        </w:rPr>
        <w:t xml:space="preserve"> below).</w:t>
      </w:r>
      <w:r w:rsidR="00401213" w:rsidRPr="00EC54F6">
        <w:rPr>
          <w:rFonts w:ascii="Times New Roman" w:hAnsi="Times New Roman" w:cs="Times New Roman"/>
          <w:sz w:val="22"/>
          <w:szCs w:val="22"/>
        </w:rPr>
        <w:t xml:space="preserve"> Lines are 50 random draws per panel from the posterior distribution of fitted lines, to show level of uncertainty.</w:t>
      </w:r>
    </w:p>
    <w:p w14:paraId="5330E687" w14:textId="77777777" w:rsidR="00EC54F6" w:rsidRPr="00EC54F6" w:rsidRDefault="00EC54F6" w:rsidP="00B207E9">
      <w:pPr>
        <w:rPr>
          <w:rFonts w:ascii="Times New Roman" w:hAnsi="Times New Roman" w:cs="Times New Roman"/>
          <w:sz w:val="22"/>
          <w:szCs w:val="22"/>
        </w:rPr>
      </w:pPr>
    </w:p>
    <w:p w14:paraId="42930A32" w14:textId="7894C844" w:rsidR="00B207E9" w:rsidRPr="00EC54F6" w:rsidRDefault="00EC54F6" w:rsidP="00124A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drawing>
          <wp:inline distT="0" distB="0" distL="0" distR="0" wp14:anchorId="7ED3E03F" wp14:editId="33B2E85C">
            <wp:extent cx="5943600" cy="2764790"/>
            <wp:effectExtent l="0" t="0" r="0" b="3810"/>
            <wp:docPr id="3" name="Picture 3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_individual_fit_Copp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FAEC12" w14:textId="69E5D3B0" w:rsidR="00B207E9" w:rsidRDefault="00B207E9" w:rsidP="00B207E9">
      <w:pPr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Figure S4. Individual replicate fits for copper. Columns show replicates, rows show virus (HCoV-19 above, SARS</w:t>
      </w:r>
      <w:r w:rsidR="00303780">
        <w:rPr>
          <w:rFonts w:ascii="Times New Roman" w:hAnsi="Times New Roman" w:cs="Times New Roman"/>
          <w:sz w:val="22"/>
          <w:szCs w:val="22"/>
        </w:rPr>
        <w:t>-CoV-1</w:t>
      </w:r>
      <w:r w:rsidRPr="00EC54F6">
        <w:rPr>
          <w:rFonts w:ascii="Times New Roman" w:hAnsi="Times New Roman" w:cs="Times New Roman"/>
          <w:sz w:val="22"/>
          <w:szCs w:val="22"/>
        </w:rPr>
        <w:t xml:space="preserve"> below).</w:t>
      </w:r>
      <w:r w:rsidR="00401213" w:rsidRPr="00EC54F6">
        <w:rPr>
          <w:rFonts w:ascii="Times New Roman" w:hAnsi="Times New Roman" w:cs="Times New Roman"/>
          <w:sz w:val="22"/>
          <w:szCs w:val="22"/>
        </w:rPr>
        <w:t xml:space="preserve"> Lines are 50 random draws per panel from the posterior distribution of fitted lines, to show level of uncertainty.</w:t>
      </w:r>
    </w:p>
    <w:p w14:paraId="1311AC56" w14:textId="77777777" w:rsidR="00EC54F6" w:rsidRPr="00EC54F6" w:rsidRDefault="00EC54F6" w:rsidP="00B207E9">
      <w:pPr>
        <w:rPr>
          <w:rFonts w:ascii="Times New Roman" w:hAnsi="Times New Roman" w:cs="Times New Roman"/>
          <w:sz w:val="22"/>
          <w:szCs w:val="22"/>
        </w:rPr>
      </w:pPr>
    </w:p>
    <w:p w14:paraId="34C59FE8" w14:textId="36870037" w:rsidR="00ED409A" w:rsidRPr="00EC54F6" w:rsidRDefault="00EC54F6" w:rsidP="00124A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74200D7A" wp14:editId="58A92638">
            <wp:extent cx="5943600" cy="2764790"/>
            <wp:effectExtent l="0" t="0" r="0" b="381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e_individual_fit_Cardboar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F8756" w14:textId="2DF191FA" w:rsidR="00B308E2" w:rsidRPr="00EC54F6" w:rsidRDefault="005D03EB" w:rsidP="00124A89">
      <w:pPr>
        <w:rPr>
          <w:rFonts w:ascii="Times New Roman" w:hAnsi="Times New Roman" w:cs="Times New Roman"/>
          <w:sz w:val="22"/>
          <w:szCs w:val="22"/>
        </w:rPr>
      </w:pPr>
      <w:r w:rsidRPr="00EC54F6">
        <w:rPr>
          <w:rFonts w:ascii="Times New Roman" w:hAnsi="Times New Roman" w:cs="Times New Roman"/>
          <w:sz w:val="22"/>
          <w:szCs w:val="22"/>
        </w:rPr>
        <w:t>Figure S</w:t>
      </w:r>
      <w:r w:rsidR="00B207E9" w:rsidRPr="00EC54F6">
        <w:rPr>
          <w:rFonts w:ascii="Times New Roman" w:hAnsi="Times New Roman" w:cs="Times New Roman"/>
          <w:sz w:val="22"/>
          <w:szCs w:val="22"/>
        </w:rPr>
        <w:t>5</w:t>
      </w:r>
      <w:r w:rsidRPr="00EC54F6">
        <w:rPr>
          <w:rFonts w:ascii="Times New Roman" w:hAnsi="Times New Roman" w:cs="Times New Roman"/>
          <w:sz w:val="22"/>
          <w:szCs w:val="22"/>
        </w:rPr>
        <w:t>. Individual replicate fits for cardboard. Columns show replicates, rows show virus (HCoV-19 above, SARS</w:t>
      </w:r>
      <w:r w:rsidR="00303780">
        <w:rPr>
          <w:rFonts w:ascii="Times New Roman" w:hAnsi="Times New Roman" w:cs="Times New Roman"/>
          <w:sz w:val="22"/>
          <w:szCs w:val="22"/>
        </w:rPr>
        <w:t>-CoV-1</w:t>
      </w:r>
      <w:r w:rsidRPr="00EC54F6">
        <w:rPr>
          <w:rFonts w:ascii="Times New Roman" w:hAnsi="Times New Roman" w:cs="Times New Roman"/>
          <w:sz w:val="22"/>
          <w:szCs w:val="22"/>
        </w:rPr>
        <w:t xml:space="preserve"> below). </w:t>
      </w:r>
      <w:r w:rsidR="00401213" w:rsidRPr="00EC54F6">
        <w:rPr>
          <w:rFonts w:ascii="Times New Roman" w:hAnsi="Times New Roman" w:cs="Times New Roman"/>
          <w:sz w:val="22"/>
          <w:szCs w:val="22"/>
        </w:rPr>
        <w:t xml:space="preserve">Lines are 50 random draws per panel from the posterior distribution of fitted lines, to show level of uncertainty. </w:t>
      </w:r>
      <w:r w:rsidRPr="00EC54F6">
        <w:rPr>
          <w:rFonts w:ascii="Times New Roman" w:hAnsi="Times New Roman" w:cs="Times New Roman"/>
          <w:sz w:val="22"/>
          <w:szCs w:val="22"/>
        </w:rPr>
        <w:t>Fits are substantially poorer for SARS than for HCoV-19, and data do not follow a linear downward trend over time, suggesting that the difference in observed decay rates should be interpreted with caution.</w:t>
      </w:r>
    </w:p>
    <w:sectPr w:rsidR="00B308E2" w:rsidRPr="00EC54F6" w:rsidSect="009A3AD0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E935" w14:textId="77777777" w:rsidR="006D510C" w:rsidRDefault="006D510C" w:rsidP="005D03EB">
      <w:pPr>
        <w:spacing w:after="0" w:line="240" w:lineRule="auto"/>
      </w:pPr>
      <w:r>
        <w:separator/>
      </w:r>
    </w:p>
  </w:endnote>
  <w:endnote w:type="continuationSeparator" w:id="0">
    <w:p w14:paraId="4BEF23A5" w14:textId="77777777" w:rsidR="006D510C" w:rsidRDefault="006D510C" w:rsidP="005D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2F4C3" w14:textId="77777777" w:rsidR="006D510C" w:rsidRDefault="006D510C" w:rsidP="005D03EB">
      <w:pPr>
        <w:spacing w:after="0" w:line="240" w:lineRule="auto"/>
      </w:pPr>
      <w:r>
        <w:separator/>
      </w:r>
    </w:p>
  </w:footnote>
  <w:footnote w:type="continuationSeparator" w:id="0">
    <w:p w14:paraId="3579606E" w14:textId="77777777" w:rsidR="006D510C" w:rsidRDefault="006D510C" w:rsidP="005D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D56"/>
    <w:multiLevelType w:val="hybridMultilevel"/>
    <w:tmpl w:val="32E4C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27D"/>
    <w:rsid w:val="00065528"/>
    <w:rsid w:val="000A2E2E"/>
    <w:rsid w:val="000D07F9"/>
    <w:rsid w:val="00123D06"/>
    <w:rsid w:val="00124A89"/>
    <w:rsid w:val="00162F8C"/>
    <w:rsid w:val="00163E07"/>
    <w:rsid w:val="00190B1A"/>
    <w:rsid w:val="0021279B"/>
    <w:rsid w:val="002B1674"/>
    <w:rsid w:val="00303780"/>
    <w:rsid w:val="0032540F"/>
    <w:rsid w:val="003551D1"/>
    <w:rsid w:val="00391F4B"/>
    <w:rsid w:val="00401213"/>
    <w:rsid w:val="00405ECA"/>
    <w:rsid w:val="00407BB7"/>
    <w:rsid w:val="0041348B"/>
    <w:rsid w:val="004D52E4"/>
    <w:rsid w:val="00537D75"/>
    <w:rsid w:val="005A6EDE"/>
    <w:rsid w:val="005D03EB"/>
    <w:rsid w:val="006D510C"/>
    <w:rsid w:val="00711992"/>
    <w:rsid w:val="007639B3"/>
    <w:rsid w:val="00840AAD"/>
    <w:rsid w:val="008818E2"/>
    <w:rsid w:val="00953E9E"/>
    <w:rsid w:val="009964E5"/>
    <w:rsid w:val="009A3AD0"/>
    <w:rsid w:val="00AC2B64"/>
    <w:rsid w:val="00AE0DDF"/>
    <w:rsid w:val="00B207E9"/>
    <w:rsid w:val="00B308E2"/>
    <w:rsid w:val="00B64787"/>
    <w:rsid w:val="00B7786E"/>
    <w:rsid w:val="00BE7329"/>
    <w:rsid w:val="00C57F59"/>
    <w:rsid w:val="00CD4D7C"/>
    <w:rsid w:val="00CE1B9B"/>
    <w:rsid w:val="00D05DC8"/>
    <w:rsid w:val="00D06EBF"/>
    <w:rsid w:val="00DD798D"/>
    <w:rsid w:val="00E022B7"/>
    <w:rsid w:val="00E04B7D"/>
    <w:rsid w:val="00E2627D"/>
    <w:rsid w:val="00E41398"/>
    <w:rsid w:val="00E91A7B"/>
    <w:rsid w:val="00E96E11"/>
    <w:rsid w:val="00EC54F6"/>
    <w:rsid w:val="00ED409A"/>
    <w:rsid w:val="00F43F05"/>
    <w:rsid w:val="00F9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7F87"/>
  <w15:chartTrackingRefBased/>
  <w15:docId w15:val="{7DC303D8-580C-5844-8645-28F9B8B3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27D"/>
    <w:pPr>
      <w:spacing w:after="160" w:line="36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2B7"/>
    <w:pPr>
      <w:keepNext/>
      <w:keepLines/>
      <w:spacing w:before="240" w:after="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E2627D"/>
  </w:style>
  <w:style w:type="paragraph" w:styleId="BalloonText">
    <w:name w:val="Balloon Text"/>
    <w:basedOn w:val="Normal"/>
    <w:link w:val="BalloonTextChar"/>
    <w:uiPriority w:val="99"/>
    <w:semiHidden/>
    <w:unhideWhenUsed/>
    <w:rsid w:val="00E022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022B7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link w:val="Heading1"/>
    <w:uiPriority w:val="9"/>
    <w:rsid w:val="00E022B7"/>
    <w:rPr>
      <w:rFonts w:ascii="Times New Roman" w:eastAsia="Times New Roman" w:hAnsi="Times New Roman" w:cs="Arial"/>
      <w:b/>
      <w:bCs/>
    </w:rPr>
  </w:style>
  <w:style w:type="paragraph" w:styleId="ListParagraph">
    <w:name w:val="List Paragraph"/>
    <w:basedOn w:val="Normal"/>
    <w:uiPriority w:val="34"/>
    <w:qFormat/>
    <w:rsid w:val="00E022B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022B7"/>
    <w:pPr>
      <w:spacing w:before="120" w:after="120"/>
    </w:pPr>
    <w:rPr>
      <w:rFonts w:ascii="Calibri" w:hAnsi="Calibr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E022B7"/>
    <w:pPr>
      <w:spacing w:after="0"/>
      <w:ind w:left="200"/>
    </w:pPr>
    <w:rPr>
      <w:rFonts w:ascii="Calibri" w:hAnsi="Calibri"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E022B7"/>
    <w:pPr>
      <w:spacing w:after="0"/>
      <w:ind w:left="400"/>
    </w:pPr>
    <w:rPr>
      <w:rFonts w:ascii="Calibri" w:hAnsi="Calibri"/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E022B7"/>
    <w:pPr>
      <w:spacing w:after="0"/>
      <w:ind w:left="60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E022B7"/>
    <w:pPr>
      <w:spacing w:after="0"/>
      <w:ind w:left="80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E022B7"/>
    <w:pPr>
      <w:spacing w:after="0"/>
      <w:ind w:left="10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E022B7"/>
    <w:pPr>
      <w:spacing w:after="0"/>
      <w:ind w:left="120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E022B7"/>
    <w:pPr>
      <w:spacing w:after="0"/>
      <w:ind w:left="140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E022B7"/>
    <w:pPr>
      <w:spacing w:after="0"/>
      <w:ind w:left="1600"/>
    </w:pPr>
    <w:rPr>
      <w:rFonts w:ascii="Calibri" w:hAnsi="Calibri"/>
      <w:sz w:val="18"/>
      <w:szCs w:val="18"/>
    </w:rPr>
  </w:style>
  <w:style w:type="character" w:styleId="Hyperlink">
    <w:name w:val="Hyperlink"/>
    <w:uiPriority w:val="99"/>
    <w:unhideWhenUsed/>
    <w:rsid w:val="00E022B7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5D03EB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D03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5D03E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2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H. Morris</dc:creator>
  <cp:keywords/>
  <dc:description/>
  <cp:lastModifiedBy>Munster, Vincent (NIH/NIAID) [E]</cp:lastModifiedBy>
  <cp:revision>2</cp:revision>
  <dcterms:created xsi:type="dcterms:W3CDTF">2020-03-03T21:22:00Z</dcterms:created>
  <dcterms:modified xsi:type="dcterms:W3CDTF">2020-03-03T21:22:00Z</dcterms:modified>
</cp:coreProperties>
</file>