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atLeast"/>
        <w:jc w:val="left"/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Supplementary Table</w:t>
      </w:r>
      <w:bookmarkEnd w:id="0"/>
      <w:r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1 Multivariable associations between the predictor variables and COVID-19</w:t>
      </w:r>
    </w:p>
    <w:tbl>
      <w:tblPr>
        <w:tblStyle w:val="3"/>
        <w:tblpPr w:leftFromText="180" w:rightFromText="180" w:vertAnchor="text" w:horzAnchor="page" w:tblpX="1927" w:tblpY="1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087"/>
        <w:gridCol w:w="1488"/>
        <w:gridCol w:w="2062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Parameters</w:t>
            </w:r>
          </w:p>
        </w:tc>
        <w:tc>
          <w:tcPr>
            <w:tcW w:w="1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Beta</w:t>
            </w: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Wals χ2 value</w:t>
            </w:r>
          </w:p>
        </w:tc>
        <w:tc>
          <w:tcPr>
            <w:tcW w:w="2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OR (95% CI)</w:t>
            </w:r>
          </w:p>
        </w:tc>
        <w:tc>
          <w:tcPr>
            <w:tcW w:w="13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Signs of pneumonia on CT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5.10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30.79</w:t>
            </w:r>
          </w:p>
        </w:tc>
        <w:tc>
          <w:tcPr>
            <w:tcW w:w="20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163.31 (27.00-987.84)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History of close contact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4.58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21.49</w:t>
            </w:r>
          </w:p>
        </w:tc>
        <w:tc>
          <w:tcPr>
            <w:tcW w:w="20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97.55 (14.07-676.50)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Fever (℃)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8.97</w:t>
            </w:r>
          </w:p>
        </w:tc>
        <w:tc>
          <w:tcPr>
            <w:tcW w:w="20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16.31 (2.63-101.28)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NLR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0.97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4.48</w:t>
            </w:r>
          </w:p>
        </w:tc>
        <w:tc>
          <w:tcPr>
            <w:tcW w:w="20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2.64 (1.07-6.51)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Tmax (℃)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0.94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4.20</w:t>
            </w:r>
          </w:p>
        </w:tc>
        <w:tc>
          <w:tcPr>
            <w:tcW w:w="20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2.57 (1.04-6.31)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Sex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.90</w:t>
            </w:r>
          </w:p>
        </w:tc>
        <w:tc>
          <w:tcPr>
            <w:tcW w:w="14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.29</w:t>
            </w:r>
          </w:p>
        </w:tc>
        <w:tc>
          <w:tcPr>
            <w:tcW w:w="20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.46 (1.05-5.77)          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Constant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-9.106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37.323</w:t>
            </w:r>
          </w:p>
        </w:tc>
        <w:tc>
          <w:tcPr>
            <w:tcW w:w="206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Arial" w:hAnsi="Arial" w:cs="Arial"/>
          <w:color w:val="000000" w:themeColor="text1"/>
          <w:kern w:val="0"/>
          <w:sz w:val="16"/>
          <w:szCs w:val="16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等线" w:cs="Arial"/>
          <w:color w:val="000000" w:themeColor="text1"/>
          <w:sz w:val="16"/>
          <w:szCs w:val="16"/>
          <w:vertAlign w:val="superscript"/>
          <w14:textFill>
            <w14:solidFill>
              <w14:schemeClr w14:val="tx1"/>
            </w14:solidFill>
          </w14:textFill>
        </w:rPr>
        <w:t>a</w:t>
      </w:r>
      <w:r>
        <w:rPr>
          <w:rFonts w:ascii="Arial" w:hAnsi="Arial" w:eastAsia="等线" w:cs="Arial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NLR: neutrophil-to-lymphocyte ratio</w:t>
      </w:r>
    </w:p>
    <w:p>
      <w:pPr>
        <w:widowControl/>
        <w:jc w:val="left"/>
        <w:rPr>
          <w:rFonts w:ascii="Arial" w:hAnsi="Arial" w:cs="Arial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kern w:val="0"/>
          <w:sz w:val="16"/>
          <w:szCs w:val="16"/>
          <w:vertAlign w:val="superscript"/>
          <w14:textFill>
            <w14:solidFill>
              <w14:schemeClr w14:val="tx1"/>
            </w14:solidFill>
          </w14:textFill>
        </w:rPr>
        <w:t>b</w:t>
      </w:r>
      <w:r>
        <w:rPr>
          <w:rFonts w:ascii="Arial" w:hAnsi="Arial" w:cs="Arial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Tmax: the highest body temperature from illness onset to first hospital admission.</w:t>
      </w:r>
    </w:p>
    <w:p>
      <w:pP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left"/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Supplementary Table </w:t>
      </w:r>
      <w:r>
        <w:rPr>
          <w:rFonts w:hint="eastAsia"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2 C</w:t>
      </w:r>
      <w:r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linical characteristics of patients</w:t>
      </w:r>
      <w:r>
        <w:rPr>
          <w:rFonts w:hint="eastAsia"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in the </w:t>
      </w:r>
      <w:r>
        <w:rPr>
          <w:rFonts w:hint="eastAsia"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validate</w:t>
      </w:r>
      <w:r>
        <w:rPr>
          <w:rFonts w:ascii="Arial" w:hAnsi="Arial" w:cs="Arial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 dataset.</w:t>
      </w:r>
    </w:p>
    <w:tbl>
      <w:tblPr>
        <w:tblStyle w:val="3"/>
        <w:tblpPr w:leftFromText="180" w:rightFromText="180" w:vertAnchor="text" w:horzAnchor="page" w:tblpX="712" w:tblpY="222"/>
        <w:tblOverlap w:val="never"/>
        <w:tblW w:w="10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983"/>
        <w:gridCol w:w="1980"/>
        <w:gridCol w:w="2137"/>
        <w:gridCol w:w="1750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Demographic and clinical characteristics</w:t>
            </w: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All patients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(n = 95)</w:t>
            </w:r>
          </w:p>
        </w:tc>
        <w:tc>
          <w:tcPr>
            <w:tcW w:w="21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Non-COVID-19 patients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(n = 77)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COVID-19 patients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(n = 18)</w:t>
            </w:r>
          </w:p>
        </w:tc>
        <w:tc>
          <w:tcPr>
            <w:tcW w:w="7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Age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(years)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47.0 (33.0-63.0)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41.0 (31.5-57.5)</w:t>
            </w:r>
          </w:p>
        </w:tc>
        <w:tc>
          <w:tcPr>
            <w:tcW w:w="17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62.0 (55.3-73.3)</w:t>
            </w:r>
          </w:p>
        </w:tc>
        <w:tc>
          <w:tcPr>
            <w:tcW w:w="7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Sex</w:t>
            </w: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Male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 (38.9)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26 (33.8)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 (61.1)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Female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58 (61.1)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51 (66.2）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 (38.9)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Symptoms</w:t>
            </w: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Fever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72 (75.8)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72.7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(88.9)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0.15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Cough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47 (49.5)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(4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6.8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(6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Expectoration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.1)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(1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6.9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38.9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Headache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7.8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Myalgia or fatigue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12.6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(1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22.2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Chill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(8.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(9.1)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Rhinobyon or rhinorrhoea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.2)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3.9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Pharyngalgia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(1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Dyspnea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(1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5.8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10.4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38.9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Diarrhoea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(4.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3.9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5.6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0.7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Exposure history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Wuhan-related exposure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 (5.3)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 (3.9)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 (11.1)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History of close contact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16 (16.8)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 (6.5)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 (61.1)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ays from onset to first hospital admission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2.0 (1.0-5.0)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2.0 (1.0-5.0)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1.0 (1.0-2.0)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Basic vital signs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Tmax (</w:t>
            </w:r>
            <w:r>
              <w:rPr>
                <w:rFonts w:ascii="Arial" w:hAnsi="Arial" w:cs="Arial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37.8 (37.3-38.3)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37.6 (37.3-38.0)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38.4 (37.5-38.9)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Temperature (</w:t>
            </w:r>
            <w:r>
              <w:rPr>
                <w:rFonts w:ascii="Arial" w:hAnsi="Arial" w:cs="Arial"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37.1 (36.7-37.6)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37.2 (36.8-37.6)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36.8 (36.5-37.2)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Oxygen saturation (%)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98.0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(97.0-99.0)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99.0 (98.0-99.0)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96.0 (93.0-98.0)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Respiratory (rate breaths/min)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19.0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(18.0-20.0)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19.0 (18.5-20.0)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19.5 (18.0-20.3)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Heart rate (beats/min)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98.0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(85.0-110.0)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98.0 (89.0-115.5)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86.0 (79.8-96.0)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Mean arterial pressure (mmHg)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99.0</w:t>
            </w:r>
            <w:r>
              <w:rPr>
                <w:rFonts w:hint="eastAsia"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(92.3-107.7)</w:t>
            </w: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99.0 (91.2-107.8)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99.7 (95.7-106.1)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Laboratory</w:t>
            </w:r>
            <w:r>
              <w:rPr>
                <w:rFonts w:hint="eastAsia" w:ascii="Arial" w:hAnsi="Arial" w:eastAsia="宋体" w:cs="Arial"/>
                <w:b/>
                <w:bCs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results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White blood cell count (×10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7.3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5.6-8.8)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6.8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(5.6-8.4)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8.1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(4.7-13.1)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Neutrophil count (×10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5.0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3.6-6.7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4.8 (3.5-6.2)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(3.7-12.2)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Lymphocyte count (×10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1.4 (0.7-1.9)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1.5 (1.1-2.1)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0.6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(0.4-0.8)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NLR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3.4 (2.1-7.9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3.1 (2.0-4.2)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14.4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(6.8-24.7)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Monocyte count (×10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 (0.3-0.6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(0.3-0.6)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(0.2-0.6)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Platelet count (×10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216.0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(169.0-263.0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222.0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(167.0-264.0)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194.0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(173.0-228.0)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Haemoglobin (g/L)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137.0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126.0-144.0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137.0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(126.0-146.0)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136.5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(122.8-142.5)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Red blood cell distribution width (%)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12.3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11.9-13.0)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12.3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(11.9-13.0)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12.3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(11.8-13.1)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Platelet distribution width (%)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11.3 (10.5-13.4)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11.3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(10.4-13.3)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11.8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(10.6-14.0)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C-reactive protein (mg/L)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6.4 (1.0-36.1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(0.6-23.6)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40.0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(15.5-51.9)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Procalcitonin (ng/ml)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0.20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(0.10-0.26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0.22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(0.17-0.26)</w:t>
            </w:r>
          </w:p>
        </w:tc>
        <w:tc>
          <w:tcPr>
            <w:tcW w:w="17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0.04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(0.02-0.31)</w:t>
            </w: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eastAsia="等线"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等线" w:cs="Arial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Signs of pneumonia on CT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43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45.3)</w:t>
            </w:r>
          </w:p>
        </w:tc>
        <w:tc>
          <w:tcPr>
            <w:tcW w:w="213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25 (32.5)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18(1)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</w:tbl>
    <w:p>
      <w:pPr>
        <w:widowControl/>
        <w:spacing w:before="156" w:beforeLines="50"/>
        <w:jc w:val="left"/>
        <w:rPr>
          <w:rFonts w:ascii="Arial" w:hAnsi="Arial" w:cs="Arial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Data are presented as medians (interquartile ranges, IQR) or N (%).</w:t>
      </w:r>
    </w:p>
    <w:p>
      <w:pPr>
        <w:widowControl/>
        <w:spacing w:line="360" w:lineRule="auto"/>
        <w:jc w:val="left"/>
        <w:rPr>
          <w:rFonts w:hint="default" w:ascii="Arial" w:hAnsi="Arial" w:cs="Arial"/>
          <w:color w:val="000000" w:themeColor="text1"/>
          <w:kern w:val="0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kern w:val="0"/>
          <w:sz w:val="16"/>
          <w:szCs w:val="16"/>
          <w:vertAlign w:val="superscript"/>
          <w14:textFill>
            <w14:solidFill>
              <w14:schemeClr w14:val="tx1"/>
            </w14:solidFill>
          </w14:textFill>
        </w:rPr>
        <w:t>a</w:t>
      </w:r>
      <w:r>
        <w:rPr>
          <w:rFonts w:ascii="Arial" w:hAnsi="Arial" w:cs="Arial"/>
          <w:color w:val="000000" w:themeColor="text1"/>
          <w:kern w:val="0"/>
          <w:sz w:val="16"/>
          <w:szCs w:val="16"/>
          <w14:textFill>
            <w14:solidFill>
              <w14:schemeClr w14:val="tx1"/>
            </w14:solidFill>
          </w14:textFill>
        </w:rPr>
        <w:t>Tmax: the highest body temperature from illness onset to first hospital admission.</w:t>
      </w:r>
    </w:p>
    <w:p>
      <w:pPr>
        <w:spacing w:line="480" w:lineRule="auto"/>
        <w:rPr>
          <w:rFonts w:ascii="Arial" w:hAnsi="Arial" w:cs="Arial"/>
          <w:bCs/>
          <w:kern w:val="0"/>
          <w:sz w:val="20"/>
          <w:szCs w:val="20"/>
        </w:rPr>
      </w:pPr>
    </w:p>
    <w:p>
      <w:pPr>
        <w:spacing w:line="48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53069"/>
    <w:rsid w:val="09D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2020-03-02T21:01:00Z</dcterms:created>
  <dc:creator>佳</dc:creator>
  <cp:lastModifiedBy>佳</cp:lastModifiedBy>
  <dcterms:modified xsi:type="dcterms:W3CDTF">2020-03-02T21:01:54Z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