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9569F" w14:textId="5F4FE081" w:rsidR="00BA6539" w:rsidRPr="00EC7654" w:rsidRDefault="00505EB3" w:rsidP="007D1ED4">
      <w:pPr>
        <w:autoSpaceDE w:val="0"/>
        <w:autoSpaceDN w:val="0"/>
        <w:adjustRightInd w:val="0"/>
        <w:spacing w:after="240" w:line="360" w:lineRule="auto"/>
        <w:outlineLvl w:val="0"/>
        <w:rPr>
          <w:rFonts w:ascii="Times New Roman" w:hAnsi="Times New Roman" w:cs="Times New Roman"/>
          <w:b/>
          <w:color w:val="000000"/>
          <w:sz w:val="28"/>
        </w:rPr>
      </w:pPr>
      <w:r w:rsidRPr="00EC7654">
        <w:rPr>
          <w:rFonts w:ascii="Times New Roman" w:hAnsi="Times New Roman" w:cs="Times New Roman"/>
          <w:b/>
          <w:color w:val="000000"/>
          <w:sz w:val="28"/>
        </w:rPr>
        <w:t>Supplemental Methods (Section 1</w:t>
      </w:r>
      <w:r w:rsidR="00BD5314" w:rsidRPr="00BD5314">
        <w:rPr>
          <w:rFonts w:ascii="Times New Roman" w:hAnsi="Times New Roman" w:cs="Times New Roman"/>
          <w:b/>
          <w:color w:val="000000"/>
          <w:sz w:val="28"/>
        </w:rPr>
        <w:t>–</w:t>
      </w:r>
      <w:r w:rsidR="00961BBE" w:rsidRPr="00EC7654">
        <w:rPr>
          <w:rFonts w:ascii="Times New Roman" w:hAnsi="Times New Roman" w:cs="Times New Roman"/>
          <w:b/>
          <w:color w:val="000000"/>
          <w:sz w:val="28"/>
        </w:rPr>
        <w:t>5</w:t>
      </w:r>
      <w:r w:rsidRPr="00EC7654">
        <w:rPr>
          <w:rFonts w:ascii="Times New Roman" w:hAnsi="Times New Roman" w:cs="Times New Roman"/>
          <w:b/>
          <w:color w:val="000000"/>
          <w:sz w:val="28"/>
        </w:rPr>
        <w:t>)</w:t>
      </w:r>
    </w:p>
    <w:p w14:paraId="0D8534B8" w14:textId="219BC718" w:rsidR="00002CD1" w:rsidRPr="00E445E5" w:rsidRDefault="000619BB" w:rsidP="00002CD1">
      <w:pPr>
        <w:autoSpaceDE w:val="0"/>
        <w:autoSpaceDN w:val="0"/>
        <w:adjustRightInd w:val="0"/>
        <w:spacing w:after="240" w:line="360" w:lineRule="auto"/>
        <w:outlineLvl w:val="0"/>
        <w:rPr>
          <w:rFonts w:ascii="Times New Roman" w:hAnsi="Times New Roman" w:cs="Times New Roman"/>
          <w:b/>
          <w:color w:val="000000"/>
        </w:rPr>
      </w:pPr>
      <w:r w:rsidRPr="00E445E5">
        <w:rPr>
          <w:rFonts w:ascii="Times New Roman" w:hAnsi="Times New Roman" w:cs="Times New Roman"/>
          <w:b/>
          <w:color w:val="000000" w:themeColor="text1"/>
        </w:rPr>
        <w:t xml:space="preserve">Section 1. </w:t>
      </w:r>
      <w:r w:rsidR="00BF2F16" w:rsidRPr="00E445E5">
        <w:rPr>
          <w:rFonts w:ascii="Times New Roman" w:hAnsi="Times New Roman" w:cs="Times New Roman"/>
          <w:b/>
          <w:color w:val="000000" w:themeColor="text1"/>
        </w:rPr>
        <w:t>Patients’ recruitment, diag</w:t>
      </w:r>
      <w:r w:rsidR="00EF21C7">
        <w:rPr>
          <w:rFonts w:ascii="Times New Roman" w:hAnsi="Times New Roman" w:cs="Times New Roman"/>
          <w:b/>
          <w:color w:val="000000" w:themeColor="text1"/>
        </w:rPr>
        <w:t xml:space="preserve">nostic pipeline and management, </w:t>
      </w:r>
      <w:r w:rsidR="00BF2F16" w:rsidRPr="00E445E5">
        <w:rPr>
          <w:rFonts w:ascii="Times New Roman" w:hAnsi="Times New Roman" w:cs="Times New Roman"/>
          <w:b/>
          <w:color w:val="000000" w:themeColor="text1"/>
        </w:rPr>
        <w:t>classification</w:t>
      </w:r>
    </w:p>
    <w:p w14:paraId="19ABA602" w14:textId="77777777" w:rsidR="00002CD1" w:rsidRPr="00E445E5" w:rsidRDefault="00D0542F" w:rsidP="00002CD1">
      <w:pPr>
        <w:autoSpaceDE w:val="0"/>
        <w:autoSpaceDN w:val="0"/>
        <w:adjustRightInd w:val="0"/>
        <w:spacing w:after="240" w:line="360" w:lineRule="auto"/>
        <w:outlineLvl w:val="0"/>
        <w:rPr>
          <w:rFonts w:ascii="Times New Roman" w:hAnsi="Times New Roman" w:cs="Times New Roman"/>
          <w:b/>
          <w:color w:val="000000"/>
        </w:rPr>
      </w:pPr>
      <w:r w:rsidRPr="00E445E5">
        <w:rPr>
          <w:rFonts w:ascii="Times New Roman" w:hAnsi="Times New Roman" w:cs="Times New Roman"/>
          <w:b/>
        </w:rPr>
        <w:t>Section 2. Sample size calculation for the present study</w:t>
      </w:r>
    </w:p>
    <w:p w14:paraId="757680B1" w14:textId="34AEB0EE" w:rsidR="00002CD1" w:rsidRPr="00E445E5" w:rsidRDefault="00AF30B0" w:rsidP="00002CD1">
      <w:pPr>
        <w:autoSpaceDE w:val="0"/>
        <w:autoSpaceDN w:val="0"/>
        <w:adjustRightInd w:val="0"/>
        <w:spacing w:after="240" w:line="360" w:lineRule="auto"/>
        <w:outlineLvl w:val="0"/>
        <w:rPr>
          <w:rFonts w:ascii="Times New Roman" w:hAnsi="Times New Roman" w:cs="Times New Roman"/>
          <w:b/>
          <w:color w:val="000000"/>
        </w:rPr>
      </w:pPr>
      <w:r w:rsidRPr="00E445E5">
        <w:rPr>
          <w:rFonts w:ascii="Times New Roman" w:hAnsi="Times New Roman" w:cs="Times New Roman"/>
          <w:b/>
          <w:color w:val="000000" w:themeColor="text1"/>
        </w:rPr>
        <w:t xml:space="preserve">Section </w:t>
      </w:r>
      <w:r w:rsidR="00D0542F" w:rsidRPr="00E445E5">
        <w:rPr>
          <w:rFonts w:ascii="Times New Roman" w:hAnsi="Times New Roman" w:cs="Times New Roman"/>
          <w:b/>
          <w:color w:val="000000" w:themeColor="text1"/>
        </w:rPr>
        <w:t>3</w:t>
      </w:r>
      <w:r w:rsidRPr="00E445E5">
        <w:rPr>
          <w:rFonts w:ascii="Times New Roman" w:hAnsi="Times New Roman" w:cs="Times New Roman"/>
          <w:b/>
          <w:color w:val="000000" w:themeColor="text1"/>
        </w:rPr>
        <w:t xml:space="preserve">. Detailed methodology </w:t>
      </w:r>
      <w:r w:rsidRPr="00E445E5">
        <w:rPr>
          <w:rFonts w:ascii="Times New Roman" w:hAnsi="Times New Roman" w:cs="Times New Roman" w:hint="eastAsia"/>
          <w:b/>
          <w:color w:val="000000" w:themeColor="text1"/>
        </w:rPr>
        <w:t>of</w:t>
      </w:r>
      <w:r w:rsidRPr="00E445E5">
        <w:rPr>
          <w:rFonts w:ascii="Times New Roman" w:hAnsi="Times New Roman" w:cs="Times New Roman"/>
          <w:b/>
          <w:color w:val="000000" w:themeColor="text1"/>
        </w:rPr>
        <w:t xml:space="preserve"> qRT-PCR</w:t>
      </w:r>
      <w:r w:rsidR="000709A0" w:rsidRPr="00E445E5">
        <w:rPr>
          <w:rFonts w:ascii="Times New Roman" w:hAnsi="Times New Roman" w:cs="Times New Roman"/>
          <w:b/>
          <w:color w:val="000000" w:themeColor="text1"/>
        </w:rPr>
        <w:t xml:space="preserve"> detection</w:t>
      </w:r>
    </w:p>
    <w:p w14:paraId="32A25C6B" w14:textId="7947F669" w:rsidR="005275ED" w:rsidRPr="00E445E5" w:rsidRDefault="007411C9" w:rsidP="00422A42">
      <w:pPr>
        <w:autoSpaceDE w:val="0"/>
        <w:autoSpaceDN w:val="0"/>
        <w:adjustRightInd w:val="0"/>
        <w:spacing w:after="240" w:line="360" w:lineRule="auto"/>
        <w:outlineLvl w:val="0"/>
        <w:rPr>
          <w:rFonts w:ascii="Times New Roman" w:hAnsi="Times New Roman" w:cs="Times New Roman"/>
          <w:b/>
          <w:color w:val="000000" w:themeColor="text1"/>
        </w:rPr>
      </w:pPr>
      <w:r w:rsidRPr="00E445E5">
        <w:rPr>
          <w:rFonts w:ascii="Times New Roman" w:hAnsi="Times New Roman" w:cs="Times New Roman"/>
          <w:b/>
          <w:color w:val="000000" w:themeColor="text1"/>
        </w:rPr>
        <w:t xml:space="preserve">Section </w:t>
      </w:r>
      <w:r w:rsidR="00D0542F" w:rsidRPr="00E445E5">
        <w:rPr>
          <w:rFonts w:ascii="Times New Roman" w:hAnsi="Times New Roman" w:cs="Times New Roman"/>
          <w:b/>
          <w:color w:val="000000" w:themeColor="text1"/>
        </w:rPr>
        <w:t>4</w:t>
      </w:r>
      <w:r w:rsidRPr="00E445E5">
        <w:rPr>
          <w:rFonts w:ascii="Times New Roman" w:hAnsi="Times New Roman" w:cs="Times New Roman"/>
          <w:b/>
          <w:color w:val="000000" w:themeColor="text1"/>
        </w:rPr>
        <w:t xml:space="preserve">. </w:t>
      </w:r>
      <w:r w:rsidR="000619BB" w:rsidRPr="00E445E5">
        <w:rPr>
          <w:rFonts w:ascii="Times New Roman" w:hAnsi="Times New Roman" w:cs="Times New Roman"/>
          <w:b/>
          <w:color w:val="000000" w:themeColor="text1"/>
        </w:rPr>
        <w:t>EHR and lncRNA data collection, data-preprocessing</w:t>
      </w:r>
      <w:r w:rsidR="006E6323">
        <w:rPr>
          <w:rFonts w:ascii="Times New Roman" w:hAnsi="Times New Roman" w:cs="Times New Roman"/>
          <w:b/>
          <w:color w:val="000000" w:themeColor="text1"/>
        </w:rPr>
        <w:t xml:space="preserve">, </w:t>
      </w:r>
      <w:r w:rsidR="000619BB" w:rsidRPr="00E445E5">
        <w:rPr>
          <w:rFonts w:ascii="Times New Roman" w:hAnsi="Times New Roman" w:cs="Times New Roman"/>
          <w:b/>
          <w:color w:val="000000" w:themeColor="text1"/>
        </w:rPr>
        <w:t xml:space="preserve">features </w:t>
      </w:r>
      <w:r w:rsidR="00002CD1" w:rsidRPr="00E445E5">
        <w:rPr>
          <w:rFonts w:ascii="Times New Roman" w:hAnsi="Times New Roman" w:cs="Times New Roman"/>
          <w:b/>
          <w:color w:val="000000" w:themeColor="text1"/>
        </w:rPr>
        <w:t>before and</w:t>
      </w:r>
      <w:r w:rsidRPr="00E445E5">
        <w:rPr>
          <w:rFonts w:ascii="Times New Roman" w:hAnsi="Times New Roman" w:cs="Times New Roman"/>
          <w:b/>
          <w:color w:val="000000" w:themeColor="text1"/>
        </w:rPr>
        <w:t xml:space="preserve"> involv</w:t>
      </w:r>
      <w:r w:rsidR="00002CD1" w:rsidRPr="00E445E5">
        <w:rPr>
          <w:rFonts w:ascii="Times New Roman" w:hAnsi="Times New Roman" w:cs="Times New Roman"/>
          <w:b/>
          <w:color w:val="000000" w:themeColor="text1"/>
        </w:rPr>
        <w:t>ing</w:t>
      </w:r>
      <w:r w:rsidRPr="00E445E5">
        <w:rPr>
          <w:rFonts w:ascii="Times New Roman" w:hAnsi="Times New Roman" w:cs="Times New Roman"/>
          <w:b/>
          <w:color w:val="000000" w:themeColor="text1"/>
        </w:rPr>
        <w:t xml:space="preserve"> in </w:t>
      </w:r>
      <w:r w:rsidR="00002CD1" w:rsidRPr="00E445E5">
        <w:rPr>
          <w:rFonts w:ascii="Times New Roman" w:hAnsi="Times New Roman" w:cs="Times New Roman"/>
          <w:b/>
          <w:color w:val="000000" w:themeColor="text1"/>
        </w:rPr>
        <w:t>model</w:t>
      </w:r>
      <w:r w:rsidR="006E6323">
        <w:rPr>
          <w:rFonts w:ascii="Times New Roman" w:hAnsi="Times New Roman" w:cs="Times New Roman"/>
          <w:b/>
          <w:color w:val="000000" w:themeColor="text1"/>
        </w:rPr>
        <w:t>s</w:t>
      </w:r>
      <w:r w:rsidR="00EA0FAA">
        <w:rPr>
          <w:rFonts w:ascii="Times New Roman" w:hAnsi="Times New Roman" w:cs="Times New Roman"/>
          <w:b/>
          <w:color w:val="000000" w:themeColor="text1"/>
        </w:rPr>
        <w:t>,</w:t>
      </w:r>
      <w:r w:rsidR="006E6323">
        <w:rPr>
          <w:rFonts w:ascii="Times New Roman" w:hAnsi="Times New Roman" w:cs="Times New Roman"/>
          <w:b/>
          <w:color w:val="000000" w:themeColor="text1"/>
        </w:rPr>
        <w:t xml:space="preserve"> and modeling</w:t>
      </w:r>
    </w:p>
    <w:p w14:paraId="34DBF300" w14:textId="271AFE4E" w:rsidR="007D1ED4" w:rsidRPr="00422A42" w:rsidRDefault="003B711D" w:rsidP="00422A42">
      <w:pPr>
        <w:autoSpaceDE w:val="0"/>
        <w:autoSpaceDN w:val="0"/>
        <w:adjustRightInd w:val="0"/>
        <w:spacing w:after="240" w:line="360" w:lineRule="auto"/>
        <w:outlineLvl w:val="0"/>
        <w:rPr>
          <w:rFonts w:ascii="Times New Roman" w:hAnsi="Times New Roman" w:cs="Times New Roman"/>
          <w:b/>
          <w:color w:val="000000" w:themeColor="text1"/>
        </w:rPr>
        <w:sectPr w:rsidR="007D1ED4" w:rsidRPr="00422A42" w:rsidSect="00E445E5">
          <w:footerReference w:type="even" r:id="rId8"/>
          <w:footerReference w:type="default" r:id="rId9"/>
          <w:pgSz w:w="11900" w:h="16840"/>
          <w:pgMar w:top="1440" w:right="1800" w:bottom="1440" w:left="1800" w:header="851" w:footer="992" w:gutter="0"/>
          <w:cols w:space="425"/>
          <w:docGrid w:type="lines" w:linePitch="423"/>
        </w:sectPr>
      </w:pPr>
      <w:r w:rsidRPr="00E445E5">
        <w:rPr>
          <w:rFonts w:ascii="Times New Roman" w:hAnsi="Times New Roman" w:cs="Times New Roman"/>
          <w:b/>
          <w:color w:val="000000" w:themeColor="text1"/>
        </w:rPr>
        <w:t xml:space="preserve">Section </w:t>
      </w:r>
      <w:r w:rsidR="00D0542F" w:rsidRPr="00E445E5">
        <w:rPr>
          <w:rFonts w:ascii="Times New Roman" w:hAnsi="Times New Roman" w:cs="Times New Roman"/>
          <w:b/>
          <w:color w:val="000000" w:themeColor="text1"/>
        </w:rPr>
        <w:t>5</w:t>
      </w:r>
      <w:r w:rsidR="000619BB" w:rsidRPr="00E445E5">
        <w:rPr>
          <w:rFonts w:ascii="Times New Roman" w:hAnsi="Times New Roman" w:cs="Times New Roman"/>
          <w:b/>
          <w:color w:val="000000" w:themeColor="text1"/>
        </w:rPr>
        <w:t xml:space="preserve">. </w:t>
      </w:r>
      <w:r w:rsidR="000709A0" w:rsidRPr="00E445E5">
        <w:rPr>
          <w:rFonts w:ascii="Times New Roman" w:hAnsi="Times New Roman" w:cs="Times New Roman"/>
          <w:b/>
          <w:color w:val="000000" w:themeColor="text1"/>
        </w:rPr>
        <w:t xml:space="preserve">Functional analysis for </w:t>
      </w:r>
      <w:r w:rsidR="000709A0" w:rsidRPr="00422A42">
        <w:rPr>
          <w:rFonts w:ascii="Times New Roman" w:hAnsi="Times New Roman" w:cs="Times New Roman"/>
          <w:b/>
          <w:i/>
          <w:color w:val="000000" w:themeColor="text1"/>
        </w:rPr>
        <w:t>ENST00000497872</w:t>
      </w:r>
    </w:p>
    <w:p w14:paraId="5EB96263" w14:textId="29A7B3F8" w:rsidR="00375AAE" w:rsidRPr="00375AAE" w:rsidRDefault="00DA7427" w:rsidP="007D1ED4">
      <w:pPr>
        <w:tabs>
          <w:tab w:val="left" w:pos="1003"/>
        </w:tabs>
        <w:spacing w:line="360" w:lineRule="auto"/>
        <w:outlineLvl w:val="0"/>
        <w:rPr>
          <w:rFonts w:ascii="Times New Roman" w:hAnsi="Times New Roman" w:cs="Times New Roman"/>
          <w:b/>
        </w:rPr>
      </w:pPr>
      <w:r w:rsidRPr="00375AAE">
        <w:rPr>
          <w:rFonts w:ascii="Times New Roman" w:hAnsi="Times New Roman" w:cs="Times New Roman"/>
          <w:b/>
          <w:color w:val="000000"/>
        </w:rPr>
        <w:lastRenderedPageBreak/>
        <w:t xml:space="preserve">Section 1. </w:t>
      </w:r>
      <w:r w:rsidR="00C8649B" w:rsidRPr="00C8649B">
        <w:rPr>
          <w:rFonts w:ascii="Times New Roman" w:hAnsi="Times New Roman" w:cs="Times New Roman"/>
          <w:b/>
          <w:color w:val="000000" w:themeColor="text1"/>
        </w:rPr>
        <w:t>Patients’ recruitment</w:t>
      </w:r>
      <w:r w:rsidR="001039C7">
        <w:rPr>
          <w:rFonts w:ascii="Times New Roman" w:hAnsi="Times New Roman" w:cs="Times New Roman"/>
          <w:b/>
          <w:color w:val="000000" w:themeColor="text1"/>
        </w:rPr>
        <w:t>,</w:t>
      </w:r>
      <w:r w:rsidR="00C8649B" w:rsidRPr="00C8649B">
        <w:rPr>
          <w:rFonts w:ascii="Times New Roman" w:hAnsi="Times New Roman" w:cs="Times New Roman"/>
          <w:b/>
          <w:color w:val="000000" w:themeColor="text1"/>
        </w:rPr>
        <w:t xml:space="preserve"> diagnostic pipeline</w:t>
      </w:r>
      <w:r w:rsidR="00BF2F16">
        <w:rPr>
          <w:rFonts w:ascii="Times New Roman" w:hAnsi="Times New Roman" w:cs="Times New Roman"/>
          <w:b/>
          <w:color w:val="000000" w:themeColor="text1"/>
        </w:rPr>
        <w:t xml:space="preserve"> and management,</w:t>
      </w:r>
      <w:r w:rsidR="001039C7">
        <w:rPr>
          <w:rFonts w:ascii="Times New Roman" w:hAnsi="Times New Roman" w:cs="Times New Roman"/>
          <w:b/>
          <w:color w:val="000000" w:themeColor="text1"/>
        </w:rPr>
        <w:t xml:space="preserve"> </w:t>
      </w:r>
      <w:r w:rsidR="001039C7" w:rsidRPr="00C8649B">
        <w:rPr>
          <w:rFonts w:ascii="Times New Roman" w:hAnsi="Times New Roman" w:cs="Times New Roman"/>
          <w:b/>
          <w:color w:val="000000" w:themeColor="text1"/>
        </w:rPr>
        <w:t>classification</w:t>
      </w:r>
    </w:p>
    <w:p w14:paraId="54286E28" w14:textId="632EC1B3" w:rsidR="00284672" w:rsidRDefault="00375AAE" w:rsidP="007D1ED4">
      <w:pPr>
        <w:tabs>
          <w:tab w:val="left" w:pos="1003"/>
        </w:tabs>
        <w:spacing w:line="360" w:lineRule="auto"/>
        <w:outlineLvl w:val="0"/>
        <w:rPr>
          <w:rFonts w:ascii="Times New Roman" w:hAnsi="Times New Roman" w:cs="Times New Roman"/>
          <w:b/>
        </w:rPr>
      </w:pPr>
      <w:r>
        <w:rPr>
          <w:rFonts w:ascii="Times New Roman" w:hAnsi="Times New Roman" w:cs="Times New Roman"/>
          <w:b/>
        </w:rPr>
        <w:t xml:space="preserve">1.1 </w:t>
      </w:r>
      <w:r w:rsidR="00284672" w:rsidRPr="0032723D">
        <w:rPr>
          <w:rFonts w:ascii="Times New Roman" w:hAnsi="Times New Roman" w:cs="Times New Roman" w:hint="eastAsia"/>
          <w:b/>
        </w:rPr>
        <w:t>Patient</w:t>
      </w:r>
      <w:r w:rsidR="00284672" w:rsidRPr="0032723D">
        <w:rPr>
          <w:rFonts w:ascii="Times New Roman" w:hAnsi="Times New Roman" w:cs="Times New Roman"/>
          <w:b/>
        </w:rPr>
        <w:t xml:space="preserve"> </w:t>
      </w:r>
      <w:r w:rsidR="00284672" w:rsidRPr="0032723D">
        <w:rPr>
          <w:rFonts w:ascii="Times New Roman" w:hAnsi="Times New Roman" w:cs="Times New Roman" w:hint="eastAsia"/>
          <w:b/>
        </w:rPr>
        <w:t>recruitment</w:t>
      </w:r>
      <w:r w:rsidR="00C4791A">
        <w:rPr>
          <w:rFonts w:ascii="Times New Roman" w:hAnsi="Times New Roman" w:cs="Times New Roman"/>
          <w:b/>
        </w:rPr>
        <w:t xml:space="preserve"> </w:t>
      </w:r>
    </w:p>
    <w:p w14:paraId="23A73931" w14:textId="046BD26B" w:rsidR="00287E67" w:rsidRPr="009844C3" w:rsidRDefault="00284672" w:rsidP="007D1ED4">
      <w:pPr>
        <w:spacing w:line="360" w:lineRule="auto"/>
        <w:rPr>
          <w:rFonts w:ascii="Times New Roman" w:hAnsi="Times New Roman" w:cs="Times New Roman"/>
        </w:rPr>
      </w:pPr>
      <w:r w:rsidRPr="006E33C0">
        <w:rPr>
          <w:rFonts w:ascii="Times New Roman" w:hAnsi="Times New Roman" w:cs="Times New Roman"/>
        </w:rPr>
        <w:t>A total of 2321 inpatients with clinical suspicion of PTB patients were interrogated. Inpatients had to present one or more of the following symptoms for more than one week: cough, expectoration, fever</w:t>
      </w:r>
      <w:r w:rsidR="00C8649B">
        <w:rPr>
          <w:rFonts w:ascii="Times New Roman" w:hAnsi="Times New Roman" w:cs="Times New Roman"/>
        </w:rPr>
        <w:t>,</w:t>
      </w:r>
      <w:r w:rsidRPr="006E33C0">
        <w:rPr>
          <w:rFonts w:ascii="Times New Roman" w:hAnsi="Times New Roman" w:cs="Times New Roman"/>
        </w:rPr>
        <w:t xml:space="preserve"> unexplained weight loss (3 kg or more in a month), night sweats, dyspnea of any duration, and fatigue. After screening 2321 inpatients, 561 </w:t>
      </w:r>
      <w:r>
        <w:rPr>
          <w:rFonts w:ascii="Times New Roman" w:hAnsi="Times New Roman" w:cs="Times New Roman"/>
        </w:rPr>
        <w:t xml:space="preserve">suspected </w:t>
      </w:r>
      <w:r w:rsidR="00C8649B" w:rsidRPr="00C8649B">
        <w:rPr>
          <w:rFonts w:ascii="Times New Roman" w:hAnsi="Times New Roman" w:cs="Times New Roman"/>
        </w:rPr>
        <w:t>clinically diagnosed PTB</w:t>
      </w:r>
      <w:r>
        <w:rPr>
          <w:rFonts w:ascii="Times New Roman" w:hAnsi="Times New Roman" w:cs="Times New Roman"/>
        </w:rPr>
        <w:t xml:space="preserve"> </w:t>
      </w:r>
      <w:r w:rsidRPr="006E33C0">
        <w:rPr>
          <w:rFonts w:ascii="Times New Roman" w:hAnsi="Times New Roman" w:cs="Times New Roman"/>
        </w:rPr>
        <w:t>patients</w:t>
      </w:r>
      <w:r>
        <w:rPr>
          <w:rFonts w:ascii="Times New Roman" w:hAnsi="Times New Roman" w:cs="Times New Roman"/>
        </w:rPr>
        <w:t xml:space="preserve"> (311 </w:t>
      </w:r>
      <w:r>
        <w:rPr>
          <w:rFonts w:ascii="Times New Roman" w:hAnsi="Times New Roman" w:cs="Times New Roman" w:hint="eastAsia"/>
        </w:rPr>
        <w:t>in</w:t>
      </w:r>
      <w:r>
        <w:rPr>
          <w:rFonts w:ascii="Times New Roman" w:hAnsi="Times New Roman" w:cs="Times New Roman"/>
        </w:rPr>
        <w:t xml:space="preserve"> the </w:t>
      </w:r>
      <w:r w:rsidRPr="00A140E8">
        <w:rPr>
          <w:rFonts w:ascii="Times New Roman" w:hAnsi="Times New Roman" w:cs="Times New Roman"/>
        </w:rPr>
        <w:t>Selection Cohort</w:t>
      </w:r>
      <w:r>
        <w:rPr>
          <w:rFonts w:ascii="Times New Roman" w:hAnsi="Times New Roman" w:cs="Times New Roman"/>
        </w:rPr>
        <w:t xml:space="preserve"> </w:t>
      </w:r>
      <w:r>
        <w:rPr>
          <w:rFonts w:ascii="Times New Roman" w:hAnsi="Times New Roman" w:cs="Times New Roman" w:hint="eastAsia"/>
        </w:rPr>
        <w:t>and</w:t>
      </w:r>
      <w:r>
        <w:rPr>
          <w:rFonts w:ascii="Times New Roman" w:hAnsi="Times New Roman" w:cs="Times New Roman"/>
        </w:rPr>
        <w:t xml:space="preserve"> </w:t>
      </w:r>
      <w:r>
        <w:rPr>
          <w:rFonts w:ascii="Times New Roman" w:hAnsi="Times New Roman" w:cs="Times New Roman" w:hint="eastAsia"/>
        </w:rPr>
        <w:t>2</w:t>
      </w:r>
      <w:r>
        <w:rPr>
          <w:rFonts w:ascii="Times New Roman" w:hAnsi="Times New Roman" w:cs="Times New Roman"/>
        </w:rPr>
        <w:t xml:space="preserve">50 </w:t>
      </w:r>
      <w:r>
        <w:rPr>
          <w:rFonts w:ascii="Times New Roman" w:hAnsi="Times New Roman" w:cs="Times New Roman" w:hint="eastAsia"/>
        </w:rPr>
        <w:t xml:space="preserve">in </w:t>
      </w:r>
      <w:r>
        <w:rPr>
          <w:rFonts w:ascii="Times New Roman" w:hAnsi="Times New Roman" w:cs="Times New Roman"/>
        </w:rPr>
        <w:t xml:space="preserve">the </w:t>
      </w:r>
      <w:r w:rsidRPr="00A140E8">
        <w:rPr>
          <w:rFonts w:ascii="Times New Roman" w:hAnsi="Times New Roman" w:cs="Times New Roman"/>
        </w:rPr>
        <w:t>Validation Cohort</w:t>
      </w:r>
      <w:r>
        <w:rPr>
          <w:rFonts w:ascii="Times New Roman" w:hAnsi="Times New Roman" w:cs="Times New Roman"/>
        </w:rPr>
        <w:t>)</w:t>
      </w:r>
      <w:r w:rsidRPr="006E33C0">
        <w:rPr>
          <w:rFonts w:ascii="Times New Roman" w:hAnsi="Times New Roman" w:cs="Times New Roman"/>
        </w:rPr>
        <w:t xml:space="preserve"> satisfied all the inclusion criteria and were preliminarily</w:t>
      </w:r>
      <w:r w:rsidR="009844C3">
        <w:rPr>
          <w:rFonts w:ascii="Times New Roman" w:hAnsi="Times New Roman" w:cs="Times New Roman"/>
        </w:rPr>
        <w:t xml:space="preserve"> enrolled. I</w:t>
      </w:r>
      <w:r w:rsidRPr="006E33C0">
        <w:rPr>
          <w:rFonts w:ascii="Times New Roman" w:hAnsi="Times New Roman" w:cs="Times New Roman"/>
        </w:rPr>
        <w:t xml:space="preserve">nclusion criteria for highly suspected patients </w:t>
      </w:r>
      <w:r w:rsidR="009844C3">
        <w:rPr>
          <w:rFonts w:ascii="Times New Roman" w:hAnsi="Times New Roman" w:cs="Times New Roman"/>
        </w:rPr>
        <w:t>comprised</w:t>
      </w:r>
      <w:r w:rsidRPr="006E33C0">
        <w:rPr>
          <w:rFonts w:ascii="Times New Roman" w:hAnsi="Times New Roman" w:cs="Times New Roman"/>
        </w:rPr>
        <w:t xml:space="preserve">: (a) new </w:t>
      </w:r>
      <w:r w:rsidRPr="006E33C0">
        <w:rPr>
          <w:rFonts w:ascii="Times New Roman" w:hAnsi="Times New Roman" w:cs="Times New Roman" w:hint="eastAsia"/>
        </w:rPr>
        <w:t xml:space="preserve">patients with </w:t>
      </w:r>
      <w:r w:rsidR="009B6605" w:rsidRPr="006E33C0">
        <w:rPr>
          <w:rFonts w:ascii="Times New Roman" w:hAnsi="Times New Roman" w:cs="Times New Roman" w:hint="eastAsia"/>
        </w:rPr>
        <w:t xml:space="preserve">clinical-radiological </w:t>
      </w:r>
      <w:r w:rsidR="009B6605">
        <w:rPr>
          <w:rFonts w:ascii="Times New Roman" w:hAnsi="Times New Roman" w:cs="Times New Roman" w:hint="eastAsia"/>
        </w:rPr>
        <w:t>suspicion</w:t>
      </w:r>
      <w:r w:rsidR="009B6605">
        <w:rPr>
          <w:rFonts w:ascii="Times New Roman" w:hAnsi="Times New Roman" w:cs="Times New Roman"/>
        </w:rPr>
        <w:t xml:space="preserve"> of</w:t>
      </w:r>
      <w:r w:rsidRPr="006E33C0">
        <w:rPr>
          <w:rFonts w:ascii="Times New Roman" w:hAnsi="Times New Roman" w:cs="Times New Roman" w:hint="eastAsia"/>
        </w:rPr>
        <w:t xml:space="preserve"> PTB, (b) anti-TB therapy &lt; 7 days on admission, (c) patients </w:t>
      </w:r>
      <w:r w:rsidR="00E224D1" w:rsidRPr="00E224D1">
        <w:rPr>
          <w:rFonts w:ascii="Times New Roman" w:hAnsi="Times New Roman" w:cs="Times New Roman"/>
        </w:rPr>
        <w:t xml:space="preserve">without MTB microbiologic evidence </w:t>
      </w:r>
      <w:r w:rsidRPr="006E33C0">
        <w:rPr>
          <w:rFonts w:ascii="Times New Roman" w:hAnsi="Times New Roman" w:cs="Times New Roman" w:hint="eastAsia"/>
        </w:rPr>
        <w:t xml:space="preserve">(i.e., at least </w:t>
      </w:r>
      <w:r w:rsidR="00FD2484">
        <w:rPr>
          <w:rFonts w:ascii="Times New Roman" w:hAnsi="Times New Roman" w:cs="Times New Roman"/>
        </w:rPr>
        <w:t>two</w:t>
      </w:r>
      <w:r w:rsidRPr="006E33C0">
        <w:rPr>
          <w:rFonts w:ascii="Times New Roman" w:hAnsi="Times New Roman" w:cs="Times New Roman" w:hint="eastAsia"/>
        </w:rPr>
        <w:t xml:space="preserve"> consecutive negative smear, </w:t>
      </w:r>
      <w:r w:rsidR="00E224D1">
        <w:rPr>
          <w:rFonts w:ascii="Times New Roman" w:hAnsi="Times New Roman" w:cs="Times New Roman" w:hint="eastAsia"/>
        </w:rPr>
        <w:t>one</w:t>
      </w:r>
      <w:r w:rsidR="00E224D1">
        <w:rPr>
          <w:rFonts w:ascii="Times New Roman" w:hAnsi="Times New Roman" w:cs="Times New Roman"/>
        </w:rPr>
        <w:t xml:space="preserve"> </w:t>
      </w:r>
      <w:r w:rsidRPr="006E33C0">
        <w:rPr>
          <w:rFonts w:ascii="Times New Roman" w:hAnsi="Times New Roman" w:cs="Times New Roman" w:hint="eastAsia"/>
        </w:rPr>
        <w:t xml:space="preserve">negative </w:t>
      </w:r>
      <w:r w:rsidRPr="00B36368">
        <w:rPr>
          <w:rFonts w:ascii="Times New Roman" w:hAnsi="Times New Roman" w:cs="Times New Roman" w:hint="eastAsia"/>
        </w:rPr>
        <w:t>MTB</w:t>
      </w:r>
      <w:r w:rsidRPr="006E33C0">
        <w:rPr>
          <w:rFonts w:ascii="Times New Roman" w:hAnsi="Times New Roman" w:cs="Times New Roman" w:hint="eastAsia"/>
        </w:rPr>
        <w:t>-DNA PCR</w:t>
      </w:r>
      <w:r w:rsidR="00E224D1">
        <w:rPr>
          <w:rFonts w:ascii="Times New Roman" w:hAnsi="Times New Roman" w:cs="Times New Roman"/>
        </w:rPr>
        <w:t>,</w:t>
      </w:r>
      <w:r w:rsidRPr="006E33C0">
        <w:rPr>
          <w:rFonts w:ascii="Times New Roman" w:hAnsi="Times New Roman" w:cs="Times New Roman" w:hint="eastAsia"/>
        </w:rPr>
        <w:t xml:space="preserve"> </w:t>
      </w:r>
      <w:r w:rsidR="00E224D1">
        <w:rPr>
          <w:rFonts w:ascii="Times New Roman" w:hAnsi="Times New Roman" w:cs="Times New Roman"/>
        </w:rPr>
        <w:t xml:space="preserve">one </w:t>
      </w:r>
      <w:r w:rsidRPr="006E33C0">
        <w:rPr>
          <w:rFonts w:ascii="Times New Roman" w:hAnsi="Times New Roman" w:cs="Times New Roman" w:hint="eastAsia"/>
        </w:rPr>
        <w:t xml:space="preserve">culture result), (d) age </w:t>
      </w:r>
      <w:r w:rsidRPr="00741817">
        <w:rPr>
          <w:rFonts w:ascii="Times New Roman" w:hAnsi="Times New Roman" w:cs="Times New Roman"/>
        </w:rPr>
        <w:t>≥</w:t>
      </w:r>
      <w:r w:rsidRPr="006E33C0">
        <w:rPr>
          <w:rFonts w:ascii="Times New Roman" w:hAnsi="Times New Roman" w:cs="Times New Roman" w:hint="eastAsia"/>
        </w:rPr>
        <w:t xml:space="preserve"> 15 years, (e) pat</w:t>
      </w:r>
      <w:r w:rsidRPr="006E33C0">
        <w:rPr>
          <w:rFonts w:ascii="Times New Roman" w:hAnsi="Times New Roman" w:cs="Times New Roman"/>
        </w:rPr>
        <w:t>ients without severe</w:t>
      </w:r>
      <w:r w:rsidR="002C143A">
        <w:t xml:space="preserve"> </w:t>
      </w:r>
      <w:r w:rsidR="009844C3" w:rsidRPr="009844C3">
        <w:rPr>
          <w:rFonts w:ascii="Times New Roman" w:hAnsi="Times New Roman" w:cs="Times New Roman"/>
        </w:rPr>
        <w:t>asthma</w:t>
      </w:r>
      <w:r w:rsidR="009844C3">
        <w:rPr>
          <w:rFonts w:ascii="Times New Roman" w:hAnsi="Times New Roman" w:cs="Times New Roman" w:hint="eastAsia"/>
        </w:rPr>
        <w:t xml:space="preserve">, </w:t>
      </w:r>
      <w:r w:rsidR="009844C3">
        <w:rPr>
          <w:rFonts w:ascii="Times New Roman" w:hAnsi="Times New Roman" w:cs="Times New Roman"/>
        </w:rPr>
        <w:t xml:space="preserve">severe </w:t>
      </w:r>
      <w:r w:rsidRPr="006E33C0">
        <w:rPr>
          <w:rFonts w:ascii="Times New Roman" w:hAnsi="Times New Roman" w:cs="Times New Roman"/>
        </w:rPr>
        <w:t>immunosuppressive disease, HIV infectio</w:t>
      </w:r>
      <w:r w:rsidRPr="003A6E07">
        <w:rPr>
          <w:rFonts w:ascii="Times New Roman" w:hAnsi="Times New Roman" w:cs="Times New Roman"/>
          <w:color w:val="000000" w:themeColor="text1"/>
        </w:rPr>
        <w:t>n, cardiac or renal failure.</w:t>
      </w:r>
      <w:r w:rsidRPr="003A6E07">
        <w:rPr>
          <w:rFonts w:ascii="Times New Roman" w:hAnsi="Times New Roman" w:cs="Times New Roman"/>
          <w:color w:val="FF0000"/>
        </w:rPr>
        <w:t xml:space="preserve"> </w:t>
      </w:r>
      <w:r w:rsidR="003264B5" w:rsidRPr="003A6E07">
        <w:rPr>
          <w:rFonts w:ascii="Times New Roman" w:hAnsi="Times New Roman" w:cs="Times New Roman"/>
          <w:color w:val="FF0000"/>
        </w:rPr>
        <w:t xml:space="preserve"> </w:t>
      </w:r>
      <w:r w:rsidR="003264B5">
        <w:rPr>
          <w:rFonts w:ascii="Times New Roman" w:hAnsi="Times New Roman" w:cs="Times New Roman"/>
        </w:rPr>
        <w:t xml:space="preserve"> </w:t>
      </w:r>
    </w:p>
    <w:p w14:paraId="180F01BD" w14:textId="7307FBB5" w:rsidR="00284672" w:rsidRDefault="00375AAE" w:rsidP="007D1ED4">
      <w:pPr>
        <w:spacing w:line="360" w:lineRule="auto"/>
        <w:rPr>
          <w:rFonts w:ascii="Times New Roman" w:hAnsi="Times New Roman" w:cs="Times New Roman"/>
          <w:b/>
        </w:rPr>
      </w:pPr>
      <w:r>
        <w:rPr>
          <w:rFonts w:ascii="Times New Roman" w:hAnsi="Times New Roman" w:cs="Times New Roman"/>
          <w:b/>
        </w:rPr>
        <w:t xml:space="preserve">1.2 </w:t>
      </w:r>
      <w:r w:rsidR="001039C7">
        <w:rPr>
          <w:rFonts w:ascii="Times New Roman" w:hAnsi="Times New Roman" w:cs="Times New Roman"/>
          <w:b/>
          <w:color w:val="000000" w:themeColor="text1"/>
        </w:rPr>
        <w:t>D</w:t>
      </w:r>
      <w:r w:rsidR="001039C7" w:rsidRPr="00C8649B">
        <w:rPr>
          <w:rFonts w:ascii="Times New Roman" w:hAnsi="Times New Roman" w:cs="Times New Roman"/>
          <w:b/>
          <w:color w:val="000000" w:themeColor="text1"/>
        </w:rPr>
        <w:t>iagnostic pipeline</w:t>
      </w:r>
      <w:r w:rsidR="00BF2F16">
        <w:rPr>
          <w:rFonts w:ascii="Times New Roman" w:hAnsi="Times New Roman" w:cs="Times New Roman"/>
          <w:b/>
          <w:color w:val="000000" w:themeColor="text1"/>
        </w:rPr>
        <w:t xml:space="preserve"> </w:t>
      </w:r>
      <w:r w:rsidR="00BF2F16">
        <w:rPr>
          <w:rFonts w:ascii="Times New Roman" w:hAnsi="Times New Roman" w:cs="Times New Roman" w:hint="eastAsia"/>
          <w:b/>
          <w:color w:val="000000" w:themeColor="text1"/>
        </w:rPr>
        <w:t>and</w:t>
      </w:r>
      <w:r w:rsidR="00BF2F16">
        <w:rPr>
          <w:rFonts w:ascii="Times New Roman" w:hAnsi="Times New Roman" w:cs="Times New Roman"/>
          <w:b/>
          <w:color w:val="000000" w:themeColor="text1"/>
        </w:rPr>
        <w:t xml:space="preserve"> management of</w:t>
      </w:r>
      <w:r w:rsidR="001039C7">
        <w:rPr>
          <w:rFonts w:ascii="Times New Roman" w:hAnsi="Times New Roman" w:cs="Times New Roman"/>
          <w:b/>
          <w:color w:val="000000" w:themeColor="text1"/>
        </w:rPr>
        <w:t xml:space="preserve"> patients</w:t>
      </w:r>
    </w:p>
    <w:p w14:paraId="44BAB9FF" w14:textId="76A8D92F" w:rsidR="00BF2F16" w:rsidRDefault="00284672" w:rsidP="007D1ED4">
      <w:pPr>
        <w:spacing w:line="360" w:lineRule="auto"/>
        <w:rPr>
          <w:rFonts w:ascii="Times New Roman" w:hAnsi="Times New Roman" w:cs="Times New Roman"/>
        </w:rPr>
      </w:pPr>
      <w:r w:rsidRPr="005D2604">
        <w:rPr>
          <w:rFonts w:ascii="Times New Roman" w:hAnsi="Times New Roman" w:cs="Times New Roman"/>
        </w:rPr>
        <w:t xml:space="preserve">Demographic data and clinical symptoms of patients were obtained at the time of admission. </w:t>
      </w:r>
      <w:r w:rsidR="00636D60">
        <w:rPr>
          <w:rFonts w:ascii="Times New Roman" w:hAnsi="Times New Roman" w:cs="Times New Roman" w:hint="eastAsia"/>
        </w:rPr>
        <w:t>C</w:t>
      </w:r>
      <w:r w:rsidR="00636D60" w:rsidRPr="00636D60">
        <w:rPr>
          <w:rFonts w:ascii="Times New Roman" w:hAnsi="Times New Roman" w:cs="Times New Roman"/>
        </w:rPr>
        <w:t xml:space="preserve">hest CT scan </w:t>
      </w:r>
      <w:r w:rsidRPr="005D2604">
        <w:rPr>
          <w:rFonts w:ascii="Times New Roman" w:hAnsi="Times New Roman" w:cs="Times New Roman"/>
        </w:rPr>
        <w:t>w</w:t>
      </w:r>
      <w:r w:rsidR="00C4791A">
        <w:rPr>
          <w:rFonts w:ascii="Times New Roman" w:hAnsi="Times New Roman" w:cs="Times New Roman" w:hint="eastAsia"/>
        </w:rPr>
        <w:t>as</w:t>
      </w:r>
      <w:r w:rsidRPr="005D2604">
        <w:rPr>
          <w:rFonts w:ascii="Times New Roman" w:hAnsi="Times New Roman" w:cs="Times New Roman"/>
        </w:rPr>
        <w:t xml:space="preserve"> performed according to routine care and assessed by an expert panel consisting of an experienced radiologist and a TB specialist, who were blinded to the diagnoses made by the clinicians involved in the study.</w:t>
      </w:r>
    </w:p>
    <w:p w14:paraId="12C26A7B" w14:textId="25C61BEA" w:rsidR="00284672" w:rsidRDefault="00284672" w:rsidP="003A6E07">
      <w:pPr>
        <w:spacing w:line="360" w:lineRule="auto"/>
        <w:ind w:firstLine="284"/>
        <w:rPr>
          <w:rFonts w:ascii="Times New Roman" w:hAnsi="Times New Roman" w:cs="Times New Roman"/>
        </w:rPr>
      </w:pPr>
      <w:r w:rsidRPr="005D2604">
        <w:rPr>
          <w:rFonts w:ascii="Times New Roman" w:hAnsi="Times New Roman" w:cs="Times New Roman"/>
        </w:rPr>
        <w:t>For laboratory examinations, about 3</w:t>
      </w:r>
      <w:r w:rsidR="00236DAA">
        <w:rPr>
          <w:rFonts w:ascii="Times New Roman" w:hAnsi="Times New Roman" w:cs="Times New Roman" w:hint="eastAsia"/>
        </w:rPr>
        <w:t>-</w:t>
      </w:r>
      <w:r w:rsidRPr="005D2604">
        <w:rPr>
          <w:rFonts w:ascii="Times New Roman" w:hAnsi="Times New Roman" w:cs="Times New Roman"/>
        </w:rPr>
        <w:t xml:space="preserve">6 ml of sputum or lower respiratory tract specimens were collected from suspected patients in a standard manner and processed </w:t>
      </w:r>
      <w:r w:rsidRPr="005D2604">
        <w:rPr>
          <w:rFonts w:ascii="Times New Roman" w:hAnsi="Times New Roman" w:cs="Times New Roman"/>
        </w:rPr>
        <w:lastRenderedPageBreak/>
        <w:t xml:space="preserve">for the following tests: (a) </w:t>
      </w:r>
      <w:r w:rsidRPr="0092302A">
        <w:rPr>
          <w:rFonts w:ascii="Times New Roman" w:hAnsi="Times New Roman" w:cs="Times New Roman"/>
        </w:rPr>
        <w:t>MTB</w:t>
      </w:r>
      <w:r w:rsidRPr="005D2604">
        <w:rPr>
          <w:rFonts w:ascii="Times New Roman" w:hAnsi="Times New Roman" w:cs="Times New Roman"/>
        </w:rPr>
        <w:t xml:space="preserve"> tests, at least 2-3 sputum smears for Ziehl-Neelsen staining, a culture, </w:t>
      </w:r>
      <w:r w:rsidRPr="0092302A">
        <w:rPr>
          <w:rFonts w:ascii="Times New Roman" w:hAnsi="Times New Roman" w:cs="Times New Roman"/>
        </w:rPr>
        <w:t xml:space="preserve">and an MTB-DNA PCR for each patient were done to identify the existence of MTB. (b) Others: Gram stain for bacteria, fungal culture, viral PCR test. </w:t>
      </w:r>
      <w:r w:rsidRPr="003A6E07">
        <w:rPr>
          <w:rFonts w:ascii="Times New Roman" w:hAnsi="Times New Roman" w:cs="Times New Roman"/>
        </w:rPr>
        <w:t>Ten to fifteen milliliters of</w:t>
      </w:r>
      <w:r w:rsidRPr="0092302A">
        <w:rPr>
          <w:rFonts w:ascii="Times New Roman" w:hAnsi="Times New Roman" w:cs="Times New Roman"/>
        </w:rPr>
        <w:t xml:space="preserve"> blood were sampled from every patient for routine tests, including standard biochemical and immunologic tests, a complete blood count test, HIV and hepatitis virus serological tests, and the following tests when necessary: serum tumor marker and autoantibodies testing. Additionally, </w:t>
      </w:r>
      <w:r w:rsidR="00742469">
        <w:rPr>
          <w:rFonts w:ascii="Times New Roman" w:hAnsi="Times New Roman" w:cs="Times New Roman" w:hint="eastAsia"/>
        </w:rPr>
        <w:t>b</w:t>
      </w:r>
      <w:r w:rsidR="004B1CA1" w:rsidRPr="004B1CA1">
        <w:rPr>
          <w:rFonts w:ascii="Times New Roman" w:hAnsi="Times New Roman" w:cs="Times New Roman"/>
        </w:rPr>
        <w:t>ronchial brushings and/</w:t>
      </w:r>
      <w:r w:rsidR="004B1CA1">
        <w:rPr>
          <w:rFonts w:ascii="Times New Roman" w:hAnsi="Times New Roman" w:cs="Times New Roman"/>
        </w:rPr>
        <w:t>or</w:t>
      </w:r>
      <w:r w:rsidR="004B1CA1" w:rsidRPr="004B1CA1">
        <w:rPr>
          <w:rFonts w:ascii="Times New Roman" w:hAnsi="Times New Roman" w:cs="Times New Roman"/>
        </w:rPr>
        <w:t xml:space="preserve"> t</w:t>
      </w:r>
      <w:r w:rsidR="004B1CA1">
        <w:rPr>
          <w:rFonts w:ascii="Times New Roman" w:hAnsi="Times New Roman" w:cs="Times New Roman"/>
        </w:rPr>
        <w:t>issue</w:t>
      </w:r>
      <w:r w:rsidR="004B1CA1" w:rsidRPr="004B1CA1">
        <w:rPr>
          <w:rFonts w:ascii="Times New Roman" w:hAnsi="Times New Roman" w:cs="Times New Roman"/>
        </w:rPr>
        <w:t xml:space="preserve"> biopsy </w:t>
      </w:r>
      <w:r w:rsidR="000C796E">
        <w:rPr>
          <w:rFonts w:ascii="Times New Roman" w:hAnsi="Times New Roman" w:cs="Times New Roman"/>
        </w:rPr>
        <w:t>were</w:t>
      </w:r>
      <w:r w:rsidRPr="0092302A">
        <w:rPr>
          <w:rFonts w:ascii="Times New Roman" w:hAnsi="Times New Roman" w:cs="Times New Roman"/>
        </w:rPr>
        <w:t xml:space="preserve"> considered if necessary. All the laboratory tests as mentioned above were performed before starting standard treatment by the College of American Pathologists (CAP)-certified central lab at West China Hospital.</w:t>
      </w:r>
    </w:p>
    <w:p w14:paraId="477BBAB6" w14:textId="33CEDB82" w:rsidR="00284672" w:rsidRDefault="00284672" w:rsidP="00BF2F16">
      <w:pPr>
        <w:spacing w:line="360" w:lineRule="auto"/>
        <w:ind w:firstLine="284"/>
        <w:rPr>
          <w:rFonts w:ascii="Times New Roman" w:hAnsi="Times New Roman" w:cs="Times New Roman"/>
        </w:rPr>
      </w:pPr>
      <w:r w:rsidRPr="005070FA">
        <w:rPr>
          <w:rFonts w:ascii="Times New Roman" w:hAnsi="Times New Roman" w:cs="Times New Roman"/>
        </w:rPr>
        <w:t>Suspected patients first received a course of broad-spectrum antibiotics (without fluoroquinolones) for 7</w:t>
      </w:r>
      <w:r w:rsidR="003F3110">
        <w:rPr>
          <w:rFonts w:ascii="Times New Roman" w:hAnsi="Times New Roman" w:cs="Times New Roman" w:hint="eastAsia"/>
        </w:rPr>
        <w:t>-</w:t>
      </w:r>
      <w:r w:rsidRPr="005070FA">
        <w:rPr>
          <w:rFonts w:ascii="Times New Roman" w:hAnsi="Times New Roman" w:cs="Times New Roman"/>
        </w:rPr>
        <w:t xml:space="preserve">14 days. Patients who clinically improved, (i.e., who reported a significant reduction of constitutional and respiratory symptoms, radiological and laboratory examinations) were considered as non-TB patients and were included as disease controls after further diagnostic confirmation. Patients who remained symptomatic after a broad-spectrum antibiotic trial were further evaluated through repeated </w:t>
      </w:r>
      <w:r w:rsidRPr="00C4791A">
        <w:rPr>
          <w:rFonts w:ascii="Times New Roman" w:hAnsi="Times New Roman" w:cs="Times New Roman"/>
        </w:rPr>
        <w:t>MTB</w:t>
      </w:r>
      <w:r w:rsidRPr="00272C3E">
        <w:rPr>
          <w:rFonts w:ascii="Times New Roman" w:hAnsi="Times New Roman" w:cs="Times New Roman"/>
          <w:i/>
        </w:rPr>
        <w:t xml:space="preserve"> </w:t>
      </w:r>
      <w:r w:rsidRPr="005070FA">
        <w:rPr>
          <w:rFonts w:ascii="Times New Roman" w:hAnsi="Times New Roman" w:cs="Times New Roman"/>
        </w:rPr>
        <w:t xml:space="preserve">tests, </w:t>
      </w:r>
      <w:r w:rsidR="00695EA3" w:rsidRPr="00695EA3">
        <w:rPr>
          <w:rFonts w:ascii="Times New Roman" w:hAnsi="Times New Roman" w:cs="Times New Roman"/>
        </w:rPr>
        <w:t>chest radiograph</w:t>
      </w:r>
      <w:r w:rsidRPr="005070FA">
        <w:rPr>
          <w:rFonts w:ascii="Times New Roman" w:hAnsi="Times New Roman" w:cs="Times New Roman"/>
        </w:rPr>
        <w:t xml:space="preserve">, and physician assessment. Decisions to start empirical anti-TB therapy were made by the attending physicians with a standard anti-TB regimen and adjunctive therapy according to clinical protocol and guideline </w:t>
      </w:r>
      <w:r w:rsidR="00615B6F">
        <w:rPr>
          <w:rFonts w:ascii="Times New Roman" w:hAnsi="Times New Roman" w:cs="Times New Roman"/>
        </w:rPr>
        <w:t>[1]</w:t>
      </w:r>
      <w:r w:rsidRPr="005070FA">
        <w:rPr>
          <w:rFonts w:ascii="Times New Roman" w:hAnsi="Times New Roman" w:cs="Times New Roman"/>
        </w:rPr>
        <w:t>. Patients were evaluated every week during hospitalization and monthly thereafter through outpatient follow-up or telephone interview.</w:t>
      </w:r>
    </w:p>
    <w:p w14:paraId="70B6C3A3" w14:textId="58E918FB" w:rsidR="00284672" w:rsidRDefault="00375AAE" w:rsidP="007D1ED4">
      <w:pPr>
        <w:spacing w:line="360" w:lineRule="auto"/>
        <w:rPr>
          <w:rFonts w:ascii="Times New Roman" w:hAnsi="Times New Roman" w:cs="Times New Roman"/>
          <w:b/>
        </w:rPr>
      </w:pPr>
      <w:r>
        <w:rPr>
          <w:rFonts w:ascii="Times New Roman" w:hAnsi="Times New Roman" w:cs="Times New Roman"/>
          <w:b/>
        </w:rPr>
        <w:t xml:space="preserve">1.3 </w:t>
      </w:r>
      <w:r w:rsidR="00CD2129">
        <w:rPr>
          <w:rFonts w:ascii="Times New Roman" w:hAnsi="Times New Roman" w:cs="Times New Roman"/>
          <w:b/>
        </w:rPr>
        <w:t>Patients’</w:t>
      </w:r>
      <w:r w:rsidR="00284672">
        <w:rPr>
          <w:rFonts w:ascii="Times New Roman" w:hAnsi="Times New Roman" w:cs="Times New Roman"/>
          <w:b/>
        </w:rPr>
        <w:t xml:space="preserve"> classification</w:t>
      </w:r>
    </w:p>
    <w:p w14:paraId="1574F337" w14:textId="1483C0DF" w:rsidR="00E03F58" w:rsidRDefault="00284672" w:rsidP="00E03F58">
      <w:pPr>
        <w:spacing w:line="360" w:lineRule="auto"/>
        <w:rPr>
          <w:rFonts w:ascii="Times New Roman" w:hAnsi="Times New Roman" w:cs="Times New Roman"/>
        </w:rPr>
      </w:pPr>
      <w:r w:rsidRPr="00A140E8">
        <w:rPr>
          <w:rFonts w:ascii="Times New Roman" w:hAnsi="Times New Roman" w:cs="Times New Roman"/>
        </w:rPr>
        <w:lastRenderedPageBreak/>
        <w:t xml:space="preserve">A panel of experts consisting of two experienced pulmonologists reviewed all presumed </w:t>
      </w:r>
      <w:r w:rsidR="00BF2F16" w:rsidRPr="00BF2F16">
        <w:rPr>
          <w:rFonts w:ascii="Times New Roman" w:hAnsi="Times New Roman" w:cs="Times New Roman"/>
        </w:rPr>
        <w:t>PTB</w:t>
      </w:r>
      <w:r w:rsidR="00BF2F16">
        <w:rPr>
          <w:rFonts w:ascii="Times New Roman" w:hAnsi="Times New Roman" w:cs="Times New Roman"/>
        </w:rPr>
        <w:t xml:space="preserve"> </w:t>
      </w:r>
      <w:r w:rsidRPr="00A140E8">
        <w:rPr>
          <w:rFonts w:ascii="Times New Roman" w:hAnsi="Times New Roman" w:cs="Times New Roman"/>
        </w:rPr>
        <w:t xml:space="preserve">cases, and final diagnoses for all cases were based on the combination of clinical assessment, radiological and laboratory results, response to the treatment, and 12-month follow-up </w:t>
      </w:r>
      <w:r w:rsidR="00EE108A" w:rsidRPr="00FB6290">
        <w:rPr>
          <w:rFonts w:ascii="Times New Roman" w:hAnsi="Times New Roman" w:cs="Times New Roman"/>
        </w:rPr>
        <w:t>observations</w:t>
      </w:r>
      <w:r w:rsidRPr="00A140E8">
        <w:rPr>
          <w:rFonts w:ascii="Times New Roman" w:hAnsi="Times New Roman" w:cs="Times New Roman"/>
        </w:rPr>
        <w:t xml:space="preserve">. </w:t>
      </w:r>
    </w:p>
    <w:p w14:paraId="0B00170F" w14:textId="4B6BFBC1" w:rsidR="00FB1AC3" w:rsidRDefault="0085767D" w:rsidP="00E03F58">
      <w:pPr>
        <w:spacing w:line="360" w:lineRule="auto"/>
        <w:ind w:firstLine="420"/>
        <w:rPr>
          <w:rFonts w:ascii="Times New Roman" w:hAnsi="Times New Roman" w:cs="Times New Roman"/>
        </w:rPr>
      </w:pPr>
      <w:r>
        <w:rPr>
          <w:rFonts w:ascii="Times New Roman" w:hAnsi="Times New Roman" w:cs="Times New Roman"/>
        </w:rPr>
        <w:t xml:space="preserve">Following the Chinese </w:t>
      </w:r>
      <w:r w:rsidRPr="00810574">
        <w:rPr>
          <w:rFonts w:ascii="Times New Roman" w:hAnsi="Times New Roman" w:cs="Times New Roman"/>
        </w:rPr>
        <w:t xml:space="preserve">diagnostic criteria </w:t>
      </w:r>
      <w:r>
        <w:rPr>
          <w:rFonts w:ascii="Times New Roman" w:hAnsi="Times New Roman" w:cs="Times New Roman"/>
        </w:rPr>
        <w:t xml:space="preserve">for PTB </w:t>
      </w:r>
      <w:r w:rsidRPr="00810574">
        <w:rPr>
          <w:rFonts w:ascii="Times New Roman" w:hAnsi="Times New Roman" w:cs="Times New Roman"/>
        </w:rPr>
        <w:t>(WS288–2008</w:t>
      </w:r>
      <w:r w:rsidRPr="00E445E5">
        <w:rPr>
          <w:rFonts w:ascii="Times New Roman" w:hAnsi="Times New Roman" w:cs="Times New Roman"/>
        </w:rPr>
        <w:t>)</w:t>
      </w:r>
      <w:r w:rsidR="005F4CF5">
        <w:rPr>
          <w:rFonts w:ascii="Times New Roman" w:hAnsi="Times New Roman" w:cs="Times New Roman"/>
        </w:rPr>
        <w:t xml:space="preserve"> [2]</w:t>
      </w:r>
      <w:r>
        <w:rPr>
          <w:rFonts w:ascii="Times New Roman" w:hAnsi="Times New Roman" w:cs="Times New Roman"/>
        </w:rPr>
        <w:t>, c</w:t>
      </w:r>
      <w:r w:rsidR="009F21E2" w:rsidRPr="00BF2F16">
        <w:rPr>
          <w:rFonts w:ascii="Times New Roman" w:hAnsi="Times New Roman" w:cs="Times New Roman"/>
        </w:rPr>
        <w:t xml:space="preserve">linically diagnosed </w:t>
      </w:r>
      <w:r w:rsidR="00284672" w:rsidRPr="005070FA">
        <w:rPr>
          <w:rFonts w:ascii="Times New Roman" w:hAnsi="Times New Roman" w:cs="Times New Roman"/>
        </w:rPr>
        <w:t>PTB</w:t>
      </w:r>
      <w:r w:rsidR="0049426B">
        <w:rPr>
          <w:rFonts w:ascii="Times New Roman" w:hAnsi="Times New Roman" w:cs="Times New Roman"/>
        </w:rPr>
        <w:t xml:space="preserve"> patients were diagnosed based </w:t>
      </w:r>
      <w:r w:rsidR="00284672" w:rsidRPr="005070FA">
        <w:rPr>
          <w:rFonts w:ascii="Times New Roman" w:hAnsi="Times New Roman" w:cs="Times New Roman"/>
        </w:rPr>
        <w:t>on</w:t>
      </w:r>
      <w:r w:rsidR="0049426B">
        <w:rPr>
          <w:rFonts w:ascii="Times New Roman" w:hAnsi="Times New Roman" w:cs="Times New Roman"/>
        </w:rPr>
        <w:t xml:space="preserve"> the combination of the following </w:t>
      </w:r>
      <w:r w:rsidR="0049426B" w:rsidRPr="00E932F6">
        <w:rPr>
          <w:rFonts w:ascii="Times New Roman" w:hAnsi="Times New Roman" w:cs="Times New Roman" w:hint="eastAsia"/>
          <w:color w:val="000000"/>
        </w:rPr>
        <w:t>criteria</w:t>
      </w:r>
      <w:r w:rsidR="0049426B">
        <w:rPr>
          <w:rFonts w:ascii="Times New Roman" w:hAnsi="Times New Roman" w:cs="Times New Roman"/>
        </w:rPr>
        <w:t xml:space="preserve">: </w:t>
      </w:r>
      <w:r w:rsidR="00284672" w:rsidRPr="005070FA">
        <w:rPr>
          <w:rFonts w:ascii="Times New Roman" w:hAnsi="Times New Roman" w:cs="Times New Roman"/>
        </w:rPr>
        <w:t xml:space="preserve">(a) </w:t>
      </w:r>
      <w:r w:rsidR="0049426B">
        <w:rPr>
          <w:rFonts w:ascii="Times New Roman" w:hAnsi="Times New Roman" w:cs="Times New Roman"/>
        </w:rPr>
        <w:t>clinical</w:t>
      </w:r>
      <w:r w:rsidR="00284672" w:rsidRPr="005070FA">
        <w:rPr>
          <w:rFonts w:ascii="Times New Roman" w:hAnsi="Times New Roman" w:cs="Times New Roman"/>
        </w:rPr>
        <w:t xml:space="preserve"> symptoms </w:t>
      </w:r>
      <w:r w:rsidR="00EE108A">
        <w:rPr>
          <w:rFonts w:ascii="Times New Roman" w:hAnsi="Times New Roman" w:cs="Times New Roman"/>
        </w:rPr>
        <w:t>suggestive of active PTB</w:t>
      </w:r>
      <w:r w:rsidR="00EE108A">
        <w:rPr>
          <w:rFonts w:ascii="Times New Roman" w:hAnsi="Times New Roman" w:cs="Times New Roman" w:hint="eastAsia"/>
        </w:rPr>
        <w:t>;</w:t>
      </w:r>
      <w:r w:rsidR="00EE108A" w:rsidRPr="005070FA">
        <w:rPr>
          <w:rFonts w:ascii="Times New Roman" w:hAnsi="Times New Roman" w:cs="Times New Roman"/>
        </w:rPr>
        <w:t xml:space="preserve"> </w:t>
      </w:r>
      <w:r>
        <w:rPr>
          <w:rFonts w:ascii="Times New Roman" w:hAnsi="Times New Roman" w:cs="Times New Roman"/>
        </w:rPr>
        <w:t xml:space="preserve">(b) chest imaging </w:t>
      </w:r>
      <w:r>
        <w:rPr>
          <w:rFonts w:ascii="Times New Roman" w:hAnsi="Times New Roman" w:cs="Times New Roman" w:hint="eastAsia"/>
        </w:rPr>
        <w:t>or</w:t>
      </w:r>
      <w:r>
        <w:rPr>
          <w:rFonts w:ascii="Times New Roman" w:hAnsi="Times New Roman" w:cs="Times New Roman"/>
        </w:rPr>
        <w:t xml:space="preserve"> </w:t>
      </w:r>
      <w:r w:rsidRPr="0085767D">
        <w:rPr>
          <w:rFonts w:ascii="Times New Roman" w:hAnsi="Times New Roman" w:cs="Times New Roman"/>
        </w:rPr>
        <w:t xml:space="preserve">bronchoscope </w:t>
      </w:r>
      <w:r w:rsidRPr="00E932F6">
        <w:rPr>
          <w:rFonts w:ascii="Times New Roman" w:hAnsi="Times New Roman" w:cs="Times New Roman"/>
          <w:color w:val="000000"/>
        </w:rPr>
        <w:t>showing lesions</w:t>
      </w:r>
      <w:r w:rsidRPr="00E932F6">
        <w:rPr>
          <w:rFonts w:ascii="Times New Roman" w:hAnsi="Times New Roman" w:cs="Times New Roman" w:hint="eastAsia"/>
          <w:color w:val="000000"/>
        </w:rPr>
        <w:t xml:space="preserve"> of </w:t>
      </w:r>
      <w:r w:rsidRPr="00E932F6">
        <w:rPr>
          <w:rFonts w:ascii="Times New Roman" w:hAnsi="Times New Roman" w:cs="Times New Roman"/>
          <w:color w:val="000000"/>
        </w:rPr>
        <w:t xml:space="preserve">active </w:t>
      </w:r>
      <w:r>
        <w:rPr>
          <w:rFonts w:ascii="Times New Roman" w:hAnsi="Times New Roman" w:cs="Times New Roman"/>
          <w:color w:val="000000"/>
        </w:rPr>
        <w:t xml:space="preserve">PTB; </w:t>
      </w:r>
      <w:r w:rsidR="00284672" w:rsidRPr="005070FA">
        <w:rPr>
          <w:rFonts w:ascii="Times New Roman" w:hAnsi="Times New Roman" w:cs="Times New Roman"/>
        </w:rPr>
        <w:t>(</w:t>
      </w:r>
      <w:r>
        <w:rPr>
          <w:rFonts w:ascii="Times New Roman" w:hAnsi="Times New Roman" w:cs="Times New Roman"/>
        </w:rPr>
        <w:t>c</w:t>
      </w:r>
      <w:r w:rsidR="00284672" w:rsidRPr="005070FA">
        <w:rPr>
          <w:rFonts w:ascii="Times New Roman" w:hAnsi="Times New Roman" w:cs="Times New Roman"/>
        </w:rPr>
        <w:t xml:space="preserve">) </w:t>
      </w:r>
      <w:r w:rsidR="003D38D1">
        <w:rPr>
          <w:rFonts w:ascii="Times New Roman" w:hAnsi="Times New Roman" w:cs="Times New Roman"/>
        </w:rPr>
        <w:t xml:space="preserve">repeated </w:t>
      </w:r>
      <w:r>
        <w:rPr>
          <w:rFonts w:ascii="Times New Roman" w:hAnsi="Times New Roman" w:cs="Times New Roman" w:hint="eastAsia"/>
        </w:rPr>
        <w:t>s</w:t>
      </w:r>
      <w:r w:rsidR="00FB1AC3" w:rsidRPr="00A140E8">
        <w:rPr>
          <w:rFonts w:ascii="Times New Roman" w:hAnsi="Times New Roman" w:cs="Times New Roman"/>
        </w:rPr>
        <w:t>mear</w:t>
      </w:r>
      <w:r w:rsidR="00FB1AC3">
        <w:rPr>
          <w:rFonts w:ascii="Times New Roman" w:hAnsi="Times New Roman" w:cs="Times New Roman"/>
        </w:rPr>
        <w:t xml:space="preserve"> </w:t>
      </w:r>
      <w:r w:rsidR="00FB1AC3">
        <w:rPr>
          <w:rFonts w:ascii="Times New Roman" w:hAnsi="Times New Roman" w:cs="Times New Roman" w:hint="eastAsia"/>
        </w:rPr>
        <w:t>micro</w:t>
      </w:r>
      <w:r w:rsidR="00FB1AC3">
        <w:rPr>
          <w:rFonts w:ascii="Times New Roman" w:hAnsi="Times New Roman" w:cs="Times New Roman"/>
        </w:rPr>
        <w:t>scopy, culture and NAAT negative for MTB</w:t>
      </w:r>
      <w:r w:rsidR="00284672" w:rsidRPr="005070FA">
        <w:rPr>
          <w:rFonts w:ascii="Times New Roman" w:hAnsi="Times New Roman" w:cs="Times New Roman"/>
        </w:rPr>
        <w:t>,</w:t>
      </w:r>
      <w:r w:rsidR="00EE108A" w:rsidRPr="00EE108A">
        <w:rPr>
          <w:rFonts w:ascii="Times New Roman" w:hAnsi="Times New Roman" w:cs="Times New Roman"/>
        </w:rPr>
        <w:t xml:space="preserve"> </w:t>
      </w:r>
      <w:r w:rsidR="00EE108A">
        <w:rPr>
          <w:rFonts w:ascii="Times New Roman" w:hAnsi="Times New Roman" w:cs="Times New Roman"/>
        </w:rPr>
        <w:t>(</w:t>
      </w:r>
      <w:r>
        <w:rPr>
          <w:rFonts w:ascii="Times New Roman" w:hAnsi="Times New Roman" w:cs="Times New Roman"/>
        </w:rPr>
        <w:t>d</w:t>
      </w:r>
      <w:r w:rsidR="00EE108A">
        <w:rPr>
          <w:rFonts w:ascii="Times New Roman" w:hAnsi="Times New Roman" w:cs="Times New Roman"/>
        </w:rPr>
        <w:t xml:space="preserve">) </w:t>
      </w:r>
      <w:r w:rsidR="00FB1AC3" w:rsidRPr="005070FA">
        <w:rPr>
          <w:rFonts w:ascii="Times New Roman" w:hAnsi="Times New Roman" w:cs="Times New Roman"/>
        </w:rPr>
        <w:t>appropriate response to anti-TB therapy</w:t>
      </w:r>
      <w:r w:rsidR="00FB1AC3">
        <w:rPr>
          <w:rFonts w:ascii="Times New Roman" w:hAnsi="Times New Roman" w:cs="Times New Roman"/>
        </w:rPr>
        <w:t>, (</w:t>
      </w:r>
      <w:r>
        <w:rPr>
          <w:rFonts w:ascii="Times New Roman" w:hAnsi="Times New Roman" w:cs="Times New Roman"/>
        </w:rPr>
        <w:t>e</w:t>
      </w:r>
      <w:r w:rsidR="00FB1AC3">
        <w:rPr>
          <w:rFonts w:ascii="Times New Roman" w:hAnsi="Times New Roman" w:cs="Times New Roman"/>
        </w:rPr>
        <w:t xml:space="preserve">) </w:t>
      </w:r>
      <w:r w:rsidR="00FB1AC3" w:rsidRPr="005070FA">
        <w:rPr>
          <w:rFonts w:ascii="Times New Roman" w:hAnsi="Times New Roman" w:cs="Times New Roman"/>
        </w:rPr>
        <w:t>exclusion of other lung diseases</w:t>
      </w:r>
      <w:r w:rsidR="00FB1AC3">
        <w:rPr>
          <w:rFonts w:ascii="Times New Roman" w:hAnsi="Times New Roman" w:cs="Times New Roman"/>
        </w:rPr>
        <w:t>, (</w:t>
      </w:r>
      <w:r>
        <w:rPr>
          <w:rFonts w:ascii="Times New Roman" w:hAnsi="Times New Roman" w:cs="Times New Roman"/>
        </w:rPr>
        <w:t>f</w:t>
      </w:r>
      <w:r w:rsidR="00FB1AC3">
        <w:rPr>
          <w:rFonts w:ascii="Times New Roman" w:hAnsi="Times New Roman" w:cs="Times New Roman"/>
        </w:rPr>
        <w:t xml:space="preserve">) others: </w:t>
      </w:r>
      <w:r w:rsidR="00EE108A" w:rsidRPr="00FB6290">
        <w:rPr>
          <w:rFonts w:ascii="Times New Roman" w:hAnsi="Times New Roman" w:cs="Times New Roman"/>
        </w:rPr>
        <w:t>positive anti-</w:t>
      </w:r>
      <w:r w:rsidR="00EE108A">
        <w:rPr>
          <w:rFonts w:ascii="Times New Roman" w:hAnsi="Times New Roman" w:cs="Times New Roman"/>
        </w:rPr>
        <w:t>TB</w:t>
      </w:r>
      <w:r w:rsidR="00EE108A" w:rsidRPr="00FB6290">
        <w:rPr>
          <w:rFonts w:ascii="Times New Roman" w:hAnsi="Times New Roman" w:cs="Times New Roman"/>
        </w:rPr>
        <w:t xml:space="preserve"> </w:t>
      </w:r>
      <w:r w:rsidR="00EE108A">
        <w:rPr>
          <w:rFonts w:ascii="Times New Roman" w:hAnsi="Times New Roman" w:cs="Times New Roman"/>
        </w:rPr>
        <w:t>immune</w:t>
      </w:r>
      <w:r w:rsidR="00EE108A" w:rsidRPr="00FB6290">
        <w:rPr>
          <w:rFonts w:ascii="Times New Roman" w:hAnsi="Times New Roman" w:cs="Times New Roman"/>
        </w:rPr>
        <w:t xml:space="preserve"> response</w:t>
      </w:r>
      <w:r w:rsidR="00EE108A">
        <w:rPr>
          <w:rFonts w:ascii="Times New Roman" w:hAnsi="Times New Roman" w:cs="Times New Roman"/>
        </w:rPr>
        <w:t xml:space="preserve"> </w:t>
      </w:r>
      <w:r w:rsidR="00FB1AC3">
        <w:rPr>
          <w:rFonts w:ascii="Times New Roman" w:hAnsi="Times New Roman" w:cs="Times New Roman"/>
        </w:rPr>
        <w:t xml:space="preserve">(using </w:t>
      </w:r>
      <w:r w:rsidR="00FB1AC3" w:rsidRPr="00FB1AC3">
        <w:rPr>
          <w:rFonts w:ascii="Times New Roman" w:hAnsi="Times New Roman" w:cs="Times New Roman"/>
        </w:rPr>
        <w:t>PPD te</w:t>
      </w:r>
      <w:r w:rsidR="00FB1AC3">
        <w:rPr>
          <w:rFonts w:ascii="Times New Roman" w:hAnsi="Times New Roman" w:cs="Times New Roman"/>
        </w:rPr>
        <w:t xml:space="preserve">st, </w:t>
      </w:r>
      <w:r w:rsidR="0049426B">
        <w:rPr>
          <w:rFonts w:ascii="Times New Roman" w:hAnsi="Times New Roman" w:cs="Times New Roman"/>
        </w:rPr>
        <w:t>IGRA</w:t>
      </w:r>
      <w:r w:rsidR="00FB1AC3">
        <w:rPr>
          <w:rFonts w:ascii="Times New Roman" w:hAnsi="Times New Roman" w:cs="Times New Roman"/>
        </w:rPr>
        <w:t xml:space="preserve"> or</w:t>
      </w:r>
      <w:r w:rsidR="0049426B">
        <w:rPr>
          <w:rFonts w:ascii="Times New Roman" w:hAnsi="Times New Roman" w:cs="Times New Roman"/>
        </w:rPr>
        <w:t xml:space="preserve"> </w:t>
      </w:r>
      <w:r w:rsidR="00FB1AC3">
        <w:rPr>
          <w:rFonts w:ascii="Times New Roman" w:hAnsi="Times New Roman" w:cs="Times New Roman" w:hint="eastAsia"/>
        </w:rPr>
        <w:t>anti</w:t>
      </w:r>
      <w:r w:rsidR="00FB1AC3">
        <w:rPr>
          <w:rFonts w:ascii="Times New Roman" w:hAnsi="Times New Roman" w:cs="Times New Roman"/>
        </w:rPr>
        <w:t>-</w:t>
      </w:r>
      <w:r w:rsidR="0049426B">
        <w:rPr>
          <w:rFonts w:ascii="Times New Roman" w:hAnsi="Times New Roman" w:cs="Times New Roman"/>
        </w:rPr>
        <w:t>TB</w:t>
      </w:r>
      <w:r w:rsidR="00FB1AC3">
        <w:rPr>
          <w:rFonts w:ascii="Times New Roman" w:hAnsi="Times New Roman" w:cs="Times New Roman"/>
        </w:rPr>
        <w:t xml:space="preserve"> antibody test)</w:t>
      </w:r>
      <w:r>
        <w:rPr>
          <w:rFonts w:ascii="Times New Roman" w:hAnsi="Times New Roman" w:cs="Times New Roman"/>
        </w:rPr>
        <w:t>,</w:t>
      </w:r>
      <w:r w:rsidR="00FB1AC3">
        <w:rPr>
          <w:rFonts w:ascii="Times New Roman" w:hAnsi="Times New Roman" w:cs="Times New Roman"/>
        </w:rPr>
        <w:t xml:space="preserve"> </w:t>
      </w:r>
      <w:r w:rsidRPr="00E932F6">
        <w:rPr>
          <w:rFonts w:ascii="Times New Roman" w:hAnsi="Times New Roman" w:hint="eastAsia"/>
        </w:rPr>
        <w:t>h</w:t>
      </w:r>
      <w:r w:rsidRPr="00E932F6">
        <w:rPr>
          <w:rFonts w:ascii="Times New Roman" w:hAnsi="Times New Roman"/>
        </w:rPr>
        <w:t xml:space="preserve">istopathological </w:t>
      </w:r>
      <w:r w:rsidR="00FB1AC3" w:rsidRPr="00FB1AC3">
        <w:rPr>
          <w:rFonts w:ascii="Times New Roman" w:hAnsi="Times New Roman" w:cs="Times New Roman"/>
        </w:rPr>
        <w:t xml:space="preserve">extra-pulmonary </w:t>
      </w:r>
      <w:r>
        <w:rPr>
          <w:rFonts w:ascii="Times New Roman" w:hAnsi="Times New Roman" w:cs="Times New Roman"/>
        </w:rPr>
        <w:t xml:space="preserve">evidence for </w:t>
      </w:r>
      <w:r w:rsidRPr="00FB1AC3">
        <w:rPr>
          <w:rFonts w:ascii="Times New Roman" w:hAnsi="Times New Roman" w:cs="Times New Roman"/>
        </w:rPr>
        <w:t>extra-</w:t>
      </w:r>
      <w:r>
        <w:rPr>
          <w:rFonts w:ascii="Times New Roman" w:hAnsi="Times New Roman" w:cs="Times New Roman"/>
        </w:rPr>
        <w:t>PTB</w:t>
      </w:r>
      <w:r>
        <w:rPr>
          <w:rFonts w:ascii="Times New Roman" w:hAnsi="Times New Roman"/>
        </w:rPr>
        <w:t xml:space="preserve">. </w:t>
      </w:r>
    </w:p>
    <w:p w14:paraId="4FE8A05A" w14:textId="77777777" w:rsidR="00E03F58" w:rsidRPr="00560DC4" w:rsidRDefault="00284672" w:rsidP="00E03F58">
      <w:pPr>
        <w:spacing w:line="360" w:lineRule="auto"/>
        <w:ind w:firstLine="284"/>
        <w:rPr>
          <w:rFonts w:ascii="Times New Roman" w:hAnsi="Times New Roman" w:cs="Times New Roman"/>
        </w:rPr>
      </w:pPr>
      <w:r w:rsidRPr="005070FA">
        <w:rPr>
          <w:rFonts w:ascii="Times New Roman" w:hAnsi="Times New Roman" w:cs="Times New Roman"/>
        </w:rPr>
        <w:t xml:space="preserve">Subjects for whom (a) </w:t>
      </w:r>
      <w:r w:rsidRPr="00560DC4">
        <w:rPr>
          <w:rFonts w:ascii="Times New Roman" w:hAnsi="Times New Roman" w:cs="Times New Roman"/>
        </w:rPr>
        <w:t>MTB tests were negative, (b) confirmation of an alternative diagnosis was made, and/or (c) response to therapy was documented with a lack of anti-TB treatment or follow-up observation were considered as non-TB disease control (non-TB DC) patients.</w:t>
      </w:r>
      <w:r w:rsidR="00E03F58" w:rsidRPr="00560DC4">
        <w:rPr>
          <w:rFonts w:ascii="Times New Roman" w:hAnsi="Times New Roman" w:cs="Times New Roman"/>
        </w:rPr>
        <w:t xml:space="preserve"> </w:t>
      </w:r>
    </w:p>
    <w:p w14:paraId="0209CD18" w14:textId="48668EAA" w:rsidR="00DA7427" w:rsidRPr="00C97B81" w:rsidRDefault="00E03F58" w:rsidP="00E03F58">
      <w:pPr>
        <w:spacing w:line="360" w:lineRule="auto"/>
        <w:ind w:firstLine="284"/>
        <w:rPr>
          <w:rFonts w:ascii="Times New Roman" w:hAnsi="Times New Roman" w:cs="Times New Roman"/>
        </w:rPr>
      </w:pPr>
      <w:r>
        <w:rPr>
          <w:rFonts w:ascii="Times New Roman" w:hAnsi="Times New Roman"/>
        </w:rPr>
        <w:t xml:space="preserve">A </w:t>
      </w:r>
      <w:r w:rsidRPr="00A140E8">
        <w:rPr>
          <w:rFonts w:ascii="Times New Roman" w:hAnsi="Times New Roman" w:cs="Times New Roman"/>
        </w:rPr>
        <w:t xml:space="preserve">12-month follow-up </w:t>
      </w:r>
      <w:r>
        <w:rPr>
          <w:rFonts w:ascii="Times New Roman" w:hAnsi="Times New Roman" w:cs="Times New Roman"/>
        </w:rPr>
        <w:t xml:space="preserve">observation was used to further confirm the classification of PTB and non-TB patients. </w:t>
      </w:r>
      <w:r w:rsidR="00CD2129" w:rsidRPr="00A140E8">
        <w:rPr>
          <w:rFonts w:ascii="Times New Roman" w:hAnsi="Times New Roman" w:cs="Times New Roman"/>
        </w:rPr>
        <w:t>A total of 24 patients (11 in the Selection Cohort and 13 in the Validation Cohort), who did not consent to participate, remained an uncertain diagnosis, or</w:t>
      </w:r>
      <w:r w:rsidR="003F3110">
        <w:rPr>
          <w:rFonts w:ascii="Times New Roman" w:hAnsi="Times New Roman" w:cs="Times New Roman"/>
          <w:color w:val="FF0000"/>
        </w:rPr>
        <w:t xml:space="preserve"> </w:t>
      </w:r>
      <w:r w:rsidR="00CD2129" w:rsidRPr="003A6E07">
        <w:rPr>
          <w:rFonts w:ascii="Times New Roman" w:hAnsi="Times New Roman" w:cs="Times New Roman"/>
          <w:color w:val="000000" w:themeColor="text1"/>
        </w:rPr>
        <w:t xml:space="preserve">lost to follow-up, were further excluded. </w:t>
      </w:r>
      <w:r w:rsidR="00284672" w:rsidRPr="00BB6B6B">
        <w:rPr>
          <w:rFonts w:ascii="Times New Roman" w:hAnsi="Times New Roman" w:cs="Times New Roman"/>
        </w:rPr>
        <w:t xml:space="preserve">The </w:t>
      </w:r>
      <w:r w:rsidR="00284672">
        <w:rPr>
          <w:rFonts w:ascii="Times New Roman" w:hAnsi="Times New Roman" w:cs="Times New Roman"/>
        </w:rPr>
        <w:t xml:space="preserve">300 highly </w:t>
      </w:r>
      <w:r w:rsidR="00284672">
        <w:rPr>
          <w:rFonts w:ascii="Times New Roman" w:hAnsi="Times New Roman" w:cs="Times New Roman" w:hint="eastAsia"/>
        </w:rPr>
        <w:t>sus</w:t>
      </w:r>
      <w:r w:rsidR="00284672">
        <w:rPr>
          <w:rFonts w:ascii="Times New Roman" w:hAnsi="Times New Roman" w:cs="Times New Roman"/>
        </w:rPr>
        <w:t xml:space="preserve">pected patients in the Selection Cohort were divided as </w:t>
      </w:r>
      <w:r w:rsidR="00284672" w:rsidRPr="00BB6B6B">
        <w:rPr>
          <w:rFonts w:ascii="Times New Roman" w:hAnsi="Times New Roman" w:cs="Times New Roman"/>
        </w:rPr>
        <w:t xml:space="preserve">141 </w:t>
      </w:r>
      <w:r w:rsidRPr="00BF2F16">
        <w:rPr>
          <w:rFonts w:ascii="Times New Roman" w:hAnsi="Times New Roman" w:cs="Times New Roman"/>
        </w:rPr>
        <w:t>clinically diagnosed</w:t>
      </w:r>
      <w:r>
        <w:rPr>
          <w:rFonts w:ascii="Times New Roman" w:hAnsi="Times New Roman" w:cs="Times New Roman"/>
        </w:rPr>
        <w:t xml:space="preserve"> PTB</w:t>
      </w:r>
      <w:r w:rsidR="00284672">
        <w:rPr>
          <w:rFonts w:ascii="Times New Roman" w:hAnsi="Times New Roman" w:cs="Times New Roman"/>
        </w:rPr>
        <w:t xml:space="preserve"> patients and</w:t>
      </w:r>
      <w:r w:rsidR="00284672" w:rsidRPr="00BB6B6B">
        <w:rPr>
          <w:rFonts w:ascii="Times New Roman" w:hAnsi="Times New Roman" w:cs="Times New Roman"/>
        </w:rPr>
        <w:t xml:space="preserve"> 159 non-TB DC</w:t>
      </w:r>
      <w:r w:rsidR="00284672">
        <w:rPr>
          <w:rFonts w:ascii="Times New Roman" w:hAnsi="Times New Roman" w:cs="Times New Roman"/>
        </w:rPr>
        <w:t xml:space="preserve"> patients</w:t>
      </w:r>
      <w:r w:rsidR="00284672" w:rsidRPr="00BB6B6B">
        <w:rPr>
          <w:rFonts w:ascii="Times New Roman" w:hAnsi="Times New Roman" w:cs="Times New Roman"/>
        </w:rPr>
        <w:t xml:space="preserve">, and </w:t>
      </w:r>
      <w:r w:rsidR="00284672">
        <w:rPr>
          <w:rFonts w:ascii="Times New Roman" w:hAnsi="Times New Roman" w:cs="Times New Roman"/>
        </w:rPr>
        <w:t xml:space="preserve">the 237 highly </w:t>
      </w:r>
      <w:r w:rsidR="00284672">
        <w:rPr>
          <w:rFonts w:ascii="Times New Roman" w:hAnsi="Times New Roman" w:cs="Times New Roman" w:hint="eastAsia"/>
        </w:rPr>
        <w:t>sus</w:t>
      </w:r>
      <w:r w:rsidR="00284672">
        <w:rPr>
          <w:rFonts w:ascii="Times New Roman" w:hAnsi="Times New Roman" w:cs="Times New Roman"/>
        </w:rPr>
        <w:t>pected patients</w:t>
      </w:r>
      <w:r w:rsidR="00284672" w:rsidRPr="00BB6B6B">
        <w:rPr>
          <w:rFonts w:ascii="Times New Roman" w:hAnsi="Times New Roman" w:cs="Times New Roman"/>
        </w:rPr>
        <w:t xml:space="preserve"> </w:t>
      </w:r>
      <w:r w:rsidR="00284672">
        <w:rPr>
          <w:rFonts w:ascii="Times New Roman" w:hAnsi="Times New Roman" w:cs="Times New Roman"/>
        </w:rPr>
        <w:t xml:space="preserve">in the </w:t>
      </w:r>
      <w:r w:rsidR="00284672" w:rsidRPr="00BB6B6B">
        <w:rPr>
          <w:rFonts w:ascii="Times New Roman" w:hAnsi="Times New Roman" w:cs="Times New Roman"/>
        </w:rPr>
        <w:lastRenderedPageBreak/>
        <w:t xml:space="preserve">Validation Cohort </w:t>
      </w:r>
      <w:r w:rsidR="00284672">
        <w:rPr>
          <w:rFonts w:ascii="Times New Roman" w:hAnsi="Times New Roman" w:cs="Times New Roman"/>
        </w:rPr>
        <w:t xml:space="preserve">were divided as </w:t>
      </w:r>
      <w:r w:rsidR="00284672" w:rsidRPr="00BB6B6B">
        <w:rPr>
          <w:rFonts w:ascii="Times New Roman" w:hAnsi="Times New Roman" w:cs="Times New Roman"/>
        </w:rPr>
        <w:t xml:space="preserve">97 </w:t>
      </w:r>
      <w:r w:rsidRPr="00BF2F16">
        <w:rPr>
          <w:rFonts w:ascii="Times New Roman" w:hAnsi="Times New Roman" w:cs="Times New Roman"/>
        </w:rPr>
        <w:t>clinically diagnosed</w:t>
      </w:r>
      <w:r>
        <w:rPr>
          <w:rFonts w:ascii="Times New Roman" w:hAnsi="Times New Roman" w:cs="Times New Roman"/>
        </w:rPr>
        <w:t xml:space="preserve"> PTB</w:t>
      </w:r>
      <w:r w:rsidR="00284672">
        <w:rPr>
          <w:rFonts w:ascii="Times New Roman" w:hAnsi="Times New Roman" w:cs="Times New Roman"/>
        </w:rPr>
        <w:t xml:space="preserve"> and </w:t>
      </w:r>
      <w:r w:rsidR="00284672" w:rsidRPr="00BB6B6B">
        <w:rPr>
          <w:rFonts w:ascii="Times New Roman" w:hAnsi="Times New Roman" w:cs="Times New Roman"/>
        </w:rPr>
        <w:t>140 non-TB DC</w:t>
      </w:r>
      <w:r w:rsidR="00284672">
        <w:rPr>
          <w:rFonts w:ascii="Times New Roman" w:hAnsi="Times New Roman" w:cs="Times New Roman"/>
        </w:rPr>
        <w:t>. In addition, a</w:t>
      </w:r>
      <w:r w:rsidR="00284672" w:rsidRPr="006E33C0">
        <w:rPr>
          <w:rFonts w:ascii="Times New Roman" w:hAnsi="Times New Roman" w:cs="Times New Roman"/>
        </w:rPr>
        <w:t>mong 2321 inpatients, a total of 798 PTB patients were finally confirme</w:t>
      </w:r>
      <w:r>
        <w:rPr>
          <w:rFonts w:ascii="Times New Roman" w:hAnsi="Times New Roman" w:cs="Times New Roman"/>
        </w:rPr>
        <w:t xml:space="preserve">d in our study population, and </w:t>
      </w:r>
      <w:r w:rsidRPr="00BF2F16">
        <w:rPr>
          <w:rFonts w:ascii="Times New Roman" w:hAnsi="Times New Roman" w:cs="Times New Roman"/>
        </w:rPr>
        <w:t>clinically diagnosed</w:t>
      </w:r>
      <w:r>
        <w:rPr>
          <w:rFonts w:ascii="Times New Roman" w:hAnsi="Times New Roman" w:cs="Times New Roman"/>
        </w:rPr>
        <w:t xml:space="preserve"> </w:t>
      </w:r>
      <w:r w:rsidR="00284672" w:rsidRPr="006E33C0">
        <w:rPr>
          <w:rFonts w:ascii="Times New Roman" w:hAnsi="Times New Roman" w:cs="Times New Roman"/>
        </w:rPr>
        <w:t>PTB patients (141 in the Selection Cohort and 97 in the Validation Cohort) accounted for 29.8% (238/798) of all the PTB patients.</w:t>
      </w:r>
      <w:r w:rsidR="00284672">
        <w:rPr>
          <w:rFonts w:ascii="Times New Roman" w:hAnsi="Times New Roman" w:cs="Times New Roman"/>
        </w:rPr>
        <w:t xml:space="preserve"> We also summarized the above information of</w:t>
      </w:r>
      <w:r w:rsidR="00284672" w:rsidRPr="004070E7">
        <w:rPr>
          <w:rFonts w:ascii="Times New Roman" w:hAnsi="Times New Roman" w:cs="Times New Roman"/>
        </w:rPr>
        <w:t xml:space="preserve"> participant inclusion and diagnostic classification of individuals</w:t>
      </w:r>
      <w:r w:rsidR="00284672">
        <w:rPr>
          <w:rFonts w:ascii="Times New Roman" w:hAnsi="Times New Roman" w:cs="Times New Roman"/>
        </w:rPr>
        <w:t xml:space="preserve"> as the following </w:t>
      </w:r>
      <w:bookmarkStart w:id="0" w:name="OLE_LINK3"/>
      <w:bookmarkStart w:id="1" w:name="OLE_LINK4"/>
      <w:r w:rsidR="00284672">
        <w:rPr>
          <w:rFonts w:ascii="Times New Roman" w:hAnsi="Times New Roman" w:cs="Times New Roman"/>
        </w:rPr>
        <w:t>flow diagram.</w:t>
      </w:r>
      <w:bookmarkEnd w:id="0"/>
      <w:bookmarkEnd w:id="1"/>
    </w:p>
    <w:p w14:paraId="5A7D160E" w14:textId="1F87B935" w:rsidR="00E302B9" w:rsidRDefault="00531324" w:rsidP="003A6E07">
      <w:pPr>
        <w:spacing w:line="360" w:lineRule="auto"/>
        <w:jc w:val="center"/>
        <w:outlineLvl w:val="0"/>
        <w:rPr>
          <w:rFonts w:ascii="Times New Roman" w:hAnsi="Times New Roman" w:cs="Times New Roman"/>
          <w:b/>
          <w:noProof/>
          <w:color w:val="000000"/>
        </w:rPr>
      </w:pPr>
      <w:r>
        <w:rPr>
          <w:rFonts w:ascii="Times New Roman" w:hAnsi="Times New Roman" w:cs="Times New Roman"/>
          <w:b/>
          <w:noProof/>
          <w:color w:val="000000"/>
        </w:rPr>
        <w:lastRenderedPageBreak/>
        <w:drawing>
          <wp:inline distT="0" distB="0" distL="0" distR="0" wp14:anchorId="34D8F288" wp14:editId="4550475F">
            <wp:extent cx="5270500" cy="7027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 S1 Recruitment and diagnostic classification-4.26 .pdf"/>
                    <pic:cNvPicPr/>
                  </pic:nvPicPr>
                  <pic:blipFill>
                    <a:blip r:embed="rId10">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p>
    <w:p w14:paraId="4A5E55F2" w14:textId="3A91C059" w:rsidR="00D0542F" w:rsidRPr="00D0542F" w:rsidRDefault="00D0542F" w:rsidP="007D1ED4">
      <w:pPr>
        <w:spacing w:line="360" w:lineRule="auto"/>
        <w:outlineLvl w:val="0"/>
        <w:rPr>
          <w:rFonts w:ascii="Times New Roman" w:hAnsi="Times New Roman" w:cs="Times New Roman"/>
          <w:noProof/>
          <w:color w:val="000000"/>
        </w:rPr>
      </w:pPr>
      <w:r w:rsidRPr="00D0542F">
        <w:rPr>
          <w:rFonts w:ascii="Times New Roman" w:hAnsi="Times New Roman" w:cs="Times New Roman"/>
          <w:noProof/>
          <w:color w:val="000000"/>
        </w:rPr>
        <w:t>Reference</w:t>
      </w:r>
    </w:p>
    <w:p w14:paraId="63A2424C" w14:textId="77777777" w:rsidR="00375AAE" w:rsidRDefault="00375AAE" w:rsidP="007D1ED4">
      <w:pPr>
        <w:pStyle w:val="ListParagraph"/>
        <w:widowControl/>
        <w:numPr>
          <w:ilvl w:val="0"/>
          <w:numId w:val="3"/>
        </w:numPr>
        <w:spacing w:line="360" w:lineRule="auto"/>
        <w:ind w:firstLineChars="0"/>
        <w:contextualSpacing/>
        <w:jc w:val="left"/>
        <w:rPr>
          <w:rFonts w:ascii="Times New Roman" w:hAnsi="Times New Roman" w:cs="Times New Roman"/>
        </w:rPr>
      </w:pPr>
      <w:r w:rsidRPr="0095253F">
        <w:rPr>
          <w:rFonts w:ascii="Times New Roman" w:hAnsi="Times New Roman" w:cs="Times New Roman"/>
        </w:rPr>
        <w:t>Jacobson KR. Tuberculosis. Annals of Internal Medicine 2017;</w:t>
      </w:r>
      <w:proofErr w:type="gramStart"/>
      <w:r w:rsidRPr="0095253F">
        <w:rPr>
          <w:rFonts w:ascii="Times New Roman" w:hAnsi="Times New Roman" w:cs="Times New Roman"/>
        </w:rPr>
        <w:t>166:ITC</w:t>
      </w:r>
      <w:proofErr w:type="gramEnd"/>
      <w:r w:rsidRPr="0095253F">
        <w:rPr>
          <w:rFonts w:ascii="Times New Roman" w:hAnsi="Times New Roman" w:cs="Times New Roman"/>
        </w:rPr>
        <w:t>17-ITC32.</w:t>
      </w:r>
    </w:p>
    <w:p w14:paraId="2AA56D14" w14:textId="5682120F" w:rsidR="003E222A" w:rsidRPr="003E222A" w:rsidRDefault="003E222A" w:rsidP="003E222A">
      <w:pPr>
        <w:pStyle w:val="ListParagraph"/>
        <w:numPr>
          <w:ilvl w:val="0"/>
          <w:numId w:val="3"/>
        </w:numPr>
        <w:ind w:firstLineChars="0"/>
        <w:rPr>
          <w:rFonts w:ascii="Times New Roman" w:eastAsia="Times New Roman" w:hAnsi="Times New Roman" w:cs="Times New Roman"/>
          <w:lang w:val="en-CA"/>
        </w:rPr>
        <w:sectPr w:rsidR="003E222A" w:rsidRPr="003E222A" w:rsidSect="00E445E5">
          <w:pgSz w:w="11900" w:h="16840"/>
          <w:pgMar w:top="1440" w:right="1800" w:bottom="1440" w:left="1800" w:header="851" w:footer="992" w:gutter="0"/>
          <w:cols w:space="425"/>
          <w:docGrid w:type="lines" w:linePitch="423"/>
        </w:sectPr>
      </w:pPr>
      <w:r w:rsidRPr="003E222A">
        <w:rPr>
          <w:rFonts w:ascii="Times New Roman" w:eastAsia="Times New Roman" w:hAnsi="Times New Roman" w:cs="Times New Roman"/>
          <w:color w:val="000000"/>
          <w:shd w:val="clear" w:color="auto" w:fill="FFFFFF"/>
          <w:lang w:val="en-CA"/>
        </w:rPr>
        <w:t>Ministry of Health, China.</w:t>
      </w:r>
      <w:r>
        <w:rPr>
          <w:rFonts w:ascii="Times New Roman" w:eastAsia="Times New Roman" w:hAnsi="Times New Roman" w:cs="Times New Roman"/>
          <w:color w:val="000000"/>
          <w:shd w:val="clear" w:color="auto" w:fill="FFFFFF"/>
          <w:lang w:val="en-CA"/>
        </w:rPr>
        <w:t xml:space="preserve"> </w:t>
      </w:r>
      <w:r w:rsidRPr="003E222A">
        <w:rPr>
          <w:rFonts w:ascii="Times New Roman" w:eastAsia="Times New Roman" w:hAnsi="Times New Roman" w:cs="Times New Roman"/>
          <w:color w:val="000000"/>
          <w:shd w:val="clear" w:color="auto" w:fill="FFFFFF"/>
          <w:lang w:val="en-CA"/>
        </w:rPr>
        <w:t>WS 288–2008</w:t>
      </w:r>
      <w:r>
        <w:rPr>
          <w:rFonts w:ascii="Times New Roman" w:eastAsia="Times New Roman" w:hAnsi="Times New Roman" w:cs="Times New Roman"/>
          <w:color w:val="000000"/>
          <w:shd w:val="clear" w:color="auto" w:fill="FFFFFF"/>
          <w:lang w:val="en-CA"/>
        </w:rPr>
        <w:t xml:space="preserve"> </w:t>
      </w:r>
      <w:r w:rsidRPr="003E222A">
        <w:rPr>
          <w:rFonts w:ascii="Times New Roman" w:eastAsia="Times New Roman" w:hAnsi="Times New Roman" w:cs="Times New Roman"/>
          <w:color w:val="000000"/>
          <w:shd w:val="clear" w:color="auto" w:fill="FFFFFF"/>
          <w:lang w:val="en-CA"/>
        </w:rPr>
        <w:t>Diagnostic criteria for pulmonary tuberculosis Beijing, China: People’s Medical Publishing House; 2008. (in Chinese)</w:t>
      </w:r>
    </w:p>
    <w:p w14:paraId="3ED11F4D" w14:textId="43607B77" w:rsidR="00AF30B0" w:rsidRDefault="00AF30B0" w:rsidP="007D1ED4">
      <w:pPr>
        <w:spacing w:line="360" w:lineRule="auto"/>
        <w:outlineLvl w:val="0"/>
        <w:rPr>
          <w:rFonts w:ascii="Times New Roman" w:hAnsi="Times New Roman" w:cs="Times New Roman"/>
          <w:b/>
          <w:color w:val="000000" w:themeColor="text1"/>
        </w:rPr>
      </w:pPr>
      <w:r w:rsidRPr="00AF30B0">
        <w:rPr>
          <w:rFonts w:ascii="Times New Roman" w:hAnsi="Times New Roman" w:cs="Times New Roman"/>
          <w:b/>
          <w:color w:val="000000" w:themeColor="text1"/>
        </w:rPr>
        <w:lastRenderedPageBreak/>
        <w:t>Section 2.</w:t>
      </w:r>
      <w:r w:rsidR="00A265EF">
        <w:rPr>
          <w:rFonts w:ascii="Times New Roman" w:hAnsi="Times New Roman" w:cs="Times New Roman"/>
          <w:b/>
          <w:color w:val="000000" w:themeColor="text1"/>
        </w:rPr>
        <w:t xml:space="preserve"> S</w:t>
      </w:r>
      <w:r w:rsidR="00223A68">
        <w:rPr>
          <w:rFonts w:ascii="Times New Roman" w:hAnsi="Times New Roman" w:cs="Times New Roman"/>
          <w:b/>
          <w:color w:val="000000" w:themeColor="text1"/>
        </w:rPr>
        <w:t>ample size c</w:t>
      </w:r>
      <w:r w:rsidR="00A265EF">
        <w:rPr>
          <w:rFonts w:ascii="Times New Roman" w:hAnsi="Times New Roman" w:cs="Times New Roman"/>
          <w:b/>
          <w:color w:val="000000" w:themeColor="text1"/>
        </w:rPr>
        <w:t>alculation for the present study</w:t>
      </w:r>
    </w:p>
    <w:p w14:paraId="5D82085A" w14:textId="0AA99634" w:rsidR="00A265EF" w:rsidRPr="00A265EF" w:rsidRDefault="00A265EF" w:rsidP="007D1ED4">
      <w:pPr>
        <w:spacing w:line="360" w:lineRule="auto"/>
        <w:rPr>
          <w:rFonts w:ascii="Times New Roman" w:hAnsi="Times New Roman" w:cs="Times New Roman"/>
        </w:rPr>
      </w:pPr>
      <w:r w:rsidRPr="005070FA">
        <w:rPr>
          <w:rFonts w:ascii="Times New Roman" w:hAnsi="Times New Roman" w:cs="Times New Roman"/>
        </w:rPr>
        <w:t xml:space="preserve">The sample size for </w:t>
      </w:r>
      <w:r>
        <w:rPr>
          <w:rFonts w:ascii="Times New Roman" w:hAnsi="Times New Roman" w:cs="Times New Roman"/>
        </w:rPr>
        <w:t>the present study</w:t>
      </w:r>
      <w:r w:rsidRPr="005070FA">
        <w:rPr>
          <w:rFonts w:ascii="Times New Roman" w:hAnsi="Times New Roman" w:cs="Times New Roman"/>
        </w:rPr>
        <w:t xml:space="preserve"> was performed using the HyLown Power and Sample Size Calculators</w:t>
      </w:r>
      <w:r>
        <w:rPr>
          <w:rFonts w:ascii="Times New Roman" w:hAnsi="Times New Roman" w:cs="Times New Roman"/>
        </w:rPr>
        <w:t xml:space="preserve"> </w:t>
      </w:r>
      <w:r w:rsidRPr="005070FA">
        <w:rPr>
          <w:rFonts w:ascii="Times New Roman" w:hAnsi="Times New Roman" w:cs="Times New Roman"/>
        </w:rPr>
        <w:t>(http://powerandsamplesize.com/Calculators/)</w:t>
      </w:r>
      <w:r>
        <w:rPr>
          <w:rFonts w:ascii="Times New Roman" w:hAnsi="Times New Roman" w:cs="Times New Roman"/>
        </w:rPr>
        <w:t>,</w:t>
      </w:r>
      <w:r w:rsidRPr="005070FA">
        <w:rPr>
          <w:rFonts w:ascii="Times New Roman" w:hAnsi="Times New Roman" w:cs="Times New Roman"/>
        </w:rPr>
        <w:t xml:space="preserve"> which can simultaneously determine the error rate and statistical power. Setting the threshold at an error rate of 0.05 and a power of 80%, a sample size of at least 82 patients was required for lncRNA detection in the Selection Cohort and Validation Cohort, respectively. The present sample size incorporated the need for at least 10 </w:t>
      </w:r>
      <w:r w:rsidR="00E47556" w:rsidRPr="00BF2F16">
        <w:rPr>
          <w:rFonts w:ascii="Times New Roman" w:hAnsi="Times New Roman" w:cs="Times New Roman"/>
        </w:rPr>
        <w:t>clinically diagnosed</w:t>
      </w:r>
      <w:r w:rsidR="00E47556">
        <w:rPr>
          <w:rFonts w:ascii="Times New Roman" w:hAnsi="Times New Roman" w:cs="Times New Roman"/>
        </w:rPr>
        <w:t xml:space="preserve"> PTB </w:t>
      </w:r>
      <w:r w:rsidRPr="005070FA">
        <w:rPr>
          <w:rFonts w:ascii="Times New Roman" w:hAnsi="Times New Roman" w:cs="Times New Roman"/>
        </w:rPr>
        <w:t>patient events per predictive variable for binary logistic regression analysis</w:t>
      </w:r>
      <w:r>
        <w:rPr>
          <w:rFonts w:ascii="Times New Roman" w:hAnsi="Times New Roman" w:cs="Times New Roman"/>
        </w:rPr>
        <w:t xml:space="preserve"> </w:t>
      </w:r>
      <w:r w:rsidR="005F4CF5">
        <w:rPr>
          <w:rFonts w:ascii="Times New Roman" w:hAnsi="Times New Roman" w:cs="Times New Roman"/>
        </w:rPr>
        <w:t>[</w:t>
      </w:r>
      <w:r w:rsidR="003F3110" w:rsidRPr="00E445E5">
        <w:rPr>
          <w:rFonts w:ascii="Times New Roman" w:hAnsi="Times New Roman" w:cs="Times New Roman"/>
        </w:rPr>
        <w:t>3</w:t>
      </w:r>
      <w:r w:rsidR="005F4CF5">
        <w:rPr>
          <w:rFonts w:ascii="Times New Roman" w:hAnsi="Times New Roman" w:cs="Times New Roman"/>
        </w:rPr>
        <w:t>]</w:t>
      </w:r>
      <w:r w:rsidR="00D0542F" w:rsidRPr="00E445E5">
        <w:rPr>
          <w:rFonts w:ascii="Times New Roman" w:hAnsi="Times New Roman" w:cs="Times New Roman"/>
        </w:rPr>
        <w:t>.</w:t>
      </w:r>
    </w:p>
    <w:p w14:paraId="17135ABD" w14:textId="77777777" w:rsidR="00D0542F" w:rsidRDefault="00D0542F" w:rsidP="007D1ED4">
      <w:pPr>
        <w:spacing w:line="360" w:lineRule="auto"/>
        <w:outlineLvl w:val="0"/>
        <w:rPr>
          <w:rFonts w:ascii="Times New Roman" w:hAnsi="Times New Roman" w:cs="Times New Roman"/>
          <w:color w:val="000000" w:themeColor="text1"/>
        </w:rPr>
      </w:pPr>
      <w:r>
        <w:rPr>
          <w:rFonts w:ascii="Times New Roman" w:hAnsi="Times New Roman" w:cs="Times New Roman"/>
          <w:color w:val="000000" w:themeColor="text1"/>
        </w:rPr>
        <w:t xml:space="preserve">Reference </w:t>
      </w:r>
    </w:p>
    <w:p w14:paraId="36A09B5C" w14:textId="0DBF4E38" w:rsidR="00D0542F" w:rsidRDefault="00D0542F" w:rsidP="007D1ED4">
      <w:pPr>
        <w:pStyle w:val="ListParagraph"/>
        <w:numPr>
          <w:ilvl w:val="0"/>
          <w:numId w:val="3"/>
        </w:numPr>
        <w:spacing w:line="360" w:lineRule="auto"/>
        <w:ind w:firstLineChars="0"/>
        <w:outlineLvl w:val="0"/>
        <w:rPr>
          <w:rFonts w:ascii="Times New Roman" w:hAnsi="Times New Roman" w:cs="Times New Roman"/>
          <w:color w:val="000000" w:themeColor="text1"/>
        </w:rPr>
      </w:pPr>
      <w:r w:rsidRPr="00D0542F">
        <w:rPr>
          <w:rFonts w:ascii="Times New Roman" w:hAnsi="Times New Roman" w:cs="Times New Roman"/>
          <w:color w:val="000000" w:themeColor="text1"/>
        </w:rPr>
        <w:t>Griesel R, Stewart A, van der Plas H, Sikhondze W, Rangaka</w:t>
      </w:r>
      <w:r w:rsidR="00E445E5">
        <w:rPr>
          <w:rFonts w:ascii="Times New Roman" w:hAnsi="Times New Roman" w:cs="Times New Roman"/>
          <w:color w:val="000000" w:themeColor="text1"/>
        </w:rPr>
        <w:t xml:space="preserve"> MX, Nicol MP, </w:t>
      </w:r>
      <w:r w:rsidR="00E445E5" w:rsidRPr="00E445E5">
        <w:rPr>
          <w:rFonts w:ascii="Times New Roman" w:hAnsi="Times New Roman" w:cs="Times New Roman"/>
          <w:color w:val="000000" w:themeColor="text1"/>
        </w:rPr>
        <w:t>Kengne AP, Mendelson M, Maartens G</w:t>
      </w:r>
      <w:r w:rsidRPr="00D0542F">
        <w:rPr>
          <w:rFonts w:ascii="Times New Roman" w:hAnsi="Times New Roman" w:cs="Times New Roman"/>
          <w:color w:val="000000" w:themeColor="text1"/>
        </w:rPr>
        <w:t xml:space="preserve">. Optimizing tuberculosis diagnosis in human immunodeficiency virus–infected inpatients meeting the criteria of seriously ill in the world health organization algorithm. Clinical Infectious Diseases </w:t>
      </w:r>
      <w:proofErr w:type="gramStart"/>
      <w:r w:rsidRPr="00D0542F">
        <w:rPr>
          <w:rFonts w:ascii="Times New Roman" w:hAnsi="Times New Roman" w:cs="Times New Roman"/>
          <w:color w:val="000000" w:themeColor="text1"/>
        </w:rPr>
        <w:t>2017;66:1419</w:t>
      </w:r>
      <w:proofErr w:type="gramEnd"/>
      <w:r w:rsidRPr="00D0542F">
        <w:rPr>
          <w:rFonts w:ascii="Times New Roman" w:hAnsi="Times New Roman" w:cs="Times New Roman"/>
          <w:color w:val="000000" w:themeColor="text1"/>
        </w:rPr>
        <w:t>-</w:t>
      </w:r>
      <w:r w:rsidR="00E445E5">
        <w:rPr>
          <w:rFonts w:ascii="Times New Roman" w:hAnsi="Times New Roman" w:cs="Times New Roman"/>
          <w:color w:val="000000" w:themeColor="text1"/>
        </w:rPr>
        <w:t>14</w:t>
      </w:r>
      <w:r w:rsidRPr="00D0542F">
        <w:rPr>
          <w:rFonts w:ascii="Times New Roman" w:hAnsi="Times New Roman" w:cs="Times New Roman"/>
          <w:color w:val="000000" w:themeColor="text1"/>
        </w:rPr>
        <w:t>26.</w:t>
      </w:r>
    </w:p>
    <w:p w14:paraId="50AE1DC8" w14:textId="77777777" w:rsidR="00D0542F" w:rsidRPr="00D0542F" w:rsidRDefault="00D0542F" w:rsidP="007D1ED4">
      <w:pPr>
        <w:pStyle w:val="ListParagraph"/>
        <w:spacing w:line="360" w:lineRule="auto"/>
        <w:ind w:left="360" w:firstLineChars="0" w:firstLine="0"/>
        <w:outlineLvl w:val="0"/>
        <w:rPr>
          <w:rFonts w:ascii="Times New Roman" w:hAnsi="Times New Roman" w:cs="Times New Roman"/>
          <w:color w:val="000000" w:themeColor="text1"/>
        </w:rPr>
      </w:pPr>
    </w:p>
    <w:p w14:paraId="49E54B2E" w14:textId="08364674" w:rsidR="00D0542F" w:rsidRDefault="00D0542F" w:rsidP="007D1ED4">
      <w:pPr>
        <w:spacing w:line="360" w:lineRule="auto"/>
        <w:outlineLvl w:val="0"/>
        <w:rPr>
          <w:rFonts w:ascii="Times New Roman" w:hAnsi="Times New Roman" w:cs="Times New Roman"/>
          <w:b/>
          <w:color w:val="000000" w:themeColor="text1"/>
        </w:rPr>
      </w:pPr>
      <w:r w:rsidRPr="00AF30B0">
        <w:rPr>
          <w:rFonts w:ascii="Times New Roman" w:hAnsi="Times New Roman" w:cs="Times New Roman"/>
          <w:b/>
          <w:color w:val="000000" w:themeColor="text1"/>
        </w:rPr>
        <w:t xml:space="preserve">Section </w:t>
      </w:r>
      <w:r>
        <w:rPr>
          <w:rFonts w:ascii="Times New Roman" w:hAnsi="Times New Roman" w:cs="Times New Roman"/>
          <w:b/>
          <w:color w:val="000000" w:themeColor="text1"/>
        </w:rPr>
        <w:t>3</w:t>
      </w:r>
      <w:r w:rsidRPr="00AF30B0">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000D0510" w:rsidRPr="000D0510">
        <w:rPr>
          <w:rFonts w:ascii="Times New Roman" w:hAnsi="Times New Roman" w:cs="Times New Roman"/>
          <w:b/>
          <w:color w:val="000000" w:themeColor="text1"/>
        </w:rPr>
        <w:t>Detailed methodology of qRT-PCR</w:t>
      </w:r>
      <w:r w:rsidR="000709A0">
        <w:rPr>
          <w:rFonts w:ascii="Times New Roman" w:hAnsi="Times New Roman" w:cs="Times New Roman"/>
          <w:b/>
          <w:color w:val="000000" w:themeColor="text1"/>
        </w:rPr>
        <w:t xml:space="preserve"> detection</w:t>
      </w:r>
    </w:p>
    <w:p w14:paraId="65D4ED3E" w14:textId="4CF6FE47" w:rsidR="00045599" w:rsidRPr="00045599" w:rsidRDefault="00045599" w:rsidP="007D1ED4">
      <w:pPr>
        <w:spacing w:line="360" w:lineRule="auto"/>
        <w:outlineLvl w:val="0"/>
        <w:rPr>
          <w:rFonts w:ascii="Times New Roman" w:hAnsi="Times New Roman" w:cs="Times New Roman"/>
          <w:color w:val="000000" w:themeColor="text1"/>
        </w:rPr>
      </w:pPr>
      <w:r w:rsidRPr="00045599">
        <w:rPr>
          <w:rFonts w:ascii="Times New Roman" w:hAnsi="Times New Roman" w:cs="Times New Roman"/>
          <w:color w:val="000000" w:themeColor="text1"/>
        </w:rPr>
        <w:t>Candidate lncRNAs were detected using the qRT-PCR method in the Selection Cohort, and the significantly up-or down-expressed lncRNAs in the Selection Cohort were further validated in an independent cohort.</w:t>
      </w:r>
    </w:p>
    <w:p w14:paraId="1502273B" w14:textId="77777777" w:rsidR="007455DC" w:rsidRDefault="00CC0DCB" w:rsidP="007D1ED4">
      <w:pPr>
        <w:spacing w:line="36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3.1 RNA isolation </w:t>
      </w:r>
    </w:p>
    <w:p w14:paraId="67DE8D4D" w14:textId="0F61D352" w:rsidR="00BC00E6" w:rsidRPr="00BC00E6" w:rsidRDefault="00CC0DCB" w:rsidP="00BC00E6">
      <w:pPr>
        <w:spacing w:line="360" w:lineRule="auto"/>
        <w:rPr>
          <w:rFonts w:ascii="Times New Roman" w:hAnsi="Times New Roman" w:cs="Times New Roman"/>
        </w:rPr>
      </w:pPr>
      <w:r w:rsidRPr="005070FA">
        <w:rPr>
          <w:rFonts w:ascii="Times New Roman" w:hAnsi="Times New Roman" w:cs="Times New Roman"/>
        </w:rPr>
        <w:lastRenderedPageBreak/>
        <w:t>Peripheral blood mononuclear cell (PBMC) samples were freshly isolated from 3 ml peripheral blood from every participant using a Human Lymphocyte Separation Tube Kit (Dakewe Biotech Company Limited, China).</w:t>
      </w:r>
      <w:r w:rsidR="000709A0">
        <w:rPr>
          <w:rFonts w:ascii="Times New Roman" w:hAnsi="Times New Roman" w:cs="Times New Roman"/>
        </w:rPr>
        <w:t xml:space="preserve"> </w:t>
      </w:r>
      <w:r w:rsidRPr="005070FA">
        <w:rPr>
          <w:rFonts w:ascii="Times New Roman" w:hAnsi="Times New Roman" w:cs="Times New Roman"/>
        </w:rPr>
        <w:t>Total RNA was extracted from the PBMC samples using Trizol reagent (Invitrogen, USA)</w:t>
      </w:r>
      <w:r w:rsidR="00BC00E6">
        <w:rPr>
          <w:rFonts w:ascii="Times New Roman" w:hAnsi="Times New Roman" w:cs="Times New Roman"/>
        </w:rPr>
        <w:t xml:space="preserve">, </w:t>
      </w:r>
      <w:r w:rsidR="00BC00E6" w:rsidRPr="00BC00E6">
        <w:rPr>
          <w:rFonts w:ascii="Times New Roman" w:hAnsi="Times New Roman" w:cs="Times New Roman"/>
        </w:rPr>
        <w:t>according to the manufacturer’s</w:t>
      </w:r>
      <w:r w:rsidR="00BC00E6">
        <w:rPr>
          <w:rFonts w:ascii="Times New Roman" w:hAnsi="Times New Roman" w:cs="Times New Roman"/>
        </w:rPr>
        <w:t xml:space="preserve"> </w:t>
      </w:r>
      <w:r w:rsidR="00BC00E6" w:rsidRPr="00BC00E6">
        <w:rPr>
          <w:rFonts w:ascii="Times New Roman" w:hAnsi="Times New Roman" w:cs="Times New Roman"/>
        </w:rPr>
        <w:t>instructions. The</w:t>
      </w:r>
      <w:r w:rsidR="00BC00E6">
        <w:rPr>
          <w:rFonts w:ascii="Times New Roman" w:hAnsi="Times New Roman" w:cs="Times New Roman"/>
        </w:rPr>
        <w:t xml:space="preserve"> </w:t>
      </w:r>
      <w:r w:rsidR="00BC00E6" w:rsidRPr="00BC00E6">
        <w:rPr>
          <w:rFonts w:ascii="Times New Roman" w:hAnsi="Times New Roman" w:cs="Times New Roman"/>
        </w:rPr>
        <w:t>RNA pellet was dissolved in</w:t>
      </w:r>
      <w:r w:rsidR="00BC00E6">
        <w:rPr>
          <w:rFonts w:ascii="Times New Roman" w:hAnsi="Times New Roman" w:cs="Times New Roman"/>
        </w:rPr>
        <w:t xml:space="preserve"> </w:t>
      </w:r>
      <w:r w:rsidR="00BC00E6" w:rsidRPr="00BC00E6">
        <w:rPr>
          <w:rFonts w:ascii="Times New Roman" w:hAnsi="Times New Roman" w:cs="Times New Roman"/>
        </w:rPr>
        <w:t xml:space="preserve">RNA Storage Solution </w:t>
      </w:r>
    </w:p>
    <w:p w14:paraId="442A744A" w14:textId="12F8215A" w:rsidR="00CC0DCB" w:rsidRDefault="00BC00E6" w:rsidP="00BC00E6">
      <w:pPr>
        <w:spacing w:line="360" w:lineRule="auto"/>
        <w:rPr>
          <w:rFonts w:ascii="Times New Roman" w:hAnsi="Times New Roman"/>
        </w:rPr>
      </w:pPr>
      <w:r w:rsidRPr="00BC00E6">
        <w:rPr>
          <w:rFonts w:ascii="Times New Roman" w:hAnsi="Times New Roman" w:cs="Times New Roman"/>
        </w:rPr>
        <w:t xml:space="preserve">and stored at </w:t>
      </w:r>
      <w:r>
        <w:rPr>
          <w:rFonts w:ascii="Times New Roman" w:hAnsi="Times New Roman" w:cs="Times New Roman"/>
        </w:rPr>
        <w:t>-</w:t>
      </w:r>
      <w:r w:rsidRPr="00BC00E6">
        <w:rPr>
          <w:rFonts w:ascii="Times New Roman" w:hAnsi="Times New Roman" w:cs="Times New Roman"/>
        </w:rPr>
        <w:t>80 °C until use</w:t>
      </w:r>
      <w:r w:rsidR="00CC0DCB" w:rsidRPr="005070FA">
        <w:rPr>
          <w:rFonts w:ascii="Times New Roman" w:hAnsi="Times New Roman" w:cs="Times New Roman"/>
        </w:rPr>
        <w:t>.</w:t>
      </w:r>
      <w:r w:rsidR="00CC0DCB">
        <w:rPr>
          <w:rFonts w:ascii="Times New Roman" w:hAnsi="Times New Roman" w:cs="Times New Roman"/>
        </w:rPr>
        <w:t xml:space="preserve"> </w:t>
      </w:r>
      <w:r w:rsidR="00CC0DCB" w:rsidRPr="005070FA">
        <w:rPr>
          <w:rFonts w:ascii="Times New Roman" w:hAnsi="Times New Roman" w:cs="Times New Roman"/>
        </w:rPr>
        <w:t>RNA concentration and purity were evaluated by using a NanoDrop ND-1000 (Thermo Fisher Scientific, USA). Qualified RNA had a</w:t>
      </w:r>
      <w:r w:rsidR="00CC0DCB">
        <w:rPr>
          <w:rFonts w:ascii="Times New Roman" w:hAnsi="Times New Roman" w:cs="Times New Roman"/>
        </w:rPr>
        <w:t>n</w:t>
      </w:r>
      <w:r w:rsidR="00CC0DCB" w:rsidRPr="005070FA">
        <w:rPr>
          <w:rFonts w:ascii="Times New Roman" w:hAnsi="Times New Roman" w:cs="Times New Roman"/>
        </w:rPr>
        <w:t xml:space="preserve"> </w:t>
      </w:r>
      <w:r w:rsidR="00CC0DCB">
        <w:rPr>
          <w:rFonts w:ascii="Times New Roman" w:hAnsi="Times New Roman" w:cs="Times New Roman" w:hint="eastAsia"/>
        </w:rPr>
        <w:t>A</w:t>
      </w:r>
      <w:r w:rsidR="00CC0DCB" w:rsidRPr="005070FA">
        <w:rPr>
          <w:rFonts w:ascii="Times New Roman" w:hAnsi="Times New Roman" w:cs="Times New Roman"/>
        </w:rPr>
        <w:t>260/</w:t>
      </w:r>
      <w:r w:rsidR="00CC0DCB">
        <w:rPr>
          <w:rFonts w:ascii="Times New Roman" w:hAnsi="Times New Roman" w:cs="Times New Roman" w:hint="eastAsia"/>
        </w:rPr>
        <w:t>A</w:t>
      </w:r>
      <w:r w:rsidR="00CC0DCB" w:rsidRPr="005070FA">
        <w:rPr>
          <w:rFonts w:ascii="Times New Roman" w:hAnsi="Times New Roman" w:cs="Times New Roman"/>
        </w:rPr>
        <w:t xml:space="preserve">280 ratio </w:t>
      </w:r>
      <w:r w:rsidR="00CC0DCB">
        <w:rPr>
          <w:rFonts w:ascii="Times New Roman" w:hAnsi="Times New Roman" w:cs="Times New Roman" w:hint="eastAsia"/>
        </w:rPr>
        <w:t>of</w:t>
      </w:r>
      <w:r w:rsidR="00CC0DCB" w:rsidRPr="005070FA">
        <w:rPr>
          <w:rFonts w:ascii="Times New Roman" w:hAnsi="Times New Roman" w:cs="Times New Roman"/>
        </w:rPr>
        <w:t xml:space="preserve"> 1.8</w:t>
      </w:r>
      <w:r w:rsidR="00952E56">
        <w:rPr>
          <w:rFonts w:ascii="Times New Roman" w:hAnsi="Times New Roman" w:cs="Times New Roman"/>
        </w:rPr>
        <w:t>-</w:t>
      </w:r>
      <w:r w:rsidR="00CC0DCB">
        <w:rPr>
          <w:rFonts w:ascii="Times New Roman" w:hAnsi="Times New Roman" w:cs="Times New Roman"/>
        </w:rPr>
        <w:t>2.2</w:t>
      </w:r>
      <w:r w:rsidR="00CC0DCB" w:rsidRPr="005070FA">
        <w:rPr>
          <w:rFonts w:ascii="Times New Roman" w:hAnsi="Times New Roman" w:cs="Times New Roman"/>
        </w:rPr>
        <w:t xml:space="preserve"> and a</w:t>
      </w:r>
      <w:r w:rsidR="00CC0DCB">
        <w:rPr>
          <w:rFonts w:ascii="Times New Roman" w:hAnsi="Times New Roman" w:cs="Times New Roman"/>
        </w:rPr>
        <w:t>n</w:t>
      </w:r>
      <w:r w:rsidR="00CC0DCB" w:rsidRPr="005070FA">
        <w:rPr>
          <w:rFonts w:ascii="Times New Roman" w:hAnsi="Times New Roman" w:cs="Times New Roman"/>
        </w:rPr>
        <w:t xml:space="preserve"> </w:t>
      </w:r>
      <w:r w:rsidR="00CC0DCB">
        <w:rPr>
          <w:rFonts w:ascii="Times New Roman" w:hAnsi="Times New Roman" w:cs="Times New Roman" w:hint="eastAsia"/>
        </w:rPr>
        <w:t>A</w:t>
      </w:r>
      <w:r w:rsidR="00CC0DCB" w:rsidRPr="005070FA">
        <w:rPr>
          <w:rFonts w:ascii="Times New Roman" w:hAnsi="Times New Roman" w:cs="Times New Roman"/>
        </w:rPr>
        <w:t>260/</w:t>
      </w:r>
      <w:r w:rsidR="00CC0DCB">
        <w:rPr>
          <w:rFonts w:ascii="Times New Roman" w:hAnsi="Times New Roman" w:cs="Times New Roman" w:hint="eastAsia"/>
        </w:rPr>
        <w:t>A</w:t>
      </w:r>
      <w:r w:rsidR="00CC0DCB" w:rsidRPr="005070FA">
        <w:rPr>
          <w:rFonts w:ascii="Times New Roman" w:hAnsi="Times New Roman" w:cs="Times New Roman"/>
        </w:rPr>
        <w:t xml:space="preserve">280 ratio higher than </w:t>
      </w:r>
      <w:r w:rsidR="00CC0DCB">
        <w:rPr>
          <w:rFonts w:ascii="Times New Roman" w:hAnsi="Times New Roman" w:cs="Times New Roman"/>
        </w:rPr>
        <w:t>1.8</w:t>
      </w:r>
      <w:r w:rsidR="00CC0DCB" w:rsidRPr="005070FA">
        <w:rPr>
          <w:rFonts w:ascii="Times New Roman" w:hAnsi="Times New Roman" w:cs="Times New Roman"/>
        </w:rPr>
        <w:t xml:space="preserve"> </w:t>
      </w:r>
      <w:r w:rsidR="00CC0DCB" w:rsidRPr="00FC7D26">
        <w:rPr>
          <w:rFonts w:ascii="Times New Roman" w:hAnsi="Times New Roman" w:cs="Times New Roman"/>
        </w:rPr>
        <w:t xml:space="preserve">RNA quality was </w:t>
      </w:r>
      <w:r w:rsidR="00CC0DCB">
        <w:rPr>
          <w:rFonts w:ascii="Times New Roman" w:hAnsi="Times New Roman" w:cs="Times New Roman"/>
        </w:rPr>
        <w:t xml:space="preserve">further </w:t>
      </w:r>
      <w:r w:rsidR="00CC0DCB" w:rsidRPr="00FC7D26">
        <w:rPr>
          <w:rFonts w:ascii="Times New Roman" w:hAnsi="Times New Roman" w:cs="Times New Roman"/>
        </w:rPr>
        <w:t xml:space="preserve">evaluated by </w:t>
      </w:r>
      <w:r w:rsidR="00CC0DCB">
        <w:rPr>
          <w:rFonts w:ascii="Times New Roman" w:hAnsi="Times New Roman" w:cs="Times New Roman"/>
        </w:rPr>
        <w:t xml:space="preserve">1% </w:t>
      </w:r>
      <w:r w:rsidR="00CC0DCB" w:rsidRPr="00FC7D26">
        <w:rPr>
          <w:rFonts w:ascii="Times New Roman" w:hAnsi="Times New Roman" w:cs="Times New Roman"/>
        </w:rPr>
        <w:t xml:space="preserve">agarose gel electrophoresis, which revealed </w:t>
      </w:r>
      <w:r w:rsidR="00CC0DCB">
        <w:rPr>
          <w:rFonts w:ascii="Times New Roman" w:hAnsi="Times New Roman" w:cs="Times New Roman" w:hint="eastAsia"/>
        </w:rPr>
        <w:t>two</w:t>
      </w:r>
      <w:r w:rsidR="00CC0DCB">
        <w:rPr>
          <w:rFonts w:ascii="Times New Roman" w:hAnsi="Times New Roman" w:cs="Times New Roman"/>
        </w:rPr>
        <w:t xml:space="preserve"> </w:t>
      </w:r>
      <w:r w:rsidR="00CC0DCB" w:rsidRPr="00FC7D26">
        <w:rPr>
          <w:rFonts w:ascii="Times New Roman" w:hAnsi="Times New Roman" w:cs="Times New Roman"/>
        </w:rPr>
        <w:t>clear bands corresponding to 28S</w:t>
      </w:r>
      <w:r w:rsidR="00CC0DCB">
        <w:rPr>
          <w:rFonts w:ascii="Times New Roman" w:hAnsi="Times New Roman" w:cs="Times New Roman"/>
        </w:rPr>
        <w:t xml:space="preserve"> and </w:t>
      </w:r>
      <w:r w:rsidR="00CC0DCB" w:rsidRPr="00FC7D26">
        <w:rPr>
          <w:rFonts w:ascii="Times New Roman" w:hAnsi="Times New Roman" w:cs="Times New Roman"/>
        </w:rPr>
        <w:t>18S</w:t>
      </w:r>
      <w:r w:rsidR="00CC0DCB">
        <w:rPr>
          <w:rFonts w:ascii="Times New Roman" w:hAnsi="Times New Roman" w:cs="Times New Roman"/>
        </w:rPr>
        <w:t xml:space="preserve"> </w:t>
      </w:r>
      <w:r w:rsidR="00CC0DCB" w:rsidRPr="004E10E1">
        <w:rPr>
          <w:rFonts w:ascii="Times New Roman" w:hAnsi="Times New Roman" w:cs="Times New Roman"/>
        </w:rPr>
        <w:t>ribosomal RNA</w:t>
      </w:r>
      <w:r w:rsidR="00CC0DCB">
        <w:rPr>
          <w:rFonts w:ascii="Times New Roman" w:hAnsi="Times New Roman" w:cs="Times New Roman"/>
        </w:rPr>
        <w:t xml:space="preserve"> (rRNA). No </w:t>
      </w:r>
      <w:r w:rsidR="00CC0DCB" w:rsidRPr="00FC7D26">
        <w:rPr>
          <w:rFonts w:ascii="Times New Roman" w:hAnsi="Times New Roman" w:cs="Times New Roman"/>
        </w:rPr>
        <w:t>higher molecular weight bands (above 28S rRNA band)</w:t>
      </w:r>
      <w:r w:rsidR="00CC0DCB">
        <w:rPr>
          <w:rFonts w:ascii="Times New Roman" w:hAnsi="Times New Roman" w:cs="Times New Roman"/>
        </w:rPr>
        <w:t xml:space="preserve"> </w:t>
      </w:r>
      <w:r w:rsidR="00CC0DCB">
        <w:rPr>
          <w:rFonts w:ascii="Times New Roman" w:hAnsi="Times New Roman" w:cs="Times New Roman" w:hint="eastAsia"/>
        </w:rPr>
        <w:t>also</w:t>
      </w:r>
      <w:r w:rsidR="00CC0DCB" w:rsidRPr="00FC7D26">
        <w:rPr>
          <w:rFonts w:ascii="Times New Roman" w:hAnsi="Times New Roman" w:cs="Times New Roman"/>
        </w:rPr>
        <w:t xml:space="preserve"> </w:t>
      </w:r>
      <w:r w:rsidR="00CC0DCB">
        <w:rPr>
          <w:rFonts w:ascii="Times New Roman" w:hAnsi="Times New Roman" w:cs="Times New Roman"/>
        </w:rPr>
        <w:t xml:space="preserve">indicated </w:t>
      </w:r>
      <w:r w:rsidR="00CC0DCB" w:rsidRPr="00010DBC">
        <w:rPr>
          <w:rFonts w:ascii="Times New Roman" w:hAnsi="Times New Roman"/>
        </w:rPr>
        <w:t xml:space="preserve">the RNA </w:t>
      </w:r>
      <w:r w:rsidR="00CC0DCB">
        <w:rPr>
          <w:rFonts w:ascii="Times New Roman" w:hAnsi="Times New Roman"/>
        </w:rPr>
        <w:t xml:space="preserve">was not </w:t>
      </w:r>
      <w:r w:rsidR="00CC0DCB" w:rsidRPr="00010DBC">
        <w:rPr>
          <w:rFonts w:ascii="Times New Roman" w:hAnsi="Times New Roman"/>
        </w:rPr>
        <w:t>contaminated with</w:t>
      </w:r>
      <w:r w:rsidR="00CC0DCB">
        <w:rPr>
          <w:rFonts w:ascii="Times New Roman" w:hAnsi="Times New Roman"/>
        </w:rPr>
        <w:t xml:space="preserve"> gDNA</w:t>
      </w:r>
      <w:r w:rsidR="007455DC">
        <w:rPr>
          <w:rFonts w:ascii="Times New Roman" w:hAnsi="Times New Roman"/>
        </w:rPr>
        <w:t xml:space="preserve">, as can be seen in </w:t>
      </w:r>
      <w:r w:rsidR="00184523">
        <w:rPr>
          <w:rFonts w:ascii="Times New Roman" w:hAnsi="Times New Roman"/>
        </w:rPr>
        <w:t xml:space="preserve">Figure </w:t>
      </w:r>
      <w:r w:rsidR="005F4CF5">
        <w:rPr>
          <w:rFonts w:ascii="Times New Roman" w:hAnsi="Times New Roman"/>
        </w:rPr>
        <w:t>S</w:t>
      </w:r>
      <w:r w:rsidR="00184523">
        <w:rPr>
          <w:rFonts w:ascii="Times New Roman" w:hAnsi="Times New Roman"/>
        </w:rPr>
        <w:t>1A</w:t>
      </w:r>
      <w:r w:rsidR="007455DC" w:rsidRPr="007455DC">
        <w:rPr>
          <w:rFonts w:ascii="Times New Roman" w:hAnsi="Times New Roman"/>
        </w:rPr>
        <w:t>.</w:t>
      </w:r>
      <w:r>
        <w:rPr>
          <w:rFonts w:ascii="Times New Roman" w:hAnsi="Times New Roman"/>
        </w:rPr>
        <w:t xml:space="preserve"> </w:t>
      </w:r>
    </w:p>
    <w:p w14:paraId="70DEF109" w14:textId="2592DC9C" w:rsidR="00A265EF" w:rsidRDefault="007455DC" w:rsidP="007D1ED4">
      <w:pPr>
        <w:spacing w:line="360" w:lineRule="auto"/>
        <w:outlineLvl w:val="0"/>
        <w:rPr>
          <w:rFonts w:ascii="Times New Roman" w:hAnsi="Times New Roman" w:cs="Times New Roman"/>
          <w:b/>
          <w:color w:val="000000" w:themeColor="text1"/>
        </w:rPr>
      </w:pPr>
      <w:r>
        <w:rPr>
          <w:rFonts w:ascii="Times New Roman" w:hAnsi="Times New Roman" w:cs="Times New Roman"/>
          <w:b/>
          <w:color w:val="000000" w:themeColor="text1"/>
        </w:rPr>
        <w:t xml:space="preserve">3.2 </w:t>
      </w:r>
      <w:r w:rsidRPr="007455DC">
        <w:rPr>
          <w:rFonts w:ascii="Times New Roman" w:hAnsi="Times New Roman" w:cs="Times New Roman"/>
          <w:b/>
          <w:color w:val="000000" w:themeColor="text1"/>
        </w:rPr>
        <w:t>Reverse transcription</w:t>
      </w:r>
    </w:p>
    <w:p w14:paraId="506B715C" w14:textId="1F0DBED1" w:rsidR="007455DC" w:rsidRDefault="007455DC" w:rsidP="007D1ED4">
      <w:pPr>
        <w:spacing w:line="360" w:lineRule="auto"/>
        <w:rPr>
          <w:rFonts w:ascii="Times New Roman" w:hAnsi="Times New Roman" w:cs="Times New Roman"/>
        </w:rPr>
      </w:pPr>
      <w:r w:rsidRPr="00A140E8">
        <w:rPr>
          <w:rFonts w:ascii="Times New Roman" w:hAnsi="Times New Roman" w:cs="Times New Roman"/>
        </w:rPr>
        <w:t>The PrimeScript</w:t>
      </w:r>
      <w:r w:rsidRPr="00A140E8">
        <w:rPr>
          <w:rFonts w:ascii="Times New Roman" w:hAnsi="Times New Roman" w:cs="Times New Roman"/>
          <w:vertAlign w:val="superscript"/>
        </w:rPr>
        <w:t xml:space="preserve">TM </w:t>
      </w:r>
      <w:r w:rsidRPr="00A140E8">
        <w:rPr>
          <w:rFonts w:ascii="Times New Roman" w:hAnsi="Times New Roman" w:cs="Times New Roman"/>
        </w:rPr>
        <w:t xml:space="preserve">RT reagent Kit with gDNA Eraser (Takara, Japan) was used to remove gDNA and synthesize cDNA. </w:t>
      </w:r>
      <w:r w:rsidRPr="00C45E45">
        <w:rPr>
          <w:rFonts w:ascii="Times New Roman" w:hAnsi="Times New Roman" w:cs="Times New Roman"/>
        </w:rPr>
        <w:t xml:space="preserve">Briefly: </w:t>
      </w:r>
      <w:r w:rsidR="001902DB">
        <w:rPr>
          <w:rFonts w:ascii="Times New Roman" w:hAnsi="Times New Roman" w:cs="Times New Roman"/>
        </w:rPr>
        <w:t>2</w:t>
      </w:r>
      <w:r w:rsidR="001902DB" w:rsidRPr="00C45E45">
        <w:rPr>
          <w:rFonts w:ascii="Times New Roman" w:hAnsi="Times New Roman" w:cs="Times New Roman"/>
        </w:rPr>
        <w:t xml:space="preserve"> </w:t>
      </w:r>
      <w:r w:rsidR="001902DB" w:rsidRPr="005070FA">
        <w:rPr>
          <w:rFonts w:ascii="Times New Roman" w:hAnsi="Times New Roman" w:cs="Times New Roman"/>
        </w:rPr>
        <w:t>μl</w:t>
      </w:r>
      <w:r w:rsidR="001902DB" w:rsidRPr="00C45E45">
        <w:rPr>
          <w:rFonts w:ascii="Times New Roman" w:hAnsi="Times New Roman" w:cs="Times New Roman"/>
        </w:rPr>
        <w:t xml:space="preserve"> total RNA were added to </w:t>
      </w:r>
      <w:r w:rsidR="001902DB">
        <w:rPr>
          <w:rFonts w:ascii="Times New Roman" w:hAnsi="Times New Roman" w:cs="Times New Roman"/>
        </w:rPr>
        <w:t>8</w:t>
      </w:r>
      <w:r w:rsidR="001902DB" w:rsidRPr="00C45E45">
        <w:rPr>
          <w:rFonts w:ascii="Times New Roman" w:hAnsi="Times New Roman" w:cs="Times New Roman"/>
        </w:rPr>
        <w:t xml:space="preserve"> </w:t>
      </w:r>
      <w:r w:rsidR="001902DB" w:rsidRPr="005070FA">
        <w:rPr>
          <w:rFonts w:ascii="Times New Roman" w:hAnsi="Times New Roman" w:cs="Times New Roman"/>
        </w:rPr>
        <w:t>μl</w:t>
      </w:r>
      <w:r w:rsidR="001902DB" w:rsidRPr="00C45E45">
        <w:rPr>
          <w:rFonts w:ascii="Times New Roman" w:hAnsi="Times New Roman" w:cs="Times New Roman"/>
        </w:rPr>
        <w:t xml:space="preserve"> of the </w:t>
      </w:r>
      <w:r w:rsidR="001902DB">
        <w:rPr>
          <w:rFonts w:ascii="Times New Roman" w:hAnsi="Times New Roman" w:cs="Times New Roman"/>
        </w:rPr>
        <w:t xml:space="preserve">Master </w:t>
      </w:r>
      <w:r w:rsidR="001902DB" w:rsidRPr="00C45E45">
        <w:rPr>
          <w:rFonts w:ascii="Times New Roman" w:hAnsi="Times New Roman" w:cs="Times New Roman"/>
        </w:rPr>
        <w:t>mix (</w:t>
      </w:r>
      <w:r w:rsidR="001902DB">
        <w:rPr>
          <w:rFonts w:ascii="Times New Roman" w:hAnsi="Times New Roman" w:cs="Times New Roman"/>
        </w:rPr>
        <w:t>5</w:t>
      </w:r>
      <w:r w:rsidR="001902DB" w:rsidRPr="00C45E45">
        <w:rPr>
          <w:rFonts w:ascii="Times New Roman" w:hAnsi="Times New Roman" w:cs="Times New Roman"/>
        </w:rPr>
        <w:t>X</w:t>
      </w:r>
      <w:r w:rsidR="001902DB">
        <w:rPr>
          <w:rFonts w:ascii="Times New Roman" w:hAnsi="Times New Roman" w:cs="Times New Roman"/>
        </w:rPr>
        <w:t xml:space="preserve"> gDNA Eraser buffer</w:t>
      </w:r>
      <w:r w:rsidR="00FA10AC">
        <w:rPr>
          <w:rFonts w:ascii="Times New Roman" w:hAnsi="Times New Roman" w:cs="Times New Roman"/>
        </w:rPr>
        <w:t xml:space="preserve"> 2 </w:t>
      </w:r>
      <w:r w:rsidR="00FA10AC" w:rsidRPr="005070FA">
        <w:rPr>
          <w:rFonts w:ascii="Times New Roman" w:hAnsi="Times New Roman" w:cs="Times New Roman"/>
        </w:rPr>
        <w:t>μl</w:t>
      </w:r>
      <w:r w:rsidR="001902DB" w:rsidRPr="00C45E45">
        <w:rPr>
          <w:rFonts w:ascii="Times New Roman" w:hAnsi="Times New Roman" w:cs="Times New Roman"/>
        </w:rPr>
        <w:t xml:space="preserve">, </w:t>
      </w:r>
      <w:r w:rsidR="00FA10AC">
        <w:rPr>
          <w:rFonts w:ascii="Times New Roman" w:hAnsi="Times New Roman" w:cs="Times New Roman"/>
        </w:rPr>
        <w:t>gDNA Eraser 1</w:t>
      </w:r>
      <w:r w:rsidR="00FA10AC" w:rsidRPr="00FA10AC">
        <w:rPr>
          <w:rFonts w:ascii="Times New Roman" w:hAnsi="Times New Roman" w:cs="Times New Roman"/>
        </w:rPr>
        <w:t xml:space="preserve"> </w:t>
      </w:r>
      <w:r w:rsidR="00FA10AC" w:rsidRPr="005070FA">
        <w:rPr>
          <w:rFonts w:ascii="Times New Roman" w:hAnsi="Times New Roman" w:cs="Times New Roman"/>
        </w:rPr>
        <w:t>μl</w:t>
      </w:r>
      <w:r w:rsidR="00FA10AC">
        <w:rPr>
          <w:rFonts w:ascii="Times New Roman" w:hAnsi="Times New Roman" w:cs="Times New Roman"/>
        </w:rPr>
        <w:t>,</w:t>
      </w:r>
      <w:r w:rsidR="001902DB" w:rsidRPr="00C45E45">
        <w:rPr>
          <w:rFonts w:ascii="Times New Roman" w:hAnsi="Times New Roman" w:cs="Times New Roman"/>
        </w:rPr>
        <w:t xml:space="preserve"> and </w:t>
      </w:r>
      <w:r w:rsidR="00FA10AC">
        <w:rPr>
          <w:rFonts w:ascii="Times New Roman" w:hAnsi="Times New Roman" w:cs="Times New Roman"/>
        </w:rPr>
        <w:t>RN</w:t>
      </w:r>
      <w:r w:rsidR="001902DB" w:rsidRPr="00C45E45">
        <w:rPr>
          <w:rFonts w:ascii="Times New Roman" w:hAnsi="Times New Roman" w:cs="Times New Roman"/>
        </w:rPr>
        <w:t>ase-free water</w:t>
      </w:r>
      <w:r w:rsidR="00FA10AC">
        <w:rPr>
          <w:rFonts w:ascii="Times New Roman" w:hAnsi="Times New Roman" w:cs="Times New Roman"/>
        </w:rPr>
        <w:t xml:space="preserve"> 5</w:t>
      </w:r>
      <w:r w:rsidR="00FA10AC" w:rsidRPr="00FA10AC">
        <w:rPr>
          <w:rFonts w:ascii="Times New Roman" w:hAnsi="Times New Roman" w:cs="Times New Roman"/>
        </w:rPr>
        <w:t xml:space="preserve"> </w:t>
      </w:r>
      <w:r w:rsidR="00FA10AC" w:rsidRPr="005070FA">
        <w:rPr>
          <w:rFonts w:ascii="Times New Roman" w:hAnsi="Times New Roman" w:cs="Times New Roman"/>
        </w:rPr>
        <w:t>μl</w:t>
      </w:r>
      <w:r w:rsidR="001902DB" w:rsidRPr="00C45E45">
        <w:rPr>
          <w:rFonts w:ascii="Times New Roman" w:hAnsi="Times New Roman" w:cs="Times New Roman"/>
        </w:rPr>
        <w:t xml:space="preserve">). </w:t>
      </w:r>
      <w:r w:rsidR="00FA10AC" w:rsidRPr="00C45E45">
        <w:rPr>
          <w:rFonts w:ascii="Times New Roman" w:hAnsi="Times New Roman" w:cs="Times New Roman"/>
        </w:rPr>
        <w:t>After incubation</w:t>
      </w:r>
      <w:r w:rsidR="00FA10AC">
        <w:rPr>
          <w:rFonts w:ascii="Times New Roman" w:hAnsi="Times New Roman" w:cs="Times New Roman"/>
        </w:rPr>
        <w:t xml:space="preserve"> at room temperature for </w:t>
      </w:r>
      <w:r w:rsidR="00AD69E1">
        <w:rPr>
          <w:rFonts w:ascii="Times New Roman" w:hAnsi="Times New Roman" w:cs="Times New Roman"/>
        </w:rPr>
        <w:t>5</w:t>
      </w:r>
      <w:r w:rsidR="00FA10AC">
        <w:rPr>
          <w:rFonts w:ascii="Times New Roman" w:hAnsi="Times New Roman" w:cs="Times New Roman"/>
        </w:rPr>
        <w:t xml:space="preserve"> min, </w:t>
      </w:r>
      <w:r w:rsidR="003A6E07">
        <w:rPr>
          <w:rFonts w:ascii="Times New Roman" w:hAnsi="Times New Roman" w:cs="Times New Roman" w:hint="eastAsia"/>
        </w:rPr>
        <w:t>t</w:t>
      </w:r>
      <w:r w:rsidR="00FA10AC">
        <w:rPr>
          <w:rFonts w:ascii="Times New Roman" w:hAnsi="Times New Roman" w:cs="Times New Roman"/>
        </w:rPr>
        <w:t xml:space="preserve">he 10 </w:t>
      </w:r>
      <w:r w:rsidR="00FA10AC" w:rsidRPr="005070FA">
        <w:rPr>
          <w:rFonts w:ascii="Times New Roman" w:hAnsi="Times New Roman" w:cs="Times New Roman"/>
        </w:rPr>
        <w:t>μl</w:t>
      </w:r>
      <w:r w:rsidR="00FA10AC" w:rsidRPr="00C45E45">
        <w:rPr>
          <w:rFonts w:ascii="Times New Roman" w:hAnsi="Times New Roman" w:cs="Times New Roman"/>
        </w:rPr>
        <w:t xml:space="preserve"> </w:t>
      </w:r>
      <w:r w:rsidR="00FA10AC">
        <w:rPr>
          <w:rFonts w:ascii="Times New Roman" w:hAnsi="Times New Roman" w:cs="Times New Roman"/>
        </w:rPr>
        <w:t>total RNA mix were</w:t>
      </w:r>
      <w:r w:rsidR="00AD69E1">
        <w:rPr>
          <w:rFonts w:ascii="Times New Roman" w:hAnsi="Times New Roman" w:cs="Times New Roman"/>
        </w:rPr>
        <w:t xml:space="preserve"> added to 10</w:t>
      </w:r>
      <w:r w:rsidRPr="00C45E45">
        <w:rPr>
          <w:rFonts w:ascii="Times New Roman" w:hAnsi="Times New Roman" w:cs="Times New Roman"/>
        </w:rPr>
        <w:t xml:space="preserve"> </w:t>
      </w:r>
      <w:r w:rsidRPr="005070FA">
        <w:rPr>
          <w:rFonts w:ascii="Times New Roman" w:hAnsi="Times New Roman" w:cs="Times New Roman"/>
        </w:rPr>
        <w:t>μl</w:t>
      </w:r>
      <w:r w:rsidRPr="00C45E45">
        <w:rPr>
          <w:rFonts w:ascii="Times New Roman" w:hAnsi="Times New Roman" w:cs="Times New Roman"/>
        </w:rPr>
        <w:t xml:space="preserve"> of the RT reaction mix (</w:t>
      </w:r>
      <w:r w:rsidR="00AD69E1">
        <w:rPr>
          <w:rFonts w:ascii="Times New Roman" w:hAnsi="Times New Roman" w:cs="Times New Roman"/>
        </w:rPr>
        <w:t>PrimeScript RT Enzyme Mix I</w:t>
      </w:r>
      <w:r w:rsidRPr="00C45E45">
        <w:rPr>
          <w:rFonts w:ascii="Times New Roman" w:hAnsi="Times New Roman" w:cs="Times New Roman"/>
        </w:rPr>
        <w:t xml:space="preserve"> </w:t>
      </w:r>
      <w:r w:rsidR="00AD69E1">
        <w:rPr>
          <w:rFonts w:ascii="Times New Roman" w:hAnsi="Times New Roman" w:cs="Times New Roman"/>
        </w:rPr>
        <w:t xml:space="preserve">1 </w:t>
      </w:r>
      <w:r w:rsidR="00AD69E1" w:rsidRPr="005070FA">
        <w:rPr>
          <w:rFonts w:ascii="Times New Roman" w:hAnsi="Times New Roman" w:cs="Times New Roman"/>
        </w:rPr>
        <w:t>μl</w:t>
      </w:r>
      <w:r w:rsidRPr="00C45E45">
        <w:rPr>
          <w:rFonts w:ascii="Times New Roman" w:hAnsi="Times New Roman" w:cs="Times New Roman"/>
        </w:rPr>
        <w:t xml:space="preserve">, </w:t>
      </w:r>
      <w:r w:rsidR="00AD69E1">
        <w:rPr>
          <w:rFonts w:ascii="Times New Roman" w:hAnsi="Times New Roman" w:cs="Times New Roman"/>
        </w:rPr>
        <w:t>RT Primer Mix</w:t>
      </w:r>
      <w:r w:rsidR="00414951">
        <w:rPr>
          <w:rFonts w:ascii="Times New Roman" w:hAnsi="Times New Roman" w:cs="Times New Roman"/>
        </w:rPr>
        <w:t xml:space="preserve"> 1</w:t>
      </w:r>
      <w:r w:rsidR="00414951" w:rsidRPr="00FA10AC">
        <w:rPr>
          <w:rFonts w:ascii="Times New Roman" w:hAnsi="Times New Roman" w:cs="Times New Roman"/>
        </w:rPr>
        <w:t xml:space="preserve"> </w:t>
      </w:r>
      <w:r w:rsidR="00414951" w:rsidRPr="005070FA">
        <w:rPr>
          <w:rFonts w:ascii="Times New Roman" w:hAnsi="Times New Roman" w:cs="Times New Roman"/>
        </w:rPr>
        <w:t>μl</w:t>
      </w:r>
      <w:r w:rsidR="00AD69E1">
        <w:rPr>
          <w:rFonts w:ascii="Times New Roman" w:hAnsi="Times New Roman" w:cs="Times New Roman"/>
        </w:rPr>
        <w:t>, 5</w:t>
      </w:r>
      <w:r w:rsidR="00AD69E1" w:rsidRPr="00C45E45">
        <w:rPr>
          <w:rFonts w:ascii="Times New Roman" w:hAnsi="Times New Roman" w:cs="Times New Roman"/>
        </w:rPr>
        <w:t xml:space="preserve">X </w:t>
      </w:r>
      <w:r w:rsidR="00AD69E1">
        <w:rPr>
          <w:rFonts w:ascii="Times New Roman" w:hAnsi="Times New Roman" w:cs="Times New Roman"/>
        </w:rPr>
        <w:t>PrimeScript</w:t>
      </w:r>
      <w:r w:rsidR="00AD69E1" w:rsidRPr="00C45E45">
        <w:rPr>
          <w:rFonts w:ascii="Times New Roman" w:hAnsi="Times New Roman" w:cs="Times New Roman"/>
        </w:rPr>
        <w:t xml:space="preserve"> Buffer</w:t>
      </w:r>
      <w:r w:rsidR="00AD69E1">
        <w:rPr>
          <w:rFonts w:ascii="Times New Roman" w:hAnsi="Times New Roman" w:cs="Times New Roman"/>
        </w:rPr>
        <w:t xml:space="preserve"> II </w:t>
      </w:r>
      <w:r w:rsidR="00414951">
        <w:rPr>
          <w:rFonts w:ascii="Times New Roman" w:hAnsi="Times New Roman" w:cs="Times New Roman"/>
        </w:rPr>
        <w:t>4</w:t>
      </w:r>
      <w:r w:rsidR="00414951" w:rsidRPr="00FA10AC">
        <w:rPr>
          <w:rFonts w:ascii="Times New Roman" w:hAnsi="Times New Roman" w:cs="Times New Roman"/>
        </w:rPr>
        <w:t xml:space="preserve"> </w:t>
      </w:r>
      <w:r w:rsidR="00414951" w:rsidRPr="005070FA">
        <w:rPr>
          <w:rFonts w:ascii="Times New Roman" w:hAnsi="Times New Roman" w:cs="Times New Roman"/>
        </w:rPr>
        <w:t>μl</w:t>
      </w:r>
      <w:r w:rsidR="00AD69E1" w:rsidRPr="00C45E45">
        <w:rPr>
          <w:rFonts w:ascii="Times New Roman" w:hAnsi="Times New Roman" w:cs="Times New Roman"/>
        </w:rPr>
        <w:t xml:space="preserve">, and </w:t>
      </w:r>
      <w:r w:rsidR="00AD69E1">
        <w:rPr>
          <w:rFonts w:ascii="Times New Roman" w:hAnsi="Times New Roman" w:cs="Times New Roman"/>
        </w:rPr>
        <w:t>RN</w:t>
      </w:r>
      <w:r w:rsidR="00AD69E1" w:rsidRPr="00C45E45">
        <w:rPr>
          <w:rFonts w:ascii="Times New Roman" w:hAnsi="Times New Roman" w:cs="Times New Roman"/>
        </w:rPr>
        <w:t>ase-free water</w:t>
      </w:r>
      <w:r w:rsidR="00AD69E1">
        <w:rPr>
          <w:rFonts w:ascii="Times New Roman" w:hAnsi="Times New Roman" w:cs="Times New Roman"/>
        </w:rPr>
        <w:t xml:space="preserve"> </w:t>
      </w:r>
      <w:r w:rsidR="00414951">
        <w:rPr>
          <w:rFonts w:ascii="Times New Roman" w:hAnsi="Times New Roman" w:cs="Times New Roman"/>
        </w:rPr>
        <w:t>4</w:t>
      </w:r>
      <w:r w:rsidR="00AD69E1" w:rsidRPr="00FA10AC">
        <w:rPr>
          <w:rFonts w:ascii="Times New Roman" w:hAnsi="Times New Roman" w:cs="Times New Roman"/>
        </w:rPr>
        <w:t xml:space="preserve"> </w:t>
      </w:r>
      <w:r w:rsidR="00AD69E1" w:rsidRPr="005070FA">
        <w:rPr>
          <w:rFonts w:ascii="Times New Roman" w:hAnsi="Times New Roman" w:cs="Times New Roman"/>
        </w:rPr>
        <w:t>μl</w:t>
      </w:r>
      <w:r w:rsidR="00AD69E1" w:rsidRPr="00C45E45">
        <w:rPr>
          <w:rFonts w:ascii="Times New Roman" w:hAnsi="Times New Roman" w:cs="Times New Roman"/>
        </w:rPr>
        <w:t>)</w:t>
      </w:r>
      <w:r w:rsidR="00AD69E1">
        <w:rPr>
          <w:rFonts w:ascii="Times New Roman" w:hAnsi="Times New Roman" w:cs="Times New Roman"/>
        </w:rPr>
        <w:t>.</w:t>
      </w:r>
      <w:r w:rsidR="00414951">
        <w:rPr>
          <w:rFonts w:ascii="Times New Roman" w:hAnsi="Times New Roman" w:cs="Times New Roman"/>
        </w:rPr>
        <w:t xml:space="preserve"> R</w:t>
      </w:r>
      <w:r w:rsidRPr="00C45E45">
        <w:rPr>
          <w:rFonts w:ascii="Times New Roman" w:hAnsi="Times New Roman" w:cs="Times New Roman"/>
        </w:rPr>
        <w:t>everse transcription was performed using a</w:t>
      </w:r>
      <w:r w:rsidR="0020463D">
        <w:rPr>
          <w:rFonts w:ascii="Times New Roman" w:hAnsi="Times New Roman" w:cs="Times New Roman"/>
        </w:rPr>
        <w:t>n</w:t>
      </w:r>
      <w:r w:rsidRPr="00C45E45">
        <w:rPr>
          <w:rFonts w:ascii="Times New Roman" w:hAnsi="Times New Roman" w:cs="Times New Roman"/>
        </w:rPr>
        <w:t xml:space="preserve"> </w:t>
      </w:r>
      <w:r w:rsidR="0020463D" w:rsidRPr="0020463D">
        <w:rPr>
          <w:rFonts w:ascii="Times New Roman" w:hAnsi="Times New Roman" w:cs="Times New Roman"/>
        </w:rPr>
        <w:t xml:space="preserve">ABI 9700 Thermal Cycler </w:t>
      </w:r>
      <w:r w:rsidRPr="00C45E45">
        <w:rPr>
          <w:rFonts w:ascii="Times New Roman" w:hAnsi="Times New Roman" w:cs="Times New Roman"/>
        </w:rPr>
        <w:t>(</w:t>
      </w:r>
      <w:r w:rsidR="0020463D" w:rsidRPr="0020463D">
        <w:rPr>
          <w:rFonts w:ascii="Times New Roman" w:hAnsi="Times New Roman" w:cs="Times New Roman"/>
        </w:rPr>
        <w:t>Applied Biosystems</w:t>
      </w:r>
      <w:r w:rsidRPr="00C45E45">
        <w:rPr>
          <w:rFonts w:ascii="Times New Roman" w:hAnsi="Times New Roman" w:cs="Times New Roman"/>
        </w:rPr>
        <w:t>,</w:t>
      </w:r>
      <w:r w:rsidR="0020463D">
        <w:rPr>
          <w:rFonts w:ascii="Times New Roman" w:hAnsi="Times New Roman" w:cs="Times New Roman"/>
        </w:rPr>
        <w:t xml:space="preserve"> USA</w:t>
      </w:r>
      <w:r w:rsidRPr="00C45E45">
        <w:rPr>
          <w:rFonts w:ascii="Times New Roman" w:hAnsi="Times New Roman" w:cs="Times New Roman"/>
        </w:rPr>
        <w:t>)</w:t>
      </w:r>
      <w:r w:rsidR="0020463D">
        <w:rPr>
          <w:rFonts w:ascii="Times New Roman" w:hAnsi="Times New Roman" w:cs="Times New Roman"/>
        </w:rPr>
        <w:t xml:space="preserve"> to produce cDNA.</w:t>
      </w:r>
    </w:p>
    <w:p w14:paraId="67C6602D" w14:textId="7A3515F8" w:rsidR="00355653" w:rsidRDefault="0020463D" w:rsidP="007D1ED4">
      <w:pPr>
        <w:spacing w:line="360" w:lineRule="auto"/>
        <w:outlineLvl w:val="0"/>
        <w:rPr>
          <w:rFonts w:ascii="Times New Roman" w:hAnsi="Times New Roman" w:cs="Times New Roman"/>
          <w:b/>
          <w:color w:val="000000" w:themeColor="text1"/>
        </w:rPr>
      </w:pPr>
      <w:r>
        <w:rPr>
          <w:rFonts w:ascii="Times New Roman" w:hAnsi="Times New Roman" w:cs="Times New Roman"/>
          <w:b/>
          <w:color w:val="000000" w:themeColor="text1"/>
        </w:rPr>
        <w:t xml:space="preserve">3.3 </w:t>
      </w:r>
      <w:r w:rsidR="00F065D3">
        <w:rPr>
          <w:rFonts w:ascii="Times New Roman" w:hAnsi="Times New Roman" w:cs="Times New Roman"/>
          <w:b/>
          <w:color w:val="000000" w:themeColor="text1"/>
        </w:rPr>
        <w:t>qRT-PCR</w:t>
      </w:r>
      <w:r w:rsidR="00355653">
        <w:rPr>
          <w:rFonts w:ascii="Times New Roman" w:hAnsi="Times New Roman" w:cs="Times New Roman"/>
          <w:b/>
          <w:color w:val="000000" w:themeColor="text1"/>
        </w:rPr>
        <w:t xml:space="preserve"> </w:t>
      </w:r>
      <w:r w:rsidR="008D7CA8">
        <w:rPr>
          <w:rFonts w:ascii="Times New Roman" w:hAnsi="Times New Roman" w:cs="Times New Roman"/>
          <w:b/>
          <w:color w:val="000000" w:themeColor="text1"/>
        </w:rPr>
        <w:t>detection</w:t>
      </w:r>
    </w:p>
    <w:p w14:paraId="232EE9EB" w14:textId="53C1A204" w:rsidR="00320469" w:rsidRPr="00355653" w:rsidRDefault="0016292E" w:rsidP="007D1ED4">
      <w:pPr>
        <w:spacing w:line="360" w:lineRule="auto"/>
        <w:outlineLvl w:val="0"/>
        <w:rPr>
          <w:rFonts w:ascii="Times New Roman" w:hAnsi="Times New Roman" w:cs="Times New Roman"/>
          <w:b/>
          <w:color w:val="000000" w:themeColor="text1"/>
        </w:rPr>
      </w:pPr>
      <w:r w:rsidRPr="00A140E8">
        <w:rPr>
          <w:rFonts w:ascii="Times New Roman" w:hAnsi="Times New Roman" w:cs="Times New Roman"/>
        </w:rPr>
        <w:lastRenderedPageBreak/>
        <w:t>LncRNA expr</w:t>
      </w:r>
      <w:r w:rsidRPr="003A6E07">
        <w:rPr>
          <w:rFonts w:ascii="Times New Roman" w:hAnsi="Times New Roman" w:cs="Times New Roman"/>
          <w:color w:val="000000" w:themeColor="text1"/>
        </w:rPr>
        <w:t>ession</w:t>
      </w:r>
      <w:r w:rsidR="003F3110" w:rsidRPr="003A6E07">
        <w:rPr>
          <w:rFonts w:ascii="Times New Roman" w:hAnsi="Times New Roman" w:cs="Times New Roman"/>
          <w:color w:val="000000" w:themeColor="text1"/>
        </w:rPr>
        <w:t>s</w:t>
      </w:r>
      <w:r w:rsidRPr="003A6E07">
        <w:rPr>
          <w:rFonts w:ascii="Times New Roman" w:hAnsi="Times New Roman" w:cs="Times New Roman"/>
          <w:color w:val="000000" w:themeColor="text1"/>
        </w:rPr>
        <w:t xml:space="preserve"> w</w:t>
      </w:r>
      <w:r w:rsidR="003F3110" w:rsidRPr="003A6E07">
        <w:rPr>
          <w:rFonts w:ascii="Times New Roman" w:hAnsi="Times New Roman" w:cs="Times New Roman"/>
          <w:color w:val="000000" w:themeColor="text1"/>
        </w:rPr>
        <w:t>ere</w:t>
      </w:r>
      <w:r w:rsidRPr="003A6E07">
        <w:rPr>
          <w:rFonts w:ascii="Times New Roman" w:hAnsi="Times New Roman" w:cs="Times New Roman"/>
          <w:color w:val="000000" w:themeColor="text1"/>
        </w:rPr>
        <w:t xml:space="preserve"> mea</w:t>
      </w:r>
      <w:r w:rsidRPr="00A140E8">
        <w:rPr>
          <w:rFonts w:ascii="Times New Roman" w:hAnsi="Times New Roman" w:cs="Times New Roman"/>
        </w:rPr>
        <w:t>sured using the SYBR</w:t>
      </w:r>
      <w:r w:rsidRPr="00A140E8">
        <w:rPr>
          <w:rFonts w:ascii="Times New Roman" w:hAnsi="Times New Roman" w:cs="Times New Roman"/>
          <w:vertAlign w:val="superscript"/>
        </w:rPr>
        <w:t>®</w:t>
      </w:r>
      <w:r w:rsidRPr="00A140E8">
        <w:rPr>
          <w:rFonts w:ascii="Times New Roman" w:hAnsi="Times New Roman" w:cs="Times New Roman"/>
        </w:rPr>
        <w:t xml:space="preserve"> Green PCR Kit (Takara, Japan)</w:t>
      </w:r>
      <w:r w:rsidR="00B5500D">
        <w:rPr>
          <w:rFonts w:ascii="Times New Roman" w:hAnsi="Times New Roman" w:cs="Times New Roman"/>
        </w:rPr>
        <w:t xml:space="preserve"> </w:t>
      </w:r>
      <w:r w:rsidR="00B5500D" w:rsidRPr="00B5500D">
        <w:rPr>
          <w:rFonts w:ascii="Times New Roman" w:hAnsi="Times New Roman" w:cs="Times New Roman"/>
        </w:rPr>
        <w:t>and LightCycler</w:t>
      </w:r>
      <w:r w:rsidR="00B5500D" w:rsidRPr="00F909C3">
        <w:rPr>
          <w:rFonts w:ascii="Times New Roman" w:hAnsi="Times New Roman" w:cs="Times New Roman"/>
          <w:color w:val="000000" w:themeColor="text1"/>
          <w:vertAlign w:val="superscript"/>
        </w:rPr>
        <w:t>®</w:t>
      </w:r>
      <w:r w:rsidR="00B5500D">
        <w:rPr>
          <w:rFonts w:ascii="Times New Roman" w:hAnsi="Times New Roman" w:cs="Times New Roman"/>
          <w:color w:val="000000" w:themeColor="text1"/>
        </w:rPr>
        <w:t xml:space="preserve"> 480 system</w:t>
      </w:r>
      <w:r w:rsidR="00B5500D" w:rsidRPr="00B5500D">
        <w:rPr>
          <w:rFonts w:ascii="Times New Roman" w:hAnsi="Times New Roman" w:cs="Times New Roman"/>
        </w:rPr>
        <w:t xml:space="preserve"> (Roche, Switzerland)</w:t>
      </w:r>
      <w:r w:rsidRPr="00A140E8">
        <w:rPr>
          <w:rFonts w:ascii="Times New Roman" w:hAnsi="Times New Roman" w:cs="Times New Roman"/>
        </w:rPr>
        <w:t>.</w:t>
      </w:r>
      <w:r>
        <w:rPr>
          <w:rFonts w:ascii="Times New Roman" w:hAnsi="Times New Roman" w:cs="Times New Roman"/>
        </w:rPr>
        <w:t xml:space="preserve"> </w:t>
      </w:r>
      <w:r w:rsidR="00F50A18" w:rsidRPr="00A140E8">
        <w:rPr>
          <w:rFonts w:ascii="Times New Roman" w:hAnsi="Times New Roman" w:cs="Times New Roman"/>
        </w:rPr>
        <w:t xml:space="preserve">Specific primers are in Table </w:t>
      </w:r>
      <w:r w:rsidR="00143AB4">
        <w:rPr>
          <w:rFonts w:ascii="Times New Roman" w:hAnsi="Times New Roman" w:cs="Times New Roman"/>
        </w:rPr>
        <w:t>S</w:t>
      </w:r>
      <w:r w:rsidR="00F50A18" w:rsidRPr="00A140E8">
        <w:rPr>
          <w:rFonts w:ascii="Times New Roman" w:hAnsi="Times New Roman" w:cs="Times New Roman"/>
        </w:rPr>
        <w:t xml:space="preserve">2. </w:t>
      </w:r>
      <w:r w:rsidR="00F909C3" w:rsidRPr="00F909C3">
        <w:rPr>
          <w:rFonts w:ascii="Times New Roman" w:hAnsi="Times New Roman" w:cs="Times New Roman"/>
          <w:color w:val="000000" w:themeColor="text1"/>
        </w:rPr>
        <w:t>A final 10</w:t>
      </w:r>
      <w:r w:rsidR="00F909C3">
        <w:rPr>
          <w:rFonts w:ascii="Times New Roman" w:hAnsi="Times New Roman" w:cs="Times New Roman"/>
          <w:color w:val="000000" w:themeColor="text1"/>
        </w:rPr>
        <w:t xml:space="preserve"> </w:t>
      </w:r>
      <w:r w:rsidR="00F909C3" w:rsidRPr="00F909C3">
        <w:rPr>
          <w:rFonts w:ascii="Times New Roman" w:hAnsi="Times New Roman" w:cs="Times New Roman"/>
          <w:color w:val="000000" w:themeColor="text1"/>
        </w:rPr>
        <w:t>μl</w:t>
      </w:r>
      <w:r w:rsidR="00F909C3">
        <w:rPr>
          <w:rFonts w:ascii="Times New Roman" w:hAnsi="Times New Roman" w:cs="Times New Roman"/>
          <w:color w:val="000000" w:themeColor="text1"/>
        </w:rPr>
        <w:t xml:space="preserve"> </w:t>
      </w:r>
      <w:r w:rsidR="00F909C3" w:rsidRPr="00F909C3">
        <w:rPr>
          <w:rFonts w:ascii="Times New Roman" w:hAnsi="Times New Roman" w:cs="Times New Roman"/>
          <w:color w:val="000000" w:themeColor="text1"/>
        </w:rPr>
        <w:t>reaction mixture for qRT-qPCR included 5 μl of SYBR</w:t>
      </w:r>
      <w:r w:rsidR="00F909C3" w:rsidRPr="00F909C3">
        <w:rPr>
          <w:rFonts w:ascii="Times New Roman" w:hAnsi="Times New Roman" w:cs="Times New Roman"/>
          <w:color w:val="000000" w:themeColor="text1"/>
          <w:vertAlign w:val="superscript"/>
        </w:rPr>
        <w:t>®</w:t>
      </w:r>
      <w:r w:rsidR="00F909C3" w:rsidRPr="00F909C3">
        <w:rPr>
          <w:rFonts w:ascii="Times New Roman" w:hAnsi="Times New Roman" w:cs="Times New Roman"/>
          <w:color w:val="000000" w:themeColor="text1"/>
        </w:rPr>
        <w:t xml:space="preserve"> Premix Ex Taq™ II (Takara, China), 0.5 μl of 10 μM forward and reverse primer, 3 μl of ddH</w:t>
      </w:r>
      <w:r w:rsidR="00F909C3" w:rsidRPr="00D91F0E">
        <w:rPr>
          <w:rFonts w:ascii="Times New Roman" w:hAnsi="Times New Roman" w:cs="Times New Roman"/>
          <w:color w:val="000000" w:themeColor="text1"/>
          <w:vertAlign w:val="subscript"/>
        </w:rPr>
        <w:t>2</w:t>
      </w:r>
      <w:r w:rsidR="00F909C3" w:rsidRPr="00F909C3">
        <w:rPr>
          <w:rFonts w:ascii="Times New Roman" w:hAnsi="Times New Roman" w:cs="Times New Roman"/>
          <w:color w:val="000000" w:themeColor="text1"/>
        </w:rPr>
        <w:t>O (PCR grade), and 1 μl of template cDNA. The cycling program consisted of 95 ºC for 1 min, followed by 35 cycles at 95 ºC for 10 s, 65 - 0.5 ºC/cycle for 30 s and 72 ºC for 60 s. The samples were denatured at 95 °C for 30 s and then heated to 65 °C for 30 s at a rate of 0.2 °C/s.</w:t>
      </w:r>
      <w:r w:rsidR="0024374F">
        <w:rPr>
          <w:rFonts w:ascii="Times New Roman" w:hAnsi="Times New Roman" w:cs="Times New Roman"/>
          <w:color w:val="000000" w:themeColor="text1"/>
        </w:rPr>
        <w:t xml:space="preserve"> </w:t>
      </w:r>
      <w:r w:rsidR="00143AB4">
        <w:rPr>
          <w:rFonts w:ascii="Times New Roman" w:hAnsi="Times New Roman" w:cs="Times New Roman"/>
          <w:color w:val="000000" w:themeColor="text1"/>
        </w:rPr>
        <w:t>PCR curves are shown in Figure S</w:t>
      </w:r>
      <w:r w:rsidR="0024374F" w:rsidRPr="0024374F">
        <w:rPr>
          <w:rFonts w:ascii="Times New Roman" w:hAnsi="Times New Roman" w:cs="Times New Roman"/>
          <w:color w:val="000000" w:themeColor="text1"/>
        </w:rPr>
        <w:t>1B</w:t>
      </w:r>
      <w:r w:rsidR="0024374F">
        <w:rPr>
          <w:rFonts w:ascii="Times New Roman" w:hAnsi="Times New Roman" w:cs="Times New Roman"/>
          <w:color w:val="000000" w:themeColor="text1"/>
        </w:rPr>
        <w:t>.</w:t>
      </w:r>
      <w:r w:rsidR="00F909C3" w:rsidRPr="00F909C3">
        <w:rPr>
          <w:rFonts w:ascii="Times New Roman" w:hAnsi="Times New Roman" w:cs="Times New Roman"/>
          <w:color w:val="000000" w:themeColor="text1"/>
        </w:rPr>
        <w:t xml:space="preserve"> Fluorescence was measured to generate a high-resolution melting curve to analyze the purity of the amplification products (single peak means a high purity of PCR product), and for a more accurate PCR product validation, we further sequenced candidate lncRNAs in several random samples, which can be found at the following link https://github.com/xuejiaohu123/TBdiagnosisModel, and their peak figure in sequencing can be seen in </w:t>
      </w:r>
      <w:r w:rsidR="00C372EB">
        <w:rPr>
          <w:rFonts w:ascii="Times New Roman" w:hAnsi="Times New Roman" w:cs="Times New Roman"/>
          <w:color w:val="000000" w:themeColor="text1"/>
        </w:rPr>
        <w:t>the figure below</w:t>
      </w:r>
      <w:r w:rsidR="00F909C3" w:rsidRPr="00F909C3">
        <w:rPr>
          <w:rFonts w:ascii="Times New Roman" w:hAnsi="Times New Roman" w:cs="Times New Roman"/>
          <w:color w:val="000000" w:themeColor="text1"/>
        </w:rPr>
        <w:t xml:space="preserve">. </w:t>
      </w:r>
    </w:p>
    <w:p w14:paraId="7BEC75E1" w14:textId="40C01A33" w:rsidR="00320469" w:rsidRDefault="00320469" w:rsidP="007D1ED4">
      <w:pPr>
        <w:spacing w:line="360" w:lineRule="auto"/>
        <w:jc w:val="center"/>
        <w:outlineLvl w:val="0"/>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14:anchorId="2FB8B6A5" wp14:editId="25AD5AB0">
            <wp:extent cx="3771900" cy="247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q.pdf"/>
                    <pic:cNvPicPr/>
                  </pic:nvPicPr>
                  <pic:blipFill rotWithShape="1">
                    <a:blip r:embed="rId11">
                      <a:extLst>
                        <a:ext uri="{28A0092B-C50C-407E-A947-70E740481C1C}">
                          <a14:useLocalDpi xmlns:a14="http://schemas.microsoft.com/office/drawing/2010/main" val="0"/>
                        </a:ext>
                      </a:extLst>
                    </a:blip>
                    <a:srcRect l="8097" t="1799" r="20337" b="14671"/>
                    <a:stretch/>
                  </pic:blipFill>
                  <pic:spPr bwMode="auto">
                    <a:xfrm>
                      <a:off x="0" y="0"/>
                      <a:ext cx="3771900" cy="2476500"/>
                    </a:xfrm>
                    <a:prstGeom prst="rect">
                      <a:avLst/>
                    </a:prstGeom>
                    <a:ln>
                      <a:noFill/>
                    </a:ln>
                    <a:extLst>
                      <a:ext uri="{53640926-AAD7-44D8-BBD7-CCE9431645EC}">
                        <a14:shadowObscured xmlns:a14="http://schemas.microsoft.com/office/drawing/2010/main"/>
                      </a:ext>
                    </a:extLst>
                  </pic:spPr>
                </pic:pic>
              </a:graphicData>
            </a:graphic>
          </wp:inline>
        </w:drawing>
      </w:r>
    </w:p>
    <w:p w14:paraId="71DFC70A" w14:textId="224FB7FE" w:rsidR="00F909C3" w:rsidRPr="00F909C3" w:rsidRDefault="00F909C3" w:rsidP="007D1ED4">
      <w:pPr>
        <w:spacing w:line="360" w:lineRule="auto"/>
        <w:ind w:firstLine="420"/>
        <w:outlineLvl w:val="0"/>
        <w:rPr>
          <w:rFonts w:ascii="Times New Roman" w:hAnsi="Times New Roman" w:cs="Times New Roman"/>
          <w:color w:val="000000" w:themeColor="text1"/>
        </w:rPr>
      </w:pPr>
      <w:r w:rsidRPr="00F909C3">
        <w:rPr>
          <w:rFonts w:ascii="Times New Roman" w:hAnsi="Times New Roman" w:cs="Times New Roman"/>
          <w:color w:val="000000" w:themeColor="text1"/>
        </w:rPr>
        <w:lastRenderedPageBreak/>
        <w:t xml:space="preserve">The </w:t>
      </w:r>
      <w:r w:rsidR="00BC5946">
        <w:rPr>
          <w:rFonts w:ascii="Times New Roman" w:hAnsi="Times New Roman" w:cs="Times New Roman"/>
          <w:color w:val="000000" w:themeColor="text1"/>
        </w:rPr>
        <w:t>no-cDNA</w:t>
      </w:r>
      <w:r w:rsidRPr="00F909C3">
        <w:rPr>
          <w:rFonts w:ascii="Times New Roman" w:hAnsi="Times New Roman" w:cs="Times New Roman"/>
          <w:color w:val="000000" w:themeColor="text1"/>
        </w:rPr>
        <w:t xml:space="preserve"> </w:t>
      </w:r>
      <w:r w:rsidR="00BC5946">
        <w:rPr>
          <w:rFonts w:ascii="Times New Roman" w:hAnsi="Times New Roman" w:cs="Times New Roman"/>
          <w:color w:val="000000" w:themeColor="text1"/>
        </w:rPr>
        <w:t xml:space="preserve">template </w:t>
      </w:r>
      <w:r w:rsidRPr="00F909C3">
        <w:rPr>
          <w:rFonts w:ascii="Times New Roman" w:hAnsi="Times New Roman" w:cs="Times New Roman"/>
          <w:color w:val="000000" w:themeColor="text1"/>
        </w:rPr>
        <w:t>negative control</w:t>
      </w:r>
      <w:r w:rsidR="00BC5946">
        <w:rPr>
          <w:rFonts w:ascii="Times New Roman" w:hAnsi="Times New Roman" w:cs="Times New Roman"/>
          <w:color w:val="000000" w:themeColor="text1"/>
        </w:rPr>
        <w:t>, reverse transcription negative control,</w:t>
      </w:r>
      <w:r w:rsidRPr="00F909C3">
        <w:rPr>
          <w:rFonts w:ascii="Times New Roman" w:hAnsi="Times New Roman" w:cs="Times New Roman"/>
          <w:color w:val="000000" w:themeColor="text1"/>
        </w:rPr>
        <w:t xml:space="preserve"> and blank </w:t>
      </w:r>
      <w:r w:rsidR="008D7CA8" w:rsidRPr="00F909C3">
        <w:rPr>
          <w:rFonts w:ascii="Times New Roman" w:hAnsi="Times New Roman" w:cs="Times New Roman"/>
          <w:color w:val="000000" w:themeColor="text1"/>
        </w:rPr>
        <w:t>ddH</w:t>
      </w:r>
      <w:r w:rsidR="008D7CA8" w:rsidRPr="00713B59">
        <w:rPr>
          <w:rFonts w:ascii="Times New Roman" w:hAnsi="Times New Roman" w:cs="Times New Roman"/>
          <w:color w:val="000000" w:themeColor="text1"/>
          <w:vertAlign w:val="subscript"/>
        </w:rPr>
        <w:t>2</w:t>
      </w:r>
      <w:r w:rsidR="008D7CA8" w:rsidRPr="00F909C3">
        <w:rPr>
          <w:rFonts w:ascii="Times New Roman" w:hAnsi="Times New Roman" w:cs="Times New Roman"/>
          <w:color w:val="000000" w:themeColor="text1"/>
        </w:rPr>
        <w:t xml:space="preserve">O </w:t>
      </w:r>
      <w:r w:rsidRPr="00F909C3">
        <w:rPr>
          <w:rFonts w:ascii="Times New Roman" w:hAnsi="Times New Roman" w:cs="Times New Roman"/>
          <w:color w:val="000000" w:themeColor="text1"/>
        </w:rPr>
        <w:t>control</w:t>
      </w:r>
      <w:r w:rsidR="00BC5946">
        <w:rPr>
          <w:rFonts w:ascii="Times New Roman" w:hAnsi="Times New Roman" w:cs="Times New Roman"/>
          <w:color w:val="000000" w:themeColor="text1"/>
        </w:rPr>
        <w:t xml:space="preserve"> were tested, and all the </w:t>
      </w:r>
      <w:r w:rsidR="008D7CA8">
        <w:rPr>
          <w:rFonts w:ascii="Times New Roman" w:hAnsi="Times New Roman" w:cs="Times New Roman"/>
          <w:color w:val="000000" w:themeColor="text1"/>
        </w:rPr>
        <w:t>above negative controls</w:t>
      </w:r>
      <w:r w:rsidRPr="00F909C3">
        <w:rPr>
          <w:rFonts w:ascii="Times New Roman" w:hAnsi="Times New Roman" w:cs="Times New Roman"/>
          <w:color w:val="000000" w:themeColor="text1"/>
        </w:rPr>
        <w:t xml:space="preserve"> in each reaction showed no detectable signals, ensuring the lack of contamination or nonspecific products. Each sample was run in triplicate, and a CV &lt; 15% cutoff was established to validate the technical replicates.</w:t>
      </w:r>
      <w:r w:rsidR="00DD531D">
        <w:rPr>
          <w:rFonts w:ascii="Times New Roman" w:hAnsi="Times New Roman" w:cs="Times New Roman"/>
          <w:color w:val="000000" w:themeColor="text1"/>
        </w:rPr>
        <w:t xml:space="preserve"> </w:t>
      </w:r>
      <w:r w:rsidR="00DD531D" w:rsidRPr="005070FA">
        <w:rPr>
          <w:rFonts w:ascii="Times New Roman" w:hAnsi="Times New Roman" w:cs="Times New Roman"/>
        </w:rPr>
        <w:t>Raw PCR data were analyzed as Cq values using Gene Scanning v1.2 software, and Cq value &lt; 35 was considered acceptable.</w:t>
      </w:r>
      <w:r w:rsidR="00DD531D">
        <w:rPr>
          <w:rFonts w:ascii="Times New Roman" w:hAnsi="Times New Roman" w:cs="Times New Roman"/>
        </w:rPr>
        <w:t xml:space="preserve"> </w:t>
      </w:r>
      <w:r w:rsidRPr="00F909C3">
        <w:rPr>
          <w:rFonts w:ascii="Times New Roman" w:hAnsi="Times New Roman" w:cs="Times New Roman"/>
          <w:color w:val="000000" w:themeColor="text1"/>
        </w:rPr>
        <w:t xml:space="preserve">LncRNA </w:t>
      </w:r>
      <w:r w:rsidR="008D7CA8">
        <w:rPr>
          <w:rFonts w:ascii="Times New Roman" w:hAnsi="Times New Roman" w:cs="Times New Roman"/>
          <w:color w:val="000000" w:themeColor="text1"/>
        </w:rPr>
        <w:t>expression</w:t>
      </w:r>
      <w:r w:rsidR="003F3110">
        <w:rPr>
          <w:rFonts w:ascii="Times New Roman" w:hAnsi="Times New Roman" w:cs="Times New Roman"/>
          <w:color w:val="000000" w:themeColor="text1"/>
        </w:rPr>
        <w:t>s</w:t>
      </w:r>
      <w:r w:rsidR="008D7CA8">
        <w:rPr>
          <w:rFonts w:ascii="Times New Roman" w:hAnsi="Times New Roman" w:cs="Times New Roman"/>
          <w:color w:val="000000" w:themeColor="text1"/>
        </w:rPr>
        <w:t xml:space="preserve"> </w:t>
      </w:r>
      <w:r w:rsidRPr="00F909C3">
        <w:rPr>
          <w:rFonts w:ascii="Times New Roman" w:hAnsi="Times New Roman" w:cs="Times New Roman"/>
          <w:color w:val="000000" w:themeColor="text1"/>
        </w:rPr>
        <w:t>w</w:t>
      </w:r>
      <w:r w:rsidR="003F3110">
        <w:rPr>
          <w:rFonts w:ascii="Times New Roman" w:hAnsi="Times New Roman" w:cs="Times New Roman"/>
          <w:color w:val="000000" w:themeColor="text1"/>
        </w:rPr>
        <w:t>ere</w:t>
      </w:r>
      <w:r w:rsidRPr="00F909C3">
        <w:rPr>
          <w:rFonts w:ascii="Times New Roman" w:hAnsi="Times New Roman" w:cs="Times New Roman"/>
          <w:color w:val="000000" w:themeColor="text1"/>
        </w:rPr>
        <w:t xml:space="preserve"> measured in a blinded fashion, normalized to the endogenous control </w:t>
      </w:r>
      <w:r w:rsidRPr="008D7CA8">
        <w:rPr>
          <w:rFonts w:ascii="Times New Roman" w:hAnsi="Times New Roman" w:cs="Times New Roman"/>
          <w:i/>
          <w:color w:val="000000" w:themeColor="text1"/>
        </w:rPr>
        <w:t>GAPDH</w:t>
      </w:r>
      <w:r w:rsidRPr="00F909C3">
        <w:rPr>
          <w:rFonts w:ascii="Times New Roman" w:hAnsi="Times New Roman" w:cs="Times New Roman"/>
          <w:color w:val="000000" w:themeColor="text1"/>
        </w:rPr>
        <w:t>, and calculated according to the 2</w:t>
      </w:r>
      <w:r w:rsidRPr="00631166">
        <w:rPr>
          <w:rFonts w:ascii="Times New Roman" w:hAnsi="Times New Roman" w:cs="Times New Roman"/>
          <w:color w:val="000000" w:themeColor="text1"/>
          <w:vertAlign w:val="superscript"/>
        </w:rPr>
        <w:t xml:space="preserve"> -ΔΔ Cq </w:t>
      </w:r>
      <w:r w:rsidRPr="00F909C3">
        <w:rPr>
          <w:rFonts w:ascii="Times New Roman" w:hAnsi="Times New Roman" w:cs="Times New Roman"/>
          <w:color w:val="000000" w:themeColor="text1"/>
        </w:rPr>
        <w:t xml:space="preserve">method, where </w:t>
      </w:r>
      <w:r w:rsidRPr="00F909C3">
        <w:rPr>
          <w:rFonts w:ascii="Cambria Math" w:hAnsi="Cambria Math" w:cs="Cambria Math"/>
          <w:color w:val="000000" w:themeColor="text1"/>
        </w:rPr>
        <w:t>△</w:t>
      </w:r>
      <w:r w:rsidRPr="00F909C3">
        <w:rPr>
          <w:rFonts w:ascii="Times New Roman" w:hAnsi="Times New Roman" w:cs="Times New Roman"/>
          <w:color w:val="000000" w:themeColor="text1"/>
        </w:rPr>
        <w:t xml:space="preserve"> Cq = Cq</w:t>
      </w:r>
      <w:r w:rsidRPr="00670609">
        <w:rPr>
          <w:rFonts w:ascii="Times New Roman" w:hAnsi="Times New Roman" w:cs="Times New Roman"/>
          <w:color w:val="000000" w:themeColor="text1"/>
          <w:vertAlign w:val="subscript"/>
        </w:rPr>
        <w:t xml:space="preserve"> lncRNA</w:t>
      </w:r>
      <w:r w:rsidRPr="00F909C3">
        <w:rPr>
          <w:rFonts w:ascii="Times New Roman" w:hAnsi="Times New Roman" w:cs="Times New Roman"/>
          <w:color w:val="000000" w:themeColor="text1"/>
        </w:rPr>
        <w:t xml:space="preserve"> - Cq </w:t>
      </w:r>
      <w:r w:rsidRPr="00EA0FC1">
        <w:rPr>
          <w:rFonts w:ascii="Times New Roman" w:hAnsi="Times New Roman" w:cs="Times New Roman"/>
          <w:i/>
          <w:color w:val="000000" w:themeColor="text1"/>
          <w:vertAlign w:val="subscript"/>
        </w:rPr>
        <w:t>GAPDH</w:t>
      </w:r>
      <w:r w:rsidRPr="00F909C3">
        <w:rPr>
          <w:rFonts w:ascii="Times New Roman" w:hAnsi="Times New Roman" w:cs="Times New Roman"/>
          <w:color w:val="000000" w:themeColor="text1"/>
        </w:rPr>
        <w:t xml:space="preserve">, </w:t>
      </w:r>
      <w:r w:rsidRPr="00F909C3">
        <w:rPr>
          <w:rFonts w:ascii="Cambria Math" w:hAnsi="Cambria Math" w:cs="Cambria Math"/>
          <w:color w:val="000000" w:themeColor="text1"/>
        </w:rPr>
        <w:t>△△</w:t>
      </w:r>
      <w:r w:rsidRPr="00F909C3">
        <w:rPr>
          <w:rFonts w:ascii="Times New Roman" w:hAnsi="Times New Roman" w:cs="Times New Roman"/>
          <w:color w:val="000000" w:themeColor="text1"/>
        </w:rPr>
        <w:t xml:space="preserve"> Cq = </w:t>
      </w:r>
      <w:r w:rsidRPr="00F909C3">
        <w:rPr>
          <w:rFonts w:ascii="Cambria Math" w:hAnsi="Cambria Math" w:cs="Cambria Math"/>
          <w:color w:val="000000" w:themeColor="text1"/>
        </w:rPr>
        <w:t>△</w:t>
      </w:r>
      <w:r w:rsidRPr="00F909C3">
        <w:rPr>
          <w:rFonts w:ascii="Times New Roman" w:hAnsi="Times New Roman" w:cs="Times New Roman"/>
          <w:color w:val="000000" w:themeColor="text1"/>
        </w:rPr>
        <w:t xml:space="preserve"> Cq - </w:t>
      </w:r>
      <w:r w:rsidRPr="00F909C3">
        <w:rPr>
          <w:rFonts w:ascii="Cambria Math" w:hAnsi="Cambria Math" w:cs="Cambria Math"/>
          <w:color w:val="000000" w:themeColor="text1"/>
        </w:rPr>
        <w:t>△</w:t>
      </w:r>
      <w:r w:rsidRPr="00F909C3">
        <w:rPr>
          <w:rFonts w:ascii="Times New Roman" w:hAnsi="Times New Roman" w:cs="Times New Roman"/>
          <w:color w:val="000000" w:themeColor="text1"/>
        </w:rPr>
        <w:t xml:space="preserve">average Cq </w:t>
      </w:r>
      <w:r w:rsidRPr="00670609">
        <w:rPr>
          <w:rFonts w:ascii="Times New Roman" w:hAnsi="Times New Roman" w:cs="Times New Roman"/>
          <w:color w:val="000000" w:themeColor="text1"/>
          <w:vertAlign w:val="subscript"/>
        </w:rPr>
        <w:t>(healthy subjects)</w:t>
      </w:r>
      <w:r w:rsidRPr="00670609">
        <w:rPr>
          <w:rFonts w:ascii="Times New Roman" w:hAnsi="Times New Roman" w:cs="Times New Roman"/>
          <w:color w:val="000000" w:themeColor="text1"/>
        </w:rPr>
        <w:t>.</w:t>
      </w:r>
    </w:p>
    <w:p w14:paraId="30E3CBF6" w14:textId="0466A73F" w:rsidR="00F909C3" w:rsidRPr="00DD1D7A" w:rsidRDefault="00F909C3" w:rsidP="007D1ED4">
      <w:pPr>
        <w:spacing w:line="360" w:lineRule="auto"/>
        <w:ind w:firstLine="420"/>
        <w:outlineLvl w:val="0"/>
        <w:rPr>
          <w:rFonts w:ascii="Times New Roman" w:hAnsi="Times New Roman" w:cs="Times New Roman"/>
          <w:color w:val="000000" w:themeColor="text1"/>
        </w:rPr>
      </w:pPr>
      <w:r w:rsidRPr="00F909C3">
        <w:rPr>
          <w:rFonts w:ascii="Times New Roman" w:hAnsi="Times New Roman" w:cs="Times New Roman"/>
          <w:color w:val="000000" w:themeColor="text1"/>
        </w:rPr>
        <w:t>To estimate reaction efficiency (E) of each assay, a ten-fold serial dilution of control cDNA using</w:t>
      </w:r>
      <w:r w:rsidR="00653DF9">
        <w:rPr>
          <w:rFonts w:ascii="Times New Roman" w:hAnsi="Times New Roman" w:cs="Times New Roman"/>
          <w:color w:val="000000" w:themeColor="text1"/>
        </w:rPr>
        <w:t xml:space="preserve"> </w:t>
      </w:r>
      <w:r w:rsidRPr="00F909C3">
        <w:rPr>
          <w:rFonts w:ascii="Times New Roman" w:hAnsi="Times New Roman" w:cs="Times New Roman"/>
          <w:color w:val="000000" w:themeColor="text1"/>
        </w:rPr>
        <w:t>synthetic</w:t>
      </w:r>
      <w:r w:rsidRPr="008D7CA8">
        <w:rPr>
          <w:rFonts w:ascii="Times New Roman" w:hAnsi="Times New Roman" w:cs="Times New Roman"/>
          <w:i/>
          <w:color w:val="000000" w:themeColor="text1"/>
        </w:rPr>
        <w:t xml:space="preserve"> GAPDH</w:t>
      </w:r>
      <w:r w:rsidRPr="00F909C3">
        <w:rPr>
          <w:rFonts w:ascii="Times New Roman" w:hAnsi="Times New Roman" w:cs="Times New Roman"/>
          <w:color w:val="000000" w:themeColor="text1"/>
        </w:rPr>
        <w:t xml:space="preserve">, </w:t>
      </w:r>
      <w:r w:rsidR="00B5500D">
        <w:rPr>
          <w:rFonts w:ascii="Times New Roman" w:hAnsi="Times New Roman" w:cs="Times New Roman"/>
          <w:color w:val="000000" w:themeColor="text1"/>
        </w:rPr>
        <w:t>cover</w:t>
      </w:r>
      <w:r w:rsidRPr="00F909C3">
        <w:rPr>
          <w:rFonts w:ascii="Times New Roman" w:hAnsi="Times New Roman" w:cs="Times New Roman"/>
          <w:color w:val="000000" w:themeColor="text1"/>
        </w:rPr>
        <w:t>ing 5 orders of magnitude, was amplified and used to generate the standard curve</w:t>
      </w:r>
      <w:r w:rsidR="00F40106">
        <w:rPr>
          <w:rFonts w:ascii="Times New Roman" w:hAnsi="Times New Roman" w:cs="Times New Roman"/>
          <w:color w:val="000000" w:themeColor="text1"/>
        </w:rPr>
        <w:t>. As can be seen in</w:t>
      </w:r>
      <w:r w:rsidR="008D7CA8">
        <w:rPr>
          <w:rFonts w:ascii="Times New Roman" w:hAnsi="Times New Roman" w:cs="Times New Roman"/>
          <w:color w:val="000000" w:themeColor="text1"/>
        </w:rPr>
        <w:t xml:space="preserve"> </w:t>
      </w:r>
      <w:r w:rsidR="00572796">
        <w:rPr>
          <w:rFonts w:ascii="Times New Roman" w:hAnsi="Times New Roman" w:cs="Times New Roman"/>
          <w:color w:val="000000" w:themeColor="text1"/>
        </w:rPr>
        <w:t>s</w:t>
      </w:r>
      <w:r w:rsidRPr="00F909C3">
        <w:rPr>
          <w:rFonts w:ascii="Times New Roman" w:hAnsi="Times New Roman" w:cs="Times New Roman"/>
          <w:color w:val="000000" w:themeColor="text1"/>
        </w:rPr>
        <w:t xml:space="preserve">ee </w:t>
      </w:r>
      <w:r w:rsidR="007F574C">
        <w:rPr>
          <w:rFonts w:ascii="Times New Roman" w:hAnsi="Times New Roman" w:cs="Times New Roman"/>
          <w:color w:val="000000" w:themeColor="text1"/>
        </w:rPr>
        <w:t xml:space="preserve">Figure </w:t>
      </w:r>
      <w:r w:rsidR="005F4CF5">
        <w:rPr>
          <w:rFonts w:ascii="Times New Roman" w:hAnsi="Times New Roman" w:cs="Times New Roman"/>
          <w:color w:val="000000" w:themeColor="text1"/>
        </w:rPr>
        <w:t>S</w:t>
      </w:r>
      <w:r w:rsidR="007F574C">
        <w:rPr>
          <w:rFonts w:ascii="Times New Roman" w:hAnsi="Times New Roman" w:cs="Times New Roman"/>
          <w:color w:val="000000" w:themeColor="text1"/>
        </w:rPr>
        <w:t>1</w:t>
      </w:r>
      <w:r w:rsidR="007F574C" w:rsidRPr="007F574C">
        <w:rPr>
          <w:rFonts w:ascii="Times New Roman" w:hAnsi="Times New Roman" w:cs="Times New Roman"/>
          <w:color w:val="000000" w:themeColor="text1"/>
        </w:rPr>
        <w:t>C</w:t>
      </w:r>
      <w:r w:rsidR="00F40106">
        <w:rPr>
          <w:rFonts w:ascii="Times New Roman" w:hAnsi="Times New Roman" w:cs="Times New Roman"/>
          <w:color w:val="000000" w:themeColor="text1"/>
        </w:rPr>
        <w:t xml:space="preserve">, </w:t>
      </w:r>
      <w:r w:rsidR="00DD1D7A">
        <w:rPr>
          <w:rFonts w:ascii="Times New Roman" w:hAnsi="Times New Roman" w:cs="Times New Roman"/>
          <w:color w:val="000000" w:themeColor="text1"/>
        </w:rPr>
        <w:t>the standard curve showed a reaction efficiency of 2.030, R</w:t>
      </w:r>
      <w:r w:rsidR="00DD1D7A" w:rsidRPr="00DD1D7A">
        <w:rPr>
          <w:rFonts w:ascii="Times New Roman" w:hAnsi="Times New Roman" w:cs="Times New Roman"/>
          <w:color w:val="000000" w:themeColor="text1"/>
          <w:vertAlign w:val="superscript"/>
        </w:rPr>
        <w:t>2</w:t>
      </w:r>
      <w:r w:rsidR="00DD1D7A">
        <w:rPr>
          <w:rFonts w:ascii="Times New Roman" w:hAnsi="Times New Roman" w:cs="Times New Roman"/>
          <w:color w:val="000000" w:themeColor="text1"/>
        </w:rPr>
        <w:t xml:space="preserve"> of 0.9973.</w:t>
      </w:r>
    </w:p>
    <w:p w14:paraId="71742440" w14:textId="1330EB26" w:rsidR="00961BBE" w:rsidRDefault="00045599" w:rsidP="007D1ED4">
      <w:pPr>
        <w:spacing w:line="360" w:lineRule="auto"/>
        <w:ind w:firstLine="420"/>
        <w:outlineLvl w:val="0"/>
        <w:rPr>
          <w:rFonts w:ascii="Times New Roman" w:hAnsi="Times New Roman" w:cs="Times New Roman"/>
        </w:rPr>
        <w:sectPr w:rsidR="00961BBE" w:rsidSect="00E445E5">
          <w:pgSz w:w="11900" w:h="16840"/>
          <w:pgMar w:top="1440" w:right="1800" w:bottom="1440" w:left="1800" w:header="851" w:footer="992" w:gutter="0"/>
          <w:cols w:space="425"/>
          <w:docGrid w:type="lines" w:linePitch="423"/>
        </w:sectPr>
      </w:pPr>
      <w:r w:rsidRPr="007457E3">
        <w:rPr>
          <w:rFonts w:ascii="Times New Roman" w:hAnsi="Times New Roman" w:cs="Times New Roman"/>
          <w:color w:val="000000" w:themeColor="text1"/>
        </w:rPr>
        <w:t>We also assessed the short-term stability of lncRNA expression</w:t>
      </w:r>
      <w:r w:rsidR="003F3110">
        <w:rPr>
          <w:rFonts w:ascii="Times New Roman" w:hAnsi="Times New Roman" w:cs="Times New Roman"/>
          <w:color w:val="000000" w:themeColor="text1"/>
        </w:rPr>
        <w:t>s</w:t>
      </w:r>
      <w:r w:rsidRPr="007457E3">
        <w:rPr>
          <w:rFonts w:ascii="Times New Roman" w:hAnsi="Times New Roman" w:cs="Times New Roman"/>
          <w:color w:val="000000" w:themeColor="text1"/>
        </w:rPr>
        <w:t xml:space="preserve"> in PBMC</w:t>
      </w:r>
      <w:r w:rsidR="00C143F2">
        <w:rPr>
          <w:rFonts w:ascii="Times New Roman" w:hAnsi="Times New Roman" w:cs="Times New Roman"/>
          <w:color w:val="000000" w:themeColor="text1"/>
        </w:rPr>
        <w:t xml:space="preserve">. </w:t>
      </w:r>
      <w:r w:rsidRPr="007457E3">
        <w:rPr>
          <w:rFonts w:ascii="Times New Roman" w:hAnsi="Times New Roman" w:cs="Times New Roman"/>
          <w:color w:val="000000" w:themeColor="text1"/>
        </w:rPr>
        <w:t>We randomly selected blood samples from 4 individuals for incubation at 4 °C for 0 h, 1 h, 2 h, 6 h, 12 h, and 24 h, respectively. These time points were chosen because blood samples were assessed within 24 h in many clinical labs in China.</w:t>
      </w:r>
      <w:r w:rsidR="00C143F2">
        <w:rPr>
          <w:rFonts w:ascii="Times New Roman" w:hAnsi="Times New Roman" w:cs="Times New Roman"/>
          <w:color w:val="000000" w:themeColor="text1"/>
        </w:rPr>
        <w:t xml:space="preserve"> </w:t>
      </w:r>
      <w:r w:rsidR="007F574C">
        <w:rPr>
          <w:rFonts w:ascii="Times New Roman" w:hAnsi="Times New Roman" w:cs="Times New Roman"/>
        </w:rPr>
        <w:t xml:space="preserve">Table </w:t>
      </w:r>
      <w:r w:rsidR="005F4CF5">
        <w:rPr>
          <w:rFonts w:ascii="Times New Roman" w:hAnsi="Times New Roman" w:cs="Times New Roman"/>
        </w:rPr>
        <w:t>S</w:t>
      </w:r>
      <w:r w:rsidR="007F574C">
        <w:rPr>
          <w:rFonts w:ascii="Times New Roman" w:hAnsi="Times New Roman" w:cs="Times New Roman"/>
        </w:rPr>
        <w:t>5 shows</w:t>
      </w:r>
      <w:r w:rsidR="00C143F2" w:rsidRPr="00A140E8">
        <w:rPr>
          <w:rFonts w:ascii="Times New Roman" w:hAnsi="Times New Roman" w:cs="Times New Roman"/>
        </w:rPr>
        <w:t xml:space="preserve"> prolonged incubation up to 24 h had minimal effect on the expression of </w:t>
      </w:r>
      <w:r w:rsidR="00C143F2" w:rsidRPr="003A6E07">
        <w:rPr>
          <w:rFonts w:ascii="Times New Roman" w:hAnsi="Times New Roman" w:cs="Times New Roman"/>
          <w:i/>
        </w:rPr>
        <w:t>ENST00000497872</w:t>
      </w:r>
      <w:r w:rsidR="00C143F2" w:rsidRPr="00A140E8">
        <w:rPr>
          <w:rFonts w:ascii="Times New Roman" w:hAnsi="Times New Roman" w:cs="Times New Roman"/>
        </w:rPr>
        <w:t xml:space="preserve">, </w:t>
      </w:r>
      <w:r w:rsidR="00C143F2" w:rsidRPr="003A6E07">
        <w:rPr>
          <w:rFonts w:ascii="Times New Roman" w:hAnsi="Times New Roman" w:cs="Times New Roman"/>
          <w:i/>
        </w:rPr>
        <w:t>n333737</w:t>
      </w:r>
      <w:r w:rsidR="00C143F2" w:rsidRPr="00A140E8">
        <w:rPr>
          <w:rFonts w:ascii="Times New Roman" w:hAnsi="Times New Roman" w:cs="Times New Roman"/>
        </w:rPr>
        <w:t xml:space="preserve">, and </w:t>
      </w:r>
      <w:r w:rsidR="00C143F2" w:rsidRPr="003A6E07">
        <w:rPr>
          <w:rFonts w:ascii="Times New Roman" w:hAnsi="Times New Roman" w:cs="Times New Roman"/>
          <w:i/>
        </w:rPr>
        <w:t>n335265</w:t>
      </w:r>
      <w:r w:rsidR="00230C7C">
        <w:rPr>
          <w:rFonts w:ascii="Times New Roman" w:hAnsi="Times New Roman" w:cs="Times New Roman"/>
        </w:rPr>
        <w:t>.</w:t>
      </w:r>
    </w:p>
    <w:p w14:paraId="63EB7258" w14:textId="1DF91FDC" w:rsidR="00690C59" w:rsidRPr="00AF30B0" w:rsidRDefault="002C0D0F" w:rsidP="007D1ED4">
      <w:pPr>
        <w:spacing w:line="360" w:lineRule="auto"/>
        <w:outlineLvl w:val="0"/>
        <w:rPr>
          <w:rFonts w:ascii="Times New Roman" w:hAnsi="Times New Roman" w:cs="Times New Roman"/>
          <w:b/>
          <w:color w:val="000000" w:themeColor="text1"/>
        </w:rPr>
      </w:pPr>
      <w:r w:rsidRPr="00AF30B0">
        <w:rPr>
          <w:rFonts w:ascii="Times New Roman" w:hAnsi="Times New Roman" w:cs="Times New Roman"/>
          <w:b/>
          <w:color w:val="000000"/>
        </w:rPr>
        <w:lastRenderedPageBreak/>
        <w:t xml:space="preserve">Section </w:t>
      </w:r>
      <w:r w:rsidR="00E60864">
        <w:rPr>
          <w:rFonts w:ascii="Times New Roman" w:hAnsi="Times New Roman" w:cs="Times New Roman"/>
          <w:b/>
          <w:color w:val="000000"/>
        </w:rPr>
        <w:t>4</w:t>
      </w:r>
      <w:r w:rsidR="00690C59" w:rsidRPr="00AF30B0">
        <w:rPr>
          <w:rFonts w:ascii="Times New Roman" w:hAnsi="Times New Roman" w:cs="Times New Roman"/>
          <w:b/>
          <w:color w:val="000000"/>
        </w:rPr>
        <w:t xml:space="preserve">. </w:t>
      </w:r>
      <w:r w:rsidR="006E6323" w:rsidRPr="00E445E5">
        <w:rPr>
          <w:rFonts w:ascii="Times New Roman" w:hAnsi="Times New Roman" w:cs="Times New Roman"/>
          <w:b/>
          <w:color w:val="000000" w:themeColor="text1"/>
        </w:rPr>
        <w:t>EHR and lncRNA data collection, data-preprocessing</w:t>
      </w:r>
      <w:r w:rsidR="006E6323">
        <w:rPr>
          <w:rFonts w:ascii="Times New Roman" w:hAnsi="Times New Roman" w:cs="Times New Roman"/>
          <w:b/>
          <w:color w:val="000000" w:themeColor="text1"/>
        </w:rPr>
        <w:t xml:space="preserve">, </w:t>
      </w:r>
      <w:r w:rsidR="006E6323" w:rsidRPr="00E445E5">
        <w:rPr>
          <w:rFonts w:ascii="Times New Roman" w:hAnsi="Times New Roman" w:cs="Times New Roman"/>
          <w:b/>
          <w:color w:val="000000" w:themeColor="text1"/>
        </w:rPr>
        <w:t>features before and involving in model</w:t>
      </w:r>
      <w:r w:rsidR="006E6323">
        <w:rPr>
          <w:rFonts w:ascii="Times New Roman" w:hAnsi="Times New Roman" w:cs="Times New Roman"/>
          <w:b/>
          <w:color w:val="000000" w:themeColor="text1"/>
        </w:rPr>
        <w:t>s</w:t>
      </w:r>
      <w:r w:rsidR="00EA0FAA">
        <w:rPr>
          <w:rFonts w:ascii="Times New Roman" w:hAnsi="Times New Roman" w:cs="Times New Roman"/>
          <w:b/>
          <w:color w:val="000000" w:themeColor="text1"/>
        </w:rPr>
        <w:t>,</w:t>
      </w:r>
      <w:r w:rsidR="006E6323">
        <w:rPr>
          <w:rFonts w:ascii="Times New Roman" w:hAnsi="Times New Roman" w:cs="Times New Roman"/>
          <w:b/>
          <w:color w:val="000000" w:themeColor="text1"/>
        </w:rPr>
        <w:t xml:space="preserve"> and modeling</w:t>
      </w:r>
    </w:p>
    <w:p w14:paraId="1FBDB6C1" w14:textId="77777777" w:rsidR="00E60864" w:rsidRDefault="00E60864" w:rsidP="007D1ED4">
      <w:pPr>
        <w:spacing w:line="360" w:lineRule="auto"/>
        <w:rPr>
          <w:rFonts w:ascii="Times New Roman" w:hAnsi="Times New Roman" w:cs="Times New Roman"/>
          <w:color w:val="000000" w:themeColor="text1"/>
        </w:rPr>
      </w:pPr>
      <w:r w:rsidRPr="00E60864">
        <w:rPr>
          <w:rFonts w:ascii="Times New Roman" w:hAnsi="Times New Roman" w:cs="Times New Roman"/>
          <w:b/>
          <w:color w:val="000000"/>
        </w:rPr>
        <w:t xml:space="preserve">4.1 </w:t>
      </w:r>
      <w:r w:rsidR="00690C59" w:rsidRPr="00E60864">
        <w:rPr>
          <w:rFonts w:ascii="Times New Roman" w:hAnsi="Times New Roman" w:cs="Times New Roman"/>
          <w:b/>
          <w:color w:val="000000"/>
        </w:rPr>
        <w:t>EHR and lncRNA data collection</w:t>
      </w:r>
      <w:r w:rsidR="00690C59" w:rsidRPr="00AF30B0">
        <w:rPr>
          <w:rFonts w:ascii="Times New Roman" w:hAnsi="Times New Roman" w:cs="Times New Roman"/>
          <w:color w:val="000000" w:themeColor="text1"/>
        </w:rPr>
        <w:t xml:space="preserve"> </w:t>
      </w:r>
    </w:p>
    <w:p w14:paraId="70472469" w14:textId="11C3E049" w:rsidR="002C0D0F" w:rsidRPr="00AF30B0" w:rsidRDefault="00690C59" w:rsidP="007D1ED4">
      <w:pPr>
        <w:spacing w:line="360" w:lineRule="auto"/>
        <w:rPr>
          <w:rFonts w:ascii="Times New Roman" w:hAnsi="Times New Roman" w:cs="Times New Roman"/>
          <w:color w:val="000000" w:themeColor="text1"/>
        </w:rPr>
      </w:pPr>
      <w:r w:rsidRPr="00AF30B0">
        <w:rPr>
          <w:rFonts w:ascii="Times New Roman" w:hAnsi="Times New Roman" w:cs="Times New Roman"/>
          <w:color w:val="000000" w:themeColor="text1"/>
        </w:rPr>
        <w:t>Forty-one EHR variables for eligible suspected patients were collected before modeling, including: (a) demographic features: gender, age, BMI, and smoking; (b) clinical symptoms: cough, expectoration, chest discomfort, hemoptysis, low-grade fever, weight loss, night sweat, poor appetite, and fatigue; (c) chest imaging: polymorphic abnormality, calcification, cavity, bronchus sign, and pleural effusion; and (d) laboratory tests: TB-IGRA, hematocrit (HCT), platelets (PLT), white blood cell counts (WBC), neutrophils (N), lymphocytes (L), monocytes (M), red blood cell counts (RBC), hemoglobin (HB), albumin (ALB), globin, c-reactive protein (CRP), erythrocyte sedimentation rate (ESR), immunoglobulin A (IgA), immunoglobulin E (IgE), immunoglobulin G (IgG), immunoglobulin M (IgM), CD3</w:t>
      </w:r>
      <w:r w:rsidRPr="00AF30B0">
        <w:rPr>
          <w:rFonts w:ascii="Times New Roman" w:hAnsi="Times New Roman" w:cs="Times New Roman"/>
          <w:color w:val="000000" w:themeColor="text1"/>
          <w:vertAlign w:val="superscript"/>
        </w:rPr>
        <w:t>+</w:t>
      </w:r>
      <w:r w:rsidRPr="00AF30B0">
        <w:rPr>
          <w:rFonts w:ascii="Times New Roman" w:hAnsi="Times New Roman" w:cs="Times New Roman"/>
          <w:color w:val="000000" w:themeColor="text1"/>
        </w:rPr>
        <w:t xml:space="preserve"> T cells, CD4</w:t>
      </w:r>
      <w:r w:rsidRPr="00AF30B0">
        <w:rPr>
          <w:rFonts w:ascii="Times New Roman" w:hAnsi="Times New Roman" w:cs="Times New Roman"/>
          <w:color w:val="000000" w:themeColor="text1"/>
          <w:vertAlign w:val="superscript"/>
        </w:rPr>
        <w:t>+</w:t>
      </w:r>
      <w:r w:rsidRPr="00AF30B0">
        <w:rPr>
          <w:rFonts w:ascii="Times New Roman" w:hAnsi="Times New Roman" w:cs="Times New Roman"/>
          <w:color w:val="000000" w:themeColor="text1"/>
        </w:rPr>
        <w:t xml:space="preserve"> T cells, CD8</w:t>
      </w:r>
      <w:r w:rsidRPr="00AF30B0">
        <w:rPr>
          <w:rFonts w:ascii="Times New Roman" w:hAnsi="Times New Roman" w:cs="Times New Roman"/>
          <w:color w:val="000000" w:themeColor="text1"/>
          <w:vertAlign w:val="superscript"/>
        </w:rPr>
        <w:t>+</w:t>
      </w:r>
      <w:r w:rsidRPr="00AF30B0">
        <w:rPr>
          <w:rFonts w:ascii="Times New Roman" w:hAnsi="Times New Roman" w:cs="Times New Roman"/>
          <w:color w:val="000000" w:themeColor="text1"/>
        </w:rPr>
        <w:t xml:space="preserve"> T cells, CD4</w:t>
      </w:r>
      <w:r w:rsidRPr="00AF30B0">
        <w:rPr>
          <w:rFonts w:ascii="Times New Roman" w:hAnsi="Times New Roman" w:cs="Times New Roman"/>
          <w:color w:val="000000" w:themeColor="text1"/>
          <w:vertAlign w:val="superscript"/>
        </w:rPr>
        <w:t>+</w:t>
      </w:r>
      <w:r w:rsidRPr="00AF30B0">
        <w:rPr>
          <w:rFonts w:ascii="Times New Roman" w:hAnsi="Times New Roman" w:cs="Times New Roman"/>
          <w:color w:val="000000" w:themeColor="text1"/>
        </w:rPr>
        <w:t xml:space="preserve"> /CD8</w:t>
      </w:r>
      <w:r w:rsidRPr="00AF30B0">
        <w:rPr>
          <w:rFonts w:ascii="Times New Roman" w:hAnsi="Times New Roman" w:cs="Times New Roman"/>
          <w:color w:val="000000" w:themeColor="text1"/>
          <w:vertAlign w:val="superscript"/>
        </w:rPr>
        <w:t>+</w:t>
      </w:r>
      <w:r w:rsidRPr="00AF30B0">
        <w:rPr>
          <w:rFonts w:ascii="Times New Roman" w:hAnsi="Times New Roman" w:cs="Times New Roman"/>
          <w:color w:val="000000" w:themeColor="text1"/>
        </w:rPr>
        <w:t xml:space="preserve">, interleukin-6, and procalcitonin (PCT). The lncRNAs for eligible suspected patients included </w:t>
      </w:r>
      <w:r w:rsidRPr="00F47702">
        <w:rPr>
          <w:rFonts w:ascii="Times New Roman" w:hAnsi="Times New Roman" w:cs="Times New Roman"/>
          <w:i/>
          <w:color w:val="000000" w:themeColor="text1"/>
        </w:rPr>
        <w:t>ENST00000497872</w:t>
      </w:r>
      <w:r w:rsidRPr="00AF30B0">
        <w:rPr>
          <w:rFonts w:ascii="Times New Roman" w:hAnsi="Times New Roman" w:cs="Times New Roman"/>
          <w:color w:val="000000" w:themeColor="text1"/>
        </w:rPr>
        <w:t>,</w:t>
      </w:r>
      <w:r w:rsidRPr="00F47702">
        <w:rPr>
          <w:rFonts w:ascii="Times New Roman" w:hAnsi="Times New Roman" w:cs="Times New Roman"/>
          <w:i/>
          <w:color w:val="000000" w:themeColor="text1"/>
        </w:rPr>
        <w:t xml:space="preserve"> n333737</w:t>
      </w:r>
      <w:r w:rsidRPr="00AF30B0">
        <w:rPr>
          <w:rFonts w:ascii="Times New Roman" w:hAnsi="Times New Roman" w:cs="Times New Roman"/>
          <w:color w:val="000000" w:themeColor="text1"/>
        </w:rPr>
        <w:t xml:space="preserve">, and </w:t>
      </w:r>
      <w:r w:rsidRPr="00F47702">
        <w:rPr>
          <w:rFonts w:ascii="Times New Roman" w:hAnsi="Times New Roman" w:cs="Times New Roman"/>
          <w:i/>
          <w:color w:val="000000" w:themeColor="text1"/>
        </w:rPr>
        <w:t>n335265</w:t>
      </w:r>
      <w:r w:rsidRPr="00AF30B0">
        <w:rPr>
          <w:rFonts w:ascii="Times New Roman" w:hAnsi="Times New Roman" w:cs="Times New Roman"/>
          <w:color w:val="000000" w:themeColor="text1"/>
        </w:rPr>
        <w:t>.</w:t>
      </w:r>
    </w:p>
    <w:p w14:paraId="04C131ED" w14:textId="77777777" w:rsidR="00E60864" w:rsidRDefault="00E60864" w:rsidP="007D1ED4">
      <w:pPr>
        <w:spacing w:line="360" w:lineRule="auto"/>
        <w:outlineLvl w:val="0"/>
        <w:rPr>
          <w:rFonts w:ascii="Times New Roman" w:hAnsi="Times New Roman" w:cs="Times New Roman"/>
          <w:color w:val="000000"/>
        </w:rPr>
      </w:pPr>
      <w:r w:rsidRPr="00E60864">
        <w:rPr>
          <w:rFonts w:ascii="Times New Roman" w:hAnsi="Times New Roman" w:cs="Times New Roman"/>
          <w:b/>
          <w:color w:val="000000" w:themeColor="text1"/>
        </w:rPr>
        <w:t xml:space="preserve">4.2 </w:t>
      </w:r>
      <w:r w:rsidR="00EF7363" w:rsidRPr="00E60864">
        <w:rPr>
          <w:rFonts w:ascii="Times New Roman" w:hAnsi="Times New Roman" w:cs="Times New Roman"/>
          <w:b/>
          <w:color w:val="000000"/>
        </w:rPr>
        <w:t>D</w:t>
      </w:r>
      <w:r w:rsidR="00690C59" w:rsidRPr="00E60864">
        <w:rPr>
          <w:rFonts w:ascii="Times New Roman" w:hAnsi="Times New Roman" w:cs="Times New Roman"/>
          <w:b/>
          <w:color w:val="000000"/>
        </w:rPr>
        <w:t>ata-preprocessing, and features before modeling</w:t>
      </w:r>
      <w:r w:rsidR="00690C59" w:rsidRPr="00AF30B0">
        <w:rPr>
          <w:rFonts w:ascii="Times New Roman" w:hAnsi="Times New Roman" w:cs="Times New Roman"/>
          <w:b/>
          <w:i/>
          <w:color w:val="000000"/>
        </w:rPr>
        <w:t xml:space="preserve"> </w:t>
      </w:r>
    </w:p>
    <w:p w14:paraId="733DC6A1" w14:textId="454B0856" w:rsidR="00950070" w:rsidRDefault="001921AB" w:rsidP="007D1ED4">
      <w:pPr>
        <w:spacing w:line="360" w:lineRule="auto"/>
        <w:outlineLvl w:val="0"/>
        <w:rPr>
          <w:rFonts w:ascii="Times New Roman" w:hAnsi="Times New Roman" w:cs="Times New Roman"/>
          <w:color w:val="000000" w:themeColor="text1"/>
        </w:rPr>
      </w:pPr>
      <w:r w:rsidRPr="002A5013">
        <w:rPr>
          <w:rFonts w:ascii="Times New Roman" w:hAnsi="Times New Roman" w:cs="Times New Roman"/>
        </w:rPr>
        <w:t>To make full use of data, we used the log</w:t>
      </w:r>
      <w:r w:rsidRPr="003A6E07">
        <w:rPr>
          <w:rFonts w:ascii="Times New Roman" w:hAnsi="Times New Roman" w:cs="Times New Roman"/>
        </w:rPr>
        <w:t>2</w:t>
      </w:r>
      <w:r w:rsidRPr="002A5013">
        <w:rPr>
          <w:rFonts w:ascii="Times New Roman" w:hAnsi="Times New Roman" w:cs="Times New Roman"/>
        </w:rPr>
        <w:t xml:space="preserve"> values of lncRNA expression</w:t>
      </w:r>
      <w:r w:rsidR="003F3110">
        <w:rPr>
          <w:rFonts w:ascii="Times New Roman" w:hAnsi="Times New Roman" w:cs="Times New Roman"/>
        </w:rPr>
        <w:t>s</w:t>
      </w:r>
      <w:r w:rsidRPr="002A5013">
        <w:rPr>
          <w:rFonts w:ascii="Times New Roman" w:hAnsi="Times New Roman" w:cs="Times New Roman"/>
        </w:rPr>
        <w:t xml:space="preserve"> and original EHR</w:t>
      </w:r>
      <w:r>
        <w:rPr>
          <w:rFonts w:ascii="Times New Roman" w:hAnsi="Times New Roman" w:cs="Times New Roman"/>
        </w:rPr>
        <w:t xml:space="preserve"> data</w:t>
      </w:r>
      <w:r w:rsidRPr="002A5013">
        <w:rPr>
          <w:rFonts w:ascii="Times New Roman" w:hAnsi="Times New Roman" w:cs="Times New Roman"/>
        </w:rPr>
        <w:t xml:space="preserve"> in modelling</w:t>
      </w:r>
      <w:r>
        <w:rPr>
          <w:rFonts w:ascii="Times New Roman" w:hAnsi="Times New Roman" w:cs="Times New Roman"/>
        </w:rPr>
        <w:t>.</w:t>
      </w:r>
      <w:r w:rsidRPr="002A5013">
        <w:rPr>
          <w:rFonts w:ascii="Times New Roman" w:hAnsi="Times New Roman" w:cs="Times New Roman"/>
        </w:rPr>
        <w:t xml:space="preserve"> </w:t>
      </w:r>
      <w:r w:rsidR="00690C59" w:rsidRPr="00AF30B0">
        <w:rPr>
          <w:rFonts w:ascii="Times New Roman" w:hAnsi="Times New Roman" w:cs="Times New Roman"/>
          <w:color w:val="000000"/>
        </w:rPr>
        <w:t xml:space="preserve">We applied a 20% missing value as thresholds to remove incomplete and uninformative EHR and lncRNA features. Univariate logistic regression and correlation analysis were conducted to select the statistical features and to avoid multicollinearity, respectively. The features with a p-value &lt; 0.05 and/or </w:t>
      </w:r>
      <w:r w:rsidR="00690C59" w:rsidRPr="00AF30B0">
        <w:rPr>
          <w:rFonts w:ascii="Times New Roman" w:hAnsi="Times New Roman" w:cs="Times New Roman"/>
          <w:color w:val="000000"/>
        </w:rPr>
        <w:lastRenderedPageBreak/>
        <w:t xml:space="preserve">clinical significance were included in the subsequent model. </w:t>
      </w:r>
      <w:r w:rsidR="00690C59" w:rsidRPr="00AF30B0">
        <w:rPr>
          <w:rFonts w:ascii="Times New Roman" w:hAnsi="Times New Roman" w:cs="Times New Roman"/>
        </w:rPr>
        <w:t>A total of 1</w:t>
      </w:r>
      <w:r w:rsidR="001B5A44" w:rsidRPr="00AF30B0">
        <w:rPr>
          <w:rFonts w:ascii="Times New Roman" w:hAnsi="Times New Roman" w:cs="Times New Roman"/>
        </w:rPr>
        <w:t>4</w:t>
      </w:r>
      <w:r w:rsidR="00690C59" w:rsidRPr="00AF30B0">
        <w:rPr>
          <w:rFonts w:ascii="Times New Roman" w:hAnsi="Times New Roman" w:cs="Times New Roman"/>
        </w:rPr>
        <w:t xml:space="preserve"> out of 44 features </w:t>
      </w:r>
      <w:r w:rsidR="00690C59" w:rsidRPr="00AF30B0">
        <w:rPr>
          <w:rFonts w:ascii="Times New Roman" w:hAnsi="Times New Roman" w:cs="Times New Roman"/>
          <w:color w:val="000000" w:themeColor="text1"/>
        </w:rPr>
        <w:t xml:space="preserve">for eligible suspected patients </w:t>
      </w:r>
      <w:r w:rsidR="00690C59" w:rsidRPr="00AF30B0">
        <w:rPr>
          <w:rFonts w:ascii="Times New Roman" w:hAnsi="Times New Roman" w:cs="Times New Roman"/>
        </w:rPr>
        <w:t>remained after this filtering step, including (a)</w:t>
      </w:r>
      <w:r w:rsidR="00690C59" w:rsidRPr="00AF30B0">
        <w:rPr>
          <w:rFonts w:ascii="Times New Roman" w:eastAsia="DengXian" w:hAnsi="Times New Roman" w:cs="Times New Roman"/>
          <w:color w:val="000000"/>
        </w:rPr>
        <w:t xml:space="preserve"> 11 EHR features: age, low-grade fever, weight loss, CT calcification, CT bronchus sign, TB-IGRA, RBC, HB, WBC, L</w:t>
      </w:r>
      <w:r w:rsidR="009D40D9">
        <w:rPr>
          <w:rFonts w:ascii="Times New Roman" w:eastAsia="DengXian" w:hAnsi="Times New Roman" w:cs="Times New Roman"/>
          <w:color w:val="000000"/>
        </w:rPr>
        <w:t xml:space="preserve"> </w:t>
      </w:r>
      <w:r w:rsidR="008B182D" w:rsidRPr="00AF30B0">
        <w:rPr>
          <w:rFonts w:ascii="Times New Roman" w:eastAsia="DengXian" w:hAnsi="Times New Roman" w:cs="Times New Roman"/>
          <w:color w:val="000000"/>
        </w:rPr>
        <w:t xml:space="preserve">and </w:t>
      </w:r>
      <w:r w:rsidR="00690C59" w:rsidRPr="00AF30B0">
        <w:rPr>
          <w:rFonts w:ascii="Times New Roman" w:eastAsia="DengXian" w:hAnsi="Times New Roman" w:cs="Times New Roman"/>
          <w:color w:val="000000"/>
        </w:rPr>
        <w:t>M.</w:t>
      </w:r>
      <w:r w:rsidR="00690C59" w:rsidRPr="00AF30B0">
        <w:rPr>
          <w:rFonts w:ascii="Times New Roman" w:hAnsi="Times New Roman" w:cs="Times New Roman"/>
        </w:rPr>
        <w:t xml:space="preserve"> (b) </w:t>
      </w:r>
      <w:r w:rsidR="001B5A44" w:rsidRPr="00AF30B0">
        <w:rPr>
          <w:rFonts w:ascii="Times New Roman" w:hAnsi="Times New Roman" w:cs="Times New Roman"/>
        </w:rPr>
        <w:t>3</w:t>
      </w:r>
      <w:r w:rsidR="00690C59" w:rsidRPr="00AF30B0">
        <w:rPr>
          <w:rFonts w:ascii="Times New Roman" w:hAnsi="Times New Roman" w:cs="Times New Roman"/>
        </w:rPr>
        <w:t xml:space="preserve"> lncRNAs: </w:t>
      </w:r>
      <w:r w:rsidR="00690C59" w:rsidRPr="003A6E07">
        <w:rPr>
          <w:rFonts w:ascii="Times New Roman" w:hAnsi="Times New Roman" w:cs="Times New Roman"/>
          <w:i/>
          <w:color w:val="000000" w:themeColor="text1"/>
        </w:rPr>
        <w:t>ENST00000497872</w:t>
      </w:r>
      <w:r w:rsidR="001B5A44" w:rsidRPr="00AF30B0">
        <w:rPr>
          <w:rFonts w:ascii="Times New Roman" w:hAnsi="Times New Roman" w:cs="Times New Roman"/>
          <w:color w:val="000000" w:themeColor="text1"/>
        </w:rPr>
        <w:t xml:space="preserve">, </w:t>
      </w:r>
      <w:r w:rsidR="00690C59" w:rsidRPr="00482E2F">
        <w:rPr>
          <w:rFonts w:ascii="Times New Roman" w:hAnsi="Times New Roman" w:cs="Times New Roman"/>
          <w:i/>
          <w:color w:val="000000" w:themeColor="text1"/>
        </w:rPr>
        <w:t>n333737</w:t>
      </w:r>
      <w:r w:rsidR="001B5A44" w:rsidRPr="00AF30B0">
        <w:rPr>
          <w:rFonts w:ascii="Times New Roman" w:hAnsi="Times New Roman" w:cs="Times New Roman"/>
          <w:color w:val="000000" w:themeColor="text1"/>
        </w:rPr>
        <w:t xml:space="preserve"> and </w:t>
      </w:r>
      <w:r w:rsidR="001B5A44" w:rsidRPr="00482E2F">
        <w:rPr>
          <w:rFonts w:ascii="Times New Roman" w:hAnsi="Times New Roman" w:cs="Times New Roman"/>
          <w:i/>
          <w:color w:val="000000" w:themeColor="text1"/>
        </w:rPr>
        <w:t>n335265</w:t>
      </w:r>
      <w:r w:rsidR="00690C59" w:rsidRPr="00AF30B0">
        <w:rPr>
          <w:rFonts w:ascii="Times New Roman" w:hAnsi="Times New Roman" w:cs="Times New Roman"/>
          <w:color w:val="000000" w:themeColor="text1"/>
        </w:rPr>
        <w:t>.</w:t>
      </w:r>
      <w:r w:rsidR="00C07169">
        <w:rPr>
          <w:rFonts w:ascii="Times New Roman" w:hAnsi="Times New Roman" w:cs="Times New Roman"/>
          <w:color w:val="000000" w:themeColor="text1"/>
        </w:rPr>
        <w:t xml:space="preserve"> </w:t>
      </w:r>
    </w:p>
    <w:p w14:paraId="3448D7E0" w14:textId="410432DA" w:rsidR="006E6323" w:rsidRDefault="006E6323" w:rsidP="006E6323">
      <w:pPr>
        <w:spacing w:line="360" w:lineRule="auto"/>
        <w:outlineLvl w:val="0"/>
        <w:rPr>
          <w:rFonts w:ascii="Times New Roman" w:hAnsi="Times New Roman" w:cs="Times New Roman"/>
          <w:b/>
          <w:color w:val="000000"/>
        </w:rPr>
      </w:pPr>
      <w:r w:rsidRPr="00E60864">
        <w:rPr>
          <w:rFonts w:ascii="Times New Roman" w:hAnsi="Times New Roman" w:cs="Times New Roman"/>
          <w:b/>
          <w:color w:val="000000" w:themeColor="text1"/>
        </w:rPr>
        <w:t>4.</w:t>
      </w:r>
      <w:r>
        <w:rPr>
          <w:rFonts w:ascii="Times New Roman" w:hAnsi="Times New Roman" w:cs="Times New Roman"/>
          <w:b/>
          <w:color w:val="000000" w:themeColor="text1"/>
        </w:rPr>
        <w:t>3</w:t>
      </w:r>
      <w:r w:rsidRPr="00E60864">
        <w:rPr>
          <w:rFonts w:ascii="Times New Roman" w:hAnsi="Times New Roman" w:cs="Times New Roman"/>
          <w:b/>
          <w:color w:val="000000" w:themeColor="text1"/>
        </w:rPr>
        <w:t xml:space="preserve"> </w:t>
      </w:r>
      <w:r>
        <w:rPr>
          <w:rFonts w:ascii="Times New Roman" w:hAnsi="Times New Roman" w:cs="Times New Roman"/>
          <w:b/>
          <w:color w:val="000000"/>
        </w:rPr>
        <w:t xml:space="preserve">Modeling </w:t>
      </w:r>
    </w:p>
    <w:p w14:paraId="6A8BAF0B" w14:textId="39D99AA0" w:rsidR="006E6323" w:rsidRDefault="006E6323" w:rsidP="007D1ED4">
      <w:pPr>
        <w:spacing w:line="360" w:lineRule="auto"/>
        <w:outlineLvl w:val="0"/>
        <w:rPr>
          <w:rFonts w:ascii="Times New Roman" w:eastAsia="DengXian" w:hAnsi="Times New Roman" w:cs="Times New Roman"/>
          <w:color w:val="000000"/>
        </w:rPr>
      </w:pPr>
      <w:r w:rsidRPr="006E6323">
        <w:rPr>
          <w:rFonts w:ascii="Times New Roman" w:eastAsia="DengXian" w:hAnsi="Times New Roman" w:cs="Times New Roman" w:hint="eastAsia"/>
          <w:color w:val="000000"/>
        </w:rPr>
        <w:t>M</w:t>
      </w:r>
      <w:r w:rsidRPr="006E6323">
        <w:rPr>
          <w:rFonts w:ascii="Times New Roman" w:eastAsia="DengXian" w:hAnsi="Times New Roman" w:cs="Times New Roman"/>
          <w:color w:val="000000"/>
        </w:rPr>
        <w:t xml:space="preserve">ultivariable logistic regression was used to develop predictive models to distinguish clinically diagnosed PTB from patients with suspected PTB cases in the Selection Cohort. Feature subsets were selected and compared </w:t>
      </w:r>
      <w:r w:rsidR="00BF63A3" w:rsidRPr="006E6323">
        <w:rPr>
          <w:rFonts w:ascii="Times New Roman" w:eastAsia="DengXian" w:hAnsi="Times New Roman" w:cs="Times New Roman"/>
          <w:color w:val="000000"/>
        </w:rPr>
        <w:t>"bestglm"</w:t>
      </w:r>
      <w:r w:rsidR="00BF63A3">
        <w:rPr>
          <w:rFonts w:ascii="Times New Roman" w:eastAsia="DengXian" w:hAnsi="Times New Roman" w:cs="Times New Roman"/>
          <w:color w:val="000000"/>
        </w:rPr>
        <w:t xml:space="preserve"> R function and ten</w:t>
      </w:r>
      <w:r w:rsidR="00BF63A3" w:rsidRPr="006E6323">
        <w:rPr>
          <w:rFonts w:ascii="Times New Roman" w:eastAsia="DengXian" w:hAnsi="Times New Roman" w:cs="Times New Roman"/>
          <w:color w:val="000000"/>
        </w:rPr>
        <w:t>-fold cross-validation</w:t>
      </w:r>
      <w:r w:rsidRPr="006E6323">
        <w:rPr>
          <w:rFonts w:ascii="Times New Roman" w:eastAsia="DengXian" w:hAnsi="Times New Roman" w:cs="Times New Roman" w:hint="eastAsia"/>
          <w:color w:val="000000"/>
        </w:rPr>
        <w:t>.</w:t>
      </w:r>
      <w:r w:rsidRPr="006E6323">
        <w:rPr>
          <w:rFonts w:ascii="Times New Roman" w:eastAsia="DengXian" w:hAnsi="Times New Roman" w:cs="Times New Roman"/>
          <w:color w:val="000000"/>
        </w:rPr>
        <w:t xml:space="preserve"> </w:t>
      </w:r>
      <w:r w:rsidR="00BF63A3">
        <w:rPr>
          <w:rFonts w:ascii="Times New Roman" w:eastAsia="DengXian" w:hAnsi="Times New Roman" w:cs="Times New Roman"/>
          <w:color w:val="000000"/>
        </w:rPr>
        <w:t xml:space="preserve">The best feature subset of each model was determined </w:t>
      </w:r>
      <w:r w:rsidR="00BF63A3" w:rsidRPr="006E6323">
        <w:rPr>
          <w:rFonts w:ascii="Times New Roman" w:eastAsia="DengXian" w:hAnsi="Times New Roman" w:cs="Times New Roman"/>
          <w:color w:val="000000"/>
        </w:rPr>
        <w:t xml:space="preserve">based on the combinational criteria of discriminability (accuracy and </w:t>
      </w:r>
      <w:r w:rsidR="00BF63A3">
        <w:rPr>
          <w:rFonts w:ascii="Times New Roman" w:eastAsia="DengXian" w:hAnsi="Times New Roman" w:cs="Times New Roman"/>
          <w:color w:val="000000"/>
        </w:rPr>
        <w:t>AUC</w:t>
      </w:r>
      <w:r w:rsidR="00BF63A3" w:rsidRPr="006E6323">
        <w:rPr>
          <w:rFonts w:ascii="Times New Roman" w:eastAsia="DengXian" w:hAnsi="Times New Roman" w:cs="Times New Roman"/>
          <w:color w:val="000000"/>
        </w:rPr>
        <w:t>), Akaike Information Criterion</w:t>
      </w:r>
      <w:r w:rsidR="00BF63A3">
        <w:rPr>
          <w:rFonts w:ascii="Times New Roman" w:eastAsia="DengXian" w:hAnsi="Times New Roman" w:cs="Times New Roman"/>
          <w:color w:val="000000"/>
        </w:rPr>
        <w:t xml:space="preserve"> and goodness of fit evaluation. </w:t>
      </w:r>
      <w:r w:rsidR="00BF63A3" w:rsidRPr="006E6323">
        <w:rPr>
          <w:rFonts w:ascii="Times New Roman" w:eastAsia="DengXian" w:hAnsi="Times New Roman" w:cs="Times New Roman"/>
          <w:color w:val="000000"/>
        </w:rPr>
        <w:t>The "EHR+lncRNA", "lncRNA only" and "EHR only" models were developed according to their respective best feature subset in the Selection Cohort</w:t>
      </w:r>
      <w:r w:rsidR="005548FC">
        <w:rPr>
          <w:rFonts w:hint="eastAsia"/>
        </w:rPr>
        <w:t>.</w:t>
      </w:r>
      <w:r w:rsidR="005548FC" w:rsidRPr="005548FC">
        <w:rPr>
          <w:rFonts w:ascii="Times New Roman" w:eastAsia="DengXian" w:hAnsi="Times New Roman" w:cs="Times New Roman"/>
          <w:color w:val="000000"/>
        </w:rPr>
        <w:t>A cutoff of each model was determined by combining the Youden’s index and the sensitivity for the samples in the training dataset equal to or greater than 0.85.</w:t>
      </w:r>
      <w:r w:rsidRPr="006E6323">
        <w:rPr>
          <w:rFonts w:ascii="Times New Roman" w:eastAsia="DengXian" w:hAnsi="Times New Roman" w:cs="Times New Roman"/>
          <w:color w:val="000000"/>
        </w:rPr>
        <w:t xml:space="preserve"> </w:t>
      </w:r>
      <w:bookmarkStart w:id="2" w:name="_GoBack"/>
      <w:bookmarkEnd w:id="2"/>
      <w:r w:rsidRPr="006E6323">
        <w:rPr>
          <w:rFonts w:ascii="Times New Roman" w:eastAsia="DengXian" w:hAnsi="Times New Roman" w:cs="Times New Roman"/>
          <w:color w:val="000000"/>
        </w:rPr>
        <w:t>The models including their cutoff were used for evaluation of the Validation Cohort.</w:t>
      </w:r>
      <w:r w:rsidR="00BF63A3">
        <w:rPr>
          <w:rFonts w:ascii="Times New Roman" w:eastAsia="DengXian" w:hAnsi="Times New Roman" w:cs="Times New Roman"/>
          <w:color w:val="000000"/>
        </w:rPr>
        <w:t xml:space="preserve"> </w:t>
      </w:r>
    </w:p>
    <w:p w14:paraId="73F256F5" w14:textId="77777777" w:rsidR="006E6323" w:rsidRDefault="006E6323" w:rsidP="007D1ED4">
      <w:pPr>
        <w:spacing w:line="360" w:lineRule="auto"/>
        <w:outlineLvl w:val="0"/>
        <w:rPr>
          <w:rFonts w:ascii="Times New Roman" w:eastAsia="DengXian" w:hAnsi="Times New Roman" w:cs="Times New Roman"/>
          <w:color w:val="000000"/>
        </w:rPr>
      </w:pPr>
    </w:p>
    <w:p w14:paraId="1FC657DC" w14:textId="60841EB6" w:rsidR="00690C59" w:rsidRDefault="00E60864" w:rsidP="007D1ED4">
      <w:pPr>
        <w:spacing w:line="360" w:lineRule="auto"/>
        <w:outlineLvl w:val="0"/>
        <w:rPr>
          <w:rFonts w:ascii="Times New Roman" w:hAnsi="Times New Roman" w:cs="Times New Roman"/>
          <w:b/>
          <w:color w:val="000000"/>
        </w:rPr>
      </w:pPr>
      <w:r w:rsidRPr="00E60864">
        <w:rPr>
          <w:rFonts w:ascii="Times New Roman" w:hAnsi="Times New Roman" w:cs="Times New Roman"/>
          <w:b/>
          <w:color w:val="000000" w:themeColor="text1"/>
        </w:rPr>
        <w:t>4.</w:t>
      </w:r>
      <w:r w:rsidR="006E6323">
        <w:rPr>
          <w:rFonts w:ascii="Times New Roman" w:hAnsi="Times New Roman" w:cs="Times New Roman"/>
          <w:b/>
          <w:color w:val="000000" w:themeColor="text1"/>
        </w:rPr>
        <w:t>4</w:t>
      </w:r>
      <w:r w:rsidRPr="00E60864">
        <w:rPr>
          <w:rFonts w:ascii="Times New Roman" w:hAnsi="Times New Roman" w:cs="Times New Roman"/>
          <w:b/>
          <w:color w:val="000000" w:themeColor="text1"/>
        </w:rPr>
        <w:t xml:space="preserve"> </w:t>
      </w:r>
      <w:r>
        <w:rPr>
          <w:rFonts w:ascii="Times New Roman" w:hAnsi="Times New Roman" w:cs="Times New Roman"/>
          <w:b/>
          <w:color w:val="000000"/>
        </w:rPr>
        <w:t>F</w:t>
      </w:r>
      <w:r w:rsidRPr="00E60864">
        <w:rPr>
          <w:rFonts w:ascii="Times New Roman" w:hAnsi="Times New Roman" w:cs="Times New Roman"/>
          <w:b/>
          <w:color w:val="000000"/>
        </w:rPr>
        <w:t xml:space="preserve">eatures </w:t>
      </w:r>
      <w:r w:rsidR="005F4CF5">
        <w:rPr>
          <w:rFonts w:ascii="Times New Roman" w:hAnsi="Times New Roman" w:cs="Times New Roman"/>
          <w:b/>
          <w:color w:val="000000"/>
        </w:rPr>
        <w:t>included in the final models</w:t>
      </w:r>
      <w:r w:rsidR="006E6323">
        <w:rPr>
          <w:rFonts w:ascii="Times New Roman" w:hAnsi="Times New Roman" w:cs="Times New Roman"/>
          <w:b/>
          <w:color w:val="000000"/>
        </w:rPr>
        <w:t xml:space="preserve"> using the data from the Selection Cohort</w:t>
      </w:r>
    </w:p>
    <w:tbl>
      <w:tblPr>
        <w:tblpPr w:leftFromText="180" w:rightFromText="180" w:vertAnchor="text" w:horzAnchor="margin" w:tblpXSpec="center" w:tblpY="12"/>
        <w:tblW w:w="5103" w:type="dxa"/>
        <w:tblLook w:val="04A0" w:firstRow="1" w:lastRow="0" w:firstColumn="1" w:lastColumn="0" w:noHBand="0" w:noVBand="1"/>
      </w:tblPr>
      <w:tblGrid>
        <w:gridCol w:w="1631"/>
        <w:gridCol w:w="6669"/>
      </w:tblGrid>
      <w:tr w:rsidR="00E60864" w:rsidRPr="006E6323" w14:paraId="7E23FCD2" w14:textId="77777777" w:rsidTr="00EC069E">
        <w:trPr>
          <w:trHeight w:val="207"/>
        </w:trPr>
        <w:tc>
          <w:tcPr>
            <w:tcW w:w="2172" w:type="dxa"/>
            <w:tcBorders>
              <w:top w:val="single" w:sz="4" w:space="0" w:color="auto"/>
              <w:left w:val="nil"/>
              <w:bottom w:val="single" w:sz="4" w:space="0" w:color="auto"/>
              <w:right w:val="nil"/>
            </w:tcBorders>
            <w:shd w:val="clear" w:color="auto" w:fill="auto"/>
            <w:noWrap/>
            <w:vAlign w:val="center"/>
            <w:hideMark/>
          </w:tcPr>
          <w:p w14:paraId="3726CC17" w14:textId="77777777" w:rsidR="00E60864" w:rsidRPr="006E6323" w:rsidRDefault="00E60864" w:rsidP="00E60864">
            <w:pPr>
              <w:spacing w:line="360" w:lineRule="auto"/>
              <w:jc w:val="center"/>
              <w:rPr>
                <w:rFonts w:ascii="Times New Roman" w:eastAsia="DengXian" w:hAnsi="Times New Roman" w:cs="Times New Roman"/>
                <w:b/>
                <w:bCs/>
                <w:color w:val="000000"/>
                <w:sz w:val="22"/>
                <w:szCs w:val="19"/>
              </w:rPr>
            </w:pPr>
            <w:r w:rsidRPr="006E6323">
              <w:rPr>
                <w:rFonts w:ascii="Times New Roman" w:eastAsia="DengXian" w:hAnsi="Times New Roman" w:cs="Times New Roman"/>
                <w:b/>
                <w:bCs/>
                <w:color w:val="000000"/>
                <w:sz w:val="22"/>
                <w:szCs w:val="19"/>
              </w:rPr>
              <w:t>Model</w:t>
            </w:r>
          </w:p>
        </w:tc>
        <w:tc>
          <w:tcPr>
            <w:tcW w:w="9137" w:type="dxa"/>
            <w:tcBorders>
              <w:top w:val="single" w:sz="4" w:space="0" w:color="auto"/>
              <w:left w:val="nil"/>
              <w:bottom w:val="single" w:sz="4" w:space="0" w:color="auto"/>
              <w:right w:val="nil"/>
            </w:tcBorders>
            <w:shd w:val="clear" w:color="auto" w:fill="auto"/>
            <w:noWrap/>
            <w:vAlign w:val="center"/>
            <w:hideMark/>
          </w:tcPr>
          <w:p w14:paraId="667052C3" w14:textId="77777777" w:rsidR="00E60864" w:rsidRPr="006E6323" w:rsidRDefault="00E60864" w:rsidP="00E60864">
            <w:pPr>
              <w:spacing w:line="360" w:lineRule="auto"/>
              <w:jc w:val="center"/>
              <w:rPr>
                <w:rFonts w:ascii="Times New Roman" w:eastAsia="DengXian" w:hAnsi="Times New Roman" w:cs="Times New Roman"/>
                <w:b/>
                <w:bCs/>
                <w:color w:val="000000"/>
                <w:sz w:val="22"/>
                <w:szCs w:val="19"/>
              </w:rPr>
            </w:pPr>
            <w:r w:rsidRPr="006E6323">
              <w:rPr>
                <w:rFonts w:ascii="Times New Roman" w:eastAsia="DengXian" w:hAnsi="Times New Roman" w:cs="Times New Roman"/>
                <w:b/>
                <w:bCs/>
                <w:color w:val="000000"/>
                <w:sz w:val="22"/>
                <w:szCs w:val="19"/>
              </w:rPr>
              <w:t>Features</w:t>
            </w:r>
          </w:p>
        </w:tc>
      </w:tr>
      <w:tr w:rsidR="00E60864" w:rsidRPr="006E6323" w14:paraId="6397C1DB" w14:textId="77777777" w:rsidTr="00EC069E">
        <w:trPr>
          <w:trHeight w:val="208"/>
        </w:trPr>
        <w:tc>
          <w:tcPr>
            <w:tcW w:w="2172" w:type="dxa"/>
            <w:tcBorders>
              <w:top w:val="nil"/>
              <w:left w:val="nil"/>
              <w:bottom w:val="nil"/>
              <w:right w:val="nil"/>
            </w:tcBorders>
            <w:shd w:val="clear" w:color="auto" w:fill="auto"/>
            <w:noWrap/>
            <w:vAlign w:val="center"/>
            <w:hideMark/>
          </w:tcPr>
          <w:p w14:paraId="45A6F967" w14:textId="3E502820" w:rsidR="00E60864" w:rsidRPr="006E6323" w:rsidRDefault="00E60864"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color w:val="000000"/>
                <w:sz w:val="22"/>
                <w:szCs w:val="19"/>
              </w:rPr>
              <w:lastRenderedPageBreak/>
              <w:t>EHR+lncRNA</w:t>
            </w:r>
          </w:p>
        </w:tc>
        <w:tc>
          <w:tcPr>
            <w:tcW w:w="9137" w:type="dxa"/>
            <w:tcBorders>
              <w:top w:val="nil"/>
              <w:left w:val="nil"/>
              <w:bottom w:val="nil"/>
              <w:right w:val="nil"/>
            </w:tcBorders>
            <w:shd w:val="clear" w:color="auto" w:fill="auto"/>
            <w:noWrap/>
            <w:vAlign w:val="center"/>
            <w:hideMark/>
          </w:tcPr>
          <w:p w14:paraId="31BABAA9" w14:textId="77777777" w:rsidR="00E60864" w:rsidRPr="006E6323" w:rsidRDefault="00E60864"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i/>
                <w:color w:val="000000"/>
                <w:sz w:val="22"/>
                <w:szCs w:val="19"/>
              </w:rPr>
              <w:t>ENST00000497872</w:t>
            </w:r>
            <w:r w:rsidRPr="006E6323">
              <w:rPr>
                <w:rFonts w:ascii="Times New Roman" w:eastAsia="DengXian" w:hAnsi="Times New Roman" w:cs="Times New Roman"/>
                <w:color w:val="000000"/>
                <w:sz w:val="22"/>
                <w:szCs w:val="19"/>
              </w:rPr>
              <w:t xml:space="preserve">, </w:t>
            </w:r>
            <w:r w:rsidRPr="006E6323">
              <w:rPr>
                <w:rFonts w:ascii="Times New Roman" w:eastAsia="DengXian" w:hAnsi="Times New Roman" w:cs="Times New Roman"/>
                <w:i/>
                <w:color w:val="000000"/>
                <w:sz w:val="22"/>
                <w:szCs w:val="19"/>
              </w:rPr>
              <w:t>n333737</w:t>
            </w:r>
            <w:r w:rsidRPr="006E6323">
              <w:rPr>
                <w:rFonts w:ascii="Times New Roman" w:eastAsia="DengXian" w:hAnsi="Times New Roman" w:cs="Times New Roman"/>
                <w:color w:val="000000"/>
                <w:sz w:val="22"/>
                <w:szCs w:val="19"/>
              </w:rPr>
              <w:t>,</w:t>
            </w:r>
            <w:r w:rsidRPr="006E6323">
              <w:rPr>
                <w:rFonts w:ascii="Times New Roman" w:hAnsi="Times New Roman" w:cs="Times New Roman"/>
                <w:color w:val="000000"/>
                <w:sz w:val="22"/>
                <w:szCs w:val="19"/>
              </w:rPr>
              <w:t xml:space="preserve"> </w:t>
            </w:r>
            <w:r w:rsidRPr="006E6323">
              <w:rPr>
                <w:rFonts w:ascii="Times New Roman" w:eastAsia="DengXian" w:hAnsi="Times New Roman" w:cs="Times New Roman"/>
                <w:i/>
                <w:color w:val="000000"/>
                <w:sz w:val="22"/>
                <w:szCs w:val="19"/>
              </w:rPr>
              <w:t>n335265</w:t>
            </w:r>
            <w:r w:rsidRPr="006E6323">
              <w:rPr>
                <w:rFonts w:ascii="Times New Roman" w:eastAsia="DengXian" w:hAnsi="Times New Roman" w:cs="Times New Roman"/>
                <w:color w:val="000000"/>
                <w:sz w:val="22"/>
                <w:szCs w:val="19"/>
              </w:rPr>
              <w:t>, age, hemoglobin, low-grade fever, weight loss, CT calcification, TB-IGRA</w:t>
            </w:r>
          </w:p>
        </w:tc>
      </w:tr>
      <w:tr w:rsidR="00E60864" w:rsidRPr="006E6323" w14:paraId="376DCEDF" w14:textId="77777777" w:rsidTr="00EC069E">
        <w:trPr>
          <w:trHeight w:val="290"/>
        </w:trPr>
        <w:tc>
          <w:tcPr>
            <w:tcW w:w="2172" w:type="dxa"/>
            <w:tcBorders>
              <w:top w:val="nil"/>
              <w:left w:val="nil"/>
              <w:bottom w:val="nil"/>
              <w:right w:val="nil"/>
            </w:tcBorders>
            <w:shd w:val="clear" w:color="auto" w:fill="auto"/>
            <w:noWrap/>
            <w:vAlign w:val="center"/>
            <w:hideMark/>
          </w:tcPr>
          <w:p w14:paraId="4FF4CDF1" w14:textId="77777777" w:rsidR="00E60864" w:rsidRPr="006E6323" w:rsidRDefault="00E60864"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color w:val="000000"/>
                <w:sz w:val="22"/>
                <w:szCs w:val="19"/>
              </w:rPr>
              <w:t>EHR only</w:t>
            </w:r>
          </w:p>
        </w:tc>
        <w:tc>
          <w:tcPr>
            <w:tcW w:w="9137" w:type="dxa"/>
            <w:tcBorders>
              <w:top w:val="nil"/>
              <w:left w:val="nil"/>
              <w:bottom w:val="nil"/>
              <w:right w:val="nil"/>
            </w:tcBorders>
            <w:shd w:val="clear" w:color="auto" w:fill="auto"/>
            <w:noWrap/>
            <w:vAlign w:val="center"/>
            <w:hideMark/>
          </w:tcPr>
          <w:p w14:paraId="7D8D7927" w14:textId="77777777" w:rsidR="00E60864" w:rsidRPr="006E6323" w:rsidRDefault="00E60864"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color w:val="000000"/>
                <w:sz w:val="22"/>
                <w:szCs w:val="19"/>
              </w:rPr>
              <w:t xml:space="preserve">age, hemoglobin, monocyte, low-grade fever, weight loss, CT calcification, CT bronchus sign, TB-IGRA </w:t>
            </w:r>
          </w:p>
        </w:tc>
      </w:tr>
      <w:tr w:rsidR="00E60864" w:rsidRPr="006E6323" w14:paraId="1D4E2467" w14:textId="77777777" w:rsidTr="00EC069E">
        <w:trPr>
          <w:trHeight w:val="228"/>
        </w:trPr>
        <w:tc>
          <w:tcPr>
            <w:tcW w:w="2172" w:type="dxa"/>
            <w:tcBorders>
              <w:top w:val="nil"/>
              <w:left w:val="nil"/>
              <w:bottom w:val="single" w:sz="4" w:space="0" w:color="auto"/>
              <w:right w:val="nil"/>
            </w:tcBorders>
            <w:shd w:val="clear" w:color="auto" w:fill="auto"/>
            <w:noWrap/>
            <w:vAlign w:val="center"/>
            <w:hideMark/>
          </w:tcPr>
          <w:p w14:paraId="0AA604AD" w14:textId="7E218691" w:rsidR="00E60864" w:rsidRPr="006E6323" w:rsidRDefault="00230C7C"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color w:val="000000"/>
                <w:sz w:val="22"/>
                <w:szCs w:val="19"/>
              </w:rPr>
              <w:t>l</w:t>
            </w:r>
            <w:r w:rsidR="00E60864" w:rsidRPr="006E6323">
              <w:rPr>
                <w:rFonts w:ascii="Times New Roman" w:eastAsia="DengXian" w:hAnsi="Times New Roman" w:cs="Times New Roman"/>
                <w:color w:val="000000"/>
                <w:sz w:val="22"/>
                <w:szCs w:val="19"/>
              </w:rPr>
              <w:t>ncRNA only</w:t>
            </w:r>
          </w:p>
        </w:tc>
        <w:tc>
          <w:tcPr>
            <w:tcW w:w="9137" w:type="dxa"/>
            <w:tcBorders>
              <w:top w:val="nil"/>
              <w:left w:val="nil"/>
              <w:bottom w:val="single" w:sz="4" w:space="0" w:color="auto"/>
              <w:right w:val="nil"/>
            </w:tcBorders>
            <w:shd w:val="clear" w:color="auto" w:fill="auto"/>
            <w:noWrap/>
            <w:vAlign w:val="center"/>
            <w:hideMark/>
          </w:tcPr>
          <w:p w14:paraId="1E0E1526" w14:textId="77777777" w:rsidR="00E60864" w:rsidRPr="006E6323" w:rsidRDefault="00E60864" w:rsidP="00E60864">
            <w:pPr>
              <w:spacing w:line="360" w:lineRule="auto"/>
              <w:rPr>
                <w:rFonts w:ascii="Times New Roman" w:eastAsia="DengXian" w:hAnsi="Times New Roman" w:cs="Times New Roman"/>
                <w:color w:val="000000"/>
                <w:sz w:val="22"/>
                <w:szCs w:val="19"/>
              </w:rPr>
            </w:pPr>
            <w:r w:rsidRPr="006E6323">
              <w:rPr>
                <w:rFonts w:ascii="Times New Roman" w:eastAsia="DengXian" w:hAnsi="Times New Roman" w:cs="Times New Roman"/>
                <w:i/>
                <w:color w:val="000000"/>
                <w:sz w:val="22"/>
                <w:szCs w:val="19"/>
              </w:rPr>
              <w:t>ENST00000497872</w:t>
            </w:r>
            <w:r w:rsidRPr="006E6323">
              <w:rPr>
                <w:rFonts w:ascii="Times New Roman" w:eastAsia="DengXian" w:hAnsi="Times New Roman" w:cs="Times New Roman"/>
                <w:color w:val="000000"/>
                <w:sz w:val="22"/>
                <w:szCs w:val="19"/>
              </w:rPr>
              <w:t xml:space="preserve">, </w:t>
            </w:r>
            <w:r w:rsidRPr="006E6323">
              <w:rPr>
                <w:rFonts w:ascii="Times New Roman" w:eastAsia="DengXian" w:hAnsi="Times New Roman" w:cs="Times New Roman"/>
                <w:i/>
                <w:color w:val="000000"/>
                <w:sz w:val="22"/>
                <w:szCs w:val="19"/>
              </w:rPr>
              <w:t>n333737</w:t>
            </w:r>
            <w:r w:rsidRPr="006E6323">
              <w:rPr>
                <w:rFonts w:ascii="Times New Roman" w:eastAsia="DengXian" w:hAnsi="Times New Roman" w:cs="Times New Roman"/>
                <w:color w:val="000000"/>
                <w:sz w:val="22"/>
                <w:szCs w:val="19"/>
              </w:rPr>
              <w:t xml:space="preserve">, </w:t>
            </w:r>
            <w:r w:rsidRPr="006E6323">
              <w:rPr>
                <w:rFonts w:ascii="Times New Roman" w:eastAsia="DengXian" w:hAnsi="Times New Roman" w:cs="Times New Roman"/>
                <w:i/>
                <w:color w:val="000000"/>
                <w:sz w:val="22"/>
                <w:szCs w:val="19"/>
              </w:rPr>
              <w:t>n335265</w:t>
            </w:r>
          </w:p>
        </w:tc>
      </w:tr>
    </w:tbl>
    <w:p w14:paraId="17255F0D" w14:textId="503D3BA0" w:rsidR="006E6323" w:rsidRPr="006E6323" w:rsidRDefault="006E6323" w:rsidP="006E6323">
      <w:pPr>
        <w:rPr>
          <w:rFonts w:ascii="Times New Roman" w:eastAsia="DengXian" w:hAnsi="Times New Roman" w:cs="Times New Roman"/>
          <w:sz w:val="22"/>
        </w:rPr>
        <w:sectPr w:rsidR="006E6323" w:rsidRPr="006E6323" w:rsidSect="00482E2F">
          <w:pgSz w:w="11900" w:h="16840"/>
          <w:pgMar w:top="1440" w:right="1800" w:bottom="1440" w:left="1800" w:header="851" w:footer="992" w:gutter="0"/>
          <w:cols w:space="425"/>
          <w:docGrid w:type="lines" w:linePitch="423"/>
        </w:sectPr>
      </w:pPr>
      <w:r w:rsidRPr="006E6323">
        <w:rPr>
          <w:rFonts w:ascii="Times New Roman" w:eastAsia="DengXian" w:hAnsi="Times New Roman" w:cs="Times New Roman"/>
          <w:sz w:val="22"/>
        </w:rPr>
        <w:t>The cutoff probability in the Selection Cohort was 0.</w:t>
      </w:r>
      <w:r w:rsidR="003814D8">
        <w:rPr>
          <w:rFonts w:ascii="Times New Roman" w:eastAsia="DengXian" w:hAnsi="Times New Roman" w:cs="Times New Roman"/>
          <w:sz w:val="22"/>
        </w:rPr>
        <w:t>37</w:t>
      </w:r>
      <w:r w:rsidRPr="006E6323">
        <w:rPr>
          <w:rFonts w:ascii="Times New Roman" w:eastAsia="DengXian" w:hAnsi="Times New Roman" w:cs="Times New Roman"/>
          <w:sz w:val="22"/>
        </w:rPr>
        <w:t xml:space="preserve"> for "EHR+lncRNA" </w:t>
      </w:r>
      <w:r w:rsidR="003814D8">
        <w:rPr>
          <w:rFonts w:ascii="Times New Roman" w:eastAsia="DengXian" w:hAnsi="Times New Roman" w:cs="Times New Roman"/>
          <w:sz w:val="22"/>
        </w:rPr>
        <w:t>model, 0.26</w:t>
      </w:r>
      <w:r w:rsidRPr="006E6323">
        <w:rPr>
          <w:rFonts w:ascii="Times New Roman" w:eastAsia="DengXian" w:hAnsi="Times New Roman" w:cs="Times New Roman"/>
          <w:sz w:val="22"/>
        </w:rPr>
        <w:t xml:space="preserve"> for "EHR only" model, and 0.3</w:t>
      </w:r>
      <w:r w:rsidR="003814D8">
        <w:rPr>
          <w:rFonts w:ascii="Times New Roman" w:eastAsia="DengXian" w:hAnsi="Times New Roman" w:cs="Times New Roman"/>
          <w:sz w:val="22"/>
        </w:rPr>
        <w:t>2</w:t>
      </w:r>
      <w:r w:rsidRPr="006E6323">
        <w:rPr>
          <w:rFonts w:ascii="Times New Roman" w:eastAsia="DengXian" w:hAnsi="Times New Roman" w:cs="Times New Roman"/>
          <w:sz w:val="22"/>
        </w:rPr>
        <w:t xml:space="preserve"> for "lncRNA" model, respectively. The "EHR+lncRNA" formula that was developed to classify patients as PTB cases or non-TB disease controls was: -3.32 - 0.053×[age] - 0.94×log(ENST00000497872) - 0.39×log(n333737) + 1.51×[CT calcification] + 1.16×[TB-IGRA] + 1.09×[low-grade fever] + 0.014×[h</w:t>
      </w:r>
      <w:r>
        <w:rPr>
          <w:rFonts w:ascii="Times New Roman" w:eastAsia="DengXian" w:hAnsi="Times New Roman" w:cs="Times New Roman"/>
          <w:sz w:val="22"/>
        </w:rPr>
        <w:t>emoglobin] + 0.23×log(n335265)</w:t>
      </w:r>
      <w:r w:rsidRPr="006E6323">
        <w:rPr>
          <w:rFonts w:ascii="Times New Roman" w:eastAsia="DengXian" w:hAnsi="Times New Roman" w:cs="Times New Roman"/>
          <w:sz w:val="22"/>
        </w:rPr>
        <w:t xml:space="preserve"> + 0.429×[weight loss].</w:t>
      </w:r>
    </w:p>
    <w:p w14:paraId="5D7EF37A" w14:textId="070F289B" w:rsidR="00A63190" w:rsidRPr="00F15C33" w:rsidRDefault="002C0D0F" w:rsidP="007D1ED4">
      <w:pPr>
        <w:spacing w:line="360" w:lineRule="auto"/>
        <w:outlineLvl w:val="0"/>
        <w:rPr>
          <w:rFonts w:ascii="Times New Roman" w:hAnsi="Times New Roman" w:cs="Times New Roman"/>
          <w:b/>
          <w:color w:val="000000" w:themeColor="text1"/>
        </w:rPr>
      </w:pPr>
      <w:r w:rsidRPr="00A50EDE">
        <w:rPr>
          <w:rFonts w:ascii="Times New Roman" w:hAnsi="Times New Roman" w:cs="Times New Roman"/>
          <w:b/>
          <w:color w:val="000000" w:themeColor="text1"/>
        </w:rPr>
        <w:lastRenderedPageBreak/>
        <w:t xml:space="preserve">Section </w:t>
      </w:r>
      <w:r w:rsidR="00A50EDE">
        <w:rPr>
          <w:rFonts w:ascii="Times New Roman" w:hAnsi="Times New Roman" w:cs="Times New Roman"/>
          <w:b/>
          <w:color w:val="000000" w:themeColor="text1"/>
        </w:rPr>
        <w:t>5</w:t>
      </w:r>
      <w:r w:rsidR="00690C59" w:rsidRPr="00A50EDE">
        <w:rPr>
          <w:rFonts w:ascii="Times New Roman" w:hAnsi="Times New Roman" w:cs="Times New Roman"/>
          <w:b/>
          <w:color w:val="000000" w:themeColor="text1"/>
        </w:rPr>
        <w:t xml:space="preserve">. </w:t>
      </w:r>
      <w:bookmarkStart w:id="3" w:name="OLE_LINK2"/>
      <w:r w:rsidR="00A63190">
        <w:rPr>
          <w:rFonts w:ascii="Times New Roman" w:hAnsi="Times New Roman" w:cs="Times New Roman"/>
          <w:b/>
          <w:color w:val="000000" w:themeColor="text1"/>
        </w:rPr>
        <w:t xml:space="preserve">Functional </w:t>
      </w:r>
      <w:r w:rsidR="00F15C33">
        <w:rPr>
          <w:rFonts w:ascii="Times New Roman" w:hAnsi="Times New Roman" w:cs="Times New Roman"/>
          <w:b/>
          <w:color w:val="000000" w:themeColor="text1"/>
        </w:rPr>
        <w:t xml:space="preserve">analysis for </w:t>
      </w:r>
      <w:r w:rsidR="00F15C33" w:rsidRPr="003A6E07">
        <w:rPr>
          <w:rFonts w:ascii="Times New Roman" w:hAnsi="Times New Roman" w:cs="Times New Roman"/>
          <w:b/>
          <w:i/>
        </w:rPr>
        <w:t>ENST00000497872</w:t>
      </w:r>
      <w:r w:rsidR="00F15C33">
        <w:rPr>
          <w:rFonts w:ascii="Times New Roman" w:hAnsi="Times New Roman" w:cs="Times New Roman"/>
          <w:b/>
        </w:rPr>
        <w:t xml:space="preserve"> </w:t>
      </w:r>
      <w:r w:rsidR="00F15C33" w:rsidRPr="00F15C33">
        <w:rPr>
          <w:rFonts w:ascii="Times New Roman" w:hAnsi="Times New Roman" w:cs="Times New Roman"/>
          <w:b/>
        </w:rPr>
        <w:t>(hereafter referred as lnc AL)</w:t>
      </w:r>
    </w:p>
    <w:p w14:paraId="7A0A8695" w14:textId="7358F958" w:rsidR="00690C59" w:rsidRDefault="00F15C33" w:rsidP="007D1ED4">
      <w:pPr>
        <w:spacing w:line="360" w:lineRule="auto"/>
        <w:outlineLvl w:val="0"/>
        <w:rPr>
          <w:rFonts w:ascii="Times New Roman" w:hAnsi="Times New Roman" w:cs="Times New Roman"/>
          <w:b/>
          <w:color w:val="000000" w:themeColor="text1"/>
        </w:rPr>
      </w:pPr>
      <w:r>
        <w:rPr>
          <w:rFonts w:ascii="Times New Roman" w:hAnsi="Times New Roman" w:cs="Times New Roman"/>
          <w:b/>
          <w:color w:val="000000" w:themeColor="text1"/>
        </w:rPr>
        <w:t xml:space="preserve">5.1 </w:t>
      </w:r>
      <w:r w:rsidR="00690C59" w:rsidRPr="00A50EDE">
        <w:rPr>
          <w:rFonts w:ascii="Times New Roman" w:hAnsi="Times New Roman" w:cs="Times New Roman"/>
          <w:b/>
          <w:color w:val="000000" w:themeColor="text1"/>
        </w:rPr>
        <w:t>Full length of lnc AL</w:t>
      </w:r>
      <w:bookmarkEnd w:id="3"/>
    </w:p>
    <w:p w14:paraId="0E2A920B" w14:textId="326782BA" w:rsidR="00F15C33" w:rsidRPr="00F15C33" w:rsidRDefault="00F15C33" w:rsidP="00F15C33">
      <w:pPr>
        <w:spacing w:line="360" w:lineRule="auto"/>
        <w:rPr>
          <w:rFonts w:ascii="Times New Roman" w:hAnsi="Times New Roman" w:cs="Times New Roman"/>
        </w:rPr>
      </w:pPr>
      <w:r w:rsidRPr="005070FA">
        <w:rPr>
          <w:rFonts w:ascii="Times New Roman" w:hAnsi="Times New Roman" w:cs="Times New Roman"/>
        </w:rPr>
        <w:t xml:space="preserve">5′ and 3′ rapid amplification of cDNA ends (RACE) analysis were performed to obtain the full length of </w:t>
      </w:r>
      <w:r w:rsidRPr="003A6E07">
        <w:rPr>
          <w:rFonts w:ascii="Times New Roman" w:hAnsi="Times New Roman" w:cs="Times New Roman"/>
          <w:i/>
        </w:rPr>
        <w:t>ENST00000497872</w:t>
      </w:r>
      <w:r w:rsidRPr="005070FA">
        <w:rPr>
          <w:rFonts w:ascii="Times New Roman" w:hAnsi="Times New Roman" w:cs="Times New Roman"/>
        </w:rPr>
        <w:t xml:space="preserve"> (called lnc AL, for short) using the SMARTer</w:t>
      </w:r>
      <w:r w:rsidRPr="005070FA">
        <w:rPr>
          <w:rFonts w:ascii="Times New Roman" w:hAnsi="Times New Roman" w:cs="Times New Roman"/>
          <w:vertAlign w:val="superscript"/>
        </w:rPr>
        <w:t>®</w:t>
      </w:r>
      <w:r w:rsidRPr="005070FA">
        <w:rPr>
          <w:rFonts w:ascii="Times New Roman" w:hAnsi="Times New Roman" w:cs="Times New Roman"/>
        </w:rPr>
        <w:t xml:space="preserve"> RACE 5'/3' Kit (Takara, Japan) according to the manufacturer's instructions. The full length of lnc AL and the blast result with NCBI database are shown </w:t>
      </w:r>
      <w:r>
        <w:rPr>
          <w:rFonts w:ascii="Times New Roman" w:hAnsi="Times New Roman" w:cs="Times New Roman"/>
        </w:rPr>
        <w:t>below</w:t>
      </w:r>
      <w:r w:rsidRPr="005070FA">
        <w:rPr>
          <w:rFonts w:ascii="Times New Roman" w:hAnsi="Times New Roman" w:cs="Times New Roman"/>
        </w:rPr>
        <w:t>.</w:t>
      </w:r>
    </w:p>
    <w:p w14:paraId="6C90F38D" w14:textId="47C727BC" w:rsidR="00F15C33" w:rsidRPr="00F15C33" w:rsidRDefault="00690C59" w:rsidP="00F15C33">
      <w:pPr>
        <w:jc w:val="center"/>
        <w:outlineLvl w:val="0"/>
        <w:rPr>
          <w:rFonts w:ascii="Times New Roman" w:hAnsi="Times New Roman" w:cs="Times New Roman"/>
          <w:sz w:val="20"/>
          <w:szCs w:val="20"/>
        </w:rPr>
      </w:pPr>
      <w:r w:rsidRPr="004778DF">
        <w:rPr>
          <w:rFonts w:ascii="Times New Roman" w:hAnsi="Times New Roman" w:cs="Times New Roman"/>
          <w:sz w:val="20"/>
          <w:szCs w:val="20"/>
        </w:rPr>
        <w:t>ATGGGGGGCTGGGTCGGTCGGGCTAGGGCACCACCACCTTCGCTGTGACCAGCATACTGCGCGTGGCAGCCGAGGACTGGAAGAAGGGGGACACCTTCTCCTGCATGGTGGGCCACGAGGCCCTGCCGCTGGCCTTCACACAGAAGACCATCGACCGCTTGGCGGATTGGCAGATGCCGCCTCCCTATGTGGTGCTGGACTTGCCGCAGGAGACCCTGGAGGAGGAGACCCCCGGCGCCAACCTGTGGACCACCACCATCACCTTCCTCACCCTCTTCCTGCTGAGCCTGTTCTATAGCACAGCACTGACCGTGACCAGCGTCCGGGGCCCATCTGGCAACAGGGAGGGCCCCCAGTACTGAGCAGGAGCCGGCAAGGCACAGGGAGGAAGTGTGGAGGAACCTCTTGGAGAAGCCAGCTATGCTTGCCAGAACTCAGCCCTTTCAGACGTCACCGACCCGCCCTTACTCACATGCCTTCCAGGTGCAATAAAGTGGCCCCAAGGAAAAAAAAAAAAAAAAAAAAAAAAAAAA</w:t>
      </w:r>
      <w:r w:rsidR="00F15C33" w:rsidRPr="004778DF">
        <w:rPr>
          <w:rFonts w:ascii="Times New Roman" w:hAnsi="Times New Roman" w:cs="Times New Roman"/>
          <w:noProof/>
          <w:sz w:val="20"/>
          <w:szCs w:val="20"/>
        </w:rPr>
        <w:drawing>
          <wp:inline distT="0" distB="0" distL="0" distR="0" wp14:anchorId="3E4C33D5" wp14:editId="0C6D58BC">
            <wp:extent cx="3818255" cy="2125980"/>
            <wp:effectExtent l="0" t="0" r="444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rotWithShape="1">
                    <a:blip r:embed="rId12">
                      <a:extLst>
                        <a:ext uri="{28A0092B-C50C-407E-A947-70E740481C1C}">
                          <a14:useLocalDpi xmlns:a14="http://schemas.microsoft.com/office/drawing/2010/main" val="0"/>
                        </a:ext>
                      </a:extLst>
                    </a:blip>
                    <a:srcRect b="6997"/>
                    <a:stretch/>
                  </pic:blipFill>
                  <pic:spPr bwMode="auto">
                    <a:xfrm>
                      <a:off x="0" y="0"/>
                      <a:ext cx="3921476" cy="2183453"/>
                    </a:xfrm>
                    <a:prstGeom prst="rect">
                      <a:avLst/>
                    </a:prstGeom>
                    <a:noFill/>
                    <a:ln>
                      <a:noFill/>
                    </a:ln>
                    <a:effectLst/>
                    <a:extLst>
                      <a:ext uri="{53640926-AAD7-44D8-BBD7-CCE9431645EC}">
                        <a14:shadowObscured xmlns:a14="http://schemas.microsoft.com/office/drawing/2010/main"/>
                      </a:ext>
                    </a:extLst>
                  </pic:spPr>
                </pic:pic>
              </a:graphicData>
            </a:graphic>
          </wp:inline>
        </w:drawing>
      </w:r>
    </w:p>
    <w:p w14:paraId="68979FDF" w14:textId="4B3287CF" w:rsidR="002C0D0F" w:rsidRPr="004778DF" w:rsidRDefault="00690C59" w:rsidP="00F15C33">
      <w:pPr>
        <w:spacing w:line="360" w:lineRule="auto"/>
        <w:outlineLvl w:val="0"/>
        <w:rPr>
          <w:rFonts w:ascii="Times New Roman" w:eastAsia="DengXian" w:hAnsi="Times New Roman" w:cs="Times New Roman"/>
          <w:color w:val="000000"/>
          <w:sz w:val="20"/>
          <w:szCs w:val="20"/>
        </w:rPr>
      </w:pPr>
      <w:r w:rsidRPr="004778DF">
        <w:rPr>
          <w:rFonts w:ascii="Times New Roman" w:eastAsia="DengXian" w:hAnsi="Times New Roman" w:cs="Times New Roman"/>
          <w:color w:val="000000"/>
          <w:sz w:val="20"/>
          <w:szCs w:val="20"/>
        </w:rPr>
        <w:t>Note: the red arrow indicates three gaps, which may be a result of gene mutation.</w:t>
      </w:r>
    </w:p>
    <w:p w14:paraId="0A04620D" w14:textId="77777777" w:rsidR="002C0D0F" w:rsidRPr="004778DF" w:rsidRDefault="002C0D0F" w:rsidP="007D1ED4">
      <w:pPr>
        <w:spacing w:line="360" w:lineRule="auto"/>
        <w:outlineLvl w:val="0"/>
        <w:rPr>
          <w:rFonts w:ascii="Times New Roman" w:eastAsia="DengXian" w:hAnsi="Times New Roman" w:cs="Times New Roman"/>
          <w:color w:val="000000"/>
          <w:sz w:val="20"/>
          <w:szCs w:val="20"/>
        </w:rPr>
      </w:pPr>
    </w:p>
    <w:p w14:paraId="697341B9" w14:textId="26896DD7" w:rsidR="00F15C33" w:rsidRDefault="00F15C33" w:rsidP="009407AB">
      <w:pPr>
        <w:spacing w:line="360" w:lineRule="auto"/>
        <w:outlineLvl w:val="0"/>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5.2 </w:t>
      </w:r>
      <w:r w:rsidR="009407AB" w:rsidRPr="009407AB">
        <w:rPr>
          <w:rFonts w:ascii="Times New Roman" w:hAnsi="Times New Roman" w:cs="Times New Roman"/>
          <w:b/>
          <w:color w:val="000000" w:themeColor="text1"/>
        </w:rPr>
        <w:t xml:space="preserve">Construction of stable </w:t>
      </w:r>
      <w:r w:rsidR="009407AB">
        <w:rPr>
          <w:rFonts w:ascii="Times New Roman" w:hAnsi="Times New Roman" w:cs="Times New Roman"/>
          <w:b/>
          <w:color w:val="000000" w:themeColor="text1"/>
        </w:rPr>
        <w:t xml:space="preserve">THP-1 </w:t>
      </w:r>
      <w:r w:rsidR="009407AB" w:rsidRPr="009407AB">
        <w:rPr>
          <w:rFonts w:ascii="Times New Roman" w:hAnsi="Times New Roman" w:cs="Times New Roman"/>
          <w:b/>
          <w:color w:val="000000" w:themeColor="text1"/>
        </w:rPr>
        <w:t xml:space="preserve">cell lines with overexpressed and down-expressed </w:t>
      </w:r>
      <w:r w:rsidR="009407AB" w:rsidRPr="003A6E07">
        <w:rPr>
          <w:rFonts w:ascii="Times New Roman" w:hAnsi="Times New Roman" w:cs="Times New Roman"/>
          <w:b/>
          <w:i/>
          <w:color w:val="000000" w:themeColor="text1"/>
        </w:rPr>
        <w:t>ENST00000497872</w:t>
      </w:r>
      <w:r w:rsidR="009407AB" w:rsidRPr="009407AB">
        <w:rPr>
          <w:rFonts w:ascii="Times New Roman" w:hAnsi="Times New Roman" w:cs="Times New Roman"/>
          <w:b/>
          <w:color w:val="000000" w:themeColor="text1"/>
        </w:rPr>
        <w:t xml:space="preserve"> (i.e., </w:t>
      </w:r>
      <w:r w:rsidR="009407AB" w:rsidRPr="009407AB">
        <w:rPr>
          <w:rFonts w:ascii="Times New Roman" w:hAnsi="Times New Roman" w:cs="Times New Roman"/>
          <w:b/>
        </w:rPr>
        <w:t>LV-lnc AL and shRNA-lnc AL</w:t>
      </w:r>
      <w:r w:rsidR="009407AB" w:rsidRPr="009407AB">
        <w:rPr>
          <w:rFonts w:ascii="Times New Roman" w:hAnsi="Times New Roman" w:cs="Times New Roman"/>
          <w:b/>
          <w:color w:val="000000" w:themeColor="text1"/>
        </w:rPr>
        <w:t>)</w:t>
      </w:r>
    </w:p>
    <w:p w14:paraId="1D00705C" w14:textId="2BFD2C34" w:rsidR="009407AB" w:rsidRDefault="009407AB" w:rsidP="009407AB">
      <w:pPr>
        <w:spacing w:line="360" w:lineRule="auto"/>
        <w:rPr>
          <w:rFonts w:ascii="Times New Roman" w:hAnsi="Times New Roman" w:cs="Times New Roman"/>
        </w:rPr>
      </w:pPr>
      <w:r w:rsidRPr="005070FA">
        <w:rPr>
          <w:rFonts w:ascii="Times New Roman" w:hAnsi="Times New Roman" w:cs="Times New Roman"/>
        </w:rPr>
        <w:t xml:space="preserve">Based on </w:t>
      </w:r>
      <w:r>
        <w:rPr>
          <w:rFonts w:ascii="Times New Roman" w:hAnsi="Times New Roman" w:cs="Times New Roman"/>
        </w:rPr>
        <w:t>lnc AL</w:t>
      </w:r>
      <w:r w:rsidRPr="005070FA">
        <w:rPr>
          <w:rFonts w:ascii="Times New Roman" w:hAnsi="Times New Roman" w:cs="Times New Roman"/>
        </w:rPr>
        <w:t xml:space="preserve"> full length, recombinant lentivirus plasmid encoding lnc AL cDNA (named LV-lnc AL, for short), shRNA against lnc AL (named shRNA-lnc AL, for short), and negative control (LV-negative control and shRNA-negative control) were produced by GeneChem company (Shanghai, China</w:t>
      </w:r>
      <w:r>
        <w:rPr>
          <w:rFonts w:ascii="Times New Roman" w:hAnsi="Times New Roman" w:cs="Times New Roman"/>
        </w:rPr>
        <w:t xml:space="preserve">). </w:t>
      </w:r>
    </w:p>
    <w:p w14:paraId="7E2DA630" w14:textId="1E85F28D" w:rsidR="00690C59" w:rsidRPr="009407AB" w:rsidRDefault="009407AB" w:rsidP="009407AB">
      <w:pPr>
        <w:spacing w:line="360" w:lineRule="auto"/>
        <w:rPr>
          <w:rFonts w:ascii="Times New Roman" w:hAnsi="Times New Roman" w:cs="Times New Roman"/>
        </w:rPr>
      </w:pPr>
      <w:r w:rsidRPr="009407AB">
        <w:rPr>
          <w:rFonts w:ascii="Times New Roman" w:hAnsi="Times New Roman" w:cs="Times New Roman"/>
          <w:b/>
          <w:color w:val="000000" w:themeColor="text1"/>
        </w:rPr>
        <w:t xml:space="preserve">5.2.1 </w:t>
      </w:r>
      <w:r w:rsidR="00690C59" w:rsidRPr="009407AB">
        <w:rPr>
          <w:rFonts w:ascii="Times New Roman" w:hAnsi="Times New Roman" w:cs="Times New Roman"/>
          <w:b/>
          <w:color w:val="000000" w:themeColor="text1"/>
        </w:rPr>
        <w:t>Details of LV-lnc AL</w:t>
      </w:r>
      <w:r w:rsidR="00690C59" w:rsidRPr="009407AB">
        <w:rPr>
          <w:rFonts w:ascii="Times New Roman" w:hAnsi="Times New Roman" w:cs="Times New Roman"/>
          <w:b/>
          <w:i/>
        </w:rPr>
        <w:t xml:space="preserve"> </w:t>
      </w:r>
      <w:r w:rsidR="00690C59" w:rsidRPr="009407AB">
        <w:rPr>
          <w:rFonts w:ascii="Times New Roman" w:hAnsi="Times New Roman" w:cs="Times New Roman"/>
        </w:rPr>
        <w:t>(1) Lentiviral vector (LV): GV367 (Ubi-MCS-SV40-EGFP-IRES-puromycin); (2) Sequencing peak figure of LV-lnc AL.</w:t>
      </w:r>
    </w:p>
    <w:p w14:paraId="384D7A52" w14:textId="77777777" w:rsidR="00690C59" w:rsidRPr="004778DF" w:rsidRDefault="00690C59" w:rsidP="007D1ED4">
      <w:pPr>
        <w:spacing w:line="360" w:lineRule="auto"/>
        <w:jc w:val="center"/>
        <w:rPr>
          <w:rFonts w:ascii="Times New Roman" w:hAnsi="Times New Roman" w:cs="Times New Roman"/>
          <w:sz w:val="20"/>
          <w:szCs w:val="20"/>
        </w:rPr>
      </w:pPr>
      <w:r w:rsidRPr="004778DF">
        <w:rPr>
          <w:rFonts w:ascii="Times New Roman" w:hAnsi="Times New Roman" w:cs="Times New Roman"/>
          <w:noProof/>
          <w:sz w:val="20"/>
          <w:szCs w:val="20"/>
        </w:rPr>
        <w:drawing>
          <wp:inline distT="0" distB="0" distL="0" distR="0" wp14:anchorId="20AC73EA" wp14:editId="12E7A902">
            <wp:extent cx="2720975" cy="1691640"/>
            <wp:effectExtent l="0" t="0" r="0" b="10160"/>
            <wp:docPr id="12" name="图片 12" descr="../Documents/2019.2.1毕业课题/毕业课题基础实验/功能实验步骤/230和349测序图/349测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9.2.1毕业课题/毕业课题基础实验/功能实验步骤/230和349测序图/349测序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6010" cy="1707204"/>
                    </a:xfrm>
                    <a:prstGeom prst="rect">
                      <a:avLst/>
                    </a:prstGeom>
                    <a:noFill/>
                    <a:ln>
                      <a:noFill/>
                    </a:ln>
                  </pic:spPr>
                </pic:pic>
              </a:graphicData>
            </a:graphic>
          </wp:inline>
        </w:drawing>
      </w:r>
    </w:p>
    <w:p w14:paraId="008C744D" w14:textId="3D18B53E" w:rsidR="00690C59" w:rsidRPr="009407AB" w:rsidRDefault="00690C59" w:rsidP="003F3110">
      <w:pPr>
        <w:spacing w:line="360" w:lineRule="auto"/>
        <w:ind w:firstLine="420"/>
        <w:rPr>
          <w:rFonts w:ascii="Times New Roman" w:hAnsi="Times New Roman" w:cs="Times New Roman"/>
        </w:rPr>
      </w:pPr>
      <w:r w:rsidRPr="009407AB">
        <w:rPr>
          <w:rFonts w:ascii="Times New Roman" w:hAnsi="Times New Roman" w:cs="Times New Roman"/>
        </w:rPr>
        <w:t>The original sequencing file can be found at</w:t>
      </w:r>
      <w:r w:rsidR="00794CE3" w:rsidRPr="009407AB">
        <w:rPr>
          <w:rFonts w:ascii="Times New Roman" w:hAnsi="Times New Roman" w:cs="Times New Roman"/>
        </w:rPr>
        <w:t xml:space="preserve"> https://github.com/xuejiaohu123/TBdiagnosisModel/tree/master/doc/Sequencing%20file%20for%20recombinant%20lentivirus%20plasmid</w:t>
      </w:r>
      <w:r w:rsidRPr="009407AB">
        <w:rPr>
          <w:rFonts w:ascii="Times New Roman" w:hAnsi="Times New Roman" w:cs="Times New Roman"/>
        </w:rPr>
        <w:t>. (Sequencing file name: KL24349-1GV358F_D04.ab1).</w:t>
      </w:r>
      <w:r w:rsidR="00EA3316" w:rsidRPr="009407AB">
        <w:rPr>
          <w:rFonts w:ascii="Times New Roman" w:hAnsi="Times New Roman" w:cs="Times New Roman"/>
        </w:rPr>
        <w:br/>
      </w:r>
      <w:r w:rsidR="009407AB" w:rsidRPr="009407AB">
        <w:rPr>
          <w:rFonts w:ascii="Times New Roman" w:hAnsi="Times New Roman" w:cs="Times New Roman"/>
          <w:b/>
          <w:color w:val="000000" w:themeColor="text1"/>
        </w:rPr>
        <w:t>5.2.</w:t>
      </w:r>
      <w:r w:rsidR="009407AB">
        <w:rPr>
          <w:rFonts w:ascii="Times New Roman" w:hAnsi="Times New Roman" w:cs="Times New Roman"/>
          <w:b/>
          <w:color w:val="000000" w:themeColor="text1"/>
        </w:rPr>
        <w:t>2</w:t>
      </w:r>
      <w:r w:rsidR="009407AB" w:rsidRPr="009407AB">
        <w:rPr>
          <w:rFonts w:ascii="Times New Roman" w:hAnsi="Times New Roman" w:cs="Times New Roman"/>
          <w:b/>
          <w:color w:val="000000" w:themeColor="text1"/>
        </w:rPr>
        <w:t xml:space="preserve"> Details of LV-lnc AL</w:t>
      </w:r>
      <w:r w:rsidR="009407AB" w:rsidRPr="009407AB">
        <w:rPr>
          <w:rFonts w:ascii="Times New Roman" w:hAnsi="Times New Roman" w:cs="Times New Roman"/>
          <w:b/>
        </w:rPr>
        <w:t xml:space="preserve"> </w:t>
      </w:r>
      <w:r w:rsidRPr="009407AB">
        <w:rPr>
          <w:rFonts w:ascii="Times New Roman" w:hAnsi="Times New Roman" w:cs="Times New Roman"/>
          <w:b/>
        </w:rPr>
        <w:t>shRNA-lnc AL</w:t>
      </w:r>
      <w:r w:rsidRPr="009407AB">
        <w:rPr>
          <w:rFonts w:ascii="Times New Roman" w:hAnsi="Times New Roman" w:cs="Times New Roman"/>
        </w:rPr>
        <w:t xml:space="preserve"> (1) LV: GV248 (hU6-MCS-Ubiquitin-EGFP-</w:t>
      </w:r>
      <w:r w:rsidR="00030319" w:rsidRPr="009407AB">
        <w:rPr>
          <w:rFonts w:ascii="Times New Roman" w:hAnsi="Times New Roman" w:cs="Times New Roman"/>
        </w:rPr>
        <w:t>IRES-puromycin)</w:t>
      </w:r>
      <w:r w:rsidRPr="009407AB">
        <w:rPr>
          <w:rFonts w:ascii="Times New Roman" w:hAnsi="Times New Roman" w:cs="Times New Roman"/>
        </w:rPr>
        <w:t xml:space="preserve">; (2) siRNA target sequence: </w:t>
      </w:r>
      <w:r w:rsidRPr="003A6E07">
        <w:rPr>
          <w:rFonts w:ascii="Times New Roman" w:hAnsi="Times New Roman" w:cs="Times New Roman"/>
          <w:sz w:val="22"/>
          <w:szCs w:val="20"/>
        </w:rPr>
        <w:t>ACCAGCATACTGCGCGTGGCA</w:t>
      </w:r>
      <w:r w:rsidR="00030319" w:rsidRPr="009407AB">
        <w:rPr>
          <w:rFonts w:ascii="Times New Roman" w:hAnsi="Times New Roman" w:cs="Times New Roman"/>
        </w:rPr>
        <w:t xml:space="preserve">; </w:t>
      </w:r>
      <w:r w:rsidRPr="009407AB">
        <w:rPr>
          <w:rFonts w:ascii="Times New Roman" w:hAnsi="Times New Roman" w:cs="Times New Roman"/>
        </w:rPr>
        <w:t xml:space="preserve">(3) Sequencing peak figure of shRNA-lnc AL. </w:t>
      </w:r>
    </w:p>
    <w:p w14:paraId="62077D01" w14:textId="62AEB946" w:rsidR="00030319" w:rsidRPr="009407AB" w:rsidRDefault="00030319" w:rsidP="007D1ED4">
      <w:pPr>
        <w:spacing w:line="360" w:lineRule="auto"/>
        <w:jc w:val="center"/>
        <w:rPr>
          <w:rFonts w:ascii="Times New Roman" w:hAnsi="Times New Roman" w:cs="Times New Roman"/>
        </w:rPr>
      </w:pPr>
      <w:r w:rsidRPr="009407AB">
        <w:rPr>
          <w:rFonts w:ascii="Times New Roman" w:hAnsi="Times New Roman" w:cs="Times New Roman"/>
          <w:noProof/>
        </w:rPr>
        <w:lastRenderedPageBreak/>
        <w:drawing>
          <wp:inline distT="0" distB="0" distL="0" distR="0" wp14:anchorId="1568002B" wp14:editId="51DB3C8C">
            <wp:extent cx="2676525" cy="1901466"/>
            <wp:effectExtent l="0" t="0" r="0" b="3810"/>
            <wp:docPr id="10" name="图片 10" descr="../Documents/2019.2.1毕业课题/毕业课题基础实验/功能实验步骤/230和349测序图/230测序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9.2.1毕业课题/毕业课题基础实验/功能实验步骤/230和349测序图/230测序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746" cy="1922225"/>
                    </a:xfrm>
                    <a:prstGeom prst="rect">
                      <a:avLst/>
                    </a:prstGeom>
                    <a:noFill/>
                    <a:ln>
                      <a:noFill/>
                    </a:ln>
                  </pic:spPr>
                </pic:pic>
              </a:graphicData>
            </a:graphic>
          </wp:inline>
        </w:drawing>
      </w:r>
    </w:p>
    <w:p w14:paraId="08152F89" w14:textId="2ED93DA8" w:rsidR="009407AB" w:rsidRPr="00B2032A" w:rsidRDefault="00690C59" w:rsidP="003F3110">
      <w:pPr>
        <w:spacing w:line="360" w:lineRule="auto"/>
        <w:ind w:firstLine="420"/>
        <w:rPr>
          <w:rFonts w:ascii="Times New Roman" w:hAnsi="Times New Roman" w:cs="Times New Roman"/>
        </w:rPr>
      </w:pPr>
      <w:r w:rsidRPr="009407AB">
        <w:rPr>
          <w:rFonts w:ascii="Times New Roman" w:hAnsi="Times New Roman" w:cs="Times New Roman"/>
        </w:rPr>
        <w:t xml:space="preserve">The original sequencing file can be found at </w:t>
      </w:r>
      <w:r w:rsidR="00794CE3" w:rsidRPr="009407AB">
        <w:rPr>
          <w:rFonts w:ascii="Times New Roman" w:hAnsi="Times New Roman" w:cs="Times New Roman"/>
        </w:rPr>
        <w:t>https://github.com/xuejiaohu123/TBdiagnosisModel/tree/master/doc/Sequencing%20file%20for%20recombinant%20lentivirus%20plasmid</w:t>
      </w:r>
      <w:r w:rsidRPr="009407AB">
        <w:rPr>
          <w:rFonts w:ascii="Times New Roman" w:hAnsi="Times New Roman" w:cs="Times New Roman"/>
        </w:rPr>
        <w:t>. (Sequencing file name: PSC58230-1-PGCSIL-F_A03.ab1)</w:t>
      </w:r>
    </w:p>
    <w:p w14:paraId="34BFD4BB" w14:textId="17F65D06" w:rsidR="009407AB" w:rsidRPr="009209BB" w:rsidRDefault="00B2032A" w:rsidP="009407AB">
      <w:pPr>
        <w:spacing w:line="360" w:lineRule="auto"/>
        <w:rPr>
          <w:rFonts w:ascii="Times New Roman" w:hAnsi="Times New Roman" w:cs="Times New Roman"/>
        </w:rPr>
      </w:pPr>
      <w:r w:rsidRPr="009407AB">
        <w:rPr>
          <w:rFonts w:ascii="Times New Roman" w:hAnsi="Times New Roman" w:cs="Times New Roman"/>
          <w:b/>
          <w:color w:val="000000" w:themeColor="text1"/>
        </w:rPr>
        <w:t>5.2.</w:t>
      </w:r>
      <w:r>
        <w:rPr>
          <w:rFonts w:ascii="Times New Roman" w:hAnsi="Times New Roman" w:cs="Times New Roman"/>
          <w:b/>
          <w:color w:val="000000" w:themeColor="text1"/>
        </w:rPr>
        <w:t>3</w:t>
      </w:r>
      <w:r w:rsidRPr="009407AB">
        <w:rPr>
          <w:rFonts w:ascii="Times New Roman" w:hAnsi="Times New Roman" w:cs="Times New Roman"/>
          <w:b/>
          <w:color w:val="000000" w:themeColor="text1"/>
        </w:rPr>
        <w:t xml:space="preserve"> </w:t>
      </w:r>
      <w:r>
        <w:rPr>
          <w:rFonts w:ascii="Times New Roman" w:hAnsi="Times New Roman" w:cs="Times New Roman"/>
          <w:b/>
          <w:color w:val="000000" w:themeColor="text1"/>
        </w:rPr>
        <w:t>Transfection</w:t>
      </w:r>
      <w:r w:rsidRPr="009407AB">
        <w:rPr>
          <w:rFonts w:ascii="Times New Roman" w:hAnsi="Times New Roman" w:cs="Times New Roman"/>
        </w:rPr>
        <w:t xml:space="preserve"> </w:t>
      </w:r>
      <w:r w:rsidR="009407AB" w:rsidRPr="005070FA">
        <w:rPr>
          <w:rFonts w:ascii="Times New Roman" w:hAnsi="Times New Roman" w:cs="Times New Roman"/>
        </w:rPr>
        <w:t>THP-1 cells were treated with either Lv-lnc AL, shRNA-lnc AL, or negative control at multiplicities of infection (MOI) of 50 (2 × 10</w:t>
      </w:r>
      <w:r w:rsidR="009407AB" w:rsidRPr="005070FA">
        <w:rPr>
          <w:rFonts w:ascii="Times New Roman" w:hAnsi="Times New Roman" w:cs="Times New Roman"/>
          <w:vertAlign w:val="superscript"/>
        </w:rPr>
        <w:t>8</w:t>
      </w:r>
      <w:r w:rsidR="009407AB" w:rsidRPr="005070FA">
        <w:rPr>
          <w:rFonts w:ascii="Times New Roman" w:hAnsi="Times New Roman" w:cs="Times New Roman"/>
        </w:rPr>
        <w:t xml:space="preserve"> transducing units per mL) in the presence of Polybrene (Santa Cruz Biotechnology), according to the standard protocols. Stably transfected cells were selected with 1 μg/ml puromycin </w:t>
      </w:r>
      <w:r w:rsidR="009407AB" w:rsidRPr="009209BB">
        <w:rPr>
          <w:rFonts w:ascii="Times New Roman" w:hAnsi="Times New Roman" w:cs="Times New Roman"/>
        </w:rPr>
        <w:t>for 4 days and further confirmed by fluorescence microscopy and qRT-PCR.</w:t>
      </w:r>
    </w:p>
    <w:p w14:paraId="53307EF9" w14:textId="77777777" w:rsidR="009407AB" w:rsidRPr="009209BB" w:rsidRDefault="009407AB" w:rsidP="007D1ED4">
      <w:pPr>
        <w:spacing w:line="360" w:lineRule="auto"/>
        <w:rPr>
          <w:rFonts w:ascii="Times New Roman" w:hAnsi="Times New Roman" w:cs="Times New Roman"/>
        </w:rPr>
      </w:pPr>
    </w:p>
    <w:p w14:paraId="083FE272" w14:textId="77777777" w:rsidR="009209BB" w:rsidRDefault="009209BB" w:rsidP="009209BB">
      <w:pPr>
        <w:spacing w:line="360" w:lineRule="auto"/>
        <w:rPr>
          <w:rFonts w:ascii="Times New Roman" w:hAnsi="Times New Roman" w:cs="Times New Roman"/>
        </w:rPr>
      </w:pPr>
      <w:r w:rsidRPr="009209BB">
        <w:rPr>
          <w:rFonts w:ascii="Times New Roman" w:hAnsi="Times New Roman" w:cs="Times New Roman"/>
          <w:b/>
        </w:rPr>
        <w:t xml:space="preserve">5.3 </w:t>
      </w:r>
      <w:r w:rsidRPr="00D34814">
        <w:rPr>
          <w:rFonts w:ascii="Times New Roman" w:hAnsi="Times New Roman" w:cs="Times New Roman"/>
          <w:b/>
        </w:rPr>
        <w:t>MTB-</w:t>
      </w:r>
      <w:r w:rsidRPr="009209BB">
        <w:rPr>
          <w:rFonts w:ascii="Times New Roman" w:hAnsi="Times New Roman" w:cs="Times New Roman"/>
          <w:b/>
        </w:rPr>
        <w:t>infected cell model, cytokine detection, cell apoptosis and cytotoxicity analysis</w:t>
      </w:r>
      <w:r w:rsidRPr="009209BB">
        <w:rPr>
          <w:rFonts w:ascii="Times New Roman" w:hAnsi="Times New Roman" w:cs="Times New Roman"/>
        </w:rPr>
        <w:t xml:space="preserve"> </w:t>
      </w:r>
    </w:p>
    <w:p w14:paraId="1075789B" w14:textId="77777777" w:rsidR="00364490" w:rsidRDefault="009209BB" w:rsidP="009209BB">
      <w:pPr>
        <w:spacing w:line="360" w:lineRule="auto"/>
        <w:rPr>
          <w:rFonts w:ascii="Times New Roman" w:hAnsi="Times New Roman" w:cs="Times New Roman"/>
        </w:rPr>
      </w:pPr>
      <w:r w:rsidRPr="009209BB">
        <w:rPr>
          <w:rFonts w:ascii="Times New Roman" w:hAnsi="Times New Roman" w:cs="Times New Roman"/>
        </w:rPr>
        <w:t>BCG was used to imitate active MTB infection. The stably over- or down-expressing THP-1 cells (1 × 10</w:t>
      </w:r>
      <w:r w:rsidRPr="009209BB">
        <w:rPr>
          <w:rFonts w:ascii="Times New Roman" w:hAnsi="Times New Roman" w:cs="Times New Roman"/>
          <w:vertAlign w:val="superscript"/>
        </w:rPr>
        <w:t xml:space="preserve">6 </w:t>
      </w:r>
      <w:r w:rsidRPr="009209BB">
        <w:rPr>
          <w:rFonts w:ascii="Times New Roman" w:hAnsi="Times New Roman" w:cs="Times New Roman"/>
        </w:rPr>
        <w:t>cells/ml) were seeded in 6-well culture plates and allowed to differentiate at 37 ºC in 5% CO</w:t>
      </w:r>
      <w:r w:rsidRPr="009209BB">
        <w:rPr>
          <w:rFonts w:ascii="Times New Roman" w:hAnsi="Times New Roman" w:cs="Times New Roman"/>
          <w:vertAlign w:val="subscript"/>
        </w:rPr>
        <w:t>2</w:t>
      </w:r>
      <w:r w:rsidRPr="009209BB">
        <w:rPr>
          <w:rFonts w:ascii="Times New Roman" w:hAnsi="Times New Roman" w:cs="Times New Roman"/>
        </w:rPr>
        <w:t xml:space="preserve"> for 24 h in the presence of 100 nM Phorbol 12-Myristate 13-Acetate (PMA). </w:t>
      </w:r>
    </w:p>
    <w:p w14:paraId="75ACC790" w14:textId="4AAF3DE9" w:rsidR="006E3826" w:rsidRPr="007349DA" w:rsidRDefault="009209BB" w:rsidP="007D1ED4">
      <w:pPr>
        <w:spacing w:line="360" w:lineRule="auto"/>
        <w:outlineLvl w:val="0"/>
        <w:rPr>
          <w:rFonts w:ascii="Times New Roman" w:hAnsi="Times New Roman" w:cs="Times New Roman"/>
        </w:rPr>
      </w:pPr>
      <w:r w:rsidRPr="009209BB">
        <w:rPr>
          <w:rFonts w:ascii="Times New Roman" w:hAnsi="Times New Roman" w:cs="Times New Roman"/>
        </w:rPr>
        <w:lastRenderedPageBreak/>
        <w:t>THP-1 cells were divided as LV-lnc AL group (BCG + THP-1 cells with LV-lnc AL), LV-negative control group (BCG + THP-1 cells with LV-control), shRNA-lnc AL group (BCG + THP-1 cells with shRNA-lnc AL), shRNA-negative control group (BCG + THP-1 cells with shRNA-control) and blank control group (BCG + THP-1 cells). Following the treatment of THP-1cells with BCG (MOI = 5) for 4 h in solution, the infected cells were cultured for 6 h, 12 h, 24 h, 48 h, and 72 h, respectively. Cells and culture supernatants were harvested to measure the expression of lnc AL and cytokine production, respectively. The expression of lnc AL was quantified using SYBR</w:t>
      </w:r>
      <w:r w:rsidRPr="009209BB">
        <w:rPr>
          <w:rFonts w:ascii="Times New Roman" w:hAnsi="Times New Roman" w:cs="Times New Roman"/>
          <w:vertAlign w:val="superscript"/>
        </w:rPr>
        <w:t>®</w:t>
      </w:r>
      <w:r w:rsidRPr="009209BB">
        <w:rPr>
          <w:rFonts w:ascii="Times New Roman" w:hAnsi="Times New Roman" w:cs="Times New Roman"/>
        </w:rPr>
        <w:t xml:space="preserve"> Green PCR Kit (Takara, Japan), with </w:t>
      </w:r>
      <w:r w:rsidRPr="00364490">
        <w:rPr>
          <w:rFonts w:ascii="Times New Roman" w:hAnsi="Times New Roman" w:cs="Times New Roman"/>
          <w:i/>
        </w:rPr>
        <w:t>GAPDH</w:t>
      </w:r>
      <w:r w:rsidRPr="009209BB">
        <w:rPr>
          <w:rFonts w:ascii="Times New Roman" w:hAnsi="Times New Roman" w:cs="Times New Roman"/>
        </w:rPr>
        <w:t xml:space="preserve"> as the reference. ELISA reagents for the following cytokines: TNF-α, IL-1β, IL-12 p70, IL-10, IFN-γ, and IL-6 were from R&amp;D Systems (Shanghai, China). Apoptosis in the THP</w:t>
      </w:r>
      <w:r w:rsidRPr="009209BB">
        <w:rPr>
          <w:rFonts w:ascii="Cambria Math" w:hAnsi="Cambria Math" w:cs="Cambria Math"/>
        </w:rPr>
        <w:t>‑</w:t>
      </w:r>
      <w:r w:rsidRPr="009209BB">
        <w:rPr>
          <w:rFonts w:ascii="Times New Roman" w:hAnsi="Times New Roman" w:cs="Times New Roman"/>
        </w:rPr>
        <w:t xml:space="preserve">1 </w:t>
      </w:r>
      <w:proofErr w:type="gramStart"/>
      <w:r w:rsidRPr="009209BB">
        <w:rPr>
          <w:rFonts w:ascii="Times New Roman" w:hAnsi="Times New Roman" w:cs="Times New Roman"/>
        </w:rPr>
        <w:t>cells</w:t>
      </w:r>
      <w:proofErr w:type="gramEnd"/>
      <w:r w:rsidRPr="009209BB">
        <w:rPr>
          <w:rFonts w:ascii="Times New Roman" w:hAnsi="Times New Roman" w:cs="Times New Roman"/>
        </w:rPr>
        <w:t xml:space="preserve"> after 24 h infection was assessed using flow cytometry (Annexin V, 633 Apoptosis Detection Kit; DOJINDO, Shanghai, China) on the BD FACSCalibur</w:t>
      </w:r>
      <w:r w:rsidRPr="009209BB">
        <w:rPr>
          <w:rFonts w:ascii="Times New Roman" w:hAnsi="Times New Roman" w:cs="Times New Roman"/>
          <w:vertAlign w:val="superscript"/>
        </w:rPr>
        <w:t>™</w:t>
      </w:r>
      <w:r w:rsidRPr="009209BB">
        <w:rPr>
          <w:rFonts w:ascii="Times New Roman" w:hAnsi="Times New Roman" w:cs="Times New Roman"/>
        </w:rPr>
        <w:t xml:space="preserve"> platform (BD Biosciences, USA). The lactate dehydrogenase (LDH) release analysis was performed using the CytoTox 96</w:t>
      </w:r>
      <w:r w:rsidRPr="009209BB">
        <w:rPr>
          <w:rFonts w:ascii="Times New Roman" w:hAnsi="Times New Roman" w:cs="Times New Roman"/>
          <w:vertAlign w:val="superscript"/>
        </w:rPr>
        <w:t>®</w:t>
      </w:r>
      <w:r w:rsidRPr="009209BB">
        <w:rPr>
          <w:rFonts w:ascii="Times New Roman" w:hAnsi="Times New Roman" w:cs="Times New Roman"/>
        </w:rPr>
        <w:t xml:space="preserve"> Non-Radioactive Cytotoxicity Assay Kit (Promega, USA) to evaluate cell death or cytotoxicity. All experiments were performed according to the manufacturer's recommendation and independently in triplicate</w:t>
      </w:r>
      <w:r w:rsidR="001F440F">
        <w:rPr>
          <w:rFonts w:ascii="Times New Roman" w:hAnsi="Times New Roman" w:cs="Times New Roman"/>
        </w:rPr>
        <w:t>.</w:t>
      </w:r>
    </w:p>
    <w:sectPr w:rsidR="006E3826" w:rsidRPr="007349DA" w:rsidSect="00230C7C">
      <w:pgSz w:w="11900" w:h="16840"/>
      <w:pgMar w:top="1440" w:right="1800" w:bottom="1440" w:left="1800" w:header="851" w:footer="992" w:gutter="0"/>
      <w:lnNumType w:countBy="1" w:restart="continuous"/>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6C56" w14:textId="77777777" w:rsidR="00AC4C1F" w:rsidRDefault="00AC4C1F" w:rsidP="00A32632">
      <w:r>
        <w:separator/>
      </w:r>
    </w:p>
  </w:endnote>
  <w:endnote w:type="continuationSeparator" w:id="0">
    <w:p w14:paraId="08461D81" w14:textId="77777777" w:rsidR="00AC4C1F" w:rsidRDefault="00AC4C1F" w:rsidP="00A3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9630801"/>
      <w:docPartObj>
        <w:docPartGallery w:val="Page Numbers (Bottom of Page)"/>
        <w:docPartUnique/>
      </w:docPartObj>
    </w:sdtPr>
    <w:sdtEndPr>
      <w:rPr>
        <w:rStyle w:val="PageNumber"/>
      </w:rPr>
    </w:sdtEndPr>
    <w:sdtContent>
      <w:p w14:paraId="0B8033BB" w14:textId="3D008116" w:rsidR="00F065D3" w:rsidRDefault="00F065D3" w:rsidP="00F065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F357E8" w14:textId="77777777" w:rsidR="00F065D3" w:rsidRDefault="00F065D3" w:rsidP="00C55A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6751970"/>
      <w:docPartObj>
        <w:docPartGallery w:val="Page Numbers (Bottom of Page)"/>
        <w:docPartUnique/>
      </w:docPartObj>
    </w:sdtPr>
    <w:sdtEndPr>
      <w:rPr>
        <w:rStyle w:val="PageNumber"/>
      </w:rPr>
    </w:sdtEndPr>
    <w:sdtContent>
      <w:p w14:paraId="07DC94C8" w14:textId="0DD66B56" w:rsidR="00F065D3" w:rsidRDefault="00F065D3" w:rsidP="00F065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CF9037" w14:textId="77777777" w:rsidR="00F065D3" w:rsidRDefault="00F065D3" w:rsidP="00C55A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19573" w14:textId="77777777" w:rsidR="00AC4C1F" w:rsidRDefault="00AC4C1F" w:rsidP="00A32632">
      <w:r>
        <w:separator/>
      </w:r>
    </w:p>
  </w:footnote>
  <w:footnote w:type="continuationSeparator" w:id="0">
    <w:p w14:paraId="4CC38EEF" w14:textId="77777777" w:rsidR="00AC4C1F" w:rsidRDefault="00AC4C1F" w:rsidP="00A3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201A"/>
    <w:multiLevelType w:val="hybridMultilevel"/>
    <w:tmpl w:val="3DE02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E11C7B"/>
    <w:multiLevelType w:val="hybridMultilevel"/>
    <w:tmpl w:val="FAEE181E"/>
    <w:lvl w:ilvl="0" w:tplc="BC48869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0650617"/>
    <w:multiLevelType w:val="hybridMultilevel"/>
    <w:tmpl w:val="C2245CA2"/>
    <w:lvl w:ilvl="0" w:tplc="56E4C97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US" w:vendorID="64" w:dllVersion="0" w:nlCheck="1" w:checkStyle="0"/>
  <w:proofState w:grammar="clean"/>
  <w:defaultTabStop w:val="420"/>
  <w:drawingGridHorizontalSpacing w:val="120"/>
  <w:drawingGridVerticalSpacing w:val="4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BB"/>
    <w:rsid w:val="00001FF4"/>
    <w:rsid w:val="00002CD1"/>
    <w:rsid w:val="00020AC3"/>
    <w:rsid w:val="000241C1"/>
    <w:rsid w:val="000247F5"/>
    <w:rsid w:val="00027367"/>
    <w:rsid w:val="00030319"/>
    <w:rsid w:val="00031BF5"/>
    <w:rsid w:val="000337DF"/>
    <w:rsid w:val="000370A8"/>
    <w:rsid w:val="00043433"/>
    <w:rsid w:val="00045599"/>
    <w:rsid w:val="000465C2"/>
    <w:rsid w:val="000604CF"/>
    <w:rsid w:val="000619BB"/>
    <w:rsid w:val="00070670"/>
    <w:rsid w:val="000709A0"/>
    <w:rsid w:val="00080353"/>
    <w:rsid w:val="00095A5D"/>
    <w:rsid w:val="000964D6"/>
    <w:rsid w:val="00096F4D"/>
    <w:rsid w:val="000C796E"/>
    <w:rsid w:val="000D0510"/>
    <w:rsid w:val="000D64CF"/>
    <w:rsid w:val="000D6B6C"/>
    <w:rsid w:val="000E1841"/>
    <w:rsid w:val="000F1BC6"/>
    <w:rsid w:val="000F72ED"/>
    <w:rsid w:val="00101894"/>
    <w:rsid w:val="001039C7"/>
    <w:rsid w:val="001049ED"/>
    <w:rsid w:val="00105CD3"/>
    <w:rsid w:val="00106099"/>
    <w:rsid w:val="00106A51"/>
    <w:rsid w:val="00143AB4"/>
    <w:rsid w:val="00155492"/>
    <w:rsid w:val="0016292E"/>
    <w:rsid w:val="0017396C"/>
    <w:rsid w:val="00184523"/>
    <w:rsid w:val="00186D76"/>
    <w:rsid w:val="001902DB"/>
    <w:rsid w:val="0019134E"/>
    <w:rsid w:val="001921AB"/>
    <w:rsid w:val="001A5CAC"/>
    <w:rsid w:val="001A6ABB"/>
    <w:rsid w:val="001B5A44"/>
    <w:rsid w:val="001B61F5"/>
    <w:rsid w:val="001C1117"/>
    <w:rsid w:val="001D1C7E"/>
    <w:rsid w:val="001D6C16"/>
    <w:rsid w:val="001F440F"/>
    <w:rsid w:val="0020463D"/>
    <w:rsid w:val="002114A3"/>
    <w:rsid w:val="00223A68"/>
    <w:rsid w:val="00230C7C"/>
    <w:rsid w:val="00236DAA"/>
    <w:rsid w:val="00242F9C"/>
    <w:rsid w:val="0024374F"/>
    <w:rsid w:val="002644E0"/>
    <w:rsid w:val="002747DD"/>
    <w:rsid w:val="00275D4A"/>
    <w:rsid w:val="002803E3"/>
    <w:rsid w:val="00284672"/>
    <w:rsid w:val="00287E67"/>
    <w:rsid w:val="002A6871"/>
    <w:rsid w:val="002C0648"/>
    <w:rsid w:val="002C0D0F"/>
    <w:rsid w:val="002C143A"/>
    <w:rsid w:val="002C4F10"/>
    <w:rsid w:val="002C5D20"/>
    <w:rsid w:val="002C7869"/>
    <w:rsid w:val="002E1EF3"/>
    <w:rsid w:val="002E26B9"/>
    <w:rsid w:val="002F42BF"/>
    <w:rsid w:val="00310CE3"/>
    <w:rsid w:val="00311C0B"/>
    <w:rsid w:val="00320469"/>
    <w:rsid w:val="003264B5"/>
    <w:rsid w:val="00350860"/>
    <w:rsid w:val="00355653"/>
    <w:rsid w:val="00364490"/>
    <w:rsid w:val="00375AAE"/>
    <w:rsid w:val="003814D8"/>
    <w:rsid w:val="00381FEE"/>
    <w:rsid w:val="003835EB"/>
    <w:rsid w:val="003858D3"/>
    <w:rsid w:val="003A03D2"/>
    <w:rsid w:val="003A6E07"/>
    <w:rsid w:val="003B419B"/>
    <w:rsid w:val="003B711D"/>
    <w:rsid w:val="003C405B"/>
    <w:rsid w:val="003D38D1"/>
    <w:rsid w:val="003D3C29"/>
    <w:rsid w:val="003E222A"/>
    <w:rsid w:val="003F0C65"/>
    <w:rsid w:val="003F3110"/>
    <w:rsid w:val="0040324D"/>
    <w:rsid w:val="0041160B"/>
    <w:rsid w:val="004120F1"/>
    <w:rsid w:val="00413784"/>
    <w:rsid w:val="00414951"/>
    <w:rsid w:val="00422A42"/>
    <w:rsid w:val="00454779"/>
    <w:rsid w:val="00454C24"/>
    <w:rsid w:val="00476B50"/>
    <w:rsid w:val="004778DF"/>
    <w:rsid w:val="00477C4C"/>
    <w:rsid w:val="0048122A"/>
    <w:rsid w:val="00482E2F"/>
    <w:rsid w:val="00487629"/>
    <w:rsid w:val="0049426B"/>
    <w:rsid w:val="004944FF"/>
    <w:rsid w:val="00497741"/>
    <w:rsid w:val="004A4D40"/>
    <w:rsid w:val="004A5FAB"/>
    <w:rsid w:val="004B1CA1"/>
    <w:rsid w:val="004C7B01"/>
    <w:rsid w:val="004D2821"/>
    <w:rsid w:val="004D4173"/>
    <w:rsid w:val="004D4C61"/>
    <w:rsid w:val="004D7B63"/>
    <w:rsid w:val="004E2FA5"/>
    <w:rsid w:val="004E4911"/>
    <w:rsid w:val="004F0326"/>
    <w:rsid w:val="00501331"/>
    <w:rsid w:val="00504A33"/>
    <w:rsid w:val="00505EB3"/>
    <w:rsid w:val="00524D6D"/>
    <w:rsid w:val="00525FF7"/>
    <w:rsid w:val="00526308"/>
    <w:rsid w:val="00527106"/>
    <w:rsid w:val="005275ED"/>
    <w:rsid w:val="00531324"/>
    <w:rsid w:val="00542E36"/>
    <w:rsid w:val="005434EC"/>
    <w:rsid w:val="005435C8"/>
    <w:rsid w:val="005548FC"/>
    <w:rsid w:val="00560555"/>
    <w:rsid w:val="00560DC4"/>
    <w:rsid w:val="00572796"/>
    <w:rsid w:val="0057347E"/>
    <w:rsid w:val="00580B75"/>
    <w:rsid w:val="005C38AE"/>
    <w:rsid w:val="005D1144"/>
    <w:rsid w:val="005E1B69"/>
    <w:rsid w:val="005F4CF5"/>
    <w:rsid w:val="006011EC"/>
    <w:rsid w:val="00602CA4"/>
    <w:rsid w:val="00603011"/>
    <w:rsid w:val="00615B6F"/>
    <w:rsid w:val="00627719"/>
    <w:rsid w:val="00631166"/>
    <w:rsid w:val="00635D85"/>
    <w:rsid w:val="00636D60"/>
    <w:rsid w:val="00653DF9"/>
    <w:rsid w:val="00670609"/>
    <w:rsid w:val="0067287E"/>
    <w:rsid w:val="0068204C"/>
    <w:rsid w:val="00690C59"/>
    <w:rsid w:val="006933CA"/>
    <w:rsid w:val="00695EA3"/>
    <w:rsid w:val="006B235B"/>
    <w:rsid w:val="006B6D21"/>
    <w:rsid w:val="006C32B5"/>
    <w:rsid w:val="006C6C0D"/>
    <w:rsid w:val="006C780E"/>
    <w:rsid w:val="006E3826"/>
    <w:rsid w:val="006E6323"/>
    <w:rsid w:val="006F5E9C"/>
    <w:rsid w:val="00700024"/>
    <w:rsid w:val="00705E7B"/>
    <w:rsid w:val="007120BB"/>
    <w:rsid w:val="00713B59"/>
    <w:rsid w:val="007349DA"/>
    <w:rsid w:val="007411C9"/>
    <w:rsid w:val="00741817"/>
    <w:rsid w:val="00742469"/>
    <w:rsid w:val="007455DC"/>
    <w:rsid w:val="007457E3"/>
    <w:rsid w:val="00747619"/>
    <w:rsid w:val="00754C54"/>
    <w:rsid w:val="00771A40"/>
    <w:rsid w:val="007754F0"/>
    <w:rsid w:val="0078314D"/>
    <w:rsid w:val="00793ACB"/>
    <w:rsid w:val="00794CE3"/>
    <w:rsid w:val="007978C7"/>
    <w:rsid w:val="007A3C33"/>
    <w:rsid w:val="007B5AC4"/>
    <w:rsid w:val="007B6B9B"/>
    <w:rsid w:val="007D1ED4"/>
    <w:rsid w:val="007F284E"/>
    <w:rsid w:val="007F574C"/>
    <w:rsid w:val="00810574"/>
    <w:rsid w:val="008126FD"/>
    <w:rsid w:val="008174F0"/>
    <w:rsid w:val="008402BE"/>
    <w:rsid w:val="00846339"/>
    <w:rsid w:val="008526B6"/>
    <w:rsid w:val="0085767D"/>
    <w:rsid w:val="008703C8"/>
    <w:rsid w:val="00877DC0"/>
    <w:rsid w:val="008852FA"/>
    <w:rsid w:val="0089777B"/>
    <w:rsid w:val="00897E5F"/>
    <w:rsid w:val="008B182D"/>
    <w:rsid w:val="008B1B66"/>
    <w:rsid w:val="008C0090"/>
    <w:rsid w:val="008C74B2"/>
    <w:rsid w:val="008D7CA8"/>
    <w:rsid w:val="008F778C"/>
    <w:rsid w:val="0091232D"/>
    <w:rsid w:val="009209BB"/>
    <w:rsid w:val="0092302A"/>
    <w:rsid w:val="00924FCE"/>
    <w:rsid w:val="0093546A"/>
    <w:rsid w:val="009377C1"/>
    <w:rsid w:val="009407AB"/>
    <w:rsid w:val="009429FB"/>
    <w:rsid w:val="00950070"/>
    <w:rsid w:val="00952E56"/>
    <w:rsid w:val="00956CFE"/>
    <w:rsid w:val="00961BBE"/>
    <w:rsid w:val="00965BFB"/>
    <w:rsid w:val="009844C3"/>
    <w:rsid w:val="00990C98"/>
    <w:rsid w:val="009B080E"/>
    <w:rsid w:val="009B6605"/>
    <w:rsid w:val="009D40D9"/>
    <w:rsid w:val="009F21E2"/>
    <w:rsid w:val="009F52C6"/>
    <w:rsid w:val="00A00408"/>
    <w:rsid w:val="00A1139D"/>
    <w:rsid w:val="00A2008A"/>
    <w:rsid w:val="00A265EF"/>
    <w:rsid w:val="00A32632"/>
    <w:rsid w:val="00A40AAB"/>
    <w:rsid w:val="00A42024"/>
    <w:rsid w:val="00A437DC"/>
    <w:rsid w:val="00A50EDE"/>
    <w:rsid w:val="00A510E9"/>
    <w:rsid w:val="00A614D6"/>
    <w:rsid w:val="00A63190"/>
    <w:rsid w:val="00A817B7"/>
    <w:rsid w:val="00A86CF6"/>
    <w:rsid w:val="00A91188"/>
    <w:rsid w:val="00A91C0C"/>
    <w:rsid w:val="00A93347"/>
    <w:rsid w:val="00AA472F"/>
    <w:rsid w:val="00AA5707"/>
    <w:rsid w:val="00AB2F23"/>
    <w:rsid w:val="00AC2636"/>
    <w:rsid w:val="00AC4C1F"/>
    <w:rsid w:val="00AC5DB6"/>
    <w:rsid w:val="00AD69E1"/>
    <w:rsid w:val="00AE156C"/>
    <w:rsid w:val="00AE6FC6"/>
    <w:rsid w:val="00AF08AD"/>
    <w:rsid w:val="00AF30B0"/>
    <w:rsid w:val="00AF5C0A"/>
    <w:rsid w:val="00B069EB"/>
    <w:rsid w:val="00B13B9A"/>
    <w:rsid w:val="00B174BC"/>
    <w:rsid w:val="00B2032A"/>
    <w:rsid w:val="00B25777"/>
    <w:rsid w:val="00B36368"/>
    <w:rsid w:val="00B436E9"/>
    <w:rsid w:val="00B452AE"/>
    <w:rsid w:val="00B5500D"/>
    <w:rsid w:val="00B55C1B"/>
    <w:rsid w:val="00B6475B"/>
    <w:rsid w:val="00B729D7"/>
    <w:rsid w:val="00BA4BEC"/>
    <w:rsid w:val="00BA6539"/>
    <w:rsid w:val="00BB0F78"/>
    <w:rsid w:val="00BC00E6"/>
    <w:rsid w:val="00BC5946"/>
    <w:rsid w:val="00BC757C"/>
    <w:rsid w:val="00BD5314"/>
    <w:rsid w:val="00BE53EC"/>
    <w:rsid w:val="00BF2F16"/>
    <w:rsid w:val="00BF3C59"/>
    <w:rsid w:val="00BF5150"/>
    <w:rsid w:val="00BF63A3"/>
    <w:rsid w:val="00BF7B08"/>
    <w:rsid w:val="00C03239"/>
    <w:rsid w:val="00C07169"/>
    <w:rsid w:val="00C13A43"/>
    <w:rsid w:val="00C143F2"/>
    <w:rsid w:val="00C1535F"/>
    <w:rsid w:val="00C16353"/>
    <w:rsid w:val="00C25562"/>
    <w:rsid w:val="00C369C0"/>
    <w:rsid w:val="00C372EB"/>
    <w:rsid w:val="00C40E96"/>
    <w:rsid w:val="00C44BBE"/>
    <w:rsid w:val="00C4791A"/>
    <w:rsid w:val="00C55AAC"/>
    <w:rsid w:val="00C622E6"/>
    <w:rsid w:val="00C7265B"/>
    <w:rsid w:val="00C75350"/>
    <w:rsid w:val="00C7542E"/>
    <w:rsid w:val="00C8649B"/>
    <w:rsid w:val="00C874CA"/>
    <w:rsid w:val="00C97B81"/>
    <w:rsid w:val="00CA0A25"/>
    <w:rsid w:val="00CC0DCB"/>
    <w:rsid w:val="00CD2129"/>
    <w:rsid w:val="00CD50BD"/>
    <w:rsid w:val="00CD5356"/>
    <w:rsid w:val="00CE5207"/>
    <w:rsid w:val="00CE6A74"/>
    <w:rsid w:val="00CE7018"/>
    <w:rsid w:val="00D01401"/>
    <w:rsid w:val="00D03670"/>
    <w:rsid w:val="00D0542F"/>
    <w:rsid w:val="00D16B36"/>
    <w:rsid w:val="00D22056"/>
    <w:rsid w:val="00D23518"/>
    <w:rsid w:val="00D27668"/>
    <w:rsid w:val="00D310F1"/>
    <w:rsid w:val="00D316A1"/>
    <w:rsid w:val="00D34814"/>
    <w:rsid w:val="00D37276"/>
    <w:rsid w:val="00D402EF"/>
    <w:rsid w:val="00D4068A"/>
    <w:rsid w:val="00D4586A"/>
    <w:rsid w:val="00D47466"/>
    <w:rsid w:val="00D8353C"/>
    <w:rsid w:val="00D85689"/>
    <w:rsid w:val="00D9185D"/>
    <w:rsid w:val="00D91F0E"/>
    <w:rsid w:val="00D96D7D"/>
    <w:rsid w:val="00DA7427"/>
    <w:rsid w:val="00DB0476"/>
    <w:rsid w:val="00DB19BA"/>
    <w:rsid w:val="00DB3C44"/>
    <w:rsid w:val="00DC2DA3"/>
    <w:rsid w:val="00DD1D7A"/>
    <w:rsid w:val="00DD531D"/>
    <w:rsid w:val="00DD6473"/>
    <w:rsid w:val="00DE7353"/>
    <w:rsid w:val="00DF3086"/>
    <w:rsid w:val="00DF3BDD"/>
    <w:rsid w:val="00E03F58"/>
    <w:rsid w:val="00E11B6A"/>
    <w:rsid w:val="00E224D1"/>
    <w:rsid w:val="00E302B9"/>
    <w:rsid w:val="00E3292D"/>
    <w:rsid w:val="00E445E5"/>
    <w:rsid w:val="00E47556"/>
    <w:rsid w:val="00E53F32"/>
    <w:rsid w:val="00E54C9B"/>
    <w:rsid w:val="00E54D6F"/>
    <w:rsid w:val="00E558D9"/>
    <w:rsid w:val="00E559BD"/>
    <w:rsid w:val="00E55EDA"/>
    <w:rsid w:val="00E60864"/>
    <w:rsid w:val="00E62E30"/>
    <w:rsid w:val="00E801FD"/>
    <w:rsid w:val="00E8046E"/>
    <w:rsid w:val="00E85CA9"/>
    <w:rsid w:val="00E93840"/>
    <w:rsid w:val="00EA0FAA"/>
    <w:rsid w:val="00EA0FC1"/>
    <w:rsid w:val="00EA3316"/>
    <w:rsid w:val="00EA606D"/>
    <w:rsid w:val="00EB3E28"/>
    <w:rsid w:val="00EC069E"/>
    <w:rsid w:val="00EC7654"/>
    <w:rsid w:val="00ED0D33"/>
    <w:rsid w:val="00EE108A"/>
    <w:rsid w:val="00EE2CD6"/>
    <w:rsid w:val="00EF21C7"/>
    <w:rsid w:val="00EF7363"/>
    <w:rsid w:val="00F03DA6"/>
    <w:rsid w:val="00F064BD"/>
    <w:rsid w:val="00F065D3"/>
    <w:rsid w:val="00F14992"/>
    <w:rsid w:val="00F15C33"/>
    <w:rsid w:val="00F22C23"/>
    <w:rsid w:val="00F40106"/>
    <w:rsid w:val="00F47702"/>
    <w:rsid w:val="00F50A18"/>
    <w:rsid w:val="00F57892"/>
    <w:rsid w:val="00F70AC3"/>
    <w:rsid w:val="00F75293"/>
    <w:rsid w:val="00F816E6"/>
    <w:rsid w:val="00F909C3"/>
    <w:rsid w:val="00FA10AC"/>
    <w:rsid w:val="00FA29F4"/>
    <w:rsid w:val="00FA5300"/>
    <w:rsid w:val="00FA6DD5"/>
    <w:rsid w:val="00FB1AC3"/>
    <w:rsid w:val="00FB2038"/>
    <w:rsid w:val="00FB2C6F"/>
    <w:rsid w:val="00FB3677"/>
    <w:rsid w:val="00FB6290"/>
    <w:rsid w:val="00FC642B"/>
    <w:rsid w:val="00FC6580"/>
    <w:rsid w:val="00FD2484"/>
    <w:rsid w:val="00FE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E7A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7619"/>
    <w:rPr>
      <w:rFonts w:ascii="SimSun" w:eastAsia="SimSun" w:hAnsi="SimSun" w:cs="SimSun"/>
      <w:kern w:val="0"/>
    </w:rPr>
  </w:style>
  <w:style w:type="paragraph" w:styleId="Heading2">
    <w:name w:val="heading 2"/>
    <w:basedOn w:val="Normal"/>
    <w:next w:val="Normal"/>
    <w:link w:val="Heading2Char"/>
    <w:uiPriority w:val="9"/>
    <w:semiHidden/>
    <w:unhideWhenUsed/>
    <w:qFormat/>
    <w:rsid w:val="000C79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463D"/>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4D417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7E"/>
    <w:pPr>
      <w:widowControl w:val="0"/>
      <w:ind w:firstLineChars="200" w:firstLine="420"/>
      <w:jc w:val="both"/>
    </w:pPr>
    <w:rPr>
      <w:rFonts w:asciiTheme="minorHAnsi" w:hAnsiTheme="minorHAnsi" w:cstheme="minorBidi"/>
      <w:kern w:val="2"/>
    </w:rPr>
  </w:style>
  <w:style w:type="character" w:customStyle="1" w:styleId="Heading5Char">
    <w:name w:val="Heading 5 Char"/>
    <w:basedOn w:val="DefaultParagraphFont"/>
    <w:link w:val="Heading5"/>
    <w:uiPriority w:val="9"/>
    <w:rsid w:val="004D4173"/>
    <w:rPr>
      <w:rFonts w:ascii="Times New Roman" w:hAnsi="Times New Roman" w:cs="Times New Roman"/>
      <w:b/>
      <w:bCs/>
      <w:kern w:val="0"/>
      <w:sz w:val="20"/>
      <w:szCs w:val="20"/>
    </w:rPr>
  </w:style>
  <w:style w:type="paragraph" w:styleId="Footer">
    <w:name w:val="footer"/>
    <w:basedOn w:val="Normal"/>
    <w:link w:val="FooterChar"/>
    <w:uiPriority w:val="99"/>
    <w:unhideWhenUsed/>
    <w:rsid w:val="00A32632"/>
    <w:pPr>
      <w:tabs>
        <w:tab w:val="center" w:pos="4680"/>
        <w:tab w:val="right" w:pos="9360"/>
      </w:tabs>
    </w:pPr>
  </w:style>
  <w:style w:type="character" w:customStyle="1" w:styleId="FooterChar">
    <w:name w:val="Footer Char"/>
    <w:basedOn w:val="DefaultParagraphFont"/>
    <w:link w:val="Footer"/>
    <w:uiPriority w:val="99"/>
    <w:rsid w:val="00A32632"/>
    <w:rPr>
      <w:rFonts w:ascii="SimSun" w:eastAsia="SimSun" w:hAnsi="SimSun" w:cs="SimSun"/>
      <w:kern w:val="0"/>
    </w:rPr>
  </w:style>
  <w:style w:type="character" w:styleId="PageNumber">
    <w:name w:val="page number"/>
    <w:basedOn w:val="DefaultParagraphFont"/>
    <w:uiPriority w:val="99"/>
    <w:semiHidden/>
    <w:unhideWhenUsed/>
    <w:rsid w:val="00A32632"/>
  </w:style>
  <w:style w:type="paragraph" w:styleId="BalloonText">
    <w:name w:val="Balloon Text"/>
    <w:basedOn w:val="Normal"/>
    <w:link w:val="BalloonTextChar"/>
    <w:uiPriority w:val="99"/>
    <w:semiHidden/>
    <w:unhideWhenUsed/>
    <w:rsid w:val="00A326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32632"/>
    <w:rPr>
      <w:rFonts w:ascii="Times New Roman" w:eastAsia="SimSun" w:hAnsi="Times New Roman" w:cs="Times New Roman"/>
      <w:kern w:val="0"/>
      <w:sz w:val="18"/>
      <w:szCs w:val="18"/>
    </w:rPr>
  </w:style>
  <w:style w:type="character" w:customStyle="1" w:styleId="Heading3Char">
    <w:name w:val="Heading 3 Char"/>
    <w:basedOn w:val="DefaultParagraphFont"/>
    <w:link w:val="Heading3"/>
    <w:uiPriority w:val="9"/>
    <w:semiHidden/>
    <w:rsid w:val="0020463D"/>
    <w:rPr>
      <w:rFonts w:asciiTheme="majorHAnsi" w:eastAsiaTheme="majorEastAsia" w:hAnsiTheme="majorHAnsi" w:cstheme="majorBidi"/>
      <w:color w:val="1F3763" w:themeColor="accent1" w:themeShade="7F"/>
      <w:kern w:val="0"/>
    </w:rPr>
  </w:style>
  <w:style w:type="character" w:styleId="LineNumber">
    <w:name w:val="line number"/>
    <w:basedOn w:val="DefaultParagraphFont"/>
    <w:uiPriority w:val="99"/>
    <w:semiHidden/>
    <w:unhideWhenUsed/>
    <w:rsid w:val="00AF08AD"/>
  </w:style>
  <w:style w:type="character" w:customStyle="1" w:styleId="Heading2Char">
    <w:name w:val="Heading 2 Char"/>
    <w:basedOn w:val="DefaultParagraphFont"/>
    <w:link w:val="Heading2"/>
    <w:uiPriority w:val="9"/>
    <w:semiHidden/>
    <w:rsid w:val="000C796E"/>
    <w:rPr>
      <w:rFonts w:asciiTheme="majorHAnsi" w:eastAsiaTheme="majorEastAsia" w:hAnsiTheme="majorHAnsi" w:cstheme="majorBidi"/>
      <w:color w:val="2F5496" w:themeColor="accent1" w:themeShade="BF"/>
      <w:kern w:val="0"/>
      <w:sz w:val="26"/>
      <w:szCs w:val="26"/>
    </w:rPr>
  </w:style>
  <w:style w:type="character" w:customStyle="1" w:styleId="apple-converted-space">
    <w:name w:val="apple-converted-space"/>
    <w:basedOn w:val="DefaultParagraphFont"/>
    <w:rsid w:val="003E222A"/>
  </w:style>
  <w:style w:type="character" w:styleId="CommentReference">
    <w:name w:val="annotation reference"/>
    <w:basedOn w:val="DefaultParagraphFont"/>
    <w:uiPriority w:val="99"/>
    <w:semiHidden/>
    <w:unhideWhenUsed/>
    <w:rsid w:val="00236DAA"/>
    <w:rPr>
      <w:sz w:val="16"/>
      <w:szCs w:val="16"/>
    </w:rPr>
  </w:style>
  <w:style w:type="paragraph" w:styleId="CommentText">
    <w:name w:val="annotation text"/>
    <w:basedOn w:val="Normal"/>
    <w:link w:val="CommentTextChar"/>
    <w:uiPriority w:val="99"/>
    <w:semiHidden/>
    <w:unhideWhenUsed/>
    <w:rsid w:val="00236DAA"/>
    <w:rPr>
      <w:sz w:val="20"/>
      <w:szCs w:val="20"/>
    </w:rPr>
  </w:style>
  <w:style w:type="character" w:customStyle="1" w:styleId="CommentTextChar">
    <w:name w:val="Comment Text Char"/>
    <w:basedOn w:val="DefaultParagraphFont"/>
    <w:link w:val="CommentText"/>
    <w:uiPriority w:val="99"/>
    <w:semiHidden/>
    <w:rsid w:val="00236DAA"/>
    <w:rPr>
      <w:rFonts w:ascii="SimSun" w:eastAsia="SimSun" w:hAnsi="SimSun" w:cs="SimSun"/>
      <w:kern w:val="0"/>
      <w:sz w:val="20"/>
      <w:szCs w:val="20"/>
    </w:rPr>
  </w:style>
  <w:style w:type="paragraph" w:styleId="CommentSubject">
    <w:name w:val="annotation subject"/>
    <w:basedOn w:val="CommentText"/>
    <w:next w:val="CommentText"/>
    <w:link w:val="CommentSubjectChar"/>
    <w:uiPriority w:val="99"/>
    <w:semiHidden/>
    <w:unhideWhenUsed/>
    <w:rsid w:val="00236DAA"/>
    <w:rPr>
      <w:b/>
      <w:bCs/>
    </w:rPr>
  </w:style>
  <w:style w:type="character" w:customStyle="1" w:styleId="CommentSubjectChar">
    <w:name w:val="Comment Subject Char"/>
    <w:basedOn w:val="CommentTextChar"/>
    <w:link w:val="CommentSubject"/>
    <w:uiPriority w:val="99"/>
    <w:semiHidden/>
    <w:rsid w:val="00236DAA"/>
    <w:rPr>
      <w:rFonts w:ascii="SimSun" w:eastAsia="SimSun" w:hAnsi="SimSun" w:cs="SimSu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2293">
      <w:bodyDiv w:val="1"/>
      <w:marLeft w:val="0"/>
      <w:marRight w:val="0"/>
      <w:marTop w:val="0"/>
      <w:marBottom w:val="0"/>
      <w:divBdr>
        <w:top w:val="none" w:sz="0" w:space="0" w:color="auto"/>
        <w:left w:val="none" w:sz="0" w:space="0" w:color="auto"/>
        <w:bottom w:val="none" w:sz="0" w:space="0" w:color="auto"/>
        <w:right w:val="none" w:sz="0" w:space="0" w:color="auto"/>
      </w:divBdr>
    </w:div>
    <w:div w:id="158859718">
      <w:bodyDiv w:val="1"/>
      <w:marLeft w:val="0"/>
      <w:marRight w:val="0"/>
      <w:marTop w:val="0"/>
      <w:marBottom w:val="0"/>
      <w:divBdr>
        <w:top w:val="none" w:sz="0" w:space="0" w:color="auto"/>
        <w:left w:val="none" w:sz="0" w:space="0" w:color="auto"/>
        <w:bottom w:val="none" w:sz="0" w:space="0" w:color="auto"/>
        <w:right w:val="none" w:sz="0" w:space="0" w:color="auto"/>
      </w:divBdr>
    </w:div>
    <w:div w:id="168839229">
      <w:bodyDiv w:val="1"/>
      <w:marLeft w:val="0"/>
      <w:marRight w:val="0"/>
      <w:marTop w:val="0"/>
      <w:marBottom w:val="0"/>
      <w:divBdr>
        <w:top w:val="none" w:sz="0" w:space="0" w:color="auto"/>
        <w:left w:val="none" w:sz="0" w:space="0" w:color="auto"/>
        <w:bottom w:val="none" w:sz="0" w:space="0" w:color="auto"/>
        <w:right w:val="none" w:sz="0" w:space="0" w:color="auto"/>
      </w:divBdr>
      <w:divsChild>
        <w:div w:id="779642404">
          <w:marLeft w:val="0"/>
          <w:marRight w:val="0"/>
          <w:marTop w:val="0"/>
          <w:marBottom w:val="0"/>
          <w:divBdr>
            <w:top w:val="none" w:sz="0" w:space="0" w:color="auto"/>
            <w:left w:val="none" w:sz="0" w:space="0" w:color="auto"/>
            <w:bottom w:val="none" w:sz="0" w:space="0" w:color="auto"/>
            <w:right w:val="none" w:sz="0" w:space="0" w:color="auto"/>
          </w:divBdr>
          <w:divsChild>
            <w:div w:id="675958083">
              <w:marLeft w:val="0"/>
              <w:marRight w:val="0"/>
              <w:marTop w:val="0"/>
              <w:marBottom w:val="0"/>
              <w:divBdr>
                <w:top w:val="none" w:sz="0" w:space="0" w:color="auto"/>
                <w:left w:val="none" w:sz="0" w:space="0" w:color="auto"/>
                <w:bottom w:val="none" w:sz="0" w:space="0" w:color="auto"/>
                <w:right w:val="none" w:sz="0" w:space="0" w:color="auto"/>
              </w:divBdr>
              <w:divsChild>
                <w:div w:id="998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8760">
      <w:bodyDiv w:val="1"/>
      <w:marLeft w:val="0"/>
      <w:marRight w:val="0"/>
      <w:marTop w:val="0"/>
      <w:marBottom w:val="0"/>
      <w:divBdr>
        <w:top w:val="none" w:sz="0" w:space="0" w:color="auto"/>
        <w:left w:val="none" w:sz="0" w:space="0" w:color="auto"/>
        <w:bottom w:val="none" w:sz="0" w:space="0" w:color="auto"/>
        <w:right w:val="none" w:sz="0" w:space="0" w:color="auto"/>
      </w:divBdr>
    </w:div>
    <w:div w:id="234585912">
      <w:bodyDiv w:val="1"/>
      <w:marLeft w:val="0"/>
      <w:marRight w:val="0"/>
      <w:marTop w:val="0"/>
      <w:marBottom w:val="0"/>
      <w:divBdr>
        <w:top w:val="none" w:sz="0" w:space="0" w:color="auto"/>
        <w:left w:val="none" w:sz="0" w:space="0" w:color="auto"/>
        <w:bottom w:val="none" w:sz="0" w:space="0" w:color="auto"/>
        <w:right w:val="none" w:sz="0" w:space="0" w:color="auto"/>
      </w:divBdr>
    </w:div>
    <w:div w:id="243879382">
      <w:bodyDiv w:val="1"/>
      <w:marLeft w:val="0"/>
      <w:marRight w:val="0"/>
      <w:marTop w:val="0"/>
      <w:marBottom w:val="0"/>
      <w:divBdr>
        <w:top w:val="none" w:sz="0" w:space="0" w:color="auto"/>
        <w:left w:val="none" w:sz="0" w:space="0" w:color="auto"/>
        <w:bottom w:val="none" w:sz="0" w:space="0" w:color="auto"/>
        <w:right w:val="none" w:sz="0" w:space="0" w:color="auto"/>
      </w:divBdr>
    </w:div>
    <w:div w:id="257255736">
      <w:bodyDiv w:val="1"/>
      <w:marLeft w:val="0"/>
      <w:marRight w:val="0"/>
      <w:marTop w:val="0"/>
      <w:marBottom w:val="0"/>
      <w:divBdr>
        <w:top w:val="none" w:sz="0" w:space="0" w:color="auto"/>
        <w:left w:val="none" w:sz="0" w:space="0" w:color="auto"/>
        <w:bottom w:val="none" w:sz="0" w:space="0" w:color="auto"/>
        <w:right w:val="none" w:sz="0" w:space="0" w:color="auto"/>
      </w:divBdr>
    </w:div>
    <w:div w:id="281619041">
      <w:bodyDiv w:val="1"/>
      <w:marLeft w:val="0"/>
      <w:marRight w:val="0"/>
      <w:marTop w:val="0"/>
      <w:marBottom w:val="0"/>
      <w:divBdr>
        <w:top w:val="none" w:sz="0" w:space="0" w:color="auto"/>
        <w:left w:val="none" w:sz="0" w:space="0" w:color="auto"/>
        <w:bottom w:val="none" w:sz="0" w:space="0" w:color="auto"/>
        <w:right w:val="none" w:sz="0" w:space="0" w:color="auto"/>
      </w:divBdr>
    </w:div>
    <w:div w:id="680160297">
      <w:bodyDiv w:val="1"/>
      <w:marLeft w:val="0"/>
      <w:marRight w:val="0"/>
      <w:marTop w:val="0"/>
      <w:marBottom w:val="0"/>
      <w:divBdr>
        <w:top w:val="none" w:sz="0" w:space="0" w:color="auto"/>
        <w:left w:val="none" w:sz="0" w:space="0" w:color="auto"/>
        <w:bottom w:val="none" w:sz="0" w:space="0" w:color="auto"/>
        <w:right w:val="none" w:sz="0" w:space="0" w:color="auto"/>
      </w:divBdr>
    </w:div>
    <w:div w:id="763721457">
      <w:bodyDiv w:val="1"/>
      <w:marLeft w:val="0"/>
      <w:marRight w:val="0"/>
      <w:marTop w:val="0"/>
      <w:marBottom w:val="0"/>
      <w:divBdr>
        <w:top w:val="none" w:sz="0" w:space="0" w:color="auto"/>
        <w:left w:val="none" w:sz="0" w:space="0" w:color="auto"/>
        <w:bottom w:val="none" w:sz="0" w:space="0" w:color="auto"/>
        <w:right w:val="none" w:sz="0" w:space="0" w:color="auto"/>
      </w:divBdr>
    </w:div>
    <w:div w:id="951786565">
      <w:bodyDiv w:val="1"/>
      <w:marLeft w:val="0"/>
      <w:marRight w:val="0"/>
      <w:marTop w:val="0"/>
      <w:marBottom w:val="0"/>
      <w:divBdr>
        <w:top w:val="none" w:sz="0" w:space="0" w:color="auto"/>
        <w:left w:val="none" w:sz="0" w:space="0" w:color="auto"/>
        <w:bottom w:val="none" w:sz="0" w:space="0" w:color="auto"/>
        <w:right w:val="none" w:sz="0" w:space="0" w:color="auto"/>
      </w:divBdr>
    </w:div>
    <w:div w:id="1553426158">
      <w:bodyDiv w:val="1"/>
      <w:marLeft w:val="0"/>
      <w:marRight w:val="0"/>
      <w:marTop w:val="0"/>
      <w:marBottom w:val="0"/>
      <w:divBdr>
        <w:top w:val="none" w:sz="0" w:space="0" w:color="auto"/>
        <w:left w:val="none" w:sz="0" w:space="0" w:color="auto"/>
        <w:bottom w:val="none" w:sz="0" w:space="0" w:color="auto"/>
        <w:right w:val="none" w:sz="0" w:space="0" w:color="auto"/>
      </w:divBdr>
    </w:div>
    <w:div w:id="1736731949">
      <w:bodyDiv w:val="1"/>
      <w:marLeft w:val="0"/>
      <w:marRight w:val="0"/>
      <w:marTop w:val="0"/>
      <w:marBottom w:val="0"/>
      <w:divBdr>
        <w:top w:val="none" w:sz="0" w:space="0" w:color="auto"/>
        <w:left w:val="none" w:sz="0" w:space="0" w:color="auto"/>
        <w:bottom w:val="none" w:sz="0" w:space="0" w:color="auto"/>
        <w:right w:val="none" w:sz="0" w:space="0" w:color="auto"/>
      </w:divBdr>
    </w:div>
    <w:div w:id="1909419768">
      <w:bodyDiv w:val="1"/>
      <w:marLeft w:val="0"/>
      <w:marRight w:val="0"/>
      <w:marTop w:val="0"/>
      <w:marBottom w:val="0"/>
      <w:divBdr>
        <w:top w:val="none" w:sz="0" w:space="0" w:color="auto"/>
        <w:left w:val="none" w:sz="0" w:space="0" w:color="auto"/>
        <w:bottom w:val="none" w:sz="0" w:space="0" w:color="auto"/>
        <w:right w:val="none" w:sz="0" w:space="0" w:color="auto"/>
      </w:divBdr>
    </w:div>
    <w:div w:id="1921402429">
      <w:bodyDiv w:val="1"/>
      <w:marLeft w:val="0"/>
      <w:marRight w:val="0"/>
      <w:marTop w:val="0"/>
      <w:marBottom w:val="0"/>
      <w:divBdr>
        <w:top w:val="none" w:sz="0" w:space="0" w:color="auto"/>
        <w:left w:val="none" w:sz="0" w:space="0" w:color="auto"/>
        <w:bottom w:val="none" w:sz="0" w:space="0" w:color="auto"/>
        <w:right w:val="none" w:sz="0" w:space="0" w:color="auto"/>
      </w:divBdr>
    </w:div>
    <w:div w:id="1924292973">
      <w:bodyDiv w:val="1"/>
      <w:marLeft w:val="0"/>
      <w:marRight w:val="0"/>
      <w:marTop w:val="0"/>
      <w:marBottom w:val="0"/>
      <w:divBdr>
        <w:top w:val="none" w:sz="0" w:space="0" w:color="auto"/>
        <w:left w:val="none" w:sz="0" w:space="0" w:color="auto"/>
        <w:bottom w:val="none" w:sz="0" w:space="0" w:color="auto"/>
        <w:right w:val="none" w:sz="0" w:space="0" w:color="auto"/>
      </w:divBdr>
    </w:div>
    <w:div w:id="2021151560">
      <w:bodyDiv w:val="1"/>
      <w:marLeft w:val="0"/>
      <w:marRight w:val="0"/>
      <w:marTop w:val="0"/>
      <w:marBottom w:val="0"/>
      <w:divBdr>
        <w:top w:val="none" w:sz="0" w:space="0" w:color="auto"/>
        <w:left w:val="none" w:sz="0" w:space="0" w:color="auto"/>
        <w:bottom w:val="none" w:sz="0" w:space="0" w:color="auto"/>
        <w:right w:val="none" w:sz="0" w:space="0" w:color="auto"/>
      </w:divBdr>
    </w:div>
    <w:div w:id="2045710326">
      <w:bodyDiv w:val="1"/>
      <w:marLeft w:val="0"/>
      <w:marRight w:val="0"/>
      <w:marTop w:val="0"/>
      <w:marBottom w:val="0"/>
      <w:divBdr>
        <w:top w:val="none" w:sz="0" w:space="0" w:color="auto"/>
        <w:left w:val="none" w:sz="0" w:space="0" w:color="auto"/>
        <w:bottom w:val="none" w:sz="0" w:space="0" w:color="auto"/>
        <w:right w:val="none" w:sz="0" w:space="0" w:color="auto"/>
      </w:divBdr>
    </w:div>
    <w:div w:id="2055615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EF535B-7694-1948-8B54-EACB80C3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17</Pages>
  <Words>9146</Words>
  <Characters>10335</Characters>
  <Application>Microsoft Office Word</Application>
  <DocSecurity>0</DocSecurity>
  <Lines>939</Lines>
  <Paragraphs>1391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User</cp:lastModifiedBy>
  <cp:revision>182</cp:revision>
  <dcterms:created xsi:type="dcterms:W3CDTF">2018-11-21T23:03:00Z</dcterms:created>
  <dcterms:modified xsi:type="dcterms:W3CDTF">2019-10-15T10:30:00Z</dcterms:modified>
</cp:coreProperties>
</file>