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0ECE" w14:textId="002B7EBD" w:rsidR="00015F74" w:rsidRPr="00E20CF6" w:rsidRDefault="00BB2D2A" w:rsidP="00B9440A">
      <w:pPr>
        <w:pStyle w:val="SMHeading"/>
        <w:rPr>
          <w:rFonts w:ascii="Arial" w:hAnsi="Arial" w:cs="Arial"/>
          <w:sz w:val="28"/>
          <w:szCs w:val="20"/>
        </w:rPr>
      </w:pPr>
      <w:r w:rsidRPr="00E20CF6">
        <w:rPr>
          <w:rFonts w:ascii="Arial" w:hAnsi="Arial" w:cs="Arial"/>
          <w:sz w:val="28"/>
          <w:szCs w:val="20"/>
        </w:rPr>
        <w:t>Supplementary</w:t>
      </w:r>
      <w:r w:rsidR="00015F74" w:rsidRPr="00E20CF6">
        <w:rPr>
          <w:rFonts w:ascii="Arial" w:hAnsi="Arial" w:cs="Arial"/>
          <w:sz w:val="28"/>
          <w:szCs w:val="20"/>
        </w:rPr>
        <w:t xml:space="preserve"> </w:t>
      </w:r>
      <w:r w:rsidR="001C0975" w:rsidRPr="00E20CF6">
        <w:rPr>
          <w:rFonts w:ascii="Arial" w:hAnsi="Arial" w:cs="Arial"/>
          <w:sz w:val="28"/>
          <w:szCs w:val="20"/>
        </w:rPr>
        <w:t>Information</w:t>
      </w:r>
    </w:p>
    <w:p w14:paraId="41B113EE" w14:textId="2E17CB92" w:rsidR="001C0975" w:rsidRPr="00E20CF6" w:rsidRDefault="00F94284" w:rsidP="00B42F9C">
      <w:pPr>
        <w:pStyle w:val="SMSubheading"/>
        <w:rPr>
          <w:rFonts w:ascii="Arial" w:hAnsi="Arial" w:cs="Arial"/>
          <w:b/>
          <w:sz w:val="28"/>
          <w:u w:val="none"/>
        </w:rPr>
      </w:pPr>
      <w:r w:rsidRPr="00E20CF6">
        <w:rPr>
          <w:rFonts w:ascii="Arial" w:hAnsi="Arial" w:cs="Arial"/>
          <w:b/>
          <w:sz w:val="28"/>
          <w:u w:val="none"/>
        </w:rPr>
        <w:t>Method</w:t>
      </w:r>
    </w:p>
    <w:p w14:paraId="07ADEBB1" w14:textId="03A3CA8E" w:rsidR="009A2343" w:rsidRPr="009A2343" w:rsidRDefault="009A2343" w:rsidP="009A2343">
      <w:pPr>
        <w:pStyle w:val="SMHeading"/>
        <w:rPr>
          <w:rFonts w:ascii="Arial" w:hAnsi="Arial" w:cs="Arial"/>
          <w:b w:val="0"/>
          <w:sz w:val="20"/>
          <w:szCs w:val="20"/>
        </w:rPr>
      </w:pPr>
      <w:r w:rsidRPr="009A2343">
        <w:rPr>
          <w:rFonts w:ascii="Arial" w:hAnsi="Arial" w:cs="Arial"/>
          <w:sz w:val="20"/>
          <w:szCs w:val="20"/>
        </w:rPr>
        <w:t>Table S1.</w:t>
      </w:r>
      <w:r w:rsidRPr="009A2343">
        <w:rPr>
          <w:rFonts w:ascii="Arial" w:hAnsi="Arial" w:cs="Arial"/>
          <w:b w:val="0"/>
          <w:sz w:val="20"/>
          <w:szCs w:val="20"/>
        </w:rPr>
        <w:t xml:space="preserve"> List of inclusion and exclusion criteria for patients with knee pain and healthy pain-free controls</w:t>
      </w:r>
    </w:p>
    <w:tbl>
      <w:tblPr>
        <w:tblStyle w:val="TableGrid"/>
        <w:tblW w:w="0" w:type="auto"/>
        <w:tblInd w:w="-5" w:type="dxa"/>
        <w:tblLook w:val="04A0" w:firstRow="1" w:lastRow="0" w:firstColumn="1" w:lastColumn="0" w:noHBand="0" w:noVBand="1"/>
      </w:tblPr>
      <w:tblGrid>
        <w:gridCol w:w="4510"/>
        <w:gridCol w:w="4511"/>
      </w:tblGrid>
      <w:tr w:rsidR="009A2343" w:rsidRPr="009A2343" w14:paraId="7E2B7FE9" w14:textId="77777777" w:rsidTr="009A2343">
        <w:tc>
          <w:tcPr>
            <w:tcW w:w="4510" w:type="dxa"/>
          </w:tcPr>
          <w:p w14:paraId="363794CE" w14:textId="77777777" w:rsidR="009A2343" w:rsidRPr="009A2343" w:rsidRDefault="009A2343" w:rsidP="009A2343">
            <w:pPr>
              <w:rPr>
                <w:rFonts w:ascii="Arial" w:hAnsi="Arial" w:cs="Arial"/>
                <w:sz w:val="20"/>
                <w:szCs w:val="20"/>
              </w:rPr>
            </w:pPr>
            <w:r w:rsidRPr="009A2343">
              <w:rPr>
                <w:rFonts w:ascii="Arial" w:hAnsi="Arial" w:cs="Arial"/>
                <w:sz w:val="20"/>
                <w:szCs w:val="20"/>
              </w:rPr>
              <w:t>Inclusion criteria</w:t>
            </w:r>
          </w:p>
        </w:tc>
        <w:tc>
          <w:tcPr>
            <w:tcW w:w="4511" w:type="dxa"/>
          </w:tcPr>
          <w:p w14:paraId="0D5482D3" w14:textId="77777777" w:rsidR="009A2343" w:rsidRPr="009A2343" w:rsidRDefault="009A2343" w:rsidP="009A2343">
            <w:pPr>
              <w:rPr>
                <w:rFonts w:ascii="Arial" w:hAnsi="Arial" w:cs="Arial"/>
                <w:sz w:val="20"/>
                <w:szCs w:val="20"/>
              </w:rPr>
            </w:pPr>
            <w:r w:rsidRPr="009A2343">
              <w:rPr>
                <w:rFonts w:ascii="Arial" w:hAnsi="Arial" w:cs="Arial"/>
                <w:sz w:val="20"/>
                <w:szCs w:val="20"/>
              </w:rPr>
              <w:t>Exclusion criteria</w:t>
            </w:r>
          </w:p>
        </w:tc>
      </w:tr>
      <w:tr w:rsidR="009A2343" w:rsidRPr="009A2343" w14:paraId="09C04563" w14:textId="77777777" w:rsidTr="009A2343">
        <w:tc>
          <w:tcPr>
            <w:tcW w:w="4510" w:type="dxa"/>
          </w:tcPr>
          <w:p w14:paraId="65D714BD"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Must have self-reported chronic knee pain (pain for most of the day and pain for &gt;14 days/month)</w:t>
            </w:r>
          </w:p>
        </w:tc>
        <w:tc>
          <w:tcPr>
            <w:tcW w:w="4511" w:type="dxa"/>
          </w:tcPr>
          <w:p w14:paraId="074383AF"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Aged &lt; 18 years</w:t>
            </w:r>
          </w:p>
          <w:p w14:paraId="441F8F11" w14:textId="77777777" w:rsidR="009A2343" w:rsidRPr="009A2343" w:rsidRDefault="009A2343" w:rsidP="009A2343">
            <w:pPr>
              <w:pStyle w:val="ListParagraph"/>
              <w:rPr>
                <w:rFonts w:ascii="Arial" w:hAnsi="Arial" w:cs="Arial"/>
                <w:sz w:val="20"/>
                <w:szCs w:val="20"/>
              </w:rPr>
            </w:pPr>
          </w:p>
        </w:tc>
      </w:tr>
      <w:tr w:rsidR="009A2343" w:rsidRPr="009A2343" w14:paraId="7AAC038D" w14:textId="77777777" w:rsidTr="009A2343">
        <w:tc>
          <w:tcPr>
            <w:tcW w:w="4510" w:type="dxa"/>
          </w:tcPr>
          <w:p w14:paraId="3032A202"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Must be pre-operative status</w:t>
            </w:r>
          </w:p>
        </w:tc>
        <w:tc>
          <w:tcPr>
            <w:tcW w:w="4511" w:type="dxa"/>
          </w:tcPr>
          <w:p w14:paraId="217E05AA"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Pregnancy</w:t>
            </w:r>
          </w:p>
        </w:tc>
      </w:tr>
      <w:tr w:rsidR="009A2343" w:rsidRPr="009A2343" w14:paraId="5FC9310A" w14:textId="77777777" w:rsidTr="009A2343">
        <w:tc>
          <w:tcPr>
            <w:tcW w:w="4510" w:type="dxa"/>
          </w:tcPr>
          <w:p w14:paraId="34112C4A"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Knee pain was their primary pain</w:t>
            </w:r>
          </w:p>
        </w:tc>
        <w:tc>
          <w:tcPr>
            <w:tcW w:w="4511" w:type="dxa"/>
          </w:tcPr>
          <w:p w14:paraId="11DCD44C"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Major medical/neurological/psychiatric comorbidities</w:t>
            </w:r>
          </w:p>
        </w:tc>
      </w:tr>
      <w:tr w:rsidR="009A2343" w:rsidRPr="009A2343" w14:paraId="73BDBE70" w14:textId="77777777" w:rsidTr="009A2343">
        <w:tc>
          <w:tcPr>
            <w:tcW w:w="4510" w:type="dxa"/>
          </w:tcPr>
          <w:p w14:paraId="446B26C6"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Able to give informed consent</w:t>
            </w:r>
          </w:p>
        </w:tc>
        <w:tc>
          <w:tcPr>
            <w:tcW w:w="4511" w:type="dxa"/>
          </w:tcPr>
          <w:p w14:paraId="5DBB411C"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Other significant medical condition</w:t>
            </w:r>
          </w:p>
        </w:tc>
      </w:tr>
      <w:tr w:rsidR="009A2343" w:rsidRPr="009A2343" w14:paraId="65A67AA6" w14:textId="77777777" w:rsidTr="009A2343">
        <w:tc>
          <w:tcPr>
            <w:tcW w:w="4510" w:type="dxa"/>
          </w:tcPr>
          <w:p w14:paraId="513FC4C6" w14:textId="77777777" w:rsidR="009A2343" w:rsidRPr="009A2343" w:rsidRDefault="009A2343" w:rsidP="009A2343">
            <w:pPr>
              <w:rPr>
                <w:rFonts w:ascii="Arial" w:hAnsi="Arial" w:cs="Arial"/>
                <w:sz w:val="20"/>
                <w:szCs w:val="20"/>
              </w:rPr>
            </w:pPr>
          </w:p>
        </w:tc>
        <w:tc>
          <w:tcPr>
            <w:tcW w:w="4511" w:type="dxa"/>
          </w:tcPr>
          <w:p w14:paraId="166CC3F6" w14:textId="77777777" w:rsidR="009A2343" w:rsidRPr="009A2343" w:rsidRDefault="009A2343" w:rsidP="009A2343">
            <w:pPr>
              <w:pStyle w:val="ListParagraph"/>
              <w:numPr>
                <w:ilvl w:val="0"/>
                <w:numId w:val="13"/>
              </w:numPr>
              <w:contextualSpacing/>
              <w:rPr>
                <w:rFonts w:ascii="Arial" w:hAnsi="Arial" w:cs="Arial"/>
                <w:sz w:val="20"/>
                <w:szCs w:val="20"/>
              </w:rPr>
            </w:pPr>
            <w:r w:rsidRPr="009A2343">
              <w:rPr>
                <w:rFonts w:ascii="Arial" w:hAnsi="Arial" w:cs="Arial"/>
                <w:sz w:val="20"/>
                <w:szCs w:val="20"/>
              </w:rPr>
              <w:t>Metallic agents embedded in body (e.g. shrapnel, aneurysm clips)</w:t>
            </w:r>
          </w:p>
        </w:tc>
      </w:tr>
    </w:tbl>
    <w:p w14:paraId="53412467" w14:textId="485FABB9" w:rsidR="009A2343" w:rsidRDefault="009A2343" w:rsidP="009A2343">
      <w:pPr>
        <w:pStyle w:val="SMHeading"/>
        <w:rPr>
          <w:rFonts w:ascii="Arial" w:hAnsi="Arial" w:cs="Arial"/>
          <w:b w:val="0"/>
          <w:sz w:val="20"/>
          <w:szCs w:val="20"/>
        </w:rPr>
      </w:pPr>
    </w:p>
    <w:p w14:paraId="194BB199" w14:textId="77777777" w:rsidR="009A2343" w:rsidRDefault="009A2343">
      <w:pPr>
        <w:rPr>
          <w:rFonts w:ascii="Arial" w:hAnsi="Arial" w:cs="Arial"/>
          <w:bCs/>
          <w:kern w:val="32"/>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271"/>
        <w:gridCol w:w="7359"/>
      </w:tblGrid>
      <w:tr w:rsidR="009A2343" w:rsidRPr="009A2343" w14:paraId="7433C3A0" w14:textId="77777777" w:rsidTr="009A2343">
        <w:trPr>
          <w:trHeight w:val="300"/>
        </w:trPr>
        <w:tc>
          <w:tcPr>
            <w:tcW w:w="8630" w:type="dxa"/>
            <w:gridSpan w:val="2"/>
            <w:tcBorders>
              <w:top w:val="nil"/>
              <w:left w:val="nil"/>
              <w:right w:val="nil"/>
            </w:tcBorders>
          </w:tcPr>
          <w:p w14:paraId="08926B87" w14:textId="6E4223B8" w:rsidR="009A2343" w:rsidRPr="009A2343" w:rsidRDefault="009A2343" w:rsidP="009A2343">
            <w:pPr>
              <w:pStyle w:val="SMHeading"/>
              <w:spacing w:before="0" w:after="0"/>
              <w:rPr>
                <w:rFonts w:ascii="Arial" w:hAnsi="Arial" w:cs="Arial"/>
                <w:b w:val="0"/>
                <w:sz w:val="20"/>
                <w:szCs w:val="20"/>
              </w:rPr>
            </w:pPr>
            <w:r w:rsidRPr="00840BB2">
              <w:rPr>
                <w:rFonts w:ascii="Arial" w:hAnsi="Arial" w:cs="Arial"/>
                <w:sz w:val="20"/>
                <w:szCs w:val="20"/>
              </w:rPr>
              <w:lastRenderedPageBreak/>
              <w:t xml:space="preserve">Table S2. </w:t>
            </w:r>
            <w:r w:rsidRPr="009A2343">
              <w:rPr>
                <w:rFonts w:ascii="Arial" w:hAnsi="Arial" w:cs="Arial"/>
                <w:b w:val="0"/>
                <w:sz w:val="20"/>
                <w:szCs w:val="20"/>
              </w:rPr>
              <w:t>List</w:t>
            </w:r>
            <w:r>
              <w:rPr>
                <w:rFonts w:ascii="Arial" w:hAnsi="Arial" w:cs="Arial"/>
                <w:b w:val="0"/>
                <w:sz w:val="20"/>
                <w:szCs w:val="20"/>
              </w:rPr>
              <w:t xml:space="preserve"> of medication taken by patients</w:t>
            </w:r>
          </w:p>
        </w:tc>
      </w:tr>
      <w:tr w:rsidR="009A2343" w:rsidRPr="009A2343" w14:paraId="3E82BC7D" w14:textId="77777777" w:rsidTr="009A2343">
        <w:trPr>
          <w:trHeight w:val="300"/>
        </w:trPr>
        <w:tc>
          <w:tcPr>
            <w:tcW w:w="1271" w:type="dxa"/>
          </w:tcPr>
          <w:p w14:paraId="51E3ADF2"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Participant</w:t>
            </w:r>
          </w:p>
        </w:tc>
        <w:tc>
          <w:tcPr>
            <w:tcW w:w="7359" w:type="dxa"/>
            <w:noWrap/>
          </w:tcPr>
          <w:p w14:paraId="269508E3"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Medication taken</w:t>
            </w:r>
          </w:p>
        </w:tc>
      </w:tr>
      <w:tr w:rsidR="009A2343" w:rsidRPr="009A2343" w14:paraId="23E50090" w14:textId="77777777" w:rsidTr="009A2343">
        <w:trPr>
          <w:trHeight w:val="300"/>
        </w:trPr>
        <w:tc>
          <w:tcPr>
            <w:tcW w:w="1271" w:type="dxa"/>
            <w:vAlign w:val="bottom"/>
          </w:tcPr>
          <w:p w14:paraId="3885E0F3"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w:t>
            </w:r>
          </w:p>
        </w:tc>
        <w:tc>
          <w:tcPr>
            <w:tcW w:w="7359" w:type="dxa"/>
            <w:noWrap/>
            <w:hideMark/>
          </w:tcPr>
          <w:p w14:paraId="0313A671"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 xml:space="preserve">Levothyroxine, Omeprazole, iron supplement </w:t>
            </w:r>
          </w:p>
        </w:tc>
      </w:tr>
      <w:tr w:rsidR="009A2343" w:rsidRPr="009A2343" w14:paraId="3E11E9ED" w14:textId="77777777" w:rsidTr="009A2343">
        <w:trPr>
          <w:trHeight w:val="300"/>
        </w:trPr>
        <w:tc>
          <w:tcPr>
            <w:tcW w:w="1271" w:type="dxa"/>
            <w:vAlign w:val="bottom"/>
          </w:tcPr>
          <w:p w14:paraId="2353610B"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w:t>
            </w:r>
          </w:p>
        </w:tc>
        <w:tc>
          <w:tcPr>
            <w:tcW w:w="7359" w:type="dxa"/>
            <w:noWrap/>
            <w:hideMark/>
          </w:tcPr>
          <w:p w14:paraId="50BEAD7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none</w:t>
            </w:r>
          </w:p>
        </w:tc>
      </w:tr>
      <w:tr w:rsidR="009A2343" w:rsidRPr="009A2343" w14:paraId="10FA1CC5" w14:textId="77777777" w:rsidTr="009A2343">
        <w:trPr>
          <w:trHeight w:val="300"/>
        </w:trPr>
        <w:tc>
          <w:tcPr>
            <w:tcW w:w="1271" w:type="dxa"/>
            <w:vAlign w:val="bottom"/>
          </w:tcPr>
          <w:p w14:paraId="50480350"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w:t>
            </w:r>
          </w:p>
        </w:tc>
        <w:tc>
          <w:tcPr>
            <w:tcW w:w="7359" w:type="dxa"/>
            <w:noWrap/>
            <w:hideMark/>
          </w:tcPr>
          <w:p w14:paraId="75B3E236"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ibuprofen (1 x 400mg 3 hours before visit), atorvastatin, lansoprazole, cetirizine</w:t>
            </w:r>
          </w:p>
        </w:tc>
      </w:tr>
      <w:tr w:rsidR="009A2343" w:rsidRPr="009A2343" w14:paraId="47DB0F81" w14:textId="77777777" w:rsidTr="009A2343">
        <w:trPr>
          <w:trHeight w:val="300"/>
        </w:trPr>
        <w:tc>
          <w:tcPr>
            <w:tcW w:w="1271" w:type="dxa"/>
            <w:vAlign w:val="bottom"/>
          </w:tcPr>
          <w:p w14:paraId="662E5B73"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4</w:t>
            </w:r>
          </w:p>
        </w:tc>
        <w:tc>
          <w:tcPr>
            <w:tcW w:w="7359" w:type="dxa"/>
            <w:noWrap/>
            <w:hideMark/>
          </w:tcPr>
          <w:p w14:paraId="1B77393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fibrogel, trospium chloride</w:t>
            </w:r>
          </w:p>
        </w:tc>
      </w:tr>
      <w:tr w:rsidR="009A2343" w:rsidRPr="009A2343" w14:paraId="4DDC202A" w14:textId="77777777" w:rsidTr="009A2343">
        <w:trPr>
          <w:trHeight w:val="300"/>
        </w:trPr>
        <w:tc>
          <w:tcPr>
            <w:tcW w:w="1271" w:type="dxa"/>
            <w:vAlign w:val="bottom"/>
          </w:tcPr>
          <w:p w14:paraId="39EEB2DD"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5</w:t>
            </w:r>
          </w:p>
        </w:tc>
        <w:tc>
          <w:tcPr>
            <w:tcW w:w="7359" w:type="dxa"/>
            <w:noWrap/>
            <w:hideMark/>
          </w:tcPr>
          <w:p w14:paraId="15508A73"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 xml:space="preserve">atenolol 50mg, ramipril 10mg, </w:t>
            </w:r>
          </w:p>
        </w:tc>
      </w:tr>
      <w:tr w:rsidR="009A2343" w:rsidRPr="009A2343" w14:paraId="1DD9B239" w14:textId="77777777" w:rsidTr="009A2343">
        <w:trPr>
          <w:trHeight w:val="300"/>
        </w:trPr>
        <w:tc>
          <w:tcPr>
            <w:tcW w:w="1271" w:type="dxa"/>
            <w:vAlign w:val="bottom"/>
          </w:tcPr>
          <w:p w14:paraId="10CAC28D"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6</w:t>
            </w:r>
          </w:p>
        </w:tc>
        <w:tc>
          <w:tcPr>
            <w:tcW w:w="7359" w:type="dxa"/>
            <w:noWrap/>
            <w:hideMark/>
          </w:tcPr>
          <w:p w14:paraId="4D966627"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metformin 500mg, NovoRapid FlexPen 100mg, marol 100mg, candesartan 16mg, tramadol 50mg (taken 6 hours before visit), aspirin 75mg , bendroflomethiazide 2.5mg, fenbid 5% gel, lanzoprozole 15mg, lantus 100 units, laxido orange powder sachets, paracetamol 500mg (taken 6 hours before visit)</w:t>
            </w:r>
          </w:p>
        </w:tc>
      </w:tr>
      <w:tr w:rsidR="009A2343" w:rsidRPr="009A2343" w14:paraId="043BE656" w14:textId="77777777" w:rsidTr="009A2343">
        <w:trPr>
          <w:trHeight w:val="300"/>
        </w:trPr>
        <w:tc>
          <w:tcPr>
            <w:tcW w:w="1271" w:type="dxa"/>
            <w:vAlign w:val="bottom"/>
          </w:tcPr>
          <w:p w14:paraId="4396F632"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7</w:t>
            </w:r>
          </w:p>
        </w:tc>
        <w:tc>
          <w:tcPr>
            <w:tcW w:w="7359" w:type="dxa"/>
            <w:noWrap/>
            <w:hideMark/>
          </w:tcPr>
          <w:p w14:paraId="116FAC91"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codeine phosphate 2 x 30 mg/day, simvastatin 40mg, amitriptyline 10mg, voltarol  gel , paracetamol</w:t>
            </w:r>
          </w:p>
        </w:tc>
      </w:tr>
      <w:tr w:rsidR="009A2343" w:rsidRPr="009A2343" w14:paraId="64384C05" w14:textId="77777777" w:rsidTr="009A2343">
        <w:trPr>
          <w:trHeight w:val="300"/>
        </w:trPr>
        <w:tc>
          <w:tcPr>
            <w:tcW w:w="1271" w:type="dxa"/>
            <w:vAlign w:val="bottom"/>
          </w:tcPr>
          <w:p w14:paraId="09001270"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8</w:t>
            </w:r>
          </w:p>
        </w:tc>
        <w:tc>
          <w:tcPr>
            <w:tcW w:w="7359" w:type="dxa"/>
            <w:noWrap/>
            <w:hideMark/>
          </w:tcPr>
          <w:p w14:paraId="62D01812"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ramipril 5mg, amipril 5mg, glucosamine &amp; cod liver oil and garlic tablet</w:t>
            </w:r>
          </w:p>
        </w:tc>
      </w:tr>
      <w:tr w:rsidR="009A2343" w:rsidRPr="009A2343" w14:paraId="790D4E2C" w14:textId="77777777" w:rsidTr="009A2343">
        <w:trPr>
          <w:trHeight w:val="300"/>
        </w:trPr>
        <w:tc>
          <w:tcPr>
            <w:tcW w:w="1271" w:type="dxa"/>
            <w:vAlign w:val="bottom"/>
          </w:tcPr>
          <w:p w14:paraId="5EC941B8"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9</w:t>
            </w:r>
          </w:p>
        </w:tc>
        <w:tc>
          <w:tcPr>
            <w:tcW w:w="7359" w:type="dxa"/>
            <w:noWrap/>
            <w:hideMark/>
          </w:tcPr>
          <w:p w14:paraId="69EB0AE1"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paracetamol 1000mg (&gt;4 hours before visit)</w:t>
            </w:r>
          </w:p>
        </w:tc>
      </w:tr>
      <w:tr w:rsidR="009A2343" w:rsidRPr="009A2343" w14:paraId="098CF559" w14:textId="77777777" w:rsidTr="009A2343">
        <w:trPr>
          <w:trHeight w:val="300"/>
        </w:trPr>
        <w:tc>
          <w:tcPr>
            <w:tcW w:w="1271" w:type="dxa"/>
            <w:vAlign w:val="bottom"/>
          </w:tcPr>
          <w:p w14:paraId="0E7CF888"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10</w:t>
            </w:r>
          </w:p>
        </w:tc>
        <w:tc>
          <w:tcPr>
            <w:tcW w:w="7359" w:type="dxa"/>
            <w:noWrap/>
            <w:hideMark/>
          </w:tcPr>
          <w:p w14:paraId="6B572756"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amlodipine 5mg, aspirin 75mg, beclometasone 50mg, betamethasone valerate 0.025% cream, bisoprolol 10mg, cichocaine 0.5%, fenbid 5% gel, furosemide 40mg, glyceryl trinitraide 400mg, mometasore  50mg, nicorandil 10mg &amp; 20mg, omeprazole 20mg, ramipril 10mg, simvastatin 20mg, Tardisc XL</w:t>
            </w:r>
          </w:p>
        </w:tc>
      </w:tr>
      <w:tr w:rsidR="009A2343" w:rsidRPr="009A2343" w14:paraId="2850A00D" w14:textId="77777777" w:rsidTr="009A2343">
        <w:trPr>
          <w:trHeight w:val="300"/>
        </w:trPr>
        <w:tc>
          <w:tcPr>
            <w:tcW w:w="1271" w:type="dxa"/>
            <w:vAlign w:val="bottom"/>
          </w:tcPr>
          <w:p w14:paraId="7FAD0868"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11</w:t>
            </w:r>
          </w:p>
        </w:tc>
        <w:tc>
          <w:tcPr>
            <w:tcW w:w="7359" w:type="dxa"/>
            <w:noWrap/>
            <w:hideMark/>
          </w:tcPr>
          <w:p w14:paraId="2C287D03"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Amitriptyline 20mg/day, Amlodipine 10mg/day, Citalopram 20mg/day, Omeprazole 20mg/day, Paracetamol 4 x 1000mg/day, Ramipril 2.5mg/day, Rizatriptan 5mg, Tramadol 4 x 100mg/day (taken 1, 4 and 14 hours before visit)</w:t>
            </w:r>
          </w:p>
        </w:tc>
      </w:tr>
      <w:tr w:rsidR="009A2343" w:rsidRPr="009A2343" w14:paraId="06013E0B" w14:textId="77777777" w:rsidTr="009A2343">
        <w:trPr>
          <w:trHeight w:val="300"/>
        </w:trPr>
        <w:tc>
          <w:tcPr>
            <w:tcW w:w="1271" w:type="dxa"/>
            <w:vAlign w:val="bottom"/>
          </w:tcPr>
          <w:p w14:paraId="3818E2E6"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12</w:t>
            </w:r>
          </w:p>
        </w:tc>
        <w:tc>
          <w:tcPr>
            <w:tcW w:w="7359" w:type="dxa"/>
            <w:noWrap/>
            <w:hideMark/>
          </w:tcPr>
          <w:p w14:paraId="2DC552AB" w14:textId="77777777" w:rsidR="009A2343" w:rsidRPr="009A2343" w:rsidRDefault="009A2343" w:rsidP="009A2343">
            <w:pPr>
              <w:pStyle w:val="SMHeading"/>
              <w:spacing w:before="0" w:after="0"/>
              <w:outlineLvl w:val="0"/>
              <w:rPr>
                <w:rFonts w:ascii="Arial" w:hAnsi="Arial" w:cs="Arial"/>
                <w:b w:val="0"/>
                <w:sz w:val="20"/>
                <w:szCs w:val="20"/>
                <w:lang w:val="pt-BR"/>
              </w:rPr>
            </w:pPr>
            <w:r w:rsidRPr="009A2343">
              <w:rPr>
                <w:rFonts w:ascii="Arial" w:hAnsi="Arial" w:cs="Arial"/>
                <w:b w:val="0"/>
                <w:sz w:val="20"/>
                <w:szCs w:val="20"/>
                <w:lang w:val="pt-BR"/>
              </w:rPr>
              <w:t>Cocodamol, codeine 8mg, Acid reflux</w:t>
            </w:r>
          </w:p>
        </w:tc>
      </w:tr>
      <w:tr w:rsidR="009A2343" w:rsidRPr="009A2343" w14:paraId="7880FF88" w14:textId="77777777" w:rsidTr="009A2343">
        <w:trPr>
          <w:trHeight w:val="300"/>
        </w:trPr>
        <w:tc>
          <w:tcPr>
            <w:tcW w:w="1271" w:type="dxa"/>
            <w:vAlign w:val="bottom"/>
          </w:tcPr>
          <w:p w14:paraId="78B5F041"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13</w:t>
            </w:r>
          </w:p>
        </w:tc>
        <w:tc>
          <w:tcPr>
            <w:tcW w:w="7359" w:type="dxa"/>
            <w:noWrap/>
            <w:hideMark/>
          </w:tcPr>
          <w:p w14:paraId="76CED9A8"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Glucoside, Omeprazole 10mg, Paracetamol 2 x 500mg (taken 2 hours before visit), Codeine 30mg (taken 2 hours before visit)</w:t>
            </w:r>
          </w:p>
        </w:tc>
      </w:tr>
      <w:tr w:rsidR="009A2343" w:rsidRPr="009A2343" w14:paraId="1973293D" w14:textId="77777777" w:rsidTr="009A2343">
        <w:trPr>
          <w:trHeight w:val="300"/>
        </w:trPr>
        <w:tc>
          <w:tcPr>
            <w:tcW w:w="1271" w:type="dxa"/>
            <w:vAlign w:val="bottom"/>
          </w:tcPr>
          <w:p w14:paraId="07D80E34"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14</w:t>
            </w:r>
          </w:p>
        </w:tc>
        <w:tc>
          <w:tcPr>
            <w:tcW w:w="7359" w:type="dxa"/>
            <w:noWrap/>
            <w:hideMark/>
          </w:tcPr>
          <w:p w14:paraId="06A595DE"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Aspirin 75mg, Atorvastatin 80mg, Betahistine 16mg, Bisoprolol 2.5mg, Cetirizine 10mg, Clenil Modulite 200mg, dermol 500 lotion, Enalapril 5mg, Febuxostat 80mg, Glyceryl Trinitride 400mg, Haclan 4 microgram/sqcm - 7.5cm, Lantus 100 units/ml, Levothyroxine sodium 25mg, Metformin 500mg, Mirtazapine 15mg, Omeprazole 10mg, Paracetamol 500mg (taken 20 hours before visit), Salbutamol 100microgram, Senna 7.5mg, Quinine bisulfate 300mg, Tardisc XL</w:t>
            </w:r>
          </w:p>
        </w:tc>
      </w:tr>
      <w:tr w:rsidR="009A2343" w:rsidRPr="009A2343" w14:paraId="3B8514D2" w14:textId="77777777" w:rsidTr="009A2343">
        <w:trPr>
          <w:trHeight w:val="300"/>
        </w:trPr>
        <w:tc>
          <w:tcPr>
            <w:tcW w:w="1271" w:type="dxa"/>
            <w:vAlign w:val="bottom"/>
          </w:tcPr>
          <w:p w14:paraId="7201B67D"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15</w:t>
            </w:r>
          </w:p>
        </w:tc>
        <w:tc>
          <w:tcPr>
            <w:tcW w:w="7359" w:type="dxa"/>
            <w:noWrap/>
            <w:hideMark/>
          </w:tcPr>
          <w:p w14:paraId="46C2D57E"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Alphosyl shampoo, cetraben cream, Docusate 100mg, Hydroxyzine 25mg, ibuprofen 400mg, laxido oral powder sachet, lyrica 300mg (taken 1 and 5 hours before visit), nefopam 30mg (taken 1 and 5 hours before visit), paracetamol 500mg (taken 1 and 5 hours before visit), ranitridine 150mg, tramadol 50mg (taken 1 and 5 hours before visit)</w:t>
            </w:r>
          </w:p>
        </w:tc>
      </w:tr>
      <w:tr w:rsidR="009A2343" w:rsidRPr="009A2343" w14:paraId="1887DDA8" w14:textId="77777777" w:rsidTr="009A2343">
        <w:trPr>
          <w:trHeight w:val="300"/>
        </w:trPr>
        <w:tc>
          <w:tcPr>
            <w:tcW w:w="1271" w:type="dxa"/>
            <w:vAlign w:val="bottom"/>
          </w:tcPr>
          <w:p w14:paraId="7B7C9227"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16</w:t>
            </w:r>
          </w:p>
        </w:tc>
        <w:tc>
          <w:tcPr>
            <w:tcW w:w="7359" w:type="dxa"/>
            <w:noWrap/>
            <w:hideMark/>
          </w:tcPr>
          <w:p w14:paraId="74FFE883"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 xml:space="preserve">Zapain 30mg/500mg tabs, Gabapentin 300mg, Citalopram 20mg, Atorvastatin 10mg, Lansoprazole 30mg, Flecainide 50mg x 2/day, Bisoprolol 2.5mg, Aspirin 75mg </w:t>
            </w:r>
          </w:p>
        </w:tc>
      </w:tr>
      <w:tr w:rsidR="009A2343" w:rsidRPr="009A2343" w14:paraId="0DC80D9C" w14:textId="77777777" w:rsidTr="009A2343">
        <w:trPr>
          <w:trHeight w:val="300"/>
        </w:trPr>
        <w:tc>
          <w:tcPr>
            <w:tcW w:w="1271" w:type="dxa"/>
            <w:vAlign w:val="bottom"/>
          </w:tcPr>
          <w:p w14:paraId="2F4F3772"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17</w:t>
            </w:r>
          </w:p>
        </w:tc>
        <w:tc>
          <w:tcPr>
            <w:tcW w:w="7359" w:type="dxa"/>
            <w:noWrap/>
            <w:hideMark/>
          </w:tcPr>
          <w:p w14:paraId="0D0ED9D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metformin, lansoprazole 30mg, naproxen 500mg x2, Amitriptyline 10mg, Greenlan lancets (0.35mm/28 gauge), Gliclazide 40&amp; 80mg, Simvastatin 40mg, Metformin 1000mg x 2/day</w:t>
            </w:r>
          </w:p>
        </w:tc>
      </w:tr>
      <w:tr w:rsidR="009A2343" w:rsidRPr="009A2343" w14:paraId="1EC976F5" w14:textId="77777777" w:rsidTr="009A2343">
        <w:trPr>
          <w:trHeight w:val="300"/>
        </w:trPr>
        <w:tc>
          <w:tcPr>
            <w:tcW w:w="1271" w:type="dxa"/>
            <w:vAlign w:val="bottom"/>
          </w:tcPr>
          <w:p w14:paraId="4EBEE0DA"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18</w:t>
            </w:r>
          </w:p>
        </w:tc>
        <w:tc>
          <w:tcPr>
            <w:tcW w:w="7359" w:type="dxa"/>
            <w:noWrap/>
            <w:hideMark/>
          </w:tcPr>
          <w:p w14:paraId="0BC4FA78"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Finasteride + doxa, atorvastatin, paracetamol (taken 23 hours before visit)</w:t>
            </w:r>
          </w:p>
        </w:tc>
      </w:tr>
      <w:tr w:rsidR="009A2343" w:rsidRPr="009A2343" w14:paraId="598A8594" w14:textId="77777777" w:rsidTr="009A2343">
        <w:trPr>
          <w:trHeight w:val="300"/>
        </w:trPr>
        <w:tc>
          <w:tcPr>
            <w:tcW w:w="1271" w:type="dxa"/>
            <w:vAlign w:val="bottom"/>
          </w:tcPr>
          <w:p w14:paraId="31E552AC"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19</w:t>
            </w:r>
          </w:p>
        </w:tc>
        <w:tc>
          <w:tcPr>
            <w:tcW w:w="7359" w:type="dxa"/>
            <w:noWrap/>
            <w:hideMark/>
          </w:tcPr>
          <w:p w14:paraId="45A156C4"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statins</w:t>
            </w:r>
          </w:p>
        </w:tc>
      </w:tr>
      <w:tr w:rsidR="009A2343" w:rsidRPr="009A2343" w14:paraId="64C7EE26" w14:textId="77777777" w:rsidTr="009A2343">
        <w:trPr>
          <w:trHeight w:val="300"/>
        </w:trPr>
        <w:tc>
          <w:tcPr>
            <w:tcW w:w="1271" w:type="dxa"/>
            <w:vAlign w:val="bottom"/>
          </w:tcPr>
          <w:p w14:paraId="32335994"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20</w:t>
            </w:r>
          </w:p>
        </w:tc>
        <w:tc>
          <w:tcPr>
            <w:tcW w:w="7359" w:type="dxa"/>
            <w:noWrap/>
            <w:hideMark/>
          </w:tcPr>
          <w:p w14:paraId="7700624C"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Amitriptyline 10mg, Cetirizine 10mg, co-codamol 30mg/500mg (taken 8 hours before visit), Fenbid Forte 10/gel, Naproxen 500mg (taken 8 hours before visit), Nefopam 30mg (taken 8 hours before visit), Omeprazole 40mg, Simvastatin 40mg,</w:t>
            </w:r>
          </w:p>
        </w:tc>
      </w:tr>
      <w:tr w:rsidR="009A2343" w:rsidRPr="009A2343" w14:paraId="2A0F0A11" w14:textId="77777777" w:rsidTr="009A2343">
        <w:trPr>
          <w:trHeight w:val="300"/>
        </w:trPr>
        <w:tc>
          <w:tcPr>
            <w:tcW w:w="1271" w:type="dxa"/>
            <w:vAlign w:val="bottom"/>
          </w:tcPr>
          <w:p w14:paraId="6508216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21</w:t>
            </w:r>
          </w:p>
        </w:tc>
        <w:tc>
          <w:tcPr>
            <w:tcW w:w="7359" w:type="dxa"/>
            <w:noWrap/>
            <w:hideMark/>
          </w:tcPr>
          <w:p w14:paraId="03F6B1C8"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 xml:space="preserve">Loperimide, Paracetamol 500mg x 2 (taken 14 hours before visit), Volterol (taken 15 hours before visit) </w:t>
            </w:r>
          </w:p>
        </w:tc>
      </w:tr>
      <w:tr w:rsidR="009A2343" w:rsidRPr="009A2343" w14:paraId="337F7717" w14:textId="77777777" w:rsidTr="009A2343">
        <w:trPr>
          <w:trHeight w:val="300"/>
        </w:trPr>
        <w:tc>
          <w:tcPr>
            <w:tcW w:w="1271" w:type="dxa"/>
            <w:vAlign w:val="bottom"/>
          </w:tcPr>
          <w:p w14:paraId="1E0201CC"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22</w:t>
            </w:r>
          </w:p>
        </w:tc>
        <w:tc>
          <w:tcPr>
            <w:tcW w:w="7359" w:type="dxa"/>
            <w:noWrap/>
            <w:hideMark/>
          </w:tcPr>
          <w:p w14:paraId="4E0BBDDC"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livothyroxine, amitryptiline (20mg) (taken 15 hours before visit)</w:t>
            </w:r>
          </w:p>
        </w:tc>
      </w:tr>
      <w:tr w:rsidR="009A2343" w:rsidRPr="009A2343" w14:paraId="20B09F7A" w14:textId="77777777" w:rsidTr="009A2343">
        <w:trPr>
          <w:trHeight w:val="300"/>
        </w:trPr>
        <w:tc>
          <w:tcPr>
            <w:tcW w:w="1271" w:type="dxa"/>
            <w:vAlign w:val="bottom"/>
          </w:tcPr>
          <w:p w14:paraId="3C0882D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lastRenderedPageBreak/>
              <w:t>23</w:t>
            </w:r>
          </w:p>
        </w:tc>
        <w:tc>
          <w:tcPr>
            <w:tcW w:w="7359" w:type="dxa"/>
            <w:noWrap/>
            <w:hideMark/>
          </w:tcPr>
          <w:p w14:paraId="2D90A257"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Warfarin replacement, statin, gabapentin 500mg (taken 3 hours before visit), tramadol (taken 3 hours before visit), dihydrocodeine (1/20) (taken 3 hours before visit), ibuprofen 400mg x 2 (taken 3 hours before visit), paracetamol 500mg x 2 (taken 3 hours before visit)</w:t>
            </w:r>
          </w:p>
        </w:tc>
      </w:tr>
      <w:tr w:rsidR="009A2343" w:rsidRPr="009A2343" w14:paraId="635AADB8" w14:textId="77777777" w:rsidTr="009A2343">
        <w:trPr>
          <w:trHeight w:val="300"/>
        </w:trPr>
        <w:tc>
          <w:tcPr>
            <w:tcW w:w="1271" w:type="dxa"/>
            <w:vAlign w:val="bottom"/>
          </w:tcPr>
          <w:p w14:paraId="32E2C3D1"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24</w:t>
            </w:r>
          </w:p>
        </w:tc>
        <w:tc>
          <w:tcPr>
            <w:tcW w:w="7359" w:type="dxa"/>
            <w:noWrap/>
            <w:hideMark/>
          </w:tcPr>
          <w:p w14:paraId="407F011E"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Blood pressure tablet, lansoprazole, paracetamol 500mg (taken 23 hours before visit)</w:t>
            </w:r>
          </w:p>
        </w:tc>
      </w:tr>
      <w:tr w:rsidR="009A2343" w:rsidRPr="009A2343" w14:paraId="6ACFEA98" w14:textId="77777777" w:rsidTr="009A2343">
        <w:trPr>
          <w:trHeight w:val="300"/>
        </w:trPr>
        <w:tc>
          <w:tcPr>
            <w:tcW w:w="1271" w:type="dxa"/>
            <w:vAlign w:val="bottom"/>
          </w:tcPr>
          <w:p w14:paraId="28C7532C"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25</w:t>
            </w:r>
          </w:p>
        </w:tc>
        <w:tc>
          <w:tcPr>
            <w:tcW w:w="7359" w:type="dxa"/>
            <w:noWrap/>
            <w:hideMark/>
          </w:tcPr>
          <w:p w14:paraId="01CE84F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Duloxetine 30mg (taken 4 and 15 hours before visit), Amitryptiline 50mg, Docusate 100mg x 2/day, Omeprazole 20mg, Amlodipine 10mg, Atorvastatin 20mg, paracetamol 500mg max x 8, losartan 100mg</w:t>
            </w:r>
          </w:p>
        </w:tc>
      </w:tr>
      <w:tr w:rsidR="009A2343" w:rsidRPr="009A2343" w14:paraId="2C525F58" w14:textId="77777777" w:rsidTr="009A2343">
        <w:trPr>
          <w:trHeight w:val="300"/>
        </w:trPr>
        <w:tc>
          <w:tcPr>
            <w:tcW w:w="1271" w:type="dxa"/>
            <w:vAlign w:val="bottom"/>
          </w:tcPr>
          <w:p w14:paraId="4567B485"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26</w:t>
            </w:r>
          </w:p>
        </w:tc>
        <w:tc>
          <w:tcPr>
            <w:tcW w:w="7359" w:type="dxa"/>
            <w:noWrap/>
            <w:hideMark/>
          </w:tcPr>
          <w:p w14:paraId="36852111"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Atorvastatin 80mg, Lidocaine 5% plaster (applied only at night), Paracetamol (taken 3 hours before visit), Ramipril 5mg, Aspirin 75mg, Atenolol 50mg</w:t>
            </w:r>
          </w:p>
        </w:tc>
      </w:tr>
      <w:tr w:rsidR="009A2343" w:rsidRPr="009A2343" w14:paraId="3BD4F0BE" w14:textId="77777777" w:rsidTr="009A2343">
        <w:trPr>
          <w:trHeight w:val="300"/>
        </w:trPr>
        <w:tc>
          <w:tcPr>
            <w:tcW w:w="1271" w:type="dxa"/>
            <w:vAlign w:val="bottom"/>
          </w:tcPr>
          <w:p w14:paraId="6F208876"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27</w:t>
            </w:r>
          </w:p>
        </w:tc>
        <w:tc>
          <w:tcPr>
            <w:tcW w:w="7359" w:type="dxa"/>
            <w:noWrap/>
            <w:hideMark/>
          </w:tcPr>
          <w:p w14:paraId="4E1FFA5F"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Amlodipine, Seroxin 100mg, Bezofibrate, Omeprazole, naproxen (but not today), morphine patches (3 day), pregabalin (taken &gt;1 hour before visit), amitriptiline</w:t>
            </w:r>
          </w:p>
        </w:tc>
      </w:tr>
      <w:tr w:rsidR="009A2343" w:rsidRPr="009A2343" w14:paraId="026D2C26" w14:textId="77777777" w:rsidTr="009A2343">
        <w:trPr>
          <w:trHeight w:val="300"/>
        </w:trPr>
        <w:tc>
          <w:tcPr>
            <w:tcW w:w="1271" w:type="dxa"/>
            <w:vAlign w:val="bottom"/>
          </w:tcPr>
          <w:p w14:paraId="732487E1"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28</w:t>
            </w:r>
          </w:p>
        </w:tc>
        <w:tc>
          <w:tcPr>
            <w:tcW w:w="7359" w:type="dxa"/>
            <w:noWrap/>
            <w:hideMark/>
          </w:tcPr>
          <w:p w14:paraId="5B7DC14A"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Ibuprofen (taken ~12 hours before visit)</w:t>
            </w:r>
          </w:p>
        </w:tc>
      </w:tr>
      <w:tr w:rsidR="009A2343" w:rsidRPr="009A2343" w14:paraId="4B89518A" w14:textId="77777777" w:rsidTr="009A2343">
        <w:trPr>
          <w:trHeight w:val="300"/>
        </w:trPr>
        <w:tc>
          <w:tcPr>
            <w:tcW w:w="1271" w:type="dxa"/>
            <w:vAlign w:val="bottom"/>
          </w:tcPr>
          <w:p w14:paraId="31434F60"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29</w:t>
            </w:r>
          </w:p>
        </w:tc>
        <w:tc>
          <w:tcPr>
            <w:tcW w:w="7359" w:type="dxa"/>
            <w:noWrap/>
            <w:hideMark/>
          </w:tcPr>
          <w:p w14:paraId="7E48D7BC"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Amlodipine 10mg, lansoprazole 30mg, naproxen 500mg  (taken &gt;1 hour before visit), Liptor 20mg, Paracetamol 500mg as needed, Codeine phosphate 15mg</w:t>
            </w:r>
          </w:p>
        </w:tc>
      </w:tr>
      <w:tr w:rsidR="009A2343" w:rsidRPr="009A2343" w14:paraId="2670062A" w14:textId="77777777" w:rsidTr="009A2343">
        <w:trPr>
          <w:trHeight w:val="300"/>
        </w:trPr>
        <w:tc>
          <w:tcPr>
            <w:tcW w:w="1271" w:type="dxa"/>
            <w:vAlign w:val="bottom"/>
          </w:tcPr>
          <w:p w14:paraId="6E09F9EA"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30</w:t>
            </w:r>
          </w:p>
        </w:tc>
        <w:tc>
          <w:tcPr>
            <w:tcW w:w="7359" w:type="dxa"/>
            <w:noWrap/>
            <w:hideMark/>
          </w:tcPr>
          <w:p w14:paraId="0FC57D9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none</w:t>
            </w:r>
          </w:p>
        </w:tc>
      </w:tr>
      <w:tr w:rsidR="009A2343" w:rsidRPr="009A2343" w14:paraId="7115DB59" w14:textId="77777777" w:rsidTr="009A2343">
        <w:trPr>
          <w:trHeight w:val="300"/>
        </w:trPr>
        <w:tc>
          <w:tcPr>
            <w:tcW w:w="1271" w:type="dxa"/>
            <w:vAlign w:val="bottom"/>
          </w:tcPr>
          <w:p w14:paraId="32A939D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31</w:t>
            </w:r>
          </w:p>
        </w:tc>
        <w:tc>
          <w:tcPr>
            <w:tcW w:w="7359" w:type="dxa"/>
            <w:noWrap/>
            <w:hideMark/>
          </w:tcPr>
          <w:p w14:paraId="211D0357"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Linzaprazole, atenolol, aspirin, feramous, Omaprazole, Cocodamol 300/500mg x 2 (taken 3 hours before visit), naproxen 50mg  (taken 3 hours before visit),</w:t>
            </w:r>
          </w:p>
        </w:tc>
      </w:tr>
      <w:tr w:rsidR="009A2343" w:rsidRPr="009A2343" w14:paraId="22870BA0" w14:textId="77777777" w:rsidTr="009A2343">
        <w:trPr>
          <w:trHeight w:val="300"/>
        </w:trPr>
        <w:tc>
          <w:tcPr>
            <w:tcW w:w="1271" w:type="dxa"/>
            <w:vAlign w:val="bottom"/>
          </w:tcPr>
          <w:p w14:paraId="6E8CCEC1"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32</w:t>
            </w:r>
          </w:p>
        </w:tc>
        <w:tc>
          <w:tcPr>
            <w:tcW w:w="7359" w:type="dxa"/>
            <w:noWrap/>
            <w:hideMark/>
          </w:tcPr>
          <w:p w14:paraId="2AE4B1D5"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none</w:t>
            </w:r>
          </w:p>
        </w:tc>
      </w:tr>
      <w:tr w:rsidR="009A2343" w:rsidRPr="009A2343" w14:paraId="0AF8C4DB" w14:textId="77777777" w:rsidTr="009A2343">
        <w:trPr>
          <w:trHeight w:val="300"/>
        </w:trPr>
        <w:tc>
          <w:tcPr>
            <w:tcW w:w="1271" w:type="dxa"/>
            <w:vAlign w:val="bottom"/>
          </w:tcPr>
          <w:p w14:paraId="31D5CB66"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33</w:t>
            </w:r>
          </w:p>
        </w:tc>
        <w:tc>
          <w:tcPr>
            <w:tcW w:w="7359" w:type="dxa"/>
            <w:noWrap/>
            <w:hideMark/>
          </w:tcPr>
          <w:p w14:paraId="71E8CC76"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Indapramide 2.5mg, Sokkarto SR 500mg, Irbesartan 300mg, Empagliflozin 10mg,, insulin</w:t>
            </w:r>
          </w:p>
        </w:tc>
      </w:tr>
      <w:tr w:rsidR="009A2343" w:rsidRPr="009A2343" w14:paraId="11C74220" w14:textId="77777777" w:rsidTr="009A2343">
        <w:trPr>
          <w:trHeight w:val="300"/>
        </w:trPr>
        <w:tc>
          <w:tcPr>
            <w:tcW w:w="1271" w:type="dxa"/>
            <w:vAlign w:val="bottom"/>
          </w:tcPr>
          <w:p w14:paraId="04A4ADF3"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34</w:t>
            </w:r>
          </w:p>
        </w:tc>
        <w:tc>
          <w:tcPr>
            <w:tcW w:w="7359" w:type="dxa"/>
            <w:noWrap/>
            <w:hideMark/>
          </w:tcPr>
          <w:p w14:paraId="3CB1F315"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none</w:t>
            </w:r>
          </w:p>
        </w:tc>
      </w:tr>
      <w:tr w:rsidR="009A2343" w:rsidRPr="009A2343" w14:paraId="53BD302F" w14:textId="77777777" w:rsidTr="009A2343">
        <w:trPr>
          <w:trHeight w:val="300"/>
        </w:trPr>
        <w:tc>
          <w:tcPr>
            <w:tcW w:w="1271" w:type="dxa"/>
            <w:vAlign w:val="bottom"/>
          </w:tcPr>
          <w:p w14:paraId="244082C5"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35</w:t>
            </w:r>
          </w:p>
        </w:tc>
        <w:tc>
          <w:tcPr>
            <w:tcW w:w="7359" w:type="dxa"/>
            <w:noWrap/>
            <w:hideMark/>
          </w:tcPr>
          <w:p w14:paraId="59E57B6F"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*no data</w:t>
            </w:r>
          </w:p>
        </w:tc>
      </w:tr>
      <w:tr w:rsidR="009A2343" w:rsidRPr="009A2343" w14:paraId="2B2EE102" w14:textId="77777777" w:rsidTr="009A2343">
        <w:trPr>
          <w:trHeight w:val="300"/>
        </w:trPr>
        <w:tc>
          <w:tcPr>
            <w:tcW w:w="1271" w:type="dxa"/>
            <w:vAlign w:val="bottom"/>
          </w:tcPr>
          <w:p w14:paraId="1BEE5344"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36</w:t>
            </w:r>
          </w:p>
        </w:tc>
        <w:tc>
          <w:tcPr>
            <w:tcW w:w="7359" w:type="dxa"/>
            <w:noWrap/>
            <w:hideMark/>
          </w:tcPr>
          <w:p w14:paraId="20FD2987"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Thyroxine, antihistamine, Paracetamol, ibuprofen as needed</w:t>
            </w:r>
          </w:p>
        </w:tc>
      </w:tr>
      <w:tr w:rsidR="009A2343" w:rsidRPr="009A2343" w14:paraId="279EA9B3" w14:textId="77777777" w:rsidTr="009A2343">
        <w:trPr>
          <w:trHeight w:val="300"/>
        </w:trPr>
        <w:tc>
          <w:tcPr>
            <w:tcW w:w="1271" w:type="dxa"/>
            <w:vAlign w:val="bottom"/>
          </w:tcPr>
          <w:p w14:paraId="407ACFB6"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37</w:t>
            </w:r>
          </w:p>
        </w:tc>
        <w:tc>
          <w:tcPr>
            <w:tcW w:w="7359" w:type="dxa"/>
            <w:noWrap/>
            <w:hideMark/>
          </w:tcPr>
          <w:p w14:paraId="427F459F"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Adcal D3 750mg x 2/day, Amitriptiyline 10mg x 3/day, Aspirin 75mg, Folic acid 5mg, Hylotear 0.1% eye-drop, Methorexate 2.5mg x 1/week, Mirabegran 50mg, paracetamol (taken 3 hours before visit)</w:t>
            </w:r>
          </w:p>
        </w:tc>
      </w:tr>
      <w:tr w:rsidR="009A2343" w:rsidRPr="009A2343" w14:paraId="59F1DC09" w14:textId="77777777" w:rsidTr="009A2343">
        <w:trPr>
          <w:trHeight w:val="300"/>
        </w:trPr>
        <w:tc>
          <w:tcPr>
            <w:tcW w:w="1271" w:type="dxa"/>
            <w:vAlign w:val="bottom"/>
          </w:tcPr>
          <w:p w14:paraId="0CE0EFB4"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38</w:t>
            </w:r>
          </w:p>
        </w:tc>
        <w:tc>
          <w:tcPr>
            <w:tcW w:w="7359" w:type="dxa"/>
            <w:noWrap/>
            <w:hideMark/>
          </w:tcPr>
          <w:p w14:paraId="2C587E4B"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Clonidine 25mg x 2 (taken &gt;3 hours before visit)</w:t>
            </w:r>
          </w:p>
        </w:tc>
      </w:tr>
      <w:tr w:rsidR="009A2343" w:rsidRPr="009A2343" w14:paraId="1F955A32" w14:textId="77777777" w:rsidTr="009A2343">
        <w:trPr>
          <w:trHeight w:val="300"/>
        </w:trPr>
        <w:tc>
          <w:tcPr>
            <w:tcW w:w="1271" w:type="dxa"/>
            <w:vAlign w:val="bottom"/>
          </w:tcPr>
          <w:p w14:paraId="2E93287A"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39</w:t>
            </w:r>
          </w:p>
        </w:tc>
        <w:tc>
          <w:tcPr>
            <w:tcW w:w="7359" w:type="dxa"/>
            <w:noWrap/>
            <w:hideMark/>
          </w:tcPr>
          <w:p w14:paraId="5E8496AD"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Gabapentin as needed, cortisone injections x 1-2/year</w:t>
            </w:r>
          </w:p>
        </w:tc>
      </w:tr>
      <w:tr w:rsidR="009A2343" w:rsidRPr="009A2343" w14:paraId="215EFD3C" w14:textId="77777777" w:rsidTr="009A2343">
        <w:trPr>
          <w:trHeight w:val="300"/>
        </w:trPr>
        <w:tc>
          <w:tcPr>
            <w:tcW w:w="1271" w:type="dxa"/>
            <w:vAlign w:val="bottom"/>
          </w:tcPr>
          <w:p w14:paraId="3FB1E07E"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40</w:t>
            </w:r>
          </w:p>
        </w:tc>
        <w:tc>
          <w:tcPr>
            <w:tcW w:w="7359" w:type="dxa"/>
            <w:noWrap/>
            <w:hideMark/>
          </w:tcPr>
          <w:p w14:paraId="25FE21AF"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paracetamol as needed, bisoprolol, statins, aspirin, Omiprazole</w:t>
            </w:r>
          </w:p>
        </w:tc>
      </w:tr>
      <w:tr w:rsidR="009A2343" w:rsidRPr="009A2343" w14:paraId="74E929C2" w14:textId="77777777" w:rsidTr="009A2343">
        <w:trPr>
          <w:trHeight w:val="300"/>
        </w:trPr>
        <w:tc>
          <w:tcPr>
            <w:tcW w:w="1271" w:type="dxa"/>
            <w:vAlign w:val="bottom"/>
          </w:tcPr>
          <w:p w14:paraId="5425A549"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41</w:t>
            </w:r>
          </w:p>
        </w:tc>
        <w:tc>
          <w:tcPr>
            <w:tcW w:w="7359" w:type="dxa"/>
            <w:noWrap/>
            <w:hideMark/>
          </w:tcPr>
          <w:p w14:paraId="4342CE17"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inhaler fostair, alopurinol, salbutamol (not taken on visit day)</w:t>
            </w:r>
          </w:p>
        </w:tc>
      </w:tr>
      <w:tr w:rsidR="009A2343" w:rsidRPr="009A2343" w14:paraId="15C67AEE" w14:textId="77777777" w:rsidTr="009A2343">
        <w:trPr>
          <w:trHeight w:val="300"/>
        </w:trPr>
        <w:tc>
          <w:tcPr>
            <w:tcW w:w="1271" w:type="dxa"/>
            <w:vAlign w:val="bottom"/>
          </w:tcPr>
          <w:p w14:paraId="2FF3FCC6"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42</w:t>
            </w:r>
          </w:p>
        </w:tc>
        <w:tc>
          <w:tcPr>
            <w:tcW w:w="7359" w:type="dxa"/>
            <w:noWrap/>
            <w:hideMark/>
          </w:tcPr>
          <w:p w14:paraId="3E35172A"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Naproxen 500mg as needed, Omeprazole 20mg, Atrovastatin 20mg</w:t>
            </w:r>
          </w:p>
        </w:tc>
      </w:tr>
      <w:tr w:rsidR="009A2343" w:rsidRPr="009A2343" w14:paraId="342AA619" w14:textId="77777777" w:rsidTr="009A2343">
        <w:trPr>
          <w:trHeight w:val="300"/>
        </w:trPr>
        <w:tc>
          <w:tcPr>
            <w:tcW w:w="1271" w:type="dxa"/>
            <w:vAlign w:val="bottom"/>
          </w:tcPr>
          <w:p w14:paraId="7A66B9AD"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43</w:t>
            </w:r>
          </w:p>
        </w:tc>
        <w:tc>
          <w:tcPr>
            <w:tcW w:w="7359" w:type="dxa"/>
            <w:noWrap/>
            <w:hideMark/>
          </w:tcPr>
          <w:p w14:paraId="51EE0B0C"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 xml:space="preserve">Amitriptyline 75mg, Amlodipine 5mg, Dihydrocodeine 60mg x 2 twice/day  (one dose taken 8 hours before visit), Pregabalin 100mg x 3/day (100mg taken 8 hours before visit), Warfarin 3mg </w:t>
            </w:r>
          </w:p>
        </w:tc>
      </w:tr>
      <w:tr w:rsidR="009A2343" w:rsidRPr="009A2343" w14:paraId="60AF1007" w14:textId="77777777" w:rsidTr="009A2343">
        <w:trPr>
          <w:trHeight w:val="300"/>
        </w:trPr>
        <w:tc>
          <w:tcPr>
            <w:tcW w:w="1271" w:type="dxa"/>
            <w:vAlign w:val="bottom"/>
          </w:tcPr>
          <w:p w14:paraId="6332E5A5"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44</w:t>
            </w:r>
          </w:p>
        </w:tc>
        <w:tc>
          <w:tcPr>
            <w:tcW w:w="7359" w:type="dxa"/>
            <w:noWrap/>
            <w:hideMark/>
          </w:tcPr>
          <w:p w14:paraId="32A0DF9B" w14:textId="77777777" w:rsidR="009A2343" w:rsidRPr="009A2343" w:rsidRDefault="009A2343" w:rsidP="009A2343">
            <w:pPr>
              <w:pStyle w:val="SMHeading"/>
              <w:spacing w:before="0" w:after="0"/>
              <w:outlineLvl w:val="0"/>
              <w:rPr>
                <w:rFonts w:ascii="Arial" w:hAnsi="Arial" w:cs="Arial"/>
                <w:b w:val="0"/>
                <w:sz w:val="20"/>
                <w:szCs w:val="20"/>
              </w:rPr>
            </w:pPr>
            <w:r w:rsidRPr="009A2343">
              <w:rPr>
                <w:rFonts w:ascii="Arial" w:hAnsi="Arial" w:cs="Arial"/>
                <w:b w:val="0"/>
                <w:sz w:val="20"/>
                <w:szCs w:val="20"/>
              </w:rPr>
              <w:t>Paracetamol (taken ~1 hour before visit)</w:t>
            </w:r>
          </w:p>
        </w:tc>
      </w:tr>
    </w:tbl>
    <w:p w14:paraId="300F850A" w14:textId="0A066CD6" w:rsidR="009A2343" w:rsidRDefault="009A2343" w:rsidP="009A2343">
      <w:pPr>
        <w:pStyle w:val="SMHeading"/>
        <w:rPr>
          <w:rFonts w:ascii="Arial" w:hAnsi="Arial" w:cs="Arial"/>
          <w:b w:val="0"/>
          <w:sz w:val="20"/>
          <w:szCs w:val="20"/>
        </w:rPr>
      </w:pPr>
    </w:p>
    <w:p w14:paraId="338A08B6" w14:textId="77777777" w:rsidR="009A2343" w:rsidRDefault="009A2343">
      <w:pPr>
        <w:rPr>
          <w:rFonts w:ascii="Arial" w:hAnsi="Arial" w:cs="Arial"/>
          <w:bCs/>
          <w:kern w:val="32"/>
          <w:sz w:val="20"/>
        </w:rPr>
      </w:pPr>
      <w:r>
        <w:rPr>
          <w:rFonts w:ascii="Arial" w:hAnsi="Arial" w:cs="Arial"/>
          <w:b/>
          <w:sz w:val="20"/>
        </w:rPr>
        <w:br w:type="page"/>
      </w:r>
    </w:p>
    <w:p w14:paraId="47C686EB" w14:textId="77777777" w:rsidR="00F94284" w:rsidRPr="00F94284" w:rsidRDefault="00F94284" w:rsidP="00F94284">
      <w:pPr>
        <w:pStyle w:val="SMText"/>
        <w:ind w:firstLine="0"/>
        <w:rPr>
          <w:rFonts w:ascii="Arial" w:hAnsi="Arial" w:cs="Arial"/>
          <w:b/>
          <w:sz w:val="20"/>
          <w:lang w:val="en-GB"/>
        </w:rPr>
      </w:pPr>
      <w:r w:rsidRPr="00F94284">
        <w:rPr>
          <w:rFonts w:ascii="Arial" w:hAnsi="Arial" w:cs="Arial"/>
          <w:b/>
          <w:sz w:val="20"/>
          <w:lang w:val="en-GB"/>
        </w:rPr>
        <w:lastRenderedPageBreak/>
        <w:t>Pressure Algometry</w:t>
      </w:r>
    </w:p>
    <w:p w14:paraId="2632C13C" w14:textId="5FBB9194" w:rsidR="00F94284" w:rsidRDefault="00F94284" w:rsidP="00F94284">
      <w:pPr>
        <w:pStyle w:val="SMText"/>
        <w:rPr>
          <w:rFonts w:ascii="Arial" w:hAnsi="Arial" w:cs="Arial"/>
          <w:sz w:val="20"/>
          <w:lang w:val="en-GB"/>
        </w:rPr>
      </w:pPr>
      <w:r w:rsidRPr="00F94284">
        <w:rPr>
          <w:rFonts w:ascii="Arial" w:hAnsi="Arial" w:cs="Arial"/>
          <w:sz w:val="20"/>
          <w:lang w:val="en-GB"/>
        </w:rPr>
        <w:t>Pressure pain thresholds (PPT) were assessed using a handheld pressure algometer with a 1-cm</w:t>
      </w:r>
      <w:r w:rsidRPr="00F94284">
        <w:rPr>
          <w:rFonts w:ascii="Arial" w:hAnsi="Arial" w:cs="Arial"/>
          <w:sz w:val="20"/>
          <w:vertAlign w:val="superscript"/>
          <w:lang w:val="en-GB"/>
        </w:rPr>
        <w:t>2</w:t>
      </w:r>
      <w:r w:rsidRPr="00F94284">
        <w:rPr>
          <w:rFonts w:ascii="Arial" w:hAnsi="Arial" w:cs="Arial"/>
          <w:sz w:val="20"/>
          <w:lang w:val="en-GB"/>
        </w:rPr>
        <w:t xml:space="preserve"> probe (Somedic AB, Sösdala, Sweden). Pressure was increased by 30kPa/s until the subject perceived that the stimulus had changed from a pressure sensation to a painful sensation. At this point, the subject pressed a response button and the probe was withdrawn. The PPT value was then recorded as the pressure applied at the time of the button press. PPTs were recorded from two sites, one knee (the most painful knee in knee pain participants and either knee in a control) and the sternum. Specifically, the knee was assessed 2 cm distal to the infero-medial aspect of the patella and the sternum was assessed 3 cm distal to the sternal notch. After a practise assessment on either site, PPTs were recorded in triplicate. These three recordings were then averaged (per site) for further analysis. Lower PPT scores are indicative of increased pain sensitivity.  </w:t>
      </w:r>
    </w:p>
    <w:p w14:paraId="39CCBF65" w14:textId="77777777" w:rsidR="00F94284" w:rsidRPr="00F94284" w:rsidRDefault="00F94284" w:rsidP="00F94284">
      <w:pPr>
        <w:pStyle w:val="SMText"/>
        <w:rPr>
          <w:rFonts w:ascii="Arial" w:hAnsi="Arial" w:cs="Arial"/>
          <w:sz w:val="20"/>
          <w:lang w:val="en-GB"/>
        </w:rPr>
      </w:pPr>
    </w:p>
    <w:p w14:paraId="042BE8CD" w14:textId="77777777" w:rsidR="00F94284" w:rsidRPr="00F94284" w:rsidRDefault="00F94284" w:rsidP="00F94284">
      <w:pPr>
        <w:pStyle w:val="SMText"/>
        <w:ind w:firstLine="0"/>
        <w:rPr>
          <w:rFonts w:ascii="Arial" w:hAnsi="Arial" w:cs="Arial"/>
          <w:b/>
          <w:sz w:val="20"/>
          <w:lang w:val="en-GB"/>
        </w:rPr>
      </w:pPr>
      <w:r w:rsidRPr="00F94284">
        <w:rPr>
          <w:rFonts w:ascii="Arial" w:hAnsi="Arial" w:cs="Arial"/>
          <w:b/>
          <w:sz w:val="20"/>
          <w:lang w:val="en-GB"/>
        </w:rPr>
        <w:t>Cuff Pressure Algometry</w:t>
      </w:r>
    </w:p>
    <w:p w14:paraId="238EB752" w14:textId="676770B8" w:rsidR="00F94284" w:rsidRDefault="00F94284" w:rsidP="00F94284">
      <w:pPr>
        <w:pStyle w:val="SMText"/>
        <w:rPr>
          <w:rFonts w:ascii="Arial" w:hAnsi="Arial" w:cs="Arial"/>
          <w:sz w:val="20"/>
          <w:lang w:val="en-GB"/>
        </w:rPr>
      </w:pPr>
      <w:r w:rsidRPr="00F94284">
        <w:rPr>
          <w:rFonts w:ascii="Arial" w:hAnsi="Arial" w:cs="Arial"/>
          <w:sz w:val="20"/>
          <w:lang w:val="en-GB"/>
        </w:rPr>
        <w:t xml:space="preserve">Pain sensitivity of the deep-tissue was assessed via cuff pressure stimuli using a computer-controlled cuff algometer (NociTech and Aalborg University, Denmark). This consisted of two 13 cm single chamber tourniquet cuffs (VBM, Sulz, Germany) connected to a computer-controlled air compressor and an electronic 10 cm VAS rating system (Aalborg University). These cuffs were placed at the level of the head of the gastrocnemius muscle on either leg. The electronic VAS (sliding resistor) samples at 10 Hz, with 0 cm indicating “no pain” and 10 cm indicated “maximum pain”. </w:t>
      </w:r>
    </w:p>
    <w:p w14:paraId="065C2AEC" w14:textId="77777777" w:rsidR="00F94284" w:rsidRPr="00F94284" w:rsidRDefault="00F94284" w:rsidP="00F94284">
      <w:pPr>
        <w:pStyle w:val="SMText"/>
        <w:rPr>
          <w:rFonts w:ascii="Arial" w:hAnsi="Arial" w:cs="Arial"/>
          <w:sz w:val="20"/>
          <w:lang w:val="en-GB"/>
        </w:rPr>
      </w:pPr>
    </w:p>
    <w:p w14:paraId="351B9D21" w14:textId="77777777" w:rsidR="00F94284" w:rsidRPr="00F94284" w:rsidRDefault="00F94284" w:rsidP="00F94284">
      <w:pPr>
        <w:pStyle w:val="SMText"/>
        <w:ind w:firstLine="0"/>
        <w:rPr>
          <w:rFonts w:ascii="Arial" w:hAnsi="Arial" w:cs="Arial"/>
          <w:b/>
          <w:sz w:val="20"/>
          <w:lang w:val="en-GB"/>
        </w:rPr>
      </w:pPr>
      <w:r w:rsidRPr="00F94284">
        <w:rPr>
          <w:rFonts w:ascii="Arial" w:hAnsi="Arial" w:cs="Arial"/>
          <w:b/>
          <w:sz w:val="20"/>
          <w:lang w:val="en-GB"/>
        </w:rPr>
        <w:t>Pressure detection and tolerance threshold</w:t>
      </w:r>
    </w:p>
    <w:p w14:paraId="7F67DABE" w14:textId="1B98DBE2" w:rsidR="00F94284" w:rsidRDefault="00F94284" w:rsidP="00F94284">
      <w:pPr>
        <w:pStyle w:val="SMText"/>
        <w:rPr>
          <w:rFonts w:ascii="Arial" w:hAnsi="Arial" w:cs="Arial"/>
          <w:sz w:val="20"/>
          <w:lang w:val="en-GB"/>
        </w:rPr>
      </w:pPr>
      <w:r w:rsidRPr="00F94284">
        <w:rPr>
          <w:rFonts w:ascii="Arial" w:hAnsi="Arial" w:cs="Arial"/>
          <w:sz w:val="20"/>
          <w:lang w:val="en-GB"/>
        </w:rPr>
        <w:t>One cuff at a time, pressure was increased by 1 kPa/s and the participants were instructed to rate the pain intensity of the cuff continuously on the electronic VAS until the pain tolerance level was reached. When the participants’ tolerance level was reached they were instructed to press a stop button which concluded the test and instantaneously deflated the cuff. The pressure pain detection threshold (PDT) was defined as the pressure at which the VAS score exceeded 1cm on the scale</w:t>
      </w:r>
      <w:r w:rsidRPr="00F94284">
        <w:rPr>
          <w:rFonts w:ascii="Arial" w:hAnsi="Arial" w:cs="Arial"/>
          <w:sz w:val="20"/>
          <w:lang w:val="en-GB"/>
        </w:rPr>
        <w:fldChar w:fldCharType="begin"/>
      </w:r>
      <w:r w:rsidRPr="00F94284">
        <w:rPr>
          <w:rFonts w:ascii="Arial" w:hAnsi="Arial" w:cs="Arial"/>
          <w:sz w:val="20"/>
          <w:lang w:val="en-GB"/>
        </w:rPr>
        <w:instrText xml:space="preserve"> ADDIN ZOTERO_ITEM CSL_CITATION {"citationID":"vPpTHszG","properties":{"formattedCitation":"({\\i{}1}, {\\i{}2})","plainCitation":"(1, 2)","noteIndex":0},"citationItems":[{"id":749,"uris":["http://zotero.org/users/1439202/items/6LP3GAX3"],"uri":["http://zotero.org/users/1439202/items/6LP3GAX3"],"itemData":{"id":749,"type":"article-journal","title":"Impaired Conditioned Pain Modulation in Young Female Adults with Long-Standing Patellofemoral Pain: A Single Blinded Cross-Sectional Study","container-title":"Pain Medicine (Malden, Mass.)","page":"980-988","volume":"17","issue":"5","source":"PubMed","abstract":"OBJECTIVE: Patellofemoral pain (PFP) is common among young individuals. Female adolescents with PFP present typically with localized mechanical hyperalgesia around the knee, but the effect of central pain mechanisms are unknown. This study aimed to compare temporal summation of pain, conditioned pain modulation (CPM), and widespread hyperalgesia in young female adults with PFP and age-matched pain-free controls.\nDESIGN: Cross-sectional study.\nSETTING AND SUBJECTS: Twenty young female adults (19-21 years old) with long-standing PFP were compared with 20 pain-free controls from the same population-based cohort.\nMETHODS: Cuff algometry was used to assess the pain detection threshold. Temporal summation of pain was assessed by recording the pain intensity on a visual analog scale during repeated cuff pressure stimulations at pain tolerance intensity on the lower leg. CPM was recorded as an increase in the cuff pain detection threshold in response to experimental conditioning pain imposed on the contralateral arm. Handheld pressure algometry was used to assess pressure pain thresholds (PPTs) on the knee, shin, and forearm. The examiner was blinded to the type of subject assessed.\nRESULTS: Compared with pain-free controls, young females with PFP showed no decrease in cuff pain thresholds (P &lt; 0.40) or facilitated temporal summation (P &lt; 0.15) but had a lower CPM response (P &lt; 0.04) and lower PPTs (P &lt; 0.005).\nCONCLUSIONS: Young female adults with long-standing PFP demonstrated impaired CPM. This is important because PFP, a peripheral pathology, might have important central components that need to be studied in order to understand its extent and therapeutic implications.","DOI":"10.1093/pm/pnv017","ISSN":"1526-4637","note":"PMID: 26814253","title-short":"Impaired Conditioned Pain Modulation in Young Female Adults with Long-Standing Patellofemoral Pain","journalAbbreviation":"Pain Med","language":"eng","author":[{"family":"Rathleff","given":"Michael Skovdal"},{"family":"Petersen","given":"Kristian Kjær"},{"family":"Arendt-Nielsen","given":"Lars"},{"family":"Thorborg","given":"Kristian"},{"family":"Graven-Nielsen","given":"Thomas"}],"issued":{"date-parts":[["2016"]]}}},{"id":748,"uris":["http://zotero.org/users/1439202/items/KHXKSTGP"],"uri":["http://zotero.org/users/1439202/items/KHXKSTGP"],"itemData":{"id":748,"type":"article-journal","title":"Pain modulatory phenotypes differentiate subgroups with different clinical and experimental pain sensitivity","container-title":"Pain","page":"1480-1488","volume":"157","issue":"7","source":"PubMed","abstract":"Pain biomarkers are warranted for individualized pain management. Based on different pain modulatory phenotypes, the objectives of this study were to explore the existence of subgroups within patients with nonmalignant chronic pain and to investigate differences in clinical pain and pain hypersensitivity between subgroups. Cuff algometry was performed on lower legs in 400 patients with chronic pain to assess pressure pain threshold, pressure pain tolerance, temporal summation of pain (TSP: increase in pain scores to 10 repeated stimulations), and conditioned pain modulation (CPM: increase in cuff pressure pain threshold during cuff pain conditioning on the contralateral leg). Heat detection and heat pain thresholds at clinical painful and nonpainful body areas were assessed. Based on TSP and CPM, 4 distinct groups were formed: group 1 (n = 85) had impaired CPM and facilitated TSP; group 2 (n = 148) had impaired CPM and normal TSP; group 3 (n = 45) had normal CPM and facilitated TSP; and group 4 (n = 122) had normal CPM and normal TSP. Group 1 showed more pain regions than the other 3 groups (P &lt; 0.001), indicating that impaired CPM and facilitated TSP play an important role in widespread pain. Groups 1 and 2 compared with group 4 had lower heat pain threshold at nonpainful areas and lower cuff pressure pain tolerance (P &lt; 0.02), indicating that CPM plays a role for widespread hyperalgesia. Moreover, group 1 demonstrated higher clinical pain scores than group 4 (P &lt; 0.05). Although not different between subgroups, patients were profiled on demographics, disability, pain catastrophizing, and fear of movement. Future research should investigate interventions tailored towards these subgroups.","DOI":"10.1097/j.pain.0000000000000543","ISSN":"1872-6623","note":"PMID: 26963852","journalAbbreviation":"Pain","language":"eng","author":[{"family":"Vaegter","given":"Henrik B."},{"family":"Graven-Nielsen","given":"Thomas"}],"issued":{"date-parts":[["2016"]]}}}],"schema":"https://github.com/citation-style-language/schema/raw/master/csl-citation.json"} </w:instrText>
      </w:r>
      <w:r w:rsidRPr="00F94284">
        <w:rPr>
          <w:rFonts w:ascii="Arial" w:hAnsi="Arial" w:cs="Arial"/>
          <w:sz w:val="20"/>
          <w:lang w:val="en-GB"/>
        </w:rPr>
        <w:fldChar w:fldCharType="separate"/>
      </w:r>
      <w:r w:rsidRPr="00F94284">
        <w:rPr>
          <w:rFonts w:ascii="Arial" w:hAnsi="Arial" w:cs="Arial"/>
          <w:sz w:val="20"/>
          <w:lang w:val="en-GB"/>
        </w:rPr>
        <w:t>(</w:t>
      </w:r>
      <w:r w:rsidRPr="00F94284">
        <w:rPr>
          <w:rFonts w:ascii="Arial" w:hAnsi="Arial" w:cs="Arial"/>
          <w:i/>
          <w:iCs/>
          <w:sz w:val="20"/>
          <w:lang w:val="en-GB"/>
        </w:rPr>
        <w:t>1</w:t>
      </w:r>
      <w:r w:rsidRPr="00F94284">
        <w:rPr>
          <w:rFonts w:ascii="Arial" w:hAnsi="Arial" w:cs="Arial"/>
          <w:sz w:val="20"/>
          <w:lang w:val="en-GB"/>
        </w:rPr>
        <w:t xml:space="preserve">, </w:t>
      </w:r>
      <w:r w:rsidRPr="00F94284">
        <w:rPr>
          <w:rFonts w:ascii="Arial" w:hAnsi="Arial" w:cs="Arial"/>
          <w:i/>
          <w:iCs/>
          <w:sz w:val="20"/>
          <w:lang w:val="en-GB"/>
        </w:rPr>
        <w:t>2</w:t>
      </w:r>
      <w:r w:rsidRPr="00F94284">
        <w:rPr>
          <w:rFonts w:ascii="Arial" w:hAnsi="Arial" w:cs="Arial"/>
          <w:sz w:val="20"/>
          <w:lang w:val="en-GB"/>
        </w:rPr>
        <w:t>)</w:t>
      </w:r>
      <w:r w:rsidRPr="00F94284">
        <w:rPr>
          <w:rFonts w:ascii="Arial" w:hAnsi="Arial" w:cs="Arial"/>
          <w:sz w:val="20"/>
        </w:rPr>
        <w:fldChar w:fldCharType="end"/>
      </w:r>
      <w:r w:rsidRPr="00F94284">
        <w:rPr>
          <w:rFonts w:ascii="Arial" w:hAnsi="Arial" w:cs="Arial"/>
          <w:sz w:val="20"/>
          <w:lang w:val="en-GB"/>
        </w:rPr>
        <w:t>. The pain tolerance threshold (PTT) was defined as the pressure recorded at the point the participant had to press the stop button.</w:t>
      </w:r>
    </w:p>
    <w:p w14:paraId="52382A18" w14:textId="77777777" w:rsidR="00F94284" w:rsidRPr="00F94284" w:rsidRDefault="00F94284" w:rsidP="00F94284">
      <w:pPr>
        <w:pStyle w:val="SMText"/>
        <w:rPr>
          <w:rFonts w:ascii="Arial" w:hAnsi="Arial" w:cs="Arial"/>
          <w:sz w:val="20"/>
          <w:lang w:val="en-GB"/>
        </w:rPr>
      </w:pPr>
    </w:p>
    <w:p w14:paraId="4E3FB078" w14:textId="77777777" w:rsidR="00F94284" w:rsidRPr="00F94284" w:rsidRDefault="00F94284" w:rsidP="00F94284">
      <w:pPr>
        <w:pStyle w:val="SMText"/>
        <w:ind w:firstLine="0"/>
        <w:rPr>
          <w:rFonts w:ascii="Arial" w:hAnsi="Arial" w:cs="Arial"/>
          <w:b/>
          <w:sz w:val="20"/>
          <w:lang w:val="en-GB"/>
        </w:rPr>
      </w:pPr>
      <w:r w:rsidRPr="00F94284">
        <w:rPr>
          <w:rFonts w:ascii="Arial" w:hAnsi="Arial" w:cs="Arial"/>
          <w:b/>
          <w:sz w:val="20"/>
          <w:lang w:val="en-GB"/>
        </w:rPr>
        <w:t>Temporal Pain Summation by Cuff Algometry</w:t>
      </w:r>
    </w:p>
    <w:p w14:paraId="7C61D8C3" w14:textId="7DBD6C91" w:rsidR="00F94284" w:rsidRDefault="00F94284" w:rsidP="00F94284">
      <w:pPr>
        <w:pStyle w:val="SMText"/>
        <w:rPr>
          <w:rFonts w:ascii="Arial" w:hAnsi="Arial" w:cs="Arial"/>
          <w:sz w:val="20"/>
          <w:lang w:val="en-GB"/>
        </w:rPr>
      </w:pPr>
      <w:r w:rsidRPr="00F94284">
        <w:rPr>
          <w:rFonts w:ascii="Arial" w:hAnsi="Arial" w:cs="Arial"/>
          <w:sz w:val="20"/>
          <w:lang w:val="en-GB"/>
        </w:rPr>
        <w:t>Ten repeated cuff pressure stimulations (1-second duration with a 2-second inter-stimulus-interval) with an intensity equal to the PTT were applied to side of the most painful knee (in OA participants) and either leg in controls. Participants were instructed to rate the pain intensity continuously throughout the stimulation using the VAS scale and to not return the VAS slider to zero between cuff stimulations. The cuff retained a constant pressure of 5 kPa between stimulations to ensure that the cuff did not move on the leg during assessment. The VAS score immediately after each individual cuff stimulus was recorded. For subsequent analysis, the temporal summation (TS) score was calculated by subtracting the mean VAS score of the first to fourth cuff stimulations (VAS-I) from the mean VAS score of the 8</w:t>
      </w:r>
      <w:r w:rsidRPr="00F94284">
        <w:rPr>
          <w:rFonts w:ascii="Arial" w:hAnsi="Arial" w:cs="Arial"/>
          <w:sz w:val="20"/>
          <w:vertAlign w:val="superscript"/>
          <w:lang w:val="en-GB"/>
        </w:rPr>
        <w:t>th</w:t>
      </w:r>
      <w:r w:rsidRPr="00F94284">
        <w:rPr>
          <w:rFonts w:ascii="Arial" w:hAnsi="Arial" w:cs="Arial"/>
          <w:sz w:val="20"/>
          <w:lang w:val="en-GB"/>
        </w:rPr>
        <w:t xml:space="preserve"> to 10</w:t>
      </w:r>
      <w:r w:rsidRPr="00F94284">
        <w:rPr>
          <w:rFonts w:ascii="Arial" w:hAnsi="Arial" w:cs="Arial"/>
          <w:sz w:val="20"/>
          <w:vertAlign w:val="superscript"/>
          <w:lang w:val="en-GB"/>
        </w:rPr>
        <w:t>th</w:t>
      </w:r>
      <w:r w:rsidRPr="00F94284">
        <w:rPr>
          <w:rFonts w:ascii="Arial" w:hAnsi="Arial" w:cs="Arial"/>
          <w:sz w:val="20"/>
          <w:lang w:val="en-GB"/>
        </w:rPr>
        <w:t xml:space="preserve"> cuff stimulations (VAS-III)</w:t>
      </w:r>
      <w:r w:rsidRPr="00F94284">
        <w:rPr>
          <w:rFonts w:ascii="Arial" w:hAnsi="Arial" w:cs="Arial"/>
          <w:sz w:val="20"/>
          <w:lang w:val="en-GB"/>
        </w:rPr>
        <w:fldChar w:fldCharType="begin"/>
      </w:r>
      <w:r w:rsidRPr="00F94284">
        <w:rPr>
          <w:rFonts w:ascii="Arial" w:hAnsi="Arial" w:cs="Arial"/>
          <w:sz w:val="20"/>
          <w:lang w:val="en-GB"/>
        </w:rPr>
        <w:instrText xml:space="preserve"> ADDIN ZOTERO_ITEM CSL_CITATION {"citationID":"mxajaqqc","properties":{"formattedCitation":"({\\i{}2}, {\\i{}3})","plainCitation":"(2, 3)","noteIndex":0},"citationItems":[{"id":748,"uris":["http://zotero.org/users/1439202/items/KHXKSTGP"],"uri":["http://zotero.org/users/1439202/items/KHXKSTGP"],"itemData":{"id":748,"type":"article-journal","title":"Pain modulatory phenotypes differentiate subgroups with different clinical and experimental pain sensitivity","container-title":"Pain","page":"1480-1488","volume":"157","issue":"7","source":"PubMed","abstract":"Pain biomarkers are warranted for individualized pain management. Based on different pain modulatory phenotypes, the objectives of this study were to explore the existence of subgroups within patients with nonmalignant chronic pain and to investigate differences in clinical pain and pain hypersensitivity between subgroups. Cuff algometry was performed on lower legs in 400 patients with chronic pain to assess pressure pain threshold, pressure pain tolerance, temporal summation of pain (TSP: increase in pain scores to 10 repeated stimulations), and conditioned pain modulation (CPM: increase in cuff pressure pain threshold during cuff pain conditioning on the contralateral leg). Heat detection and heat pain thresholds at clinical painful and nonpainful body areas were assessed. Based on TSP and CPM, 4 distinct groups were formed: group 1 (n = 85) had impaired CPM and facilitated TSP; group 2 (n = 148) had impaired CPM and normal TSP; group 3 (n = 45) had normal CPM and facilitated TSP; and group 4 (n = 122) had normal CPM and normal TSP. Group 1 showed more pain regions than the other 3 groups (P &lt; 0.001), indicating that impaired CPM and facilitated TSP play an important role in widespread pain. Groups 1 and 2 compared with group 4 had lower heat pain threshold at nonpainful areas and lower cuff pressure pain tolerance (P &lt; 0.02), indicating that CPM plays a role for widespread hyperalgesia. Moreover, group 1 demonstrated higher clinical pain scores than group 4 (P &lt; 0.05). Although not different between subgroups, patients were profiled on demographics, disability, pain catastrophizing, and fear of movement. Future research should investigate interventions tailored towards these subgroups.","DOI":"10.1097/j.pain.0000000000000543","ISSN":"1872-6623","note":"PMID: 26963852","journalAbbreviation":"Pain","language":"eng","author":[{"family":"Vaegter","given":"Henrik B."},{"family":"Graven-Nielsen","given":"Thomas"}],"issued":{"date-parts":[["2016"]]}}},{"id":746,"uris":["http://zotero.org/users/1439202/items/A633KDXL"],"uri":["http://zotero.org/users/1439202/items/A633KDXL"],"itemData":{"id":746,"type":"article-journal","title":"Age Interactions on Pain Sensitization in Patients With Severe Knee Osteoarthritis and Controls","container-title":"The Clinical Journal of Pain","page":"1081-1087","volume":"33","issue":"12","source":"PubMed","abstract":"OBJECTIVES: Widespread pressure hyperalgesia, facilitated temporal summation of pain (TSP), and impaired conditioned pain modulation (CPM) have been found in knee osteoarthritis (KOA) patients compared with controls and these parameters have further been suggested to be altered in the elderly. This study investigated the influence of age on pressure hyperalgesia, TSP, and CPM in patients with KOA and controls.\nMATERIALS AND METHODS: One hundred thirty-three severe KOA patients and 50 age-matched and sex-matched asymptomatic controls were assessed by cuff algometry and handheld pressure algometry. Pain sensitivity was assessed around the head of the gastrocnemius muscle to identify mild pain detection threshold (MPDT) and pressure tolerance threshold (PTT). TSP was assessed by visual analogue scale scores of the pain evoked by 10 repetitive cuff stimulations. CPM was assessed as the difference in PTT before and during cuff-induced tonic arm pain. Pressure pain thresholds (PPTs) were assessed by handheld algometry at the tibialis anterior muscle. Two subgroups were analyzed in the age range below and above 65 years. Pearson correlations between age and pain parameters were applied.\nRESULTS: Patients demonstrated reduced MPDT, PTT, and PPT (P&lt;0.01), facilitated TSP (P&lt;0.02), and a trend toward impaired CPM (P=0.06) compared with controls. A negative correlation was found between MPDT, PTT, and PPT and age (P&lt;0.05) but no age-related association was found for TSP and CPM.\nDISCUSSION: Pressure hyperalgesia was affected by age whereas dynamic pain mechanisms such as TSP and CPM were unaffected suggesting that these parameters are robust for a larger age range and reliable for long-term follow-up studies.","DOI":"10.1097/AJP.0000000000000495","ISSN":"1536-5409","note":"PMID: 28277434","journalAbbreviation":"Clin J Pain","language":"eng","author":[{"family":"Petersen","given":"Kristian K."},{"family":"Arendt-Nielsen","given":"Lars"},{"family":"Finocchietti","given":"Sara"},{"family":"Hirata","given":"Rogerio P."},{"family":"Simonsen","given":"Ole"},{"family":"Laursen","given":"Mogens B."},{"family":"Graven-Nielsen","given":"Thomas"}],"issued":{"date-parts":[["2017"]]}}}],"schema":"https://github.com/citation-style-language/schema/raw/master/csl-citation.json"} </w:instrText>
      </w:r>
      <w:r w:rsidRPr="00F94284">
        <w:rPr>
          <w:rFonts w:ascii="Arial" w:hAnsi="Arial" w:cs="Arial"/>
          <w:sz w:val="20"/>
          <w:lang w:val="en-GB"/>
        </w:rPr>
        <w:fldChar w:fldCharType="separate"/>
      </w:r>
      <w:r w:rsidRPr="00F94284">
        <w:rPr>
          <w:rFonts w:ascii="Arial" w:hAnsi="Arial" w:cs="Arial"/>
          <w:sz w:val="20"/>
          <w:lang w:val="en-GB"/>
        </w:rPr>
        <w:t>(</w:t>
      </w:r>
      <w:r w:rsidRPr="00F94284">
        <w:rPr>
          <w:rFonts w:ascii="Arial" w:hAnsi="Arial" w:cs="Arial"/>
          <w:i/>
          <w:iCs/>
          <w:sz w:val="20"/>
          <w:lang w:val="en-GB"/>
        </w:rPr>
        <w:t>2</w:t>
      </w:r>
      <w:r w:rsidRPr="00F94284">
        <w:rPr>
          <w:rFonts w:ascii="Arial" w:hAnsi="Arial" w:cs="Arial"/>
          <w:sz w:val="20"/>
          <w:lang w:val="en-GB"/>
        </w:rPr>
        <w:t xml:space="preserve">, </w:t>
      </w:r>
      <w:r w:rsidRPr="00F94284">
        <w:rPr>
          <w:rFonts w:ascii="Arial" w:hAnsi="Arial" w:cs="Arial"/>
          <w:i/>
          <w:iCs/>
          <w:sz w:val="20"/>
          <w:lang w:val="en-GB"/>
        </w:rPr>
        <w:t>3</w:t>
      </w:r>
      <w:r w:rsidRPr="00F94284">
        <w:rPr>
          <w:rFonts w:ascii="Arial" w:hAnsi="Arial" w:cs="Arial"/>
          <w:sz w:val="20"/>
          <w:lang w:val="en-GB"/>
        </w:rPr>
        <w:t>)</w:t>
      </w:r>
      <w:r w:rsidRPr="00F94284">
        <w:rPr>
          <w:rFonts w:ascii="Arial" w:hAnsi="Arial" w:cs="Arial"/>
          <w:sz w:val="20"/>
        </w:rPr>
        <w:fldChar w:fldCharType="end"/>
      </w:r>
      <w:r w:rsidRPr="00F94284">
        <w:rPr>
          <w:rFonts w:ascii="Arial" w:hAnsi="Arial" w:cs="Arial"/>
          <w:sz w:val="20"/>
          <w:lang w:val="en-GB"/>
        </w:rPr>
        <w:t xml:space="preserve">. </w:t>
      </w:r>
    </w:p>
    <w:p w14:paraId="66FAF201" w14:textId="77777777" w:rsidR="00F94284" w:rsidRPr="00F94284" w:rsidRDefault="00F94284" w:rsidP="00F94284">
      <w:pPr>
        <w:pStyle w:val="SMText"/>
        <w:rPr>
          <w:rFonts w:ascii="Arial" w:hAnsi="Arial" w:cs="Arial"/>
          <w:sz w:val="20"/>
          <w:lang w:val="en-GB"/>
        </w:rPr>
      </w:pPr>
    </w:p>
    <w:p w14:paraId="50C5A3A1" w14:textId="77777777" w:rsidR="00F94284" w:rsidRPr="00F94284" w:rsidRDefault="00F94284" w:rsidP="00F94284">
      <w:pPr>
        <w:pStyle w:val="SMText"/>
        <w:ind w:firstLine="0"/>
        <w:rPr>
          <w:rFonts w:ascii="Arial" w:hAnsi="Arial" w:cs="Arial"/>
          <w:b/>
          <w:sz w:val="20"/>
          <w:lang w:val="en-GB"/>
        </w:rPr>
      </w:pPr>
      <w:r w:rsidRPr="00F94284">
        <w:rPr>
          <w:rFonts w:ascii="Arial" w:hAnsi="Arial" w:cs="Arial"/>
          <w:b/>
          <w:sz w:val="20"/>
          <w:lang w:val="en-GB"/>
        </w:rPr>
        <w:t>Conditioning Pain Modulation by Cuff Algometry</w:t>
      </w:r>
    </w:p>
    <w:p w14:paraId="49233BD1" w14:textId="77777777" w:rsidR="00F94284" w:rsidRPr="00F94284" w:rsidRDefault="00F94284" w:rsidP="00F94284">
      <w:pPr>
        <w:pStyle w:val="SMText"/>
        <w:rPr>
          <w:rFonts w:ascii="Arial" w:hAnsi="Arial" w:cs="Arial"/>
          <w:sz w:val="20"/>
          <w:lang w:val="en-GB"/>
        </w:rPr>
      </w:pPr>
      <w:r w:rsidRPr="00F94284">
        <w:rPr>
          <w:rFonts w:ascii="Arial" w:hAnsi="Arial" w:cs="Arial"/>
          <w:sz w:val="20"/>
          <w:lang w:val="en-GB"/>
        </w:rPr>
        <w:t xml:space="preserve">The cuff on either leg was utilised to assess conditioned pain modulation (CPM). The painful conditioning stimulus was applied via the cuff to the contralateral side, with the inflation pressure set to 70% of the participants cuff PTT. PDT was then simultaneously assessed on the ipsilateral leg via the second cuff (test stimulus). CPM was then measured by subtracting the unconditioned PDT score from the conditioned PDT score. A higher CPM score indicate a larger modulatory effect of the conditioning stimulus.  </w:t>
      </w:r>
    </w:p>
    <w:p w14:paraId="294E5271" w14:textId="6D224BF2" w:rsidR="009A5287" w:rsidRPr="00840BB2" w:rsidRDefault="009A5287" w:rsidP="009A5287">
      <w:pPr>
        <w:pStyle w:val="SMcaption"/>
        <w:rPr>
          <w:rFonts w:ascii="Arial" w:hAnsi="Arial" w:cs="Arial"/>
          <w:sz w:val="20"/>
        </w:rPr>
      </w:pPr>
    </w:p>
    <w:p w14:paraId="5DCD8619" w14:textId="77777777" w:rsidR="00E20CF6" w:rsidRDefault="00E20CF6">
      <w:pPr>
        <w:rPr>
          <w:rFonts w:ascii="Arial" w:hAnsi="Arial" w:cs="Arial"/>
          <w:b/>
          <w:sz w:val="28"/>
        </w:rPr>
      </w:pPr>
      <w:r>
        <w:rPr>
          <w:rFonts w:ascii="Arial" w:hAnsi="Arial" w:cs="Arial"/>
          <w:b/>
          <w:sz w:val="28"/>
        </w:rPr>
        <w:br w:type="page"/>
      </w:r>
    </w:p>
    <w:p w14:paraId="3CBD8973" w14:textId="6D7FE051" w:rsidR="009A5287" w:rsidRPr="00E20CF6" w:rsidRDefault="009A2343" w:rsidP="009A2343">
      <w:pPr>
        <w:pStyle w:val="SMText"/>
        <w:ind w:firstLine="0"/>
        <w:rPr>
          <w:rFonts w:ascii="Arial" w:hAnsi="Arial" w:cs="Arial"/>
          <w:b/>
          <w:sz w:val="28"/>
        </w:rPr>
      </w:pPr>
      <w:r w:rsidRPr="00E20CF6">
        <w:rPr>
          <w:rFonts w:ascii="Arial" w:hAnsi="Arial" w:cs="Arial"/>
          <w:b/>
          <w:sz w:val="28"/>
        </w:rPr>
        <w:lastRenderedPageBreak/>
        <w:t>Results</w:t>
      </w:r>
    </w:p>
    <w:p w14:paraId="197FE651" w14:textId="77777777" w:rsidR="009A2343" w:rsidRPr="009A2343" w:rsidRDefault="009A2343" w:rsidP="009A2343">
      <w:pPr>
        <w:pStyle w:val="SMText"/>
        <w:ind w:firstLine="0"/>
        <w:rPr>
          <w:rFonts w:ascii="Arial" w:hAnsi="Arial" w:cs="Arial"/>
          <w:b/>
          <w:sz w:val="20"/>
          <w:lang w:val="en-GB"/>
        </w:rPr>
      </w:pPr>
      <w:r w:rsidRPr="009A2343">
        <w:rPr>
          <w:rFonts w:ascii="Arial" w:hAnsi="Arial" w:cs="Arial"/>
          <w:b/>
          <w:sz w:val="20"/>
          <w:lang w:val="en-GB"/>
        </w:rPr>
        <w:t xml:space="preserve">Component 12 vs individual QST measures </w:t>
      </w:r>
    </w:p>
    <w:p w14:paraId="5AB363DA" w14:textId="16E5957B" w:rsidR="009A2343" w:rsidRDefault="009A2343" w:rsidP="009A2343">
      <w:pPr>
        <w:pStyle w:val="SMText"/>
        <w:rPr>
          <w:rFonts w:ascii="Arial" w:hAnsi="Arial" w:cs="Arial"/>
          <w:sz w:val="20"/>
          <w:lang w:val="en-GB"/>
        </w:rPr>
      </w:pPr>
      <w:r w:rsidRPr="009A2343">
        <w:rPr>
          <w:rFonts w:ascii="Arial" w:hAnsi="Arial" w:cs="Arial"/>
          <w:sz w:val="20"/>
          <w:lang w:val="en-GB"/>
        </w:rPr>
        <w:t xml:space="preserve">A posthoc analysis of the individual QST scores were carried out to further explore the relationship between the component 12 network and QST measures in pain patients, corrected for age and sex. The same analysis was carried out for the mean CBF of the positive loading for component 12 (that was found to be correlated to the QST factor score). Both the network score and mean CBF of Component 12 was significantly or trended to be correlated with all measures except the temporal summation score (table </w:t>
      </w:r>
      <w:r>
        <w:rPr>
          <w:rFonts w:ascii="Arial" w:hAnsi="Arial" w:cs="Arial"/>
          <w:sz w:val="20"/>
          <w:lang w:val="en-GB"/>
        </w:rPr>
        <w:t>S</w:t>
      </w:r>
      <w:r w:rsidRPr="009A2343">
        <w:rPr>
          <w:rFonts w:ascii="Arial" w:hAnsi="Arial" w:cs="Arial"/>
          <w:sz w:val="20"/>
          <w:lang w:val="en-GB"/>
        </w:rPr>
        <w:t xml:space="preserve">3 and </w:t>
      </w:r>
      <w:r>
        <w:rPr>
          <w:rFonts w:ascii="Arial" w:hAnsi="Arial" w:cs="Arial"/>
          <w:sz w:val="20"/>
          <w:lang w:val="en-GB"/>
        </w:rPr>
        <w:t>S</w:t>
      </w:r>
      <w:r w:rsidRPr="009A2343">
        <w:rPr>
          <w:rFonts w:ascii="Arial" w:hAnsi="Arial" w:cs="Arial"/>
          <w:sz w:val="20"/>
          <w:lang w:val="en-GB"/>
        </w:rPr>
        <w:t>4).</w:t>
      </w:r>
    </w:p>
    <w:p w14:paraId="00A45FB6" w14:textId="77777777" w:rsidR="009A2343" w:rsidRPr="009A2343" w:rsidRDefault="009A2343" w:rsidP="009A2343">
      <w:pPr>
        <w:pStyle w:val="SMText"/>
        <w:rPr>
          <w:rFonts w:ascii="Arial" w:hAnsi="Arial" w:cs="Arial"/>
          <w:sz w:val="20"/>
          <w:lang w:val="en-GB"/>
        </w:rPr>
      </w:pPr>
    </w:p>
    <w:p w14:paraId="4F3ADA0F" w14:textId="55D880C8" w:rsidR="009A2343" w:rsidRPr="009A2343" w:rsidRDefault="009A2343" w:rsidP="009A2343">
      <w:pPr>
        <w:rPr>
          <w:rFonts w:ascii="Arial" w:hAnsi="Arial" w:cs="Arial"/>
          <w:sz w:val="20"/>
        </w:rPr>
      </w:pPr>
      <w:r w:rsidRPr="009A2343">
        <w:rPr>
          <w:rFonts w:ascii="Arial" w:hAnsi="Arial" w:cs="Arial"/>
          <w:b/>
          <w:sz w:val="20"/>
        </w:rPr>
        <w:t>Table S3.</w:t>
      </w:r>
      <w:r w:rsidRPr="009A2343">
        <w:rPr>
          <w:rFonts w:ascii="Arial" w:hAnsi="Arial" w:cs="Arial"/>
          <w:sz w:val="20"/>
        </w:rPr>
        <w:t xml:space="preserve"> Pearson correlation between component 12 and QST measures</w:t>
      </w:r>
    </w:p>
    <w:tbl>
      <w:tblPr>
        <w:tblW w:w="6121" w:type="dxa"/>
        <w:tblBorders>
          <w:insideH w:val="single" w:sz="4" w:space="0" w:color="auto"/>
        </w:tblBorders>
        <w:tblLook w:val="04A0" w:firstRow="1" w:lastRow="0" w:firstColumn="1" w:lastColumn="0" w:noHBand="0" w:noVBand="1"/>
      </w:tblPr>
      <w:tblGrid>
        <w:gridCol w:w="3686"/>
        <w:gridCol w:w="1384"/>
        <w:gridCol w:w="1051"/>
      </w:tblGrid>
      <w:tr w:rsidR="009A2343" w:rsidRPr="009A2343" w14:paraId="3F6EEE5A" w14:textId="77777777" w:rsidTr="009A2343">
        <w:trPr>
          <w:trHeight w:val="300"/>
        </w:trPr>
        <w:tc>
          <w:tcPr>
            <w:tcW w:w="3686" w:type="dxa"/>
            <w:tcBorders>
              <w:top w:val="single" w:sz="4" w:space="0" w:color="auto"/>
              <w:bottom w:val="single" w:sz="4" w:space="0" w:color="auto"/>
            </w:tcBorders>
            <w:shd w:val="clear" w:color="auto" w:fill="auto"/>
            <w:noWrap/>
            <w:vAlign w:val="bottom"/>
            <w:hideMark/>
          </w:tcPr>
          <w:p w14:paraId="1FCC54F5" w14:textId="77777777" w:rsidR="009A2343" w:rsidRPr="009A2343" w:rsidRDefault="009A2343" w:rsidP="009A2343">
            <w:pPr>
              <w:rPr>
                <w:rFonts w:ascii="Arial" w:hAnsi="Arial" w:cs="Arial"/>
                <w:color w:val="000000"/>
                <w:sz w:val="20"/>
                <w:lang w:eastAsia="en-GB"/>
              </w:rPr>
            </w:pPr>
            <w:r w:rsidRPr="009A2343">
              <w:rPr>
                <w:rFonts w:ascii="Arial" w:hAnsi="Arial" w:cs="Arial"/>
                <w:color w:val="000000"/>
                <w:sz w:val="20"/>
                <w:lang w:eastAsia="en-GB"/>
              </w:rPr>
              <w:t>Component 12 Network score vs:</w:t>
            </w:r>
          </w:p>
        </w:tc>
        <w:tc>
          <w:tcPr>
            <w:tcW w:w="1384" w:type="dxa"/>
            <w:tcBorders>
              <w:top w:val="single" w:sz="4" w:space="0" w:color="auto"/>
              <w:bottom w:val="single" w:sz="4" w:space="0" w:color="auto"/>
            </w:tcBorders>
            <w:shd w:val="clear" w:color="auto" w:fill="auto"/>
            <w:noWrap/>
            <w:vAlign w:val="bottom"/>
            <w:hideMark/>
          </w:tcPr>
          <w:p w14:paraId="7CE3F6DE" w14:textId="77777777" w:rsidR="009A2343" w:rsidRPr="009A2343" w:rsidRDefault="009A2343" w:rsidP="009A2343">
            <w:pPr>
              <w:jc w:val="center"/>
              <w:rPr>
                <w:rFonts w:ascii="Arial" w:hAnsi="Arial" w:cs="Arial"/>
                <w:i/>
                <w:iCs/>
                <w:color w:val="000000"/>
                <w:sz w:val="20"/>
                <w:lang w:eastAsia="en-GB"/>
              </w:rPr>
            </w:pPr>
            <w:r w:rsidRPr="009A2343">
              <w:rPr>
                <w:rFonts w:ascii="Arial" w:hAnsi="Arial" w:cs="Arial"/>
                <w:i/>
                <w:iCs/>
                <w:color w:val="000000"/>
                <w:sz w:val="20"/>
                <w:lang w:eastAsia="en-GB"/>
              </w:rPr>
              <w:t>r</w:t>
            </w:r>
          </w:p>
        </w:tc>
        <w:tc>
          <w:tcPr>
            <w:tcW w:w="1051" w:type="dxa"/>
            <w:tcBorders>
              <w:top w:val="single" w:sz="4" w:space="0" w:color="auto"/>
              <w:bottom w:val="single" w:sz="4" w:space="0" w:color="auto"/>
            </w:tcBorders>
            <w:shd w:val="clear" w:color="auto" w:fill="auto"/>
            <w:noWrap/>
            <w:vAlign w:val="bottom"/>
            <w:hideMark/>
          </w:tcPr>
          <w:p w14:paraId="5082A7DF" w14:textId="77777777" w:rsidR="009A2343" w:rsidRPr="009A2343" w:rsidRDefault="009A2343" w:rsidP="009A2343">
            <w:pPr>
              <w:jc w:val="center"/>
              <w:rPr>
                <w:rFonts w:ascii="Arial" w:hAnsi="Arial" w:cs="Arial"/>
                <w:i/>
                <w:iCs/>
                <w:color w:val="000000"/>
                <w:sz w:val="20"/>
                <w:lang w:eastAsia="en-GB"/>
              </w:rPr>
            </w:pPr>
            <w:r w:rsidRPr="009A2343">
              <w:rPr>
                <w:rFonts w:ascii="Arial" w:hAnsi="Arial" w:cs="Arial"/>
                <w:i/>
                <w:iCs/>
                <w:color w:val="000000"/>
                <w:sz w:val="20"/>
                <w:lang w:eastAsia="en-GB"/>
              </w:rPr>
              <w:t>p</w:t>
            </w:r>
          </w:p>
        </w:tc>
      </w:tr>
      <w:tr w:rsidR="009A2343" w:rsidRPr="009A2343" w14:paraId="6016024B" w14:textId="77777777" w:rsidTr="009A2343">
        <w:trPr>
          <w:trHeight w:val="300"/>
        </w:trPr>
        <w:tc>
          <w:tcPr>
            <w:tcW w:w="3686" w:type="dxa"/>
            <w:tcBorders>
              <w:top w:val="single" w:sz="4" w:space="0" w:color="auto"/>
            </w:tcBorders>
            <w:shd w:val="clear" w:color="auto" w:fill="auto"/>
            <w:hideMark/>
          </w:tcPr>
          <w:p w14:paraId="1DBAD275"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PPT sternum</w:t>
            </w:r>
          </w:p>
        </w:tc>
        <w:tc>
          <w:tcPr>
            <w:tcW w:w="1384" w:type="dxa"/>
            <w:tcBorders>
              <w:top w:val="single" w:sz="4" w:space="0" w:color="auto"/>
            </w:tcBorders>
            <w:shd w:val="clear" w:color="auto" w:fill="auto"/>
            <w:noWrap/>
            <w:vAlign w:val="bottom"/>
            <w:hideMark/>
          </w:tcPr>
          <w:p w14:paraId="23288B3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0.41</w:t>
            </w:r>
          </w:p>
        </w:tc>
        <w:tc>
          <w:tcPr>
            <w:tcW w:w="1051" w:type="dxa"/>
            <w:tcBorders>
              <w:top w:val="single" w:sz="4" w:space="0" w:color="auto"/>
            </w:tcBorders>
            <w:shd w:val="clear" w:color="auto" w:fill="auto"/>
            <w:noWrap/>
            <w:vAlign w:val="bottom"/>
            <w:hideMark/>
          </w:tcPr>
          <w:p w14:paraId="6571F6CD"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0.009*</w:t>
            </w:r>
          </w:p>
        </w:tc>
      </w:tr>
      <w:tr w:rsidR="009A2343" w:rsidRPr="009A2343" w14:paraId="4EB79892" w14:textId="77777777" w:rsidTr="009A2343">
        <w:trPr>
          <w:trHeight w:val="300"/>
        </w:trPr>
        <w:tc>
          <w:tcPr>
            <w:tcW w:w="3686" w:type="dxa"/>
            <w:shd w:val="clear" w:color="auto" w:fill="auto"/>
            <w:hideMark/>
          </w:tcPr>
          <w:p w14:paraId="4762DFB2"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PPT knee</w:t>
            </w:r>
          </w:p>
        </w:tc>
        <w:tc>
          <w:tcPr>
            <w:tcW w:w="1384" w:type="dxa"/>
            <w:shd w:val="clear" w:color="auto" w:fill="auto"/>
            <w:noWrap/>
            <w:vAlign w:val="bottom"/>
            <w:hideMark/>
          </w:tcPr>
          <w:p w14:paraId="372C917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0.36</w:t>
            </w:r>
          </w:p>
        </w:tc>
        <w:tc>
          <w:tcPr>
            <w:tcW w:w="1051" w:type="dxa"/>
            <w:shd w:val="clear" w:color="auto" w:fill="auto"/>
            <w:noWrap/>
            <w:vAlign w:val="bottom"/>
            <w:hideMark/>
          </w:tcPr>
          <w:p w14:paraId="43D49DD4"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0.021*</w:t>
            </w:r>
          </w:p>
        </w:tc>
      </w:tr>
      <w:tr w:rsidR="009A2343" w:rsidRPr="009A2343" w14:paraId="7184B615" w14:textId="77777777" w:rsidTr="009A2343">
        <w:trPr>
          <w:trHeight w:val="300"/>
        </w:trPr>
        <w:tc>
          <w:tcPr>
            <w:tcW w:w="3686" w:type="dxa"/>
            <w:shd w:val="clear" w:color="auto" w:fill="auto"/>
            <w:hideMark/>
          </w:tcPr>
          <w:p w14:paraId="7464E89C"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TS</w:t>
            </w:r>
          </w:p>
        </w:tc>
        <w:tc>
          <w:tcPr>
            <w:tcW w:w="1384" w:type="dxa"/>
            <w:shd w:val="clear" w:color="auto" w:fill="auto"/>
            <w:noWrap/>
            <w:vAlign w:val="bottom"/>
            <w:hideMark/>
          </w:tcPr>
          <w:p w14:paraId="5E3CA520"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0.03</w:t>
            </w:r>
          </w:p>
        </w:tc>
        <w:tc>
          <w:tcPr>
            <w:tcW w:w="1051" w:type="dxa"/>
            <w:shd w:val="clear" w:color="auto" w:fill="auto"/>
            <w:noWrap/>
            <w:vAlign w:val="bottom"/>
            <w:hideMark/>
          </w:tcPr>
          <w:p w14:paraId="5797B196"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0.842</w:t>
            </w:r>
          </w:p>
        </w:tc>
      </w:tr>
      <w:tr w:rsidR="009A2343" w:rsidRPr="009A2343" w14:paraId="11F4AB33" w14:textId="77777777" w:rsidTr="009A2343">
        <w:trPr>
          <w:trHeight w:val="300"/>
        </w:trPr>
        <w:tc>
          <w:tcPr>
            <w:tcW w:w="3686" w:type="dxa"/>
            <w:shd w:val="clear" w:color="auto" w:fill="auto"/>
            <w:hideMark/>
          </w:tcPr>
          <w:p w14:paraId="0B4A47BB"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CPM</w:t>
            </w:r>
          </w:p>
        </w:tc>
        <w:tc>
          <w:tcPr>
            <w:tcW w:w="1384" w:type="dxa"/>
            <w:shd w:val="clear" w:color="auto" w:fill="auto"/>
            <w:noWrap/>
            <w:vAlign w:val="bottom"/>
            <w:hideMark/>
          </w:tcPr>
          <w:p w14:paraId="3BAE8D67"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0.29</w:t>
            </w:r>
          </w:p>
        </w:tc>
        <w:tc>
          <w:tcPr>
            <w:tcW w:w="1051" w:type="dxa"/>
            <w:shd w:val="clear" w:color="auto" w:fill="auto"/>
            <w:noWrap/>
            <w:vAlign w:val="bottom"/>
            <w:hideMark/>
          </w:tcPr>
          <w:p w14:paraId="3273724C"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0.069</w:t>
            </w:r>
          </w:p>
        </w:tc>
      </w:tr>
      <w:tr w:rsidR="009A2343" w:rsidRPr="009A2343" w14:paraId="73BD38E7" w14:textId="77777777" w:rsidTr="009A2343">
        <w:trPr>
          <w:trHeight w:val="300"/>
        </w:trPr>
        <w:tc>
          <w:tcPr>
            <w:tcW w:w="3686" w:type="dxa"/>
            <w:shd w:val="clear" w:color="auto" w:fill="auto"/>
            <w:hideMark/>
          </w:tcPr>
          <w:p w14:paraId="725871FB"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PDT affected leg</w:t>
            </w:r>
          </w:p>
        </w:tc>
        <w:tc>
          <w:tcPr>
            <w:tcW w:w="1384" w:type="dxa"/>
            <w:shd w:val="clear" w:color="auto" w:fill="auto"/>
            <w:noWrap/>
            <w:vAlign w:val="bottom"/>
            <w:hideMark/>
          </w:tcPr>
          <w:p w14:paraId="46199BB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0.39</w:t>
            </w:r>
          </w:p>
        </w:tc>
        <w:tc>
          <w:tcPr>
            <w:tcW w:w="1051" w:type="dxa"/>
            <w:shd w:val="clear" w:color="auto" w:fill="auto"/>
            <w:noWrap/>
            <w:vAlign w:val="bottom"/>
            <w:hideMark/>
          </w:tcPr>
          <w:p w14:paraId="5F77030F"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0.012*</w:t>
            </w:r>
          </w:p>
        </w:tc>
      </w:tr>
      <w:tr w:rsidR="009A2343" w:rsidRPr="009A2343" w14:paraId="42FDAA70" w14:textId="77777777" w:rsidTr="009A2343">
        <w:trPr>
          <w:trHeight w:val="300"/>
        </w:trPr>
        <w:tc>
          <w:tcPr>
            <w:tcW w:w="3686" w:type="dxa"/>
            <w:shd w:val="clear" w:color="auto" w:fill="auto"/>
            <w:hideMark/>
          </w:tcPr>
          <w:p w14:paraId="3D3CE9AF"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PTL affected leg</w:t>
            </w:r>
          </w:p>
        </w:tc>
        <w:tc>
          <w:tcPr>
            <w:tcW w:w="1384" w:type="dxa"/>
            <w:shd w:val="clear" w:color="auto" w:fill="auto"/>
            <w:noWrap/>
            <w:vAlign w:val="bottom"/>
            <w:hideMark/>
          </w:tcPr>
          <w:p w14:paraId="64DDAA7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0.34</w:t>
            </w:r>
          </w:p>
        </w:tc>
        <w:tc>
          <w:tcPr>
            <w:tcW w:w="1051" w:type="dxa"/>
            <w:shd w:val="clear" w:color="auto" w:fill="auto"/>
            <w:noWrap/>
            <w:vAlign w:val="bottom"/>
            <w:hideMark/>
          </w:tcPr>
          <w:p w14:paraId="26E1E43C"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0.03*</w:t>
            </w:r>
          </w:p>
        </w:tc>
      </w:tr>
      <w:tr w:rsidR="009A2343" w:rsidRPr="009A2343" w14:paraId="054E8DDF" w14:textId="77777777" w:rsidTr="009A2343">
        <w:trPr>
          <w:trHeight w:val="300"/>
        </w:trPr>
        <w:tc>
          <w:tcPr>
            <w:tcW w:w="3686" w:type="dxa"/>
            <w:tcBorders>
              <w:bottom w:val="single" w:sz="4" w:space="0" w:color="auto"/>
            </w:tcBorders>
            <w:shd w:val="clear" w:color="auto" w:fill="auto"/>
            <w:hideMark/>
          </w:tcPr>
          <w:p w14:paraId="18805FF5"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PDT unaffected leg</w:t>
            </w:r>
          </w:p>
        </w:tc>
        <w:tc>
          <w:tcPr>
            <w:tcW w:w="1384" w:type="dxa"/>
            <w:tcBorders>
              <w:bottom w:val="single" w:sz="4" w:space="0" w:color="auto"/>
            </w:tcBorders>
            <w:shd w:val="clear" w:color="auto" w:fill="auto"/>
            <w:noWrap/>
            <w:vAlign w:val="bottom"/>
            <w:hideMark/>
          </w:tcPr>
          <w:p w14:paraId="0FEE089B"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0.39</w:t>
            </w:r>
          </w:p>
        </w:tc>
        <w:tc>
          <w:tcPr>
            <w:tcW w:w="1051" w:type="dxa"/>
            <w:tcBorders>
              <w:bottom w:val="single" w:sz="4" w:space="0" w:color="auto"/>
            </w:tcBorders>
            <w:shd w:val="clear" w:color="auto" w:fill="auto"/>
            <w:noWrap/>
            <w:vAlign w:val="bottom"/>
            <w:hideMark/>
          </w:tcPr>
          <w:p w14:paraId="39CCEA8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0.012*</w:t>
            </w:r>
          </w:p>
        </w:tc>
      </w:tr>
      <w:tr w:rsidR="009A2343" w:rsidRPr="009A2343" w14:paraId="7B41E12B" w14:textId="77777777" w:rsidTr="009A2343">
        <w:trPr>
          <w:trHeight w:val="300"/>
        </w:trPr>
        <w:tc>
          <w:tcPr>
            <w:tcW w:w="3686" w:type="dxa"/>
            <w:tcBorders>
              <w:top w:val="single" w:sz="4" w:space="0" w:color="auto"/>
              <w:bottom w:val="single" w:sz="4" w:space="0" w:color="auto"/>
            </w:tcBorders>
            <w:shd w:val="clear" w:color="auto" w:fill="auto"/>
            <w:hideMark/>
          </w:tcPr>
          <w:p w14:paraId="31A56068"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PTL unaffected leg</w:t>
            </w:r>
          </w:p>
        </w:tc>
        <w:tc>
          <w:tcPr>
            <w:tcW w:w="1384" w:type="dxa"/>
            <w:tcBorders>
              <w:top w:val="single" w:sz="4" w:space="0" w:color="auto"/>
              <w:bottom w:val="single" w:sz="4" w:space="0" w:color="auto"/>
            </w:tcBorders>
            <w:shd w:val="clear" w:color="auto" w:fill="auto"/>
            <w:noWrap/>
            <w:vAlign w:val="bottom"/>
            <w:hideMark/>
          </w:tcPr>
          <w:p w14:paraId="307038B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0.29</w:t>
            </w:r>
          </w:p>
        </w:tc>
        <w:tc>
          <w:tcPr>
            <w:tcW w:w="1051" w:type="dxa"/>
            <w:tcBorders>
              <w:top w:val="single" w:sz="4" w:space="0" w:color="auto"/>
              <w:bottom w:val="single" w:sz="4" w:space="0" w:color="auto"/>
            </w:tcBorders>
            <w:shd w:val="clear" w:color="auto" w:fill="auto"/>
            <w:noWrap/>
            <w:vAlign w:val="bottom"/>
            <w:hideMark/>
          </w:tcPr>
          <w:p w14:paraId="5C3BC00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0.075</w:t>
            </w:r>
          </w:p>
        </w:tc>
      </w:tr>
    </w:tbl>
    <w:p w14:paraId="6CBFB5E3" w14:textId="14DEAD1C" w:rsidR="009A2343" w:rsidRDefault="009A2343" w:rsidP="009A2343">
      <w:pPr>
        <w:pStyle w:val="SMText"/>
        <w:ind w:firstLine="0"/>
        <w:rPr>
          <w:rFonts w:ascii="Arial" w:hAnsi="Arial" w:cs="Arial"/>
          <w:sz w:val="20"/>
        </w:rPr>
      </w:pPr>
    </w:p>
    <w:p w14:paraId="6BBF82B1" w14:textId="5DBFE88A" w:rsidR="009A2343" w:rsidRDefault="009A2343" w:rsidP="00E20CF6">
      <w:pPr>
        <w:rPr>
          <w:rFonts w:ascii="Arial" w:hAnsi="Arial" w:cs="Arial"/>
          <w:sz w:val="20"/>
        </w:rPr>
      </w:pPr>
    </w:p>
    <w:p w14:paraId="5327044E" w14:textId="4B1840A5" w:rsidR="009A2343" w:rsidRPr="009A2343" w:rsidRDefault="009A2343" w:rsidP="009A2343">
      <w:pPr>
        <w:rPr>
          <w:rFonts w:ascii="Arial" w:hAnsi="Arial" w:cs="Arial"/>
          <w:sz w:val="20"/>
        </w:rPr>
      </w:pPr>
      <w:r w:rsidRPr="009A2343">
        <w:rPr>
          <w:rFonts w:ascii="Arial" w:hAnsi="Arial" w:cs="Arial"/>
          <w:b/>
          <w:sz w:val="20"/>
        </w:rPr>
        <w:t xml:space="preserve">Table </w:t>
      </w:r>
      <w:r w:rsidR="00E20CF6">
        <w:rPr>
          <w:rFonts w:ascii="Arial" w:hAnsi="Arial" w:cs="Arial"/>
          <w:b/>
          <w:sz w:val="20"/>
        </w:rPr>
        <w:t>S</w:t>
      </w:r>
      <w:r w:rsidRPr="009A2343">
        <w:rPr>
          <w:rFonts w:ascii="Arial" w:hAnsi="Arial" w:cs="Arial"/>
          <w:b/>
          <w:sz w:val="20"/>
        </w:rPr>
        <w:t>4.</w:t>
      </w:r>
      <w:r w:rsidRPr="009A2343">
        <w:rPr>
          <w:rFonts w:ascii="Arial" w:hAnsi="Arial" w:cs="Arial"/>
          <w:sz w:val="20"/>
        </w:rPr>
        <w:t xml:space="preserve"> Pearson correlation between component 12 mean CBF of positive loadings and QST measures</w:t>
      </w:r>
    </w:p>
    <w:tbl>
      <w:tblPr>
        <w:tblW w:w="6121" w:type="dxa"/>
        <w:tblBorders>
          <w:insideH w:val="single" w:sz="4" w:space="0" w:color="auto"/>
        </w:tblBorders>
        <w:tblLook w:val="04A0" w:firstRow="1" w:lastRow="0" w:firstColumn="1" w:lastColumn="0" w:noHBand="0" w:noVBand="1"/>
      </w:tblPr>
      <w:tblGrid>
        <w:gridCol w:w="3686"/>
        <w:gridCol w:w="1384"/>
        <w:gridCol w:w="1051"/>
      </w:tblGrid>
      <w:tr w:rsidR="009A2343" w:rsidRPr="009A2343" w14:paraId="4CC9BC90" w14:textId="77777777" w:rsidTr="009A2343">
        <w:trPr>
          <w:trHeight w:val="300"/>
        </w:trPr>
        <w:tc>
          <w:tcPr>
            <w:tcW w:w="3686" w:type="dxa"/>
            <w:tcBorders>
              <w:top w:val="single" w:sz="4" w:space="0" w:color="auto"/>
              <w:bottom w:val="single" w:sz="4" w:space="0" w:color="auto"/>
            </w:tcBorders>
            <w:shd w:val="clear" w:color="auto" w:fill="auto"/>
            <w:noWrap/>
            <w:vAlign w:val="bottom"/>
            <w:hideMark/>
          </w:tcPr>
          <w:p w14:paraId="1ADD10AF" w14:textId="77777777" w:rsidR="009A2343" w:rsidRPr="009A2343" w:rsidRDefault="009A2343" w:rsidP="009A2343">
            <w:pPr>
              <w:rPr>
                <w:rFonts w:ascii="Arial" w:hAnsi="Arial" w:cs="Arial"/>
                <w:color w:val="000000"/>
                <w:sz w:val="20"/>
                <w:lang w:eastAsia="en-GB"/>
              </w:rPr>
            </w:pPr>
            <w:r w:rsidRPr="009A2343">
              <w:rPr>
                <w:rFonts w:ascii="Arial" w:hAnsi="Arial" w:cs="Arial"/>
                <w:color w:val="000000"/>
                <w:sz w:val="20"/>
                <w:lang w:eastAsia="en-GB"/>
              </w:rPr>
              <w:t>Component 12 mean CBF vs:</w:t>
            </w:r>
          </w:p>
        </w:tc>
        <w:tc>
          <w:tcPr>
            <w:tcW w:w="1384" w:type="dxa"/>
            <w:tcBorders>
              <w:top w:val="single" w:sz="4" w:space="0" w:color="auto"/>
              <w:bottom w:val="single" w:sz="4" w:space="0" w:color="auto"/>
            </w:tcBorders>
            <w:shd w:val="clear" w:color="auto" w:fill="auto"/>
            <w:noWrap/>
            <w:vAlign w:val="bottom"/>
            <w:hideMark/>
          </w:tcPr>
          <w:p w14:paraId="2DD5D614" w14:textId="77777777" w:rsidR="009A2343" w:rsidRPr="009A2343" w:rsidRDefault="009A2343" w:rsidP="009A2343">
            <w:pPr>
              <w:jc w:val="center"/>
              <w:rPr>
                <w:rFonts w:ascii="Arial" w:hAnsi="Arial" w:cs="Arial"/>
                <w:i/>
                <w:iCs/>
                <w:color w:val="000000"/>
                <w:sz w:val="20"/>
                <w:lang w:eastAsia="en-GB"/>
              </w:rPr>
            </w:pPr>
            <w:r w:rsidRPr="009A2343">
              <w:rPr>
                <w:rFonts w:ascii="Arial" w:hAnsi="Arial" w:cs="Arial"/>
                <w:i/>
                <w:iCs/>
                <w:color w:val="000000"/>
                <w:sz w:val="20"/>
                <w:lang w:eastAsia="en-GB"/>
              </w:rPr>
              <w:t>r</w:t>
            </w:r>
          </w:p>
        </w:tc>
        <w:tc>
          <w:tcPr>
            <w:tcW w:w="1051" w:type="dxa"/>
            <w:tcBorders>
              <w:top w:val="single" w:sz="4" w:space="0" w:color="auto"/>
              <w:bottom w:val="single" w:sz="4" w:space="0" w:color="auto"/>
            </w:tcBorders>
            <w:shd w:val="clear" w:color="auto" w:fill="auto"/>
            <w:noWrap/>
            <w:vAlign w:val="bottom"/>
            <w:hideMark/>
          </w:tcPr>
          <w:p w14:paraId="7F828232" w14:textId="77777777" w:rsidR="009A2343" w:rsidRPr="009A2343" w:rsidRDefault="009A2343" w:rsidP="009A2343">
            <w:pPr>
              <w:jc w:val="center"/>
              <w:rPr>
                <w:rFonts w:ascii="Arial" w:hAnsi="Arial" w:cs="Arial"/>
                <w:i/>
                <w:iCs/>
                <w:color w:val="000000"/>
                <w:sz w:val="20"/>
                <w:lang w:eastAsia="en-GB"/>
              </w:rPr>
            </w:pPr>
            <w:r w:rsidRPr="009A2343">
              <w:rPr>
                <w:rFonts w:ascii="Arial" w:hAnsi="Arial" w:cs="Arial"/>
                <w:i/>
                <w:iCs/>
                <w:color w:val="000000"/>
                <w:sz w:val="20"/>
                <w:lang w:eastAsia="en-GB"/>
              </w:rPr>
              <w:t>p</w:t>
            </w:r>
          </w:p>
        </w:tc>
      </w:tr>
      <w:tr w:rsidR="009A2343" w:rsidRPr="009A2343" w14:paraId="7B72D20B" w14:textId="77777777" w:rsidTr="009A2343">
        <w:trPr>
          <w:trHeight w:val="300"/>
        </w:trPr>
        <w:tc>
          <w:tcPr>
            <w:tcW w:w="3686" w:type="dxa"/>
            <w:tcBorders>
              <w:top w:val="single" w:sz="4" w:space="0" w:color="auto"/>
            </w:tcBorders>
            <w:shd w:val="clear" w:color="auto" w:fill="auto"/>
            <w:hideMark/>
          </w:tcPr>
          <w:p w14:paraId="7253B8A6"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PPT sternum</w:t>
            </w:r>
          </w:p>
        </w:tc>
        <w:tc>
          <w:tcPr>
            <w:tcW w:w="1384" w:type="dxa"/>
            <w:tcBorders>
              <w:top w:val="single" w:sz="4" w:space="0" w:color="auto"/>
            </w:tcBorders>
            <w:shd w:val="clear" w:color="auto" w:fill="auto"/>
            <w:noWrap/>
            <w:vAlign w:val="bottom"/>
            <w:hideMark/>
          </w:tcPr>
          <w:p w14:paraId="10DFBE6E"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w:t>
            </w:r>
          </w:p>
        </w:tc>
        <w:tc>
          <w:tcPr>
            <w:tcW w:w="1051" w:type="dxa"/>
            <w:tcBorders>
              <w:top w:val="single" w:sz="4" w:space="0" w:color="auto"/>
            </w:tcBorders>
            <w:shd w:val="clear" w:color="auto" w:fill="auto"/>
            <w:noWrap/>
            <w:vAlign w:val="bottom"/>
            <w:hideMark/>
          </w:tcPr>
          <w:p w14:paraId="72993AD4"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0.011*</w:t>
            </w:r>
          </w:p>
        </w:tc>
      </w:tr>
      <w:tr w:rsidR="009A2343" w:rsidRPr="009A2343" w14:paraId="0C356933" w14:textId="77777777" w:rsidTr="009A2343">
        <w:trPr>
          <w:trHeight w:val="300"/>
        </w:trPr>
        <w:tc>
          <w:tcPr>
            <w:tcW w:w="3686" w:type="dxa"/>
            <w:shd w:val="clear" w:color="auto" w:fill="auto"/>
            <w:hideMark/>
          </w:tcPr>
          <w:p w14:paraId="7EF0FA16"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PPT knee</w:t>
            </w:r>
          </w:p>
        </w:tc>
        <w:tc>
          <w:tcPr>
            <w:tcW w:w="1384" w:type="dxa"/>
            <w:shd w:val="clear" w:color="auto" w:fill="auto"/>
            <w:noWrap/>
            <w:vAlign w:val="bottom"/>
            <w:hideMark/>
          </w:tcPr>
          <w:p w14:paraId="7DB7153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0.32</w:t>
            </w:r>
          </w:p>
        </w:tc>
        <w:tc>
          <w:tcPr>
            <w:tcW w:w="1051" w:type="dxa"/>
            <w:shd w:val="clear" w:color="auto" w:fill="auto"/>
            <w:noWrap/>
            <w:vAlign w:val="bottom"/>
            <w:hideMark/>
          </w:tcPr>
          <w:p w14:paraId="73B5456D"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0.042*</w:t>
            </w:r>
          </w:p>
        </w:tc>
      </w:tr>
      <w:tr w:rsidR="009A2343" w:rsidRPr="009A2343" w14:paraId="63D6B2D0" w14:textId="77777777" w:rsidTr="009A2343">
        <w:trPr>
          <w:trHeight w:val="300"/>
        </w:trPr>
        <w:tc>
          <w:tcPr>
            <w:tcW w:w="3686" w:type="dxa"/>
            <w:shd w:val="clear" w:color="auto" w:fill="auto"/>
            <w:hideMark/>
          </w:tcPr>
          <w:p w14:paraId="78119414"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TS</w:t>
            </w:r>
          </w:p>
        </w:tc>
        <w:tc>
          <w:tcPr>
            <w:tcW w:w="1384" w:type="dxa"/>
            <w:shd w:val="clear" w:color="auto" w:fill="auto"/>
            <w:noWrap/>
            <w:vAlign w:val="bottom"/>
            <w:hideMark/>
          </w:tcPr>
          <w:p w14:paraId="556AB934"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0.09</w:t>
            </w:r>
          </w:p>
        </w:tc>
        <w:tc>
          <w:tcPr>
            <w:tcW w:w="1051" w:type="dxa"/>
            <w:shd w:val="clear" w:color="auto" w:fill="auto"/>
            <w:noWrap/>
            <w:vAlign w:val="bottom"/>
            <w:hideMark/>
          </w:tcPr>
          <w:p w14:paraId="7A4FD621"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0.603</w:t>
            </w:r>
          </w:p>
        </w:tc>
      </w:tr>
      <w:tr w:rsidR="009A2343" w:rsidRPr="009A2343" w14:paraId="28B3F006" w14:textId="77777777" w:rsidTr="009A2343">
        <w:trPr>
          <w:trHeight w:val="300"/>
        </w:trPr>
        <w:tc>
          <w:tcPr>
            <w:tcW w:w="3686" w:type="dxa"/>
            <w:shd w:val="clear" w:color="auto" w:fill="auto"/>
            <w:hideMark/>
          </w:tcPr>
          <w:p w14:paraId="3E96B519"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CPM</w:t>
            </w:r>
          </w:p>
        </w:tc>
        <w:tc>
          <w:tcPr>
            <w:tcW w:w="1384" w:type="dxa"/>
            <w:shd w:val="clear" w:color="auto" w:fill="auto"/>
            <w:noWrap/>
            <w:vAlign w:val="bottom"/>
            <w:hideMark/>
          </w:tcPr>
          <w:p w14:paraId="36AE4A4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0.39</w:t>
            </w:r>
          </w:p>
        </w:tc>
        <w:tc>
          <w:tcPr>
            <w:tcW w:w="1051" w:type="dxa"/>
            <w:shd w:val="clear" w:color="auto" w:fill="auto"/>
            <w:noWrap/>
            <w:vAlign w:val="bottom"/>
            <w:hideMark/>
          </w:tcPr>
          <w:p w14:paraId="5763BF6F"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0.012*</w:t>
            </w:r>
          </w:p>
        </w:tc>
      </w:tr>
      <w:tr w:rsidR="009A2343" w:rsidRPr="009A2343" w14:paraId="7794B002" w14:textId="77777777" w:rsidTr="009A2343">
        <w:trPr>
          <w:trHeight w:val="300"/>
        </w:trPr>
        <w:tc>
          <w:tcPr>
            <w:tcW w:w="3686" w:type="dxa"/>
            <w:shd w:val="clear" w:color="auto" w:fill="auto"/>
            <w:hideMark/>
          </w:tcPr>
          <w:p w14:paraId="1A0BE2D5"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PDT affected leg</w:t>
            </w:r>
          </w:p>
        </w:tc>
        <w:tc>
          <w:tcPr>
            <w:tcW w:w="1384" w:type="dxa"/>
            <w:shd w:val="clear" w:color="auto" w:fill="auto"/>
            <w:noWrap/>
            <w:vAlign w:val="bottom"/>
            <w:hideMark/>
          </w:tcPr>
          <w:p w14:paraId="5509D840"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w:t>
            </w:r>
          </w:p>
        </w:tc>
        <w:tc>
          <w:tcPr>
            <w:tcW w:w="1051" w:type="dxa"/>
            <w:shd w:val="clear" w:color="auto" w:fill="auto"/>
            <w:noWrap/>
            <w:vAlign w:val="bottom"/>
            <w:hideMark/>
          </w:tcPr>
          <w:p w14:paraId="75B9E50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w:t>
            </w:r>
          </w:p>
        </w:tc>
      </w:tr>
      <w:tr w:rsidR="009A2343" w:rsidRPr="009A2343" w14:paraId="4EFBF03D" w14:textId="77777777" w:rsidTr="009A2343">
        <w:trPr>
          <w:trHeight w:val="300"/>
        </w:trPr>
        <w:tc>
          <w:tcPr>
            <w:tcW w:w="3686" w:type="dxa"/>
            <w:shd w:val="clear" w:color="auto" w:fill="auto"/>
            <w:hideMark/>
          </w:tcPr>
          <w:p w14:paraId="1E3134D7"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PTL affected leg</w:t>
            </w:r>
          </w:p>
        </w:tc>
        <w:tc>
          <w:tcPr>
            <w:tcW w:w="1384" w:type="dxa"/>
            <w:shd w:val="clear" w:color="auto" w:fill="auto"/>
            <w:noWrap/>
            <w:vAlign w:val="bottom"/>
            <w:hideMark/>
          </w:tcPr>
          <w:p w14:paraId="60C4D62C"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0.37</w:t>
            </w:r>
          </w:p>
        </w:tc>
        <w:tc>
          <w:tcPr>
            <w:tcW w:w="1051" w:type="dxa"/>
            <w:shd w:val="clear" w:color="auto" w:fill="auto"/>
            <w:noWrap/>
            <w:vAlign w:val="bottom"/>
            <w:hideMark/>
          </w:tcPr>
          <w:p w14:paraId="7A594D6B"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0.018*</w:t>
            </w:r>
          </w:p>
        </w:tc>
      </w:tr>
      <w:tr w:rsidR="009A2343" w:rsidRPr="009A2343" w14:paraId="6E8BBB97" w14:textId="77777777" w:rsidTr="009A2343">
        <w:trPr>
          <w:trHeight w:val="300"/>
        </w:trPr>
        <w:tc>
          <w:tcPr>
            <w:tcW w:w="3686" w:type="dxa"/>
            <w:tcBorders>
              <w:bottom w:val="single" w:sz="4" w:space="0" w:color="auto"/>
            </w:tcBorders>
            <w:shd w:val="clear" w:color="auto" w:fill="auto"/>
            <w:hideMark/>
          </w:tcPr>
          <w:p w14:paraId="323C436E"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PDT unaffected leg</w:t>
            </w:r>
          </w:p>
        </w:tc>
        <w:tc>
          <w:tcPr>
            <w:tcW w:w="1384" w:type="dxa"/>
            <w:tcBorders>
              <w:bottom w:val="single" w:sz="4" w:space="0" w:color="auto"/>
            </w:tcBorders>
            <w:shd w:val="clear" w:color="auto" w:fill="auto"/>
            <w:noWrap/>
            <w:vAlign w:val="bottom"/>
            <w:hideMark/>
          </w:tcPr>
          <w:p w14:paraId="4CF3A2AF"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0.38</w:t>
            </w:r>
          </w:p>
        </w:tc>
        <w:tc>
          <w:tcPr>
            <w:tcW w:w="1051" w:type="dxa"/>
            <w:tcBorders>
              <w:bottom w:val="single" w:sz="4" w:space="0" w:color="auto"/>
            </w:tcBorders>
            <w:shd w:val="clear" w:color="auto" w:fill="auto"/>
            <w:noWrap/>
            <w:vAlign w:val="bottom"/>
            <w:hideMark/>
          </w:tcPr>
          <w:p w14:paraId="39B4F79B"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0.016*</w:t>
            </w:r>
          </w:p>
        </w:tc>
      </w:tr>
      <w:tr w:rsidR="009A2343" w:rsidRPr="009A2343" w14:paraId="54DB98C4" w14:textId="77777777" w:rsidTr="009A2343">
        <w:trPr>
          <w:trHeight w:val="300"/>
        </w:trPr>
        <w:tc>
          <w:tcPr>
            <w:tcW w:w="3686" w:type="dxa"/>
            <w:tcBorders>
              <w:top w:val="single" w:sz="4" w:space="0" w:color="auto"/>
              <w:bottom w:val="single" w:sz="4" w:space="0" w:color="auto"/>
            </w:tcBorders>
            <w:shd w:val="clear" w:color="auto" w:fill="auto"/>
            <w:hideMark/>
          </w:tcPr>
          <w:p w14:paraId="01A8783C" w14:textId="77777777" w:rsidR="009A2343" w:rsidRPr="009A2343" w:rsidRDefault="009A2343" w:rsidP="009A2343">
            <w:pPr>
              <w:ind w:left="321"/>
              <w:rPr>
                <w:rFonts w:ascii="Arial" w:hAnsi="Arial" w:cs="Arial"/>
                <w:sz w:val="20"/>
                <w:lang w:eastAsia="en-GB"/>
              </w:rPr>
            </w:pPr>
            <w:r w:rsidRPr="009A2343">
              <w:rPr>
                <w:rFonts w:ascii="Arial" w:hAnsi="Arial" w:cs="Arial"/>
                <w:sz w:val="20"/>
                <w:lang w:eastAsia="en-GB"/>
              </w:rPr>
              <w:t>PTL unaffected leg</w:t>
            </w:r>
          </w:p>
        </w:tc>
        <w:tc>
          <w:tcPr>
            <w:tcW w:w="1384" w:type="dxa"/>
            <w:tcBorders>
              <w:top w:val="single" w:sz="4" w:space="0" w:color="auto"/>
              <w:bottom w:val="single" w:sz="4" w:space="0" w:color="auto"/>
            </w:tcBorders>
            <w:shd w:val="clear" w:color="auto" w:fill="auto"/>
            <w:noWrap/>
            <w:vAlign w:val="bottom"/>
            <w:hideMark/>
          </w:tcPr>
          <w:p w14:paraId="37194A5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0.32</w:t>
            </w:r>
          </w:p>
        </w:tc>
        <w:tc>
          <w:tcPr>
            <w:tcW w:w="1051" w:type="dxa"/>
            <w:tcBorders>
              <w:top w:val="single" w:sz="4" w:space="0" w:color="auto"/>
              <w:bottom w:val="single" w:sz="4" w:space="0" w:color="auto"/>
            </w:tcBorders>
            <w:shd w:val="clear" w:color="auto" w:fill="auto"/>
            <w:noWrap/>
            <w:vAlign w:val="bottom"/>
            <w:hideMark/>
          </w:tcPr>
          <w:p w14:paraId="6045124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0.045*</w:t>
            </w:r>
          </w:p>
        </w:tc>
      </w:tr>
    </w:tbl>
    <w:p w14:paraId="0D350BEE" w14:textId="43B55B59" w:rsidR="009A2343" w:rsidRDefault="009A2343" w:rsidP="009A2343">
      <w:pPr>
        <w:pStyle w:val="SMText"/>
        <w:ind w:firstLine="0"/>
        <w:rPr>
          <w:rFonts w:ascii="Arial" w:hAnsi="Arial" w:cs="Arial"/>
          <w:sz w:val="20"/>
        </w:rPr>
      </w:pPr>
    </w:p>
    <w:p w14:paraId="1F7E3CB3" w14:textId="77777777" w:rsidR="009A2343" w:rsidRDefault="009A2343">
      <w:pPr>
        <w:rPr>
          <w:rFonts w:ascii="Arial" w:hAnsi="Arial" w:cs="Arial"/>
          <w:sz w:val="20"/>
        </w:rPr>
      </w:pPr>
      <w:r>
        <w:rPr>
          <w:rFonts w:ascii="Arial" w:hAnsi="Arial" w:cs="Arial"/>
          <w:sz w:val="20"/>
        </w:rPr>
        <w:br w:type="page"/>
      </w:r>
    </w:p>
    <w:p w14:paraId="6C7DA295" w14:textId="77777777" w:rsidR="009A2343" w:rsidRPr="009A2343" w:rsidRDefault="009A2343" w:rsidP="009A2343">
      <w:pPr>
        <w:rPr>
          <w:rFonts w:ascii="Arial" w:hAnsi="Arial" w:cs="Arial"/>
          <w:b/>
          <w:sz w:val="20"/>
        </w:rPr>
      </w:pPr>
      <w:r w:rsidRPr="009A2343">
        <w:rPr>
          <w:rFonts w:ascii="Arial" w:hAnsi="Arial" w:cs="Arial"/>
          <w:b/>
          <w:sz w:val="20"/>
        </w:rPr>
        <w:lastRenderedPageBreak/>
        <w:t>Five discriminating components vs individual QST and affect measures</w:t>
      </w:r>
    </w:p>
    <w:p w14:paraId="2AD328A3" w14:textId="06EF7448" w:rsidR="009A2343" w:rsidRDefault="009A2343" w:rsidP="009A2343">
      <w:pPr>
        <w:rPr>
          <w:rFonts w:ascii="Arial" w:hAnsi="Arial" w:cs="Arial"/>
          <w:sz w:val="20"/>
        </w:rPr>
      </w:pPr>
      <w:r w:rsidRPr="009A2343">
        <w:rPr>
          <w:rFonts w:ascii="Arial" w:hAnsi="Arial" w:cs="Arial"/>
          <w:sz w:val="20"/>
        </w:rPr>
        <w:t>The five discriminating component network scores were correlated with the individual measures using a Pearson correlation that were included in the factor scores for QST (table 5, component 12 can be found in table 3) and affect (table 6) in pain patients, correcting for age and sex.</w:t>
      </w:r>
    </w:p>
    <w:p w14:paraId="2B4CA0A9" w14:textId="77777777" w:rsidR="009A2343" w:rsidRPr="009A2343" w:rsidRDefault="009A2343" w:rsidP="009A2343">
      <w:pPr>
        <w:rPr>
          <w:rFonts w:ascii="Arial" w:hAnsi="Arial" w:cs="Arial"/>
          <w:sz w:val="20"/>
        </w:rPr>
      </w:pPr>
    </w:p>
    <w:p w14:paraId="01CACE75" w14:textId="2D7B1883" w:rsidR="009A2343" w:rsidRPr="009A2343" w:rsidRDefault="009A2343" w:rsidP="009A2343">
      <w:pPr>
        <w:rPr>
          <w:rFonts w:ascii="Arial" w:hAnsi="Arial" w:cs="Arial"/>
          <w:sz w:val="20"/>
        </w:rPr>
      </w:pPr>
      <w:r w:rsidRPr="009A2343">
        <w:rPr>
          <w:rFonts w:ascii="Arial" w:hAnsi="Arial" w:cs="Arial"/>
          <w:b/>
          <w:sz w:val="20"/>
        </w:rPr>
        <w:t>Table S5.</w:t>
      </w:r>
      <w:r w:rsidRPr="009A2343">
        <w:rPr>
          <w:rFonts w:ascii="Arial" w:hAnsi="Arial" w:cs="Arial"/>
          <w:sz w:val="20"/>
        </w:rPr>
        <w:t xml:space="preserve"> Component network scores correlated with QST measures</w:t>
      </w:r>
    </w:p>
    <w:tbl>
      <w:tblPr>
        <w:tblW w:w="9498" w:type="dxa"/>
        <w:tblLayout w:type="fixed"/>
        <w:tblLook w:val="04A0" w:firstRow="1" w:lastRow="0" w:firstColumn="1" w:lastColumn="0" w:noHBand="0" w:noVBand="1"/>
      </w:tblPr>
      <w:tblGrid>
        <w:gridCol w:w="1204"/>
        <w:gridCol w:w="112"/>
        <w:gridCol w:w="240"/>
        <w:gridCol w:w="992"/>
        <w:gridCol w:w="993"/>
        <w:gridCol w:w="993"/>
        <w:gridCol w:w="993"/>
        <w:gridCol w:w="992"/>
        <w:gridCol w:w="993"/>
        <w:gridCol w:w="993"/>
        <w:gridCol w:w="993"/>
      </w:tblGrid>
      <w:tr w:rsidR="009A2343" w:rsidRPr="009A2343" w14:paraId="70048DBB" w14:textId="77777777" w:rsidTr="009A2343">
        <w:trPr>
          <w:trHeight w:val="300"/>
        </w:trPr>
        <w:tc>
          <w:tcPr>
            <w:tcW w:w="1316" w:type="dxa"/>
            <w:gridSpan w:val="2"/>
            <w:tcBorders>
              <w:top w:val="single" w:sz="4" w:space="0" w:color="auto"/>
              <w:left w:val="nil"/>
              <w:bottom w:val="single" w:sz="4" w:space="0" w:color="auto"/>
              <w:right w:val="nil"/>
            </w:tcBorders>
            <w:shd w:val="clear" w:color="auto" w:fill="auto"/>
          </w:tcPr>
          <w:p w14:paraId="5C5F1ECA" w14:textId="77777777" w:rsidR="009A2343" w:rsidRPr="009A2343" w:rsidRDefault="009A2343" w:rsidP="009A2343">
            <w:pPr>
              <w:rPr>
                <w:rFonts w:ascii="Arial" w:hAnsi="Arial" w:cs="Arial"/>
                <w:sz w:val="20"/>
                <w:lang w:eastAsia="en-GB"/>
              </w:rPr>
            </w:pPr>
          </w:p>
        </w:tc>
        <w:tc>
          <w:tcPr>
            <w:tcW w:w="240" w:type="dxa"/>
            <w:tcBorders>
              <w:top w:val="single" w:sz="4" w:space="0" w:color="auto"/>
              <w:left w:val="nil"/>
              <w:bottom w:val="single" w:sz="4" w:space="0" w:color="auto"/>
              <w:right w:val="nil"/>
            </w:tcBorders>
            <w:shd w:val="clear" w:color="auto" w:fill="auto"/>
          </w:tcPr>
          <w:p w14:paraId="482D25BE" w14:textId="77777777" w:rsidR="009A2343" w:rsidRPr="009A2343" w:rsidRDefault="009A2343" w:rsidP="009A2343">
            <w:pPr>
              <w:rPr>
                <w:rFonts w:ascii="Arial" w:hAnsi="Arial" w:cs="Arial"/>
                <w:i/>
                <w:iCs/>
                <w:sz w:val="20"/>
                <w:lang w:eastAsia="en-GB"/>
              </w:rPr>
            </w:pPr>
          </w:p>
        </w:tc>
        <w:tc>
          <w:tcPr>
            <w:tcW w:w="992" w:type="dxa"/>
            <w:tcBorders>
              <w:top w:val="single" w:sz="4" w:space="0" w:color="auto"/>
              <w:left w:val="nil"/>
              <w:bottom w:val="single" w:sz="4" w:space="0" w:color="auto"/>
              <w:right w:val="nil"/>
            </w:tcBorders>
            <w:shd w:val="clear" w:color="auto" w:fill="auto"/>
            <w:noWrap/>
            <w:vAlign w:val="bottom"/>
          </w:tcPr>
          <w:p w14:paraId="070DCC4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PPT sternum</w:t>
            </w:r>
          </w:p>
        </w:tc>
        <w:tc>
          <w:tcPr>
            <w:tcW w:w="993" w:type="dxa"/>
            <w:tcBorders>
              <w:top w:val="single" w:sz="4" w:space="0" w:color="auto"/>
              <w:left w:val="nil"/>
              <w:bottom w:val="single" w:sz="4" w:space="0" w:color="auto"/>
              <w:right w:val="nil"/>
            </w:tcBorders>
            <w:shd w:val="clear" w:color="auto" w:fill="auto"/>
            <w:noWrap/>
            <w:vAlign w:val="bottom"/>
          </w:tcPr>
          <w:p w14:paraId="3761B879"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PPT knee</w:t>
            </w:r>
          </w:p>
        </w:tc>
        <w:tc>
          <w:tcPr>
            <w:tcW w:w="993" w:type="dxa"/>
            <w:tcBorders>
              <w:top w:val="single" w:sz="4" w:space="0" w:color="auto"/>
              <w:left w:val="nil"/>
              <w:bottom w:val="single" w:sz="4" w:space="0" w:color="auto"/>
              <w:right w:val="nil"/>
            </w:tcBorders>
            <w:shd w:val="clear" w:color="auto" w:fill="auto"/>
            <w:noWrap/>
            <w:vAlign w:val="bottom"/>
          </w:tcPr>
          <w:p w14:paraId="3AEED226"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TS</w:t>
            </w:r>
          </w:p>
        </w:tc>
        <w:tc>
          <w:tcPr>
            <w:tcW w:w="993" w:type="dxa"/>
            <w:tcBorders>
              <w:top w:val="single" w:sz="4" w:space="0" w:color="auto"/>
              <w:left w:val="nil"/>
              <w:bottom w:val="single" w:sz="4" w:space="0" w:color="auto"/>
              <w:right w:val="nil"/>
            </w:tcBorders>
            <w:shd w:val="clear" w:color="auto" w:fill="auto"/>
            <w:noWrap/>
            <w:vAlign w:val="bottom"/>
          </w:tcPr>
          <w:p w14:paraId="7700CDA0"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CPM</w:t>
            </w:r>
          </w:p>
        </w:tc>
        <w:tc>
          <w:tcPr>
            <w:tcW w:w="992" w:type="dxa"/>
            <w:tcBorders>
              <w:top w:val="single" w:sz="4" w:space="0" w:color="auto"/>
              <w:left w:val="nil"/>
              <w:bottom w:val="single" w:sz="4" w:space="0" w:color="auto"/>
              <w:right w:val="nil"/>
            </w:tcBorders>
            <w:shd w:val="clear" w:color="auto" w:fill="auto"/>
            <w:noWrap/>
            <w:vAlign w:val="bottom"/>
          </w:tcPr>
          <w:p w14:paraId="74DD5A7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PDT affected leg</w:t>
            </w:r>
          </w:p>
        </w:tc>
        <w:tc>
          <w:tcPr>
            <w:tcW w:w="993" w:type="dxa"/>
            <w:tcBorders>
              <w:top w:val="single" w:sz="4" w:space="0" w:color="auto"/>
              <w:left w:val="nil"/>
              <w:bottom w:val="single" w:sz="4" w:space="0" w:color="auto"/>
              <w:right w:val="nil"/>
            </w:tcBorders>
            <w:shd w:val="clear" w:color="auto" w:fill="auto"/>
            <w:noWrap/>
            <w:vAlign w:val="bottom"/>
          </w:tcPr>
          <w:p w14:paraId="6AE3DA3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PTL affected leg</w:t>
            </w:r>
          </w:p>
        </w:tc>
        <w:tc>
          <w:tcPr>
            <w:tcW w:w="993" w:type="dxa"/>
            <w:tcBorders>
              <w:top w:val="single" w:sz="4" w:space="0" w:color="auto"/>
              <w:left w:val="nil"/>
              <w:bottom w:val="single" w:sz="4" w:space="0" w:color="auto"/>
              <w:right w:val="nil"/>
            </w:tcBorders>
            <w:shd w:val="clear" w:color="auto" w:fill="auto"/>
            <w:noWrap/>
            <w:vAlign w:val="bottom"/>
          </w:tcPr>
          <w:p w14:paraId="4236AA1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PDT unaffected leg</w:t>
            </w:r>
          </w:p>
        </w:tc>
        <w:tc>
          <w:tcPr>
            <w:tcW w:w="993" w:type="dxa"/>
            <w:tcBorders>
              <w:top w:val="single" w:sz="4" w:space="0" w:color="auto"/>
              <w:left w:val="nil"/>
              <w:bottom w:val="single" w:sz="4" w:space="0" w:color="auto"/>
              <w:right w:val="nil"/>
            </w:tcBorders>
            <w:shd w:val="clear" w:color="auto" w:fill="auto"/>
            <w:noWrap/>
            <w:vAlign w:val="bottom"/>
          </w:tcPr>
          <w:p w14:paraId="462762C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PTL unaffected leg</w:t>
            </w:r>
          </w:p>
        </w:tc>
      </w:tr>
      <w:tr w:rsidR="009A2343" w:rsidRPr="009A2343" w14:paraId="565557A5" w14:textId="77777777" w:rsidTr="009A2343">
        <w:trPr>
          <w:trHeight w:val="300"/>
        </w:trPr>
        <w:tc>
          <w:tcPr>
            <w:tcW w:w="1204" w:type="dxa"/>
            <w:vMerge w:val="restart"/>
            <w:tcBorders>
              <w:top w:val="nil"/>
              <w:left w:val="nil"/>
              <w:bottom w:val="single" w:sz="4" w:space="0" w:color="auto"/>
              <w:right w:val="nil"/>
            </w:tcBorders>
            <w:shd w:val="clear" w:color="auto" w:fill="auto"/>
            <w:hideMark/>
          </w:tcPr>
          <w:p w14:paraId="79BE364B" w14:textId="77777777" w:rsidR="009A2343" w:rsidRPr="009A2343" w:rsidRDefault="009A2343" w:rsidP="009A2343">
            <w:pPr>
              <w:ind w:left="-105"/>
              <w:rPr>
                <w:rFonts w:ascii="Arial" w:hAnsi="Arial" w:cs="Arial"/>
                <w:sz w:val="20"/>
                <w:lang w:eastAsia="en-GB"/>
              </w:rPr>
            </w:pPr>
            <w:r w:rsidRPr="009A2343">
              <w:rPr>
                <w:rFonts w:ascii="Arial" w:hAnsi="Arial" w:cs="Arial"/>
                <w:sz w:val="20"/>
                <w:lang w:eastAsia="en-GB"/>
              </w:rPr>
              <w:t>Component 2</w:t>
            </w:r>
          </w:p>
        </w:tc>
        <w:tc>
          <w:tcPr>
            <w:tcW w:w="352" w:type="dxa"/>
            <w:gridSpan w:val="2"/>
            <w:tcBorders>
              <w:top w:val="nil"/>
              <w:left w:val="nil"/>
              <w:bottom w:val="single" w:sz="4" w:space="0" w:color="auto"/>
              <w:right w:val="nil"/>
            </w:tcBorders>
            <w:shd w:val="clear" w:color="auto" w:fill="auto"/>
            <w:hideMark/>
          </w:tcPr>
          <w:p w14:paraId="1135C2BA"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992" w:type="dxa"/>
            <w:tcBorders>
              <w:top w:val="nil"/>
              <w:left w:val="nil"/>
              <w:bottom w:val="single" w:sz="4" w:space="0" w:color="auto"/>
              <w:right w:val="nil"/>
            </w:tcBorders>
            <w:shd w:val="clear" w:color="auto" w:fill="auto"/>
            <w:noWrap/>
            <w:hideMark/>
          </w:tcPr>
          <w:p w14:paraId="567C073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0.135</w:t>
            </w:r>
          </w:p>
        </w:tc>
        <w:tc>
          <w:tcPr>
            <w:tcW w:w="993" w:type="dxa"/>
            <w:tcBorders>
              <w:top w:val="nil"/>
              <w:left w:val="nil"/>
              <w:bottom w:val="single" w:sz="4" w:space="0" w:color="auto"/>
              <w:right w:val="nil"/>
            </w:tcBorders>
            <w:shd w:val="clear" w:color="auto" w:fill="auto"/>
            <w:noWrap/>
            <w:hideMark/>
          </w:tcPr>
          <w:p w14:paraId="6F2D211E"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0.193</w:t>
            </w:r>
          </w:p>
        </w:tc>
        <w:tc>
          <w:tcPr>
            <w:tcW w:w="993" w:type="dxa"/>
            <w:tcBorders>
              <w:top w:val="nil"/>
              <w:left w:val="nil"/>
              <w:bottom w:val="single" w:sz="4" w:space="0" w:color="auto"/>
              <w:right w:val="nil"/>
            </w:tcBorders>
            <w:shd w:val="clear" w:color="auto" w:fill="auto"/>
            <w:noWrap/>
            <w:hideMark/>
          </w:tcPr>
          <w:p w14:paraId="315C63D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-0.122</w:t>
            </w:r>
          </w:p>
        </w:tc>
        <w:tc>
          <w:tcPr>
            <w:tcW w:w="993" w:type="dxa"/>
            <w:tcBorders>
              <w:top w:val="nil"/>
              <w:left w:val="nil"/>
              <w:bottom w:val="single" w:sz="4" w:space="0" w:color="auto"/>
              <w:right w:val="nil"/>
            </w:tcBorders>
            <w:shd w:val="clear" w:color="auto" w:fill="auto"/>
            <w:noWrap/>
            <w:hideMark/>
          </w:tcPr>
          <w:p w14:paraId="406E6D18"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0.068</w:t>
            </w:r>
          </w:p>
        </w:tc>
        <w:tc>
          <w:tcPr>
            <w:tcW w:w="992" w:type="dxa"/>
            <w:tcBorders>
              <w:top w:val="nil"/>
              <w:left w:val="nil"/>
              <w:bottom w:val="single" w:sz="4" w:space="0" w:color="auto"/>
              <w:right w:val="nil"/>
            </w:tcBorders>
            <w:shd w:val="clear" w:color="auto" w:fill="auto"/>
            <w:noWrap/>
            <w:hideMark/>
          </w:tcPr>
          <w:p w14:paraId="675C0A9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0.037</w:t>
            </w:r>
          </w:p>
        </w:tc>
        <w:tc>
          <w:tcPr>
            <w:tcW w:w="993" w:type="dxa"/>
            <w:tcBorders>
              <w:top w:val="nil"/>
              <w:left w:val="nil"/>
              <w:bottom w:val="single" w:sz="4" w:space="0" w:color="auto"/>
              <w:right w:val="nil"/>
            </w:tcBorders>
            <w:shd w:val="clear" w:color="auto" w:fill="auto"/>
            <w:noWrap/>
            <w:hideMark/>
          </w:tcPr>
          <w:p w14:paraId="510EE04D"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0.073</w:t>
            </w:r>
          </w:p>
        </w:tc>
        <w:tc>
          <w:tcPr>
            <w:tcW w:w="993" w:type="dxa"/>
            <w:tcBorders>
              <w:top w:val="nil"/>
              <w:left w:val="nil"/>
              <w:bottom w:val="single" w:sz="4" w:space="0" w:color="auto"/>
              <w:right w:val="nil"/>
            </w:tcBorders>
            <w:shd w:val="clear" w:color="auto" w:fill="auto"/>
            <w:noWrap/>
            <w:hideMark/>
          </w:tcPr>
          <w:p w14:paraId="42BFD29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-0.092</w:t>
            </w:r>
          </w:p>
        </w:tc>
        <w:tc>
          <w:tcPr>
            <w:tcW w:w="993" w:type="dxa"/>
            <w:tcBorders>
              <w:top w:val="nil"/>
              <w:left w:val="nil"/>
              <w:bottom w:val="single" w:sz="4" w:space="0" w:color="auto"/>
              <w:right w:val="nil"/>
            </w:tcBorders>
            <w:shd w:val="clear" w:color="auto" w:fill="auto"/>
            <w:noWrap/>
            <w:hideMark/>
          </w:tcPr>
          <w:p w14:paraId="53FE1AC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0.074</w:t>
            </w:r>
          </w:p>
        </w:tc>
      </w:tr>
      <w:tr w:rsidR="009A2343" w:rsidRPr="009A2343" w14:paraId="0B36E2D3" w14:textId="77777777" w:rsidTr="009A2343">
        <w:trPr>
          <w:trHeight w:val="300"/>
        </w:trPr>
        <w:tc>
          <w:tcPr>
            <w:tcW w:w="1204" w:type="dxa"/>
            <w:vMerge/>
            <w:tcBorders>
              <w:top w:val="nil"/>
              <w:left w:val="nil"/>
              <w:bottom w:val="single" w:sz="4" w:space="0" w:color="auto"/>
              <w:right w:val="nil"/>
            </w:tcBorders>
            <w:vAlign w:val="center"/>
            <w:hideMark/>
          </w:tcPr>
          <w:p w14:paraId="2310469C" w14:textId="77777777" w:rsidR="009A2343" w:rsidRPr="009A2343" w:rsidRDefault="009A2343" w:rsidP="009A2343">
            <w:pPr>
              <w:ind w:left="-105"/>
              <w:rPr>
                <w:rFonts w:ascii="Arial" w:hAnsi="Arial" w:cs="Arial"/>
                <w:sz w:val="20"/>
                <w:lang w:eastAsia="en-GB"/>
              </w:rPr>
            </w:pPr>
          </w:p>
        </w:tc>
        <w:tc>
          <w:tcPr>
            <w:tcW w:w="352" w:type="dxa"/>
            <w:gridSpan w:val="2"/>
            <w:tcBorders>
              <w:top w:val="nil"/>
              <w:left w:val="nil"/>
              <w:bottom w:val="single" w:sz="4" w:space="0" w:color="auto"/>
              <w:right w:val="nil"/>
            </w:tcBorders>
            <w:shd w:val="clear" w:color="auto" w:fill="auto"/>
            <w:hideMark/>
          </w:tcPr>
          <w:p w14:paraId="42719734"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992" w:type="dxa"/>
            <w:tcBorders>
              <w:top w:val="nil"/>
              <w:left w:val="nil"/>
              <w:bottom w:val="single" w:sz="4" w:space="0" w:color="auto"/>
              <w:right w:val="nil"/>
            </w:tcBorders>
            <w:shd w:val="clear" w:color="auto" w:fill="auto"/>
            <w:noWrap/>
            <w:hideMark/>
          </w:tcPr>
          <w:p w14:paraId="1AC2792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0.405</w:t>
            </w:r>
          </w:p>
        </w:tc>
        <w:tc>
          <w:tcPr>
            <w:tcW w:w="993" w:type="dxa"/>
            <w:tcBorders>
              <w:top w:val="nil"/>
              <w:left w:val="nil"/>
              <w:bottom w:val="single" w:sz="4" w:space="0" w:color="auto"/>
              <w:right w:val="nil"/>
            </w:tcBorders>
            <w:shd w:val="clear" w:color="auto" w:fill="auto"/>
            <w:noWrap/>
            <w:hideMark/>
          </w:tcPr>
          <w:p w14:paraId="31AE05FD"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0.233</w:t>
            </w:r>
          </w:p>
        </w:tc>
        <w:tc>
          <w:tcPr>
            <w:tcW w:w="993" w:type="dxa"/>
            <w:tcBorders>
              <w:top w:val="nil"/>
              <w:left w:val="nil"/>
              <w:bottom w:val="single" w:sz="4" w:space="0" w:color="auto"/>
              <w:right w:val="nil"/>
            </w:tcBorders>
            <w:shd w:val="clear" w:color="auto" w:fill="auto"/>
            <w:noWrap/>
            <w:hideMark/>
          </w:tcPr>
          <w:p w14:paraId="7C287F51"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0.454</w:t>
            </w:r>
          </w:p>
        </w:tc>
        <w:tc>
          <w:tcPr>
            <w:tcW w:w="993" w:type="dxa"/>
            <w:tcBorders>
              <w:top w:val="nil"/>
              <w:left w:val="nil"/>
              <w:bottom w:val="single" w:sz="4" w:space="0" w:color="auto"/>
              <w:right w:val="nil"/>
            </w:tcBorders>
            <w:shd w:val="clear" w:color="auto" w:fill="auto"/>
            <w:noWrap/>
            <w:hideMark/>
          </w:tcPr>
          <w:p w14:paraId="38A94069"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0.676</w:t>
            </w:r>
          </w:p>
        </w:tc>
        <w:tc>
          <w:tcPr>
            <w:tcW w:w="992" w:type="dxa"/>
            <w:tcBorders>
              <w:top w:val="nil"/>
              <w:left w:val="nil"/>
              <w:bottom w:val="single" w:sz="4" w:space="0" w:color="auto"/>
              <w:right w:val="nil"/>
            </w:tcBorders>
            <w:shd w:val="clear" w:color="auto" w:fill="auto"/>
            <w:noWrap/>
            <w:hideMark/>
          </w:tcPr>
          <w:p w14:paraId="5018CAE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0.820</w:t>
            </w:r>
          </w:p>
        </w:tc>
        <w:tc>
          <w:tcPr>
            <w:tcW w:w="993" w:type="dxa"/>
            <w:tcBorders>
              <w:top w:val="nil"/>
              <w:left w:val="nil"/>
              <w:bottom w:val="single" w:sz="4" w:space="0" w:color="auto"/>
              <w:right w:val="nil"/>
            </w:tcBorders>
            <w:shd w:val="clear" w:color="auto" w:fill="auto"/>
            <w:noWrap/>
            <w:hideMark/>
          </w:tcPr>
          <w:p w14:paraId="622C895B"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0.655</w:t>
            </w:r>
          </w:p>
        </w:tc>
        <w:tc>
          <w:tcPr>
            <w:tcW w:w="993" w:type="dxa"/>
            <w:tcBorders>
              <w:top w:val="nil"/>
              <w:left w:val="nil"/>
              <w:bottom w:val="single" w:sz="4" w:space="0" w:color="auto"/>
              <w:right w:val="nil"/>
            </w:tcBorders>
            <w:shd w:val="clear" w:color="auto" w:fill="auto"/>
            <w:noWrap/>
            <w:hideMark/>
          </w:tcPr>
          <w:p w14:paraId="619E63E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0.572</w:t>
            </w:r>
          </w:p>
        </w:tc>
        <w:tc>
          <w:tcPr>
            <w:tcW w:w="993" w:type="dxa"/>
            <w:tcBorders>
              <w:top w:val="nil"/>
              <w:left w:val="nil"/>
              <w:bottom w:val="single" w:sz="4" w:space="0" w:color="auto"/>
              <w:right w:val="nil"/>
            </w:tcBorders>
            <w:shd w:val="clear" w:color="auto" w:fill="auto"/>
            <w:noWrap/>
            <w:hideMark/>
          </w:tcPr>
          <w:p w14:paraId="146BEB84"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0.650</w:t>
            </w:r>
          </w:p>
        </w:tc>
      </w:tr>
      <w:tr w:rsidR="009A2343" w:rsidRPr="009A2343" w14:paraId="1715FAE3" w14:textId="77777777" w:rsidTr="009A2343">
        <w:trPr>
          <w:trHeight w:val="300"/>
        </w:trPr>
        <w:tc>
          <w:tcPr>
            <w:tcW w:w="1204" w:type="dxa"/>
            <w:vMerge w:val="restart"/>
            <w:tcBorders>
              <w:top w:val="nil"/>
              <w:left w:val="nil"/>
              <w:bottom w:val="single" w:sz="4" w:space="0" w:color="auto"/>
              <w:right w:val="nil"/>
            </w:tcBorders>
            <w:shd w:val="clear" w:color="auto" w:fill="auto"/>
            <w:hideMark/>
          </w:tcPr>
          <w:p w14:paraId="53A87126" w14:textId="77777777" w:rsidR="009A2343" w:rsidRPr="009A2343" w:rsidRDefault="009A2343" w:rsidP="009A2343">
            <w:pPr>
              <w:ind w:left="-105"/>
              <w:rPr>
                <w:rFonts w:ascii="Arial" w:hAnsi="Arial" w:cs="Arial"/>
                <w:sz w:val="20"/>
                <w:lang w:eastAsia="en-GB"/>
              </w:rPr>
            </w:pPr>
            <w:r w:rsidRPr="009A2343">
              <w:rPr>
                <w:rFonts w:ascii="Arial" w:hAnsi="Arial" w:cs="Arial"/>
                <w:sz w:val="20"/>
                <w:lang w:eastAsia="en-GB"/>
              </w:rPr>
              <w:t>Component 6</w:t>
            </w:r>
          </w:p>
        </w:tc>
        <w:tc>
          <w:tcPr>
            <w:tcW w:w="352" w:type="dxa"/>
            <w:gridSpan w:val="2"/>
            <w:tcBorders>
              <w:top w:val="nil"/>
              <w:left w:val="nil"/>
              <w:bottom w:val="single" w:sz="4" w:space="0" w:color="auto"/>
              <w:right w:val="nil"/>
            </w:tcBorders>
            <w:shd w:val="clear" w:color="auto" w:fill="auto"/>
            <w:hideMark/>
          </w:tcPr>
          <w:p w14:paraId="00099700"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992" w:type="dxa"/>
            <w:tcBorders>
              <w:top w:val="nil"/>
              <w:left w:val="nil"/>
              <w:bottom w:val="single" w:sz="4" w:space="0" w:color="auto"/>
              <w:right w:val="nil"/>
            </w:tcBorders>
            <w:shd w:val="clear" w:color="auto" w:fill="auto"/>
            <w:noWrap/>
            <w:hideMark/>
          </w:tcPr>
          <w:p w14:paraId="0AF28676"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-0.064</w:t>
            </w:r>
          </w:p>
        </w:tc>
        <w:tc>
          <w:tcPr>
            <w:tcW w:w="993" w:type="dxa"/>
            <w:tcBorders>
              <w:top w:val="nil"/>
              <w:left w:val="nil"/>
              <w:bottom w:val="single" w:sz="4" w:space="0" w:color="auto"/>
              <w:right w:val="nil"/>
            </w:tcBorders>
            <w:shd w:val="clear" w:color="auto" w:fill="auto"/>
            <w:noWrap/>
            <w:hideMark/>
          </w:tcPr>
          <w:p w14:paraId="151D1DD6"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-0.006</w:t>
            </w:r>
          </w:p>
        </w:tc>
        <w:tc>
          <w:tcPr>
            <w:tcW w:w="993" w:type="dxa"/>
            <w:tcBorders>
              <w:top w:val="nil"/>
              <w:left w:val="nil"/>
              <w:bottom w:val="single" w:sz="4" w:space="0" w:color="auto"/>
              <w:right w:val="nil"/>
            </w:tcBorders>
            <w:shd w:val="clear" w:color="auto" w:fill="auto"/>
            <w:noWrap/>
            <w:hideMark/>
          </w:tcPr>
          <w:p w14:paraId="190E480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-0.356</w:t>
            </w:r>
          </w:p>
        </w:tc>
        <w:tc>
          <w:tcPr>
            <w:tcW w:w="993" w:type="dxa"/>
            <w:tcBorders>
              <w:top w:val="nil"/>
              <w:left w:val="nil"/>
              <w:bottom w:val="single" w:sz="4" w:space="0" w:color="auto"/>
              <w:right w:val="nil"/>
            </w:tcBorders>
            <w:shd w:val="clear" w:color="auto" w:fill="auto"/>
            <w:noWrap/>
            <w:hideMark/>
          </w:tcPr>
          <w:p w14:paraId="53EDAEB7"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-0.083</w:t>
            </w:r>
          </w:p>
        </w:tc>
        <w:tc>
          <w:tcPr>
            <w:tcW w:w="992" w:type="dxa"/>
            <w:tcBorders>
              <w:top w:val="nil"/>
              <w:left w:val="nil"/>
              <w:bottom w:val="single" w:sz="4" w:space="0" w:color="auto"/>
              <w:right w:val="nil"/>
            </w:tcBorders>
            <w:shd w:val="clear" w:color="auto" w:fill="auto"/>
            <w:noWrap/>
            <w:hideMark/>
          </w:tcPr>
          <w:p w14:paraId="6054946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0.142</w:t>
            </w:r>
          </w:p>
        </w:tc>
        <w:tc>
          <w:tcPr>
            <w:tcW w:w="993" w:type="dxa"/>
            <w:tcBorders>
              <w:top w:val="nil"/>
              <w:left w:val="nil"/>
              <w:bottom w:val="single" w:sz="4" w:space="0" w:color="auto"/>
              <w:right w:val="nil"/>
            </w:tcBorders>
            <w:shd w:val="clear" w:color="auto" w:fill="auto"/>
            <w:noWrap/>
            <w:hideMark/>
          </w:tcPr>
          <w:p w14:paraId="27CD95E6"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-0.123</w:t>
            </w:r>
          </w:p>
        </w:tc>
        <w:tc>
          <w:tcPr>
            <w:tcW w:w="993" w:type="dxa"/>
            <w:tcBorders>
              <w:top w:val="nil"/>
              <w:left w:val="nil"/>
              <w:bottom w:val="single" w:sz="4" w:space="0" w:color="auto"/>
              <w:right w:val="nil"/>
            </w:tcBorders>
            <w:shd w:val="clear" w:color="auto" w:fill="auto"/>
            <w:noWrap/>
            <w:hideMark/>
          </w:tcPr>
          <w:p w14:paraId="14FC5CAB"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0.118</w:t>
            </w:r>
          </w:p>
        </w:tc>
        <w:tc>
          <w:tcPr>
            <w:tcW w:w="993" w:type="dxa"/>
            <w:tcBorders>
              <w:top w:val="nil"/>
              <w:left w:val="nil"/>
              <w:bottom w:val="single" w:sz="4" w:space="0" w:color="auto"/>
              <w:right w:val="nil"/>
            </w:tcBorders>
            <w:shd w:val="clear" w:color="auto" w:fill="auto"/>
            <w:noWrap/>
            <w:hideMark/>
          </w:tcPr>
          <w:p w14:paraId="307BC3DE"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-0.155</w:t>
            </w:r>
          </w:p>
        </w:tc>
      </w:tr>
      <w:tr w:rsidR="009A2343" w:rsidRPr="009A2343" w14:paraId="34C2A443" w14:textId="77777777" w:rsidTr="009A2343">
        <w:trPr>
          <w:trHeight w:val="300"/>
        </w:trPr>
        <w:tc>
          <w:tcPr>
            <w:tcW w:w="1204" w:type="dxa"/>
            <w:vMerge/>
            <w:tcBorders>
              <w:top w:val="nil"/>
              <w:left w:val="nil"/>
              <w:bottom w:val="single" w:sz="4" w:space="0" w:color="auto"/>
              <w:right w:val="nil"/>
            </w:tcBorders>
            <w:vAlign w:val="center"/>
            <w:hideMark/>
          </w:tcPr>
          <w:p w14:paraId="414684C5" w14:textId="77777777" w:rsidR="009A2343" w:rsidRPr="009A2343" w:rsidRDefault="009A2343" w:rsidP="009A2343">
            <w:pPr>
              <w:ind w:left="-105"/>
              <w:rPr>
                <w:rFonts w:ascii="Arial" w:hAnsi="Arial" w:cs="Arial"/>
                <w:sz w:val="20"/>
                <w:lang w:eastAsia="en-GB"/>
              </w:rPr>
            </w:pPr>
          </w:p>
        </w:tc>
        <w:tc>
          <w:tcPr>
            <w:tcW w:w="352" w:type="dxa"/>
            <w:gridSpan w:val="2"/>
            <w:tcBorders>
              <w:top w:val="nil"/>
              <w:left w:val="nil"/>
              <w:bottom w:val="single" w:sz="4" w:space="0" w:color="auto"/>
              <w:right w:val="nil"/>
            </w:tcBorders>
            <w:shd w:val="clear" w:color="auto" w:fill="auto"/>
            <w:hideMark/>
          </w:tcPr>
          <w:p w14:paraId="49605D25"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992" w:type="dxa"/>
            <w:tcBorders>
              <w:top w:val="nil"/>
              <w:left w:val="nil"/>
              <w:bottom w:val="single" w:sz="4" w:space="0" w:color="auto"/>
              <w:right w:val="nil"/>
            </w:tcBorders>
            <w:shd w:val="clear" w:color="auto" w:fill="auto"/>
            <w:noWrap/>
            <w:hideMark/>
          </w:tcPr>
          <w:p w14:paraId="10E23DA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0.696</w:t>
            </w:r>
          </w:p>
        </w:tc>
        <w:tc>
          <w:tcPr>
            <w:tcW w:w="993" w:type="dxa"/>
            <w:tcBorders>
              <w:top w:val="nil"/>
              <w:left w:val="nil"/>
              <w:bottom w:val="single" w:sz="4" w:space="0" w:color="auto"/>
              <w:right w:val="nil"/>
            </w:tcBorders>
            <w:shd w:val="clear" w:color="auto" w:fill="auto"/>
            <w:noWrap/>
            <w:hideMark/>
          </w:tcPr>
          <w:p w14:paraId="52639751"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0.972</w:t>
            </w:r>
          </w:p>
        </w:tc>
        <w:tc>
          <w:tcPr>
            <w:tcW w:w="993" w:type="dxa"/>
            <w:tcBorders>
              <w:top w:val="nil"/>
              <w:left w:val="nil"/>
              <w:bottom w:val="single" w:sz="4" w:space="0" w:color="auto"/>
              <w:right w:val="nil"/>
            </w:tcBorders>
            <w:shd w:val="clear" w:color="auto" w:fill="auto"/>
            <w:noWrap/>
            <w:hideMark/>
          </w:tcPr>
          <w:p w14:paraId="51B0D6FE"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0.024</w:t>
            </w:r>
          </w:p>
        </w:tc>
        <w:tc>
          <w:tcPr>
            <w:tcW w:w="993" w:type="dxa"/>
            <w:tcBorders>
              <w:top w:val="nil"/>
              <w:left w:val="nil"/>
              <w:bottom w:val="single" w:sz="4" w:space="0" w:color="auto"/>
              <w:right w:val="nil"/>
            </w:tcBorders>
            <w:shd w:val="clear" w:color="auto" w:fill="auto"/>
            <w:noWrap/>
            <w:hideMark/>
          </w:tcPr>
          <w:p w14:paraId="08349C94"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0.609</w:t>
            </w:r>
          </w:p>
        </w:tc>
        <w:tc>
          <w:tcPr>
            <w:tcW w:w="992" w:type="dxa"/>
            <w:tcBorders>
              <w:top w:val="nil"/>
              <w:left w:val="nil"/>
              <w:bottom w:val="single" w:sz="4" w:space="0" w:color="auto"/>
              <w:right w:val="nil"/>
            </w:tcBorders>
            <w:shd w:val="clear" w:color="auto" w:fill="auto"/>
            <w:noWrap/>
            <w:hideMark/>
          </w:tcPr>
          <w:p w14:paraId="6567861F"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0.381</w:t>
            </w:r>
          </w:p>
        </w:tc>
        <w:tc>
          <w:tcPr>
            <w:tcW w:w="993" w:type="dxa"/>
            <w:tcBorders>
              <w:top w:val="nil"/>
              <w:left w:val="nil"/>
              <w:bottom w:val="single" w:sz="4" w:space="0" w:color="auto"/>
              <w:right w:val="nil"/>
            </w:tcBorders>
            <w:shd w:val="clear" w:color="auto" w:fill="auto"/>
            <w:noWrap/>
            <w:hideMark/>
          </w:tcPr>
          <w:p w14:paraId="4F91417B"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0.448</w:t>
            </w:r>
          </w:p>
        </w:tc>
        <w:tc>
          <w:tcPr>
            <w:tcW w:w="993" w:type="dxa"/>
            <w:tcBorders>
              <w:top w:val="nil"/>
              <w:left w:val="nil"/>
              <w:bottom w:val="single" w:sz="4" w:space="0" w:color="auto"/>
              <w:right w:val="nil"/>
            </w:tcBorders>
            <w:shd w:val="clear" w:color="auto" w:fill="auto"/>
            <w:noWrap/>
            <w:hideMark/>
          </w:tcPr>
          <w:p w14:paraId="1289ECF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0.469</w:t>
            </w:r>
          </w:p>
        </w:tc>
        <w:tc>
          <w:tcPr>
            <w:tcW w:w="993" w:type="dxa"/>
            <w:tcBorders>
              <w:top w:val="nil"/>
              <w:left w:val="nil"/>
              <w:bottom w:val="single" w:sz="4" w:space="0" w:color="auto"/>
              <w:right w:val="nil"/>
            </w:tcBorders>
            <w:shd w:val="clear" w:color="auto" w:fill="auto"/>
            <w:noWrap/>
            <w:hideMark/>
          </w:tcPr>
          <w:p w14:paraId="5053AA8C"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0.341</w:t>
            </w:r>
          </w:p>
        </w:tc>
      </w:tr>
      <w:tr w:rsidR="009A2343" w:rsidRPr="009A2343" w14:paraId="2A7C72A6" w14:textId="77777777" w:rsidTr="009A2343">
        <w:trPr>
          <w:trHeight w:val="300"/>
        </w:trPr>
        <w:tc>
          <w:tcPr>
            <w:tcW w:w="1204" w:type="dxa"/>
            <w:vMerge w:val="restart"/>
            <w:tcBorders>
              <w:top w:val="nil"/>
              <w:left w:val="nil"/>
              <w:bottom w:val="single" w:sz="4" w:space="0" w:color="auto"/>
              <w:right w:val="nil"/>
            </w:tcBorders>
            <w:shd w:val="clear" w:color="auto" w:fill="auto"/>
            <w:hideMark/>
          </w:tcPr>
          <w:p w14:paraId="2A246B4B" w14:textId="77777777" w:rsidR="009A2343" w:rsidRPr="009A2343" w:rsidRDefault="009A2343" w:rsidP="009A2343">
            <w:pPr>
              <w:ind w:left="-105"/>
              <w:rPr>
                <w:rFonts w:ascii="Arial" w:hAnsi="Arial" w:cs="Arial"/>
                <w:sz w:val="20"/>
                <w:lang w:eastAsia="en-GB"/>
              </w:rPr>
            </w:pPr>
            <w:r w:rsidRPr="009A2343">
              <w:rPr>
                <w:rFonts w:ascii="Arial" w:hAnsi="Arial" w:cs="Arial"/>
                <w:sz w:val="20"/>
                <w:lang w:eastAsia="en-GB"/>
              </w:rPr>
              <w:t>Component 8</w:t>
            </w:r>
          </w:p>
        </w:tc>
        <w:tc>
          <w:tcPr>
            <w:tcW w:w="352" w:type="dxa"/>
            <w:gridSpan w:val="2"/>
            <w:tcBorders>
              <w:top w:val="nil"/>
              <w:left w:val="nil"/>
              <w:bottom w:val="single" w:sz="4" w:space="0" w:color="auto"/>
              <w:right w:val="nil"/>
            </w:tcBorders>
            <w:shd w:val="clear" w:color="auto" w:fill="auto"/>
            <w:hideMark/>
          </w:tcPr>
          <w:p w14:paraId="5234E4A0"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992" w:type="dxa"/>
            <w:tcBorders>
              <w:top w:val="nil"/>
              <w:left w:val="nil"/>
              <w:bottom w:val="single" w:sz="4" w:space="0" w:color="auto"/>
              <w:right w:val="nil"/>
            </w:tcBorders>
            <w:shd w:val="clear" w:color="auto" w:fill="auto"/>
            <w:noWrap/>
            <w:hideMark/>
          </w:tcPr>
          <w:p w14:paraId="5233B9CC"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0.135</w:t>
            </w:r>
          </w:p>
        </w:tc>
        <w:tc>
          <w:tcPr>
            <w:tcW w:w="993" w:type="dxa"/>
            <w:tcBorders>
              <w:top w:val="nil"/>
              <w:left w:val="nil"/>
              <w:bottom w:val="single" w:sz="4" w:space="0" w:color="auto"/>
              <w:right w:val="nil"/>
            </w:tcBorders>
            <w:shd w:val="clear" w:color="auto" w:fill="auto"/>
            <w:noWrap/>
            <w:hideMark/>
          </w:tcPr>
          <w:p w14:paraId="256BA1A0"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-0.018</w:t>
            </w:r>
          </w:p>
        </w:tc>
        <w:tc>
          <w:tcPr>
            <w:tcW w:w="993" w:type="dxa"/>
            <w:tcBorders>
              <w:top w:val="nil"/>
              <w:left w:val="nil"/>
              <w:bottom w:val="single" w:sz="4" w:space="0" w:color="auto"/>
              <w:right w:val="nil"/>
            </w:tcBorders>
            <w:shd w:val="clear" w:color="auto" w:fill="auto"/>
            <w:noWrap/>
            <w:hideMark/>
          </w:tcPr>
          <w:p w14:paraId="2D243AC9"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0.201</w:t>
            </w:r>
          </w:p>
        </w:tc>
        <w:tc>
          <w:tcPr>
            <w:tcW w:w="993" w:type="dxa"/>
            <w:tcBorders>
              <w:top w:val="nil"/>
              <w:left w:val="nil"/>
              <w:bottom w:val="single" w:sz="4" w:space="0" w:color="auto"/>
              <w:right w:val="nil"/>
            </w:tcBorders>
            <w:shd w:val="clear" w:color="auto" w:fill="auto"/>
            <w:noWrap/>
            <w:hideMark/>
          </w:tcPr>
          <w:p w14:paraId="61F00BAE"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0.016</w:t>
            </w:r>
          </w:p>
        </w:tc>
        <w:tc>
          <w:tcPr>
            <w:tcW w:w="992" w:type="dxa"/>
            <w:tcBorders>
              <w:top w:val="nil"/>
              <w:left w:val="nil"/>
              <w:bottom w:val="single" w:sz="4" w:space="0" w:color="auto"/>
              <w:right w:val="nil"/>
            </w:tcBorders>
            <w:shd w:val="clear" w:color="auto" w:fill="auto"/>
            <w:noWrap/>
            <w:hideMark/>
          </w:tcPr>
          <w:p w14:paraId="50FD0A2C"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-0.061</w:t>
            </w:r>
          </w:p>
        </w:tc>
        <w:tc>
          <w:tcPr>
            <w:tcW w:w="993" w:type="dxa"/>
            <w:tcBorders>
              <w:top w:val="nil"/>
              <w:left w:val="nil"/>
              <w:bottom w:val="single" w:sz="4" w:space="0" w:color="auto"/>
              <w:right w:val="nil"/>
            </w:tcBorders>
            <w:shd w:val="clear" w:color="auto" w:fill="auto"/>
            <w:noWrap/>
            <w:hideMark/>
          </w:tcPr>
          <w:p w14:paraId="167C0C69"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0.030</w:t>
            </w:r>
          </w:p>
        </w:tc>
        <w:tc>
          <w:tcPr>
            <w:tcW w:w="993" w:type="dxa"/>
            <w:tcBorders>
              <w:top w:val="nil"/>
              <w:left w:val="nil"/>
              <w:bottom w:val="single" w:sz="4" w:space="0" w:color="auto"/>
              <w:right w:val="nil"/>
            </w:tcBorders>
            <w:shd w:val="clear" w:color="auto" w:fill="auto"/>
            <w:noWrap/>
            <w:hideMark/>
          </w:tcPr>
          <w:p w14:paraId="2FF4C421"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-0.049</w:t>
            </w:r>
          </w:p>
        </w:tc>
        <w:tc>
          <w:tcPr>
            <w:tcW w:w="993" w:type="dxa"/>
            <w:tcBorders>
              <w:top w:val="nil"/>
              <w:left w:val="nil"/>
              <w:bottom w:val="single" w:sz="4" w:space="0" w:color="auto"/>
              <w:right w:val="nil"/>
            </w:tcBorders>
            <w:shd w:val="clear" w:color="auto" w:fill="auto"/>
            <w:noWrap/>
            <w:hideMark/>
          </w:tcPr>
          <w:p w14:paraId="5C14F15D"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-0.077</w:t>
            </w:r>
          </w:p>
        </w:tc>
      </w:tr>
      <w:tr w:rsidR="009A2343" w:rsidRPr="009A2343" w14:paraId="4335E487" w14:textId="77777777" w:rsidTr="009A2343">
        <w:trPr>
          <w:trHeight w:val="300"/>
        </w:trPr>
        <w:tc>
          <w:tcPr>
            <w:tcW w:w="1204" w:type="dxa"/>
            <w:vMerge/>
            <w:tcBorders>
              <w:top w:val="nil"/>
              <w:left w:val="nil"/>
              <w:bottom w:val="single" w:sz="4" w:space="0" w:color="auto"/>
              <w:right w:val="nil"/>
            </w:tcBorders>
            <w:vAlign w:val="center"/>
            <w:hideMark/>
          </w:tcPr>
          <w:p w14:paraId="0347196F" w14:textId="77777777" w:rsidR="009A2343" w:rsidRPr="009A2343" w:rsidRDefault="009A2343" w:rsidP="009A2343">
            <w:pPr>
              <w:ind w:left="-105"/>
              <w:rPr>
                <w:rFonts w:ascii="Arial" w:hAnsi="Arial" w:cs="Arial"/>
                <w:sz w:val="20"/>
                <w:lang w:eastAsia="en-GB"/>
              </w:rPr>
            </w:pPr>
          </w:p>
        </w:tc>
        <w:tc>
          <w:tcPr>
            <w:tcW w:w="352" w:type="dxa"/>
            <w:gridSpan w:val="2"/>
            <w:tcBorders>
              <w:top w:val="nil"/>
              <w:left w:val="nil"/>
              <w:bottom w:val="single" w:sz="4" w:space="0" w:color="auto"/>
              <w:right w:val="nil"/>
            </w:tcBorders>
            <w:shd w:val="clear" w:color="auto" w:fill="auto"/>
            <w:hideMark/>
          </w:tcPr>
          <w:p w14:paraId="59A7639B"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992" w:type="dxa"/>
            <w:tcBorders>
              <w:top w:val="nil"/>
              <w:left w:val="nil"/>
              <w:bottom w:val="single" w:sz="4" w:space="0" w:color="auto"/>
              <w:right w:val="nil"/>
            </w:tcBorders>
            <w:shd w:val="clear" w:color="auto" w:fill="auto"/>
            <w:noWrap/>
            <w:hideMark/>
          </w:tcPr>
          <w:p w14:paraId="05A51891"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0.405</w:t>
            </w:r>
          </w:p>
        </w:tc>
        <w:tc>
          <w:tcPr>
            <w:tcW w:w="993" w:type="dxa"/>
            <w:tcBorders>
              <w:top w:val="nil"/>
              <w:left w:val="nil"/>
              <w:bottom w:val="single" w:sz="4" w:space="0" w:color="auto"/>
              <w:right w:val="nil"/>
            </w:tcBorders>
            <w:shd w:val="clear" w:color="auto" w:fill="auto"/>
            <w:noWrap/>
            <w:hideMark/>
          </w:tcPr>
          <w:p w14:paraId="29AC225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0.911</w:t>
            </w:r>
          </w:p>
        </w:tc>
        <w:tc>
          <w:tcPr>
            <w:tcW w:w="993" w:type="dxa"/>
            <w:tcBorders>
              <w:top w:val="nil"/>
              <w:left w:val="nil"/>
              <w:bottom w:val="single" w:sz="4" w:space="0" w:color="auto"/>
              <w:right w:val="nil"/>
            </w:tcBorders>
            <w:shd w:val="clear" w:color="auto" w:fill="auto"/>
            <w:noWrap/>
            <w:hideMark/>
          </w:tcPr>
          <w:p w14:paraId="4BADDE6F"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0.213</w:t>
            </w:r>
          </w:p>
        </w:tc>
        <w:tc>
          <w:tcPr>
            <w:tcW w:w="993" w:type="dxa"/>
            <w:tcBorders>
              <w:top w:val="nil"/>
              <w:left w:val="nil"/>
              <w:bottom w:val="single" w:sz="4" w:space="0" w:color="auto"/>
              <w:right w:val="nil"/>
            </w:tcBorders>
            <w:shd w:val="clear" w:color="auto" w:fill="auto"/>
            <w:noWrap/>
            <w:hideMark/>
          </w:tcPr>
          <w:p w14:paraId="683B341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0.920</w:t>
            </w:r>
          </w:p>
        </w:tc>
        <w:tc>
          <w:tcPr>
            <w:tcW w:w="992" w:type="dxa"/>
            <w:tcBorders>
              <w:top w:val="nil"/>
              <w:left w:val="nil"/>
              <w:bottom w:val="single" w:sz="4" w:space="0" w:color="auto"/>
              <w:right w:val="nil"/>
            </w:tcBorders>
            <w:shd w:val="clear" w:color="auto" w:fill="auto"/>
            <w:noWrap/>
            <w:hideMark/>
          </w:tcPr>
          <w:p w14:paraId="4249780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0.706</w:t>
            </w:r>
          </w:p>
        </w:tc>
        <w:tc>
          <w:tcPr>
            <w:tcW w:w="993" w:type="dxa"/>
            <w:tcBorders>
              <w:top w:val="nil"/>
              <w:left w:val="nil"/>
              <w:bottom w:val="single" w:sz="4" w:space="0" w:color="auto"/>
              <w:right w:val="nil"/>
            </w:tcBorders>
            <w:shd w:val="clear" w:color="auto" w:fill="auto"/>
            <w:noWrap/>
            <w:hideMark/>
          </w:tcPr>
          <w:p w14:paraId="178E3DB9"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0.856</w:t>
            </w:r>
          </w:p>
        </w:tc>
        <w:tc>
          <w:tcPr>
            <w:tcW w:w="993" w:type="dxa"/>
            <w:tcBorders>
              <w:top w:val="nil"/>
              <w:left w:val="nil"/>
              <w:bottom w:val="single" w:sz="4" w:space="0" w:color="auto"/>
              <w:right w:val="nil"/>
            </w:tcBorders>
            <w:shd w:val="clear" w:color="auto" w:fill="auto"/>
            <w:noWrap/>
            <w:hideMark/>
          </w:tcPr>
          <w:p w14:paraId="46E296E2"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0.766</w:t>
            </w:r>
          </w:p>
        </w:tc>
        <w:tc>
          <w:tcPr>
            <w:tcW w:w="993" w:type="dxa"/>
            <w:tcBorders>
              <w:top w:val="nil"/>
              <w:left w:val="nil"/>
              <w:bottom w:val="single" w:sz="4" w:space="0" w:color="auto"/>
              <w:right w:val="nil"/>
            </w:tcBorders>
            <w:shd w:val="clear" w:color="auto" w:fill="auto"/>
            <w:noWrap/>
            <w:hideMark/>
          </w:tcPr>
          <w:p w14:paraId="7DC32A2C"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0.637</w:t>
            </w:r>
          </w:p>
        </w:tc>
      </w:tr>
      <w:tr w:rsidR="009A2343" w:rsidRPr="009A2343" w14:paraId="63D59B13" w14:textId="77777777" w:rsidTr="009A2343">
        <w:trPr>
          <w:trHeight w:val="300"/>
        </w:trPr>
        <w:tc>
          <w:tcPr>
            <w:tcW w:w="1204" w:type="dxa"/>
            <w:vMerge w:val="restart"/>
            <w:tcBorders>
              <w:top w:val="nil"/>
              <w:left w:val="nil"/>
              <w:bottom w:val="single" w:sz="4" w:space="0" w:color="auto"/>
              <w:right w:val="nil"/>
            </w:tcBorders>
            <w:shd w:val="clear" w:color="auto" w:fill="auto"/>
            <w:hideMark/>
          </w:tcPr>
          <w:p w14:paraId="058CE357" w14:textId="77777777" w:rsidR="009A2343" w:rsidRPr="009A2343" w:rsidRDefault="009A2343" w:rsidP="009A2343">
            <w:pPr>
              <w:ind w:left="-105"/>
              <w:rPr>
                <w:rFonts w:ascii="Arial" w:hAnsi="Arial" w:cs="Arial"/>
                <w:sz w:val="20"/>
                <w:lang w:eastAsia="en-GB"/>
              </w:rPr>
            </w:pPr>
            <w:r w:rsidRPr="009A2343">
              <w:rPr>
                <w:rFonts w:ascii="Arial" w:hAnsi="Arial" w:cs="Arial"/>
                <w:sz w:val="20"/>
                <w:lang w:eastAsia="en-GB"/>
              </w:rPr>
              <w:t>Component 13</w:t>
            </w:r>
          </w:p>
        </w:tc>
        <w:tc>
          <w:tcPr>
            <w:tcW w:w="352" w:type="dxa"/>
            <w:gridSpan w:val="2"/>
            <w:tcBorders>
              <w:top w:val="nil"/>
              <w:left w:val="nil"/>
              <w:bottom w:val="single" w:sz="4" w:space="0" w:color="auto"/>
              <w:right w:val="nil"/>
            </w:tcBorders>
            <w:shd w:val="clear" w:color="auto" w:fill="auto"/>
            <w:hideMark/>
          </w:tcPr>
          <w:p w14:paraId="08FA4159"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992" w:type="dxa"/>
            <w:tcBorders>
              <w:top w:val="nil"/>
              <w:left w:val="nil"/>
              <w:bottom w:val="single" w:sz="4" w:space="0" w:color="auto"/>
              <w:right w:val="nil"/>
            </w:tcBorders>
            <w:shd w:val="clear" w:color="auto" w:fill="auto"/>
            <w:noWrap/>
            <w:hideMark/>
          </w:tcPr>
          <w:p w14:paraId="03A9A46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-0.135</w:t>
            </w:r>
          </w:p>
        </w:tc>
        <w:tc>
          <w:tcPr>
            <w:tcW w:w="993" w:type="dxa"/>
            <w:tcBorders>
              <w:top w:val="nil"/>
              <w:left w:val="nil"/>
              <w:bottom w:val="single" w:sz="4" w:space="0" w:color="auto"/>
              <w:right w:val="nil"/>
            </w:tcBorders>
            <w:shd w:val="clear" w:color="auto" w:fill="auto"/>
            <w:noWrap/>
            <w:hideMark/>
          </w:tcPr>
          <w:p w14:paraId="1E15290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-0.199</w:t>
            </w:r>
          </w:p>
        </w:tc>
        <w:tc>
          <w:tcPr>
            <w:tcW w:w="993" w:type="dxa"/>
            <w:tcBorders>
              <w:top w:val="nil"/>
              <w:left w:val="nil"/>
              <w:bottom w:val="single" w:sz="4" w:space="0" w:color="auto"/>
              <w:right w:val="nil"/>
            </w:tcBorders>
            <w:shd w:val="clear" w:color="auto" w:fill="auto"/>
            <w:noWrap/>
            <w:hideMark/>
          </w:tcPr>
          <w:p w14:paraId="2CD31BE7"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0.168</w:t>
            </w:r>
          </w:p>
        </w:tc>
        <w:tc>
          <w:tcPr>
            <w:tcW w:w="993" w:type="dxa"/>
            <w:tcBorders>
              <w:top w:val="nil"/>
              <w:left w:val="nil"/>
              <w:bottom w:val="single" w:sz="4" w:space="0" w:color="auto"/>
              <w:right w:val="nil"/>
            </w:tcBorders>
            <w:shd w:val="clear" w:color="auto" w:fill="auto"/>
            <w:noWrap/>
            <w:hideMark/>
          </w:tcPr>
          <w:p w14:paraId="39E22F28"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-0.078</w:t>
            </w:r>
          </w:p>
        </w:tc>
        <w:tc>
          <w:tcPr>
            <w:tcW w:w="992" w:type="dxa"/>
            <w:tcBorders>
              <w:top w:val="nil"/>
              <w:left w:val="nil"/>
              <w:bottom w:val="single" w:sz="4" w:space="0" w:color="auto"/>
              <w:right w:val="nil"/>
            </w:tcBorders>
            <w:shd w:val="clear" w:color="auto" w:fill="auto"/>
            <w:noWrap/>
            <w:hideMark/>
          </w:tcPr>
          <w:p w14:paraId="3537DAE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-0.306</w:t>
            </w:r>
          </w:p>
        </w:tc>
        <w:tc>
          <w:tcPr>
            <w:tcW w:w="993" w:type="dxa"/>
            <w:tcBorders>
              <w:top w:val="nil"/>
              <w:left w:val="nil"/>
              <w:bottom w:val="single" w:sz="4" w:space="0" w:color="auto"/>
              <w:right w:val="nil"/>
            </w:tcBorders>
            <w:shd w:val="clear" w:color="auto" w:fill="auto"/>
            <w:noWrap/>
            <w:hideMark/>
          </w:tcPr>
          <w:p w14:paraId="3AD509A3"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-0.023</w:t>
            </w:r>
          </w:p>
        </w:tc>
        <w:tc>
          <w:tcPr>
            <w:tcW w:w="993" w:type="dxa"/>
            <w:tcBorders>
              <w:top w:val="nil"/>
              <w:left w:val="nil"/>
              <w:bottom w:val="single" w:sz="4" w:space="0" w:color="auto"/>
              <w:right w:val="nil"/>
            </w:tcBorders>
            <w:shd w:val="clear" w:color="auto" w:fill="auto"/>
            <w:noWrap/>
            <w:hideMark/>
          </w:tcPr>
          <w:p w14:paraId="19DF7D8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-0.267</w:t>
            </w:r>
          </w:p>
        </w:tc>
        <w:tc>
          <w:tcPr>
            <w:tcW w:w="993" w:type="dxa"/>
            <w:tcBorders>
              <w:top w:val="nil"/>
              <w:left w:val="nil"/>
              <w:bottom w:val="single" w:sz="4" w:space="0" w:color="auto"/>
              <w:right w:val="nil"/>
            </w:tcBorders>
            <w:shd w:val="clear" w:color="auto" w:fill="auto"/>
            <w:noWrap/>
            <w:hideMark/>
          </w:tcPr>
          <w:p w14:paraId="2DDF1FD9"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0.032</w:t>
            </w:r>
          </w:p>
        </w:tc>
      </w:tr>
      <w:tr w:rsidR="009A2343" w:rsidRPr="009A2343" w14:paraId="047AC72F" w14:textId="77777777" w:rsidTr="009A2343">
        <w:trPr>
          <w:trHeight w:val="300"/>
        </w:trPr>
        <w:tc>
          <w:tcPr>
            <w:tcW w:w="1204" w:type="dxa"/>
            <w:vMerge/>
            <w:tcBorders>
              <w:top w:val="nil"/>
              <w:left w:val="nil"/>
              <w:bottom w:val="single" w:sz="4" w:space="0" w:color="auto"/>
              <w:right w:val="nil"/>
            </w:tcBorders>
            <w:vAlign w:val="center"/>
            <w:hideMark/>
          </w:tcPr>
          <w:p w14:paraId="14AB208A" w14:textId="77777777" w:rsidR="009A2343" w:rsidRPr="009A2343" w:rsidRDefault="009A2343" w:rsidP="009A2343">
            <w:pPr>
              <w:rPr>
                <w:rFonts w:ascii="Arial" w:hAnsi="Arial" w:cs="Arial"/>
                <w:sz w:val="20"/>
                <w:lang w:eastAsia="en-GB"/>
              </w:rPr>
            </w:pPr>
          </w:p>
        </w:tc>
        <w:tc>
          <w:tcPr>
            <w:tcW w:w="352" w:type="dxa"/>
            <w:gridSpan w:val="2"/>
            <w:tcBorders>
              <w:top w:val="nil"/>
              <w:left w:val="nil"/>
              <w:bottom w:val="single" w:sz="4" w:space="0" w:color="auto"/>
              <w:right w:val="nil"/>
            </w:tcBorders>
            <w:shd w:val="clear" w:color="auto" w:fill="auto"/>
            <w:hideMark/>
          </w:tcPr>
          <w:p w14:paraId="040C128C"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992" w:type="dxa"/>
            <w:tcBorders>
              <w:top w:val="nil"/>
              <w:left w:val="nil"/>
              <w:bottom w:val="single" w:sz="4" w:space="0" w:color="auto"/>
              <w:right w:val="nil"/>
            </w:tcBorders>
            <w:shd w:val="clear" w:color="auto" w:fill="auto"/>
            <w:noWrap/>
            <w:hideMark/>
          </w:tcPr>
          <w:p w14:paraId="5E30321D"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0.405</w:t>
            </w:r>
          </w:p>
        </w:tc>
        <w:tc>
          <w:tcPr>
            <w:tcW w:w="993" w:type="dxa"/>
            <w:tcBorders>
              <w:top w:val="nil"/>
              <w:left w:val="nil"/>
              <w:bottom w:val="single" w:sz="4" w:space="0" w:color="auto"/>
              <w:right w:val="nil"/>
            </w:tcBorders>
            <w:shd w:val="clear" w:color="auto" w:fill="auto"/>
            <w:noWrap/>
            <w:hideMark/>
          </w:tcPr>
          <w:p w14:paraId="79FF77A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0.218</w:t>
            </w:r>
          </w:p>
        </w:tc>
        <w:tc>
          <w:tcPr>
            <w:tcW w:w="993" w:type="dxa"/>
            <w:tcBorders>
              <w:top w:val="nil"/>
              <w:left w:val="nil"/>
              <w:bottom w:val="single" w:sz="4" w:space="0" w:color="auto"/>
              <w:right w:val="nil"/>
            </w:tcBorders>
            <w:shd w:val="clear" w:color="auto" w:fill="auto"/>
            <w:noWrap/>
            <w:hideMark/>
          </w:tcPr>
          <w:p w14:paraId="589DF179"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0.299</w:t>
            </w:r>
          </w:p>
        </w:tc>
        <w:tc>
          <w:tcPr>
            <w:tcW w:w="993" w:type="dxa"/>
            <w:tcBorders>
              <w:top w:val="nil"/>
              <w:left w:val="nil"/>
              <w:bottom w:val="single" w:sz="4" w:space="0" w:color="auto"/>
              <w:right w:val="nil"/>
            </w:tcBorders>
            <w:shd w:val="clear" w:color="auto" w:fill="auto"/>
            <w:noWrap/>
            <w:hideMark/>
          </w:tcPr>
          <w:p w14:paraId="3E45849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0.631</w:t>
            </w:r>
          </w:p>
        </w:tc>
        <w:tc>
          <w:tcPr>
            <w:tcW w:w="992" w:type="dxa"/>
            <w:tcBorders>
              <w:top w:val="nil"/>
              <w:left w:val="nil"/>
              <w:bottom w:val="single" w:sz="4" w:space="0" w:color="auto"/>
              <w:right w:val="nil"/>
            </w:tcBorders>
            <w:shd w:val="clear" w:color="auto" w:fill="auto"/>
            <w:noWrap/>
            <w:hideMark/>
          </w:tcPr>
          <w:p w14:paraId="0BFCD307"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0.055</w:t>
            </w:r>
          </w:p>
        </w:tc>
        <w:tc>
          <w:tcPr>
            <w:tcW w:w="993" w:type="dxa"/>
            <w:tcBorders>
              <w:top w:val="nil"/>
              <w:left w:val="nil"/>
              <w:bottom w:val="single" w:sz="4" w:space="0" w:color="auto"/>
              <w:right w:val="nil"/>
            </w:tcBorders>
            <w:shd w:val="clear" w:color="auto" w:fill="auto"/>
            <w:noWrap/>
            <w:hideMark/>
          </w:tcPr>
          <w:p w14:paraId="7D38672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0.886</w:t>
            </w:r>
          </w:p>
        </w:tc>
        <w:tc>
          <w:tcPr>
            <w:tcW w:w="993" w:type="dxa"/>
            <w:tcBorders>
              <w:top w:val="nil"/>
              <w:left w:val="nil"/>
              <w:bottom w:val="single" w:sz="4" w:space="0" w:color="auto"/>
              <w:right w:val="nil"/>
            </w:tcBorders>
            <w:shd w:val="clear" w:color="auto" w:fill="auto"/>
            <w:noWrap/>
            <w:hideMark/>
          </w:tcPr>
          <w:p w14:paraId="77DABC3A"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0.096</w:t>
            </w:r>
          </w:p>
        </w:tc>
        <w:tc>
          <w:tcPr>
            <w:tcW w:w="993" w:type="dxa"/>
            <w:tcBorders>
              <w:top w:val="nil"/>
              <w:left w:val="nil"/>
              <w:bottom w:val="single" w:sz="4" w:space="0" w:color="auto"/>
              <w:right w:val="nil"/>
            </w:tcBorders>
            <w:shd w:val="clear" w:color="auto" w:fill="auto"/>
            <w:noWrap/>
            <w:hideMark/>
          </w:tcPr>
          <w:p w14:paraId="1D73F495"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0.844</w:t>
            </w:r>
          </w:p>
        </w:tc>
      </w:tr>
    </w:tbl>
    <w:p w14:paraId="7537FB63" w14:textId="77777777" w:rsidR="009A2343" w:rsidRPr="009A2343" w:rsidRDefault="009A2343" w:rsidP="009A2343">
      <w:pPr>
        <w:rPr>
          <w:rFonts w:ascii="Arial" w:hAnsi="Arial" w:cs="Arial"/>
          <w:b/>
          <w:sz w:val="20"/>
        </w:rPr>
      </w:pPr>
    </w:p>
    <w:p w14:paraId="5D215A40" w14:textId="378E8B4A" w:rsidR="009A2343" w:rsidRDefault="009A2343">
      <w:pPr>
        <w:rPr>
          <w:rFonts w:ascii="Arial" w:hAnsi="Arial" w:cs="Arial"/>
          <w:b/>
          <w:sz w:val="20"/>
        </w:rPr>
      </w:pPr>
    </w:p>
    <w:p w14:paraId="7FB3F055" w14:textId="6C74EFD3" w:rsidR="009A2343" w:rsidRPr="009A2343" w:rsidRDefault="009A2343" w:rsidP="009A2343">
      <w:pPr>
        <w:rPr>
          <w:rFonts w:ascii="Arial" w:hAnsi="Arial" w:cs="Arial"/>
          <w:sz w:val="20"/>
        </w:rPr>
      </w:pPr>
      <w:r w:rsidRPr="009A2343">
        <w:rPr>
          <w:rFonts w:ascii="Arial" w:hAnsi="Arial" w:cs="Arial"/>
          <w:b/>
          <w:sz w:val="20"/>
        </w:rPr>
        <w:t>Table S6.</w:t>
      </w:r>
      <w:r w:rsidRPr="009A2343">
        <w:rPr>
          <w:rFonts w:ascii="Arial" w:hAnsi="Arial" w:cs="Arial"/>
          <w:sz w:val="20"/>
        </w:rPr>
        <w:t xml:space="preserve"> Component network scores correlated with affect measures</w:t>
      </w:r>
    </w:p>
    <w:tbl>
      <w:tblPr>
        <w:tblW w:w="9498" w:type="dxa"/>
        <w:tblLayout w:type="fixed"/>
        <w:tblLook w:val="04A0" w:firstRow="1" w:lastRow="0" w:firstColumn="1" w:lastColumn="0" w:noHBand="0" w:noVBand="1"/>
      </w:tblPr>
      <w:tblGrid>
        <w:gridCol w:w="1316"/>
        <w:gridCol w:w="480"/>
        <w:gridCol w:w="1283"/>
        <w:gridCol w:w="1284"/>
        <w:gridCol w:w="1284"/>
        <w:gridCol w:w="1283"/>
        <w:gridCol w:w="1284"/>
        <w:gridCol w:w="1284"/>
      </w:tblGrid>
      <w:tr w:rsidR="009A2343" w:rsidRPr="009A2343" w14:paraId="0AEC003C" w14:textId="77777777" w:rsidTr="009A2343">
        <w:trPr>
          <w:trHeight w:val="300"/>
        </w:trPr>
        <w:tc>
          <w:tcPr>
            <w:tcW w:w="1316" w:type="dxa"/>
            <w:tcBorders>
              <w:top w:val="single" w:sz="4" w:space="0" w:color="auto"/>
              <w:left w:val="nil"/>
              <w:bottom w:val="single" w:sz="4" w:space="0" w:color="auto"/>
              <w:right w:val="nil"/>
            </w:tcBorders>
            <w:shd w:val="clear" w:color="auto" w:fill="auto"/>
          </w:tcPr>
          <w:p w14:paraId="3517F852" w14:textId="77777777" w:rsidR="009A2343" w:rsidRPr="009A2343" w:rsidRDefault="009A2343" w:rsidP="009A2343">
            <w:pPr>
              <w:rPr>
                <w:rFonts w:ascii="Arial" w:hAnsi="Arial" w:cs="Arial"/>
                <w:sz w:val="20"/>
                <w:lang w:eastAsia="en-GB"/>
              </w:rPr>
            </w:pPr>
          </w:p>
        </w:tc>
        <w:tc>
          <w:tcPr>
            <w:tcW w:w="480" w:type="dxa"/>
            <w:tcBorders>
              <w:top w:val="single" w:sz="4" w:space="0" w:color="auto"/>
              <w:left w:val="nil"/>
              <w:bottom w:val="single" w:sz="4" w:space="0" w:color="auto"/>
              <w:right w:val="nil"/>
            </w:tcBorders>
            <w:shd w:val="clear" w:color="auto" w:fill="auto"/>
          </w:tcPr>
          <w:p w14:paraId="739E3CF9" w14:textId="77777777" w:rsidR="009A2343" w:rsidRPr="009A2343" w:rsidRDefault="009A2343" w:rsidP="009A2343">
            <w:pPr>
              <w:rPr>
                <w:rFonts w:ascii="Arial" w:hAnsi="Arial" w:cs="Arial"/>
                <w:i/>
                <w:iCs/>
                <w:sz w:val="20"/>
                <w:lang w:eastAsia="en-GB"/>
              </w:rPr>
            </w:pPr>
          </w:p>
        </w:tc>
        <w:tc>
          <w:tcPr>
            <w:tcW w:w="1283" w:type="dxa"/>
            <w:tcBorders>
              <w:top w:val="single" w:sz="4" w:space="0" w:color="auto"/>
              <w:left w:val="nil"/>
              <w:bottom w:val="single" w:sz="4" w:space="0" w:color="auto"/>
              <w:right w:val="nil"/>
            </w:tcBorders>
            <w:shd w:val="clear" w:color="auto" w:fill="auto"/>
            <w:noWrap/>
            <w:vAlign w:val="bottom"/>
          </w:tcPr>
          <w:p w14:paraId="18961ED6"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PCS helplessness</w:t>
            </w:r>
          </w:p>
        </w:tc>
        <w:tc>
          <w:tcPr>
            <w:tcW w:w="1284" w:type="dxa"/>
            <w:tcBorders>
              <w:top w:val="single" w:sz="4" w:space="0" w:color="auto"/>
              <w:left w:val="nil"/>
              <w:bottom w:val="single" w:sz="4" w:space="0" w:color="auto"/>
              <w:right w:val="nil"/>
            </w:tcBorders>
            <w:shd w:val="clear" w:color="auto" w:fill="auto"/>
            <w:noWrap/>
            <w:vAlign w:val="bottom"/>
          </w:tcPr>
          <w:p w14:paraId="5229AD51"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PCS magnification</w:t>
            </w:r>
          </w:p>
        </w:tc>
        <w:tc>
          <w:tcPr>
            <w:tcW w:w="1284" w:type="dxa"/>
            <w:tcBorders>
              <w:top w:val="single" w:sz="4" w:space="0" w:color="auto"/>
              <w:left w:val="nil"/>
              <w:bottom w:val="single" w:sz="4" w:space="0" w:color="auto"/>
              <w:right w:val="nil"/>
            </w:tcBorders>
            <w:shd w:val="clear" w:color="auto" w:fill="auto"/>
            <w:noWrap/>
            <w:vAlign w:val="bottom"/>
          </w:tcPr>
          <w:p w14:paraId="23EAD166"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PCS rumination</w:t>
            </w:r>
          </w:p>
        </w:tc>
        <w:tc>
          <w:tcPr>
            <w:tcW w:w="1283" w:type="dxa"/>
            <w:tcBorders>
              <w:top w:val="single" w:sz="4" w:space="0" w:color="auto"/>
              <w:left w:val="nil"/>
              <w:bottom w:val="single" w:sz="4" w:space="0" w:color="auto"/>
              <w:right w:val="nil"/>
            </w:tcBorders>
            <w:shd w:val="clear" w:color="auto" w:fill="auto"/>
            <w:noWrap/>
            <w:vAlign w:val="bottom"/>
          </w:tcPr>
          <w:p w14:paraId="026FE8C9"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BDI-II negative thoughts</w:t>
            </w:r>
          </w:p>
        </w:tc>
        <w:tc>
          <w:tcPr>
            <w:tcW w:w="1284" w:type="dxa"/>
            <w:tcBorders>
              <w:top w:val="single" w:sz="4" w:space="0" w:color="auto"/>
              <w:left w:val="nil"/>
              <w:bottom w:val="single" w:sz="4" w:space="0" w:color="auto"/>
              <w:right w:val="nil"/>
            </w:tcBorders>
            <w:shd w:val="clear" w:color="auto" w:fill="auto"/>
            <w:noWrap/>
            <w:vAlign w:val="bottom"/>
          </w:tcPr>
          <w:p w14:paraId="1A421960"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BDI-II negative behaviours</w:t>
            </w:r>
          </w:p>
        </w:tc>
        <w:tc>
          <w:tcPr>
            <w:tcW w:w="1284" w:type="dxa"/>
            <w:tcBorders>
              <w:top w:val="single" w:sz="4" w:space="0" w:color="auto"/>
              <w:left w:val="nil"/>
              <w:bottom w:val="single" w:sz="4" w:space="0" w:color="auto"/>
              <w:right w:val="nil"/>
            </w:tcBorders>
            <w:shd w:val="clear" w:color="auto" w:fill="auto"/>
            <w:noWrap/>
            <w:vAlign w:val="bottom"/>
          </w:tcPr>
          <w:p w14:paraId="74D42DBF" w14:textId="77777777" w:rsidR="009A2343" w:rsidRPr="009A2343" w:rsidRDefault="009A2343" w:rsidP="009A2343">
            <w:pPr>
              <w:jc w:val="center"/>
              <w:rPr>
                <w:rFonts w:ascii="Arial" w:hAnsi="Arial" w:cs="Arial"/>
                <w:sz w:val="20"/>
                <w:lang w:eastAsia="en-GB"/>
              </w:rPr>
            </w:pPr>
            <w:r w:rsidRPr="009A2343">
              <w:rPr>
                <w:rFonts w:ascii="Arial" w:hAnsi="Arial" w:cs="Arial"/>
                <w:sz w:val="20"/>
                <w:lang w:eastAsia="en-GB"/>
              </w:rPr>
              <w:t>Trait anxiety (STAI-T)</w:t>
            </w:r>
          </w:p>
        </w:tc>
      </w:tr>
      <w:tr w:rsidR="009A2343" w:rsidRPr="009A2343" w14:paraId="764A697D" w14:textId="77777777" w:rsidTr="009A2343">
        <w:trPr>
          <w:trHeight w:val="300"/>
        </w:trPr>
        <w:tc>
          <w:tcPr>
            <w:tcW w:w="1316" w:type="dxa"/>
            <w:vMerge w:val="restart"/>
            <w:tcBorders>
              <w:top w:val="nil"/>
              <w:left w:val="nil"/>
              <w:bottom w:val="single" w:sz="4" w:space="0" w:color="auto"/>
              <w:right w:val="nil"/>
            </w:tcBorders>
            <w:shd w:val="clear" w:color="auto" w:fill="auto"/>
            <w:hideMark/>
          </w:tcPr>
          <w:p w14:paraId="1AD1BD6A" w14:textId="77777777" w:rsidR="009A2343" w:rsidRPr="009A2343" w:rsidRDefault="009A2343" w:rsidP="009A2343">
            <w:pPr>
              <w:rPr>
                <w:rFonts w:ascii="Arial" w:hAnsi="Arial" w:cs="Arial"/>
                <w:sz w:val="20"/>
                <w:lang w:eastAsia="en-GB"/>
              </w:rPr>
            </w:pPr>
            <w:r w:rsidRPr="009A2343">
              <w:rPr>
                <w:rFonts w:ascii="Arial" w:hAnsi="Arial" w:cs="Arial"/>
                <w:sz w:val="20"/>
                <w:lang w:eastAsia="en-GB"/>
              </w:rPr>
              <w:t>Component 2</w:t>
            </w:r>
          </w:p>
        </w:tc>
        <w:tc>
          <w:tcPr>
            <w:tcW w:w="480" w:type="dxa"/>
            <w:tcBorders>
              <w:top w:val="nil"/>
              <w:left w:val="nil"/>
              <w:bottom w:val="single" w:sz="4" w:space="0" w:color="auto"/>
              <w:right w:val="nil"/>
            </w:tcBorders>
            <w:shd w:val="clear" w:color="auto" w:fill="auto"/>
            <w:hideMark/>
          </w:tcPr>
          <w:p w14:paraId="7B5C4726"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1283" w:type="dxa"/>
            <w:tcBorders>
              <w:top w:val="nil"/>
              <w:left w:val="nil"/>
              <w:bottom w:val="single" w:sz="4" w:space="0" w:color="auto"/>
              <w:right w:val="nil"/>
            </w:tcBorders>
            <w:shd w:val="clear" w:color="auto" w:fill="auto"/>
            <w:noWrap/>
            <w:hideMark/>
          </w:tcPr>
          <w:p w14:paraId="1E226D20"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-0.123</w:t>
            </w:r>
          </w:p>
        </w:tc>
        <w:tc>
          <w:tcPr>
            <w:tcW w:w="1284" w:type="dxa"/>
            <w:tcBorders>
              <w:top w:val="nil"/>
              <w:left w:val="nil"/>
              <w:bottom w:val="single" w:sz="4" w:space="0" w:color="auto"/>
              <w:right w:val="nil"/>
            </w:tcBorders>
            <w:shd w:val="clear" w:color="auto" w:fill="auto"/>
            <w:noWrap/>
            <w:hideMark/>
          </w:tcPr>
          <w:p w14:paraId="29C122E4"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-0.074</w:t>
            </w:r>
          </w:p>
        </w:tc>
        <w:tc>
          <w:tcPr>
            <w:tcW w:w="1284" w:type="dxa"/>
            <w:tcBorders>
              <w:top w:val="nil"/>
              <w:left w:val="nil"/>
              <w:bottom w:val="single" w:sz="4" w:space="0" w:color="auto"/>
              <w:right w:val="nil"/>
            </w:tcBorders>
            <w:shd w:val="clear" w:color="auto" w:fill="auto"/>
            <w:noWrap/>
            <w:hideMark/>
          </w:tcPr>
          <w:p w14:paraId="71645C7E"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-0.148</w:t>
            </w:r>
          </w:p>
        </w:tc>
        <w:tc>
          <w:tcPr>
            <w:tcW w:w="1283" w:type="dxa"/>
            <w:tcBorders>
              <w:top w:val="nil"/>
              <w:left w:val="nil"/>
              <w:bottom w:val="single" w:sz="4" w:space="0" w:color="auto"/>
              <w:right w:val="nil"/>
            </w:tcBorders>
            <w:shd w:val="clear" w:color="auto" w:fill="auto"/>
            <w:noWrap/>
            <w:hideMark/>
          </w:tcPr>
          <w:p w14:paraId="323D3B8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0.011</w:t>
            </w:r>
          </w:p>
        </w:tc>
        <w:tc>
          <w:tcPr>
            <w:tcW w:w="1284" w:type="dxa"/>
            <w:tcBorders>
              <w:top w:val="nil"/>
              <w:left w:val="nil"/>
              <w:bottom w:val="single" w:sz="4" w:space="0" w:color="auto"/>
              <w:right w:val="nil"/>
            </w:tcBorders>
            <w:shd w:val="clear" w:color="auto" w:fill="auto"/>
            <w:noWrap/>
            <w:hideMark/>
          </w:tcPr>
          <w:p w14:paraId="72222161"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-0.173</w:t>
            </w:r>
          </w:p>
        </w:tc>
        <w:tc>
          <w:tcPr>
            <w:tcW w:w="1284" w:type="dxa"/>
            <w:tcBorders>
              <w:top w:val="nil"/>
              <w:left w:val="nil"/>
              <w:bottom w:val="single" w:sz="4" w:space="0" w:color="auto"/>
              <w:right w:val="nil"/>
            </w:tcBorders>
            <w:shd w:val="clear" w:color="auto" w:fill="auto"/>
            <w:noWrap/>
            <w:hideMark/>
          </w:tcPr>
          <w:p w14:paraId="226776EF"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-0.092</w:t>
            </w:r>
          </w:p>
        </w:tc>
      </w:tr>
      <w:tr w:rsidR="009A2343" w:rsidRPr="009A2343" w14:paraId="3B6913C2" w14:textId="77777777" w:rsidTr="009A2343">
        <w:trPr>
          <w:trHeight w:val="300"/>
        </w:trPr>
        <w:tc>
          <w:tcPr>
            <w:tcW w:w="1316" w:type="dxa"/>
            <w:vMerge/>
            <w:tcBorders>
              <w:top w:val="nil"/>
              <w:left w:val="nil"/>
              <w:bottom w:val="single" w:sz="4" w:space="0" w:color="auto"/>
              <w:right w:val="nil"/>
            </w:tcBorders>
            <w:vAlign w:val="center"/>
            <w:hideMark/>
          </w:tcPr>
          <w:p w14:paraId="1FBDE93B" w14:textId="77777777" w:rsidR="009A2343" w:rsidRPr="009A2343" w:rsidRDefault="009A2343" w:rsidP="009A2343">
            <w:pPr>
              <w:rPr>
                <w:rFonts w:ascii="Arial" w:hAnsi="Arial" w:cs="Arial"/>
                <w:sz w:val="20"/>
                <w:lang w:eastAsia="en-GB"/>
              </w:rPr>
            </w:pPr>
          </w:p>
        </w:tc>
        <w:tc>
          <w:tcPr>
            <w:tcW w:w="480" w:type="dxa"/>
            <w:tcBorders>
              <w:top w:val="nil"/>
              <w:left w:val="nil"/>
              <w:bottom w:val="single" w:sz="4" w:space="0" w:color="auto"/>
              <w:right w:val="nil"/>
            </w:tcBorders>
            <w:shd w:val="clear" w:color="auto" w:fill="auto"/>
            <w:hideMark/>
          </w:tcPr>
          <w:p w14:paraId="53A949FC"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1283" w:type="dxa"/>
            <w:tcBorders>
              <w:top w:val="nil"/>
              <w:left w:val="nil"/>
              <w:bottom w:val="single" w:sz="4" w:space="0" w:color="auto"/>
              <w:right w:val="nil"/>
            </w:tcBorders>
            <w:shd w:val="clear" w:color="auto" w:fill="auto"/>
            <w:noWrap/>
            <w:hideMark/>
          </w:tcPr>
          <w:p w14:paraId="20882250"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0.443</w:t>
            </w:r>
          </w:p>
        </w:tc>
        <w:tc>
          <w:tcPr>
            <w:tcW w:w="1284" w:type="dxa"/>
            <w:tcBorders>
              <w:top w:val="nil"/>
              <w:left w:val="nil"/>
              <w:bottom w:val="single" w:sz="4" w:space="0" w:color="auto"/>
              <w:right w:val="nil"/>
            </w:tcBorders>
            <w:shd w:val="clear" w:color="auto" w:fill="auto"/>
            <w:noWrap/>
            <w:hideMark/>
          </w:tcPr>
          <w:p w14:paraId="219921C5"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0.648</w:t>
            </w:r>
          </w:p>
        </w:tc>
        <w:tc>
          <w:tcPr>
            <w:tcW w:w="1284" w:type="dxa"/>
            <w:tcBorders>
              <w:top w:val="nil"/>
              <w:left w:val="nil"/>
              <w:bottom w:val="single" w:sz="4" w:space="0" w:color="auto"/>
              <w:right w:val="nil"/>
            </w:tcBorders>
            <w:shd w:val="clear" w:color="auto" w:fill="auto"/>
            <w:noWrap/>
            <w:hideMark/>
          </w:tcPr>
          <w:p w14:paraId="0AB139B8"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0.355</w:t>
            </w:r>
          </w:p>
        </w:tc>
        <w:tc>
          <w:tcPr>
            <w:tcW w:w="1283" w:type="dxa"/>
            <w:tcBorders>
              <w:top w:val="nil"/>
              <w:left w:val="nil"/>
              <w:bottom w:val="single" w:sz="4" w:space="0" w:color="auto"/>
              <w:right w:val="nil"/>
            </w:tcBorders>
            <w:shd w:val="clear" w:color="auto" w:fill="auto"/>
            <w:noWrap/>
            <w:hideMark/>
          </w:tcPr>
          <w:p w14:paraId="4BFFEF55"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0.946</w:t>
            </w:r>
          </w:p>
        </w:tc>
        <w:tc>
          <w:tcPr>
            <w:tcW w:w="1284" w:type="dxa"/>
            <w:tcBorders>
              <w:top w:val="nil"/>
              <w:left w:val="nil"/>
              <w:bottom w:val="single" w:sz="4" w:space="0" w:color="auto"/>
              <w:right w:val="nil"/>
            </w:tcBorders>
            <w:shd w:val="clear" w:color="auto" w:fill="auto"/>
            <w:noWrap/>
            <w:hideMark/>
          </w:tcPr>
          <w:p w14:paraId="348D5F27"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0.280</w:t>
            </w:r>
          </w:p>
        </w:tc>
        <w:tc>
          <w:tcPr>
            <w:tcW w:w="1284" w:type="dxa"/>
            <w:tcBorders>
              <w:top w:val="nil"/>
              <w:left w:val="nil"/>
              <w:bottom w:val="single" w:sz="4" w:space="0" w:color="auto"/>
              <w:right w:val="nil"/>
            </w:tcBorders>
            <w:shd w:val="clear" w:color="auto" w:fill="auto"/>
            <w:noWrap/>
            <w:hideMark/>
          </w:tcPr>
          <w:p w14:paraId="2E883BC0"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0.568</w:t>
            </w:r>
          </w:p>
        </w:tc>
      </w:tr>
      <w:tr w:rsidR="009A2343" w:rsidRPr="009A2343" w14:paraId="6F5B8969" w14:textId="77777777" w:rsidTr="009A2343">
        <w:trPr>
          <w:trHeight w:val="300"/>
        </w:trPr>
        <w:tc>
          <w:tcPr>
            <w:tcW w:w="1316" w:type="dxa"/>
            <w:vMerge w:val="restart"/>
            <w:tcBorders>
              <w:top w:val="nil"/>
              <w:left w:val="nil"/>
              <w:bottom w:val="single" w:sz="4" w:space="0" w:color="auto"/>
              <w:right w:val="nil"/>
            </w:tcBorders>
            <w:shd w:val="clear" w:color="auto" w:fill="auto"/>
            <w:hideMark/>
          </w:tcPr>
          <w:p w14:paraId="4927DF9B" w14:textId="77777777" w:rsidR="009A2343" w:rsidRPr="009A2343" w:rsidRDefault="009A2343" w:rsidP="009A2343">
            <w:pPr>
              <w:rPr>
                <w:rFonts w:ascii="Arial" w:hAnsi="Arial" w:cs="Arial"/>
                <w:sz w:val="20"/>
                <w:lang w:eastAsia="en-GB"/>
              </w:rPr>
            </w:pPr>
            <w:r w:rsidRPr="009A2343">
              <w:rPr>
                <w:rFonts w:ascii="Arial" w:hAnsi="Arial" w:cs="Arial"/>
                <w:sz w:val="20"/>
                <w:lang w:eastAsia="en-GB"/>
              </w:rPr>
              <w:t>Component 6</w:t>
            </w:r>
          </w:p>
        </w:tc>
        <w:tc>
          <w:tcPr>
            <w:tcW w:w="480" w:type="dxa"/>
            <w:tcBorders>
              <w:top w:val="nil"/>
              <w:left w:val="nil"/>
              <w:bottom w:val="single" w:sz="4" w:space="0" w:color="auto"/>
              <w:right w:val="nil"/>
            </w:tcBorders>
            <w:shd w:val="clear" w:color="auto" w:fill="auto"/>
            <w:hideMark/>
          </w:tcPr>
          <w:p w14:paraId="19BA06E4"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1283" w:type="dxa"/>
            <w:tcBorders>
              <w:top w:val="nil"/>
              <w:left w:val="nil"/>
              <w:bottom w:val="single" w:sz="4" w:space="0" w:color="auto"/>
              <w:right w:val="nil"/>
            </w:tcBorders>
            <w:shd w:val="clear" w:color="auto" w:fill="auto"/>
            <w:noWrap/>
            <w:hideMark/>
          </w:tcPr>
          <w:p w14:paraId="10A71A8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-0.161</w:t>
            </w:r>
          </w:p>
        </w:tc>
        <w:tc>
          <w:tcPr>
            <w:tcW w:w="1284" w:type="dxa"/>
            <w:tcBorders>
              <w:top w:val="nil"/>
              <w:left w:val="nil"/>
              <w:bottom w:val="single" w:sz="4" w:space="0" w:color="auto"/>
              <w:right w:val="nil"/>
            </w:tcBorders>
            <w:shd w:val="clear" w:color="auto" w:fill="auto"/>
            <w:noWrap/>
            <w:hideMark/>
          </w:tcPr>
          <w:p w14:paraId="75B2056F"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0.018</w:t>
            </w:r>
          </w:p>
        </w:tc>
        <w:tc>
          <w:tcPr>
            <w:tcW w:w="1284" w:type="dxa"/>
            <w:tcBorders>
              <w:top w:val="nil"/>
              <w:left w:val="nil"/>
              <w:bottom w:val="single" w:sz="4" w:space="0" w:color="auto"/>
              <w:right w:val="nil"/>
            </w:tcBorders>
            <w:shd w:val="clear" w:color="auto" w:fill="auto"/>
            <w:noWrap/>
            <w:hideMark/>
          </w:tcPr>
          <w:p w14:paraId="49876357"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-0.127</w:t>
            </w:r>
          </w:p>
        </w:tc>
        <w:tc>
          <w:tcPr>
            <w:tcW w:w="1283" w:type="dxa"/>
            <w:tcBorders>
              <w:top w:val="nil"/>
              <w:left w:val="nil"/>
              <w:bottom w:val="single" w:sz="4" w:space="0" w:color="auto"/>
              <w:right w:val="nil"/>
            </w:tcBorders>
            <w:shd w:val="clear" w:color="auto" w:fill="auto"/>
            <w:noWrap/>
            <w:hideMark/>
          </w:tcPr>
          <w:p w14:paraId="69FAEFB9"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-0.008</w:t>
            </w:r>
          </w:p>
        </w:tc>
        <w:tc>
          <w:tcPr>
            <w:tcW w:w="1284" w:type="dxa"/>
            <w:tcBorders>
              <w:top w:val="nil"/>
              <w:left w:val="nil"/>
              <w:bottom w:val="single" w:sz="4" w:space="0" w:color="auto"/>
              <w:right w:val="nil"/>
            </w:tcBorders>
            <w:shd w:val="clear" w:color="auto" w:fill="auto"/>
            <w:noWrap/>
            <w:hideMark/>
          </w:tcPr>
          <w:p w14:paraId="5ACB745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-0.065</w:t>
            </w:r>
          </w:p>
        </w:tc>
        <w:tc>
          <w:tcPr>
            <w:tcW w:w="1284" w:type="dxa"/>
            <w:tcBorders>
              <w:top w:val="nil"/>
              <w:left w:val="nil"/>
              <w:bottom w:val="single" w:sz="4" w:space="0" w:color="auto"/>
              <w:right w:val="nil"/>
            </w:tcBorders>
            <w:shd w:val="clear" w:color="auto" w:fill="auto"/>
            <w:noWrap/>
            <w:hideMark/>
          </w:tcPr>
          <w:p w14:paraId="4A3BB354"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-0.062</w:t>
            </w:r>
          </w:p>
        </w:tc>
      </w:tr>
      <w:tr w:rsidR="009A2343" w:rsidRPr="009A2343" w14:paraId="6296557E" w14:textId="77777777" w:rsidTr="009A2343">
        <w:trPr>
          <w:trHeight w:val="300"/>
        </w:trPr>
        <w:tc>
          <w:tcPr>
            <w:tcW w:w="1316" w:type="dxa"/>
            <w:vMerge/>
            <w:tcBorders>
              <w:top w:val="nil"/>
              <w:left w:val="nil"/>
              <w:bottom w:val="single" w:sz="4" w:space="0" w:color="auto"/>
              <w:right w:val="nil"/>
            </w:tcBorders>
            <w:vAlign w:val="center"/>
            <w:hideMark/>
          </w:tcPr>
          <w:p w14:paraId="25B37091" w14:textId="77777777" w:rsidR="009A2343" w:rsidRPr="009A2343" w:rsidRDefault="009A2343" w:rsidP="009A2343">
            <w:pPr>
              <w:rPr>
                <w:rFonts w:ascii="Arial" w:hAnsi="Arial" w:cs="Arial"/>
                <w:sz w:val="20"/>
                <w:lang w:eastAsia="en-GB"/>
              </w:rPr>
            </w:pPr>
          </w:p>
        </w:tc>
        <w:tc>
          <w:tcPr>
            <w:tcW w:w="480" w:type="dxa"/>
            <w:tcBorders>
              <w:top w:val="nil"/>
              <w:left w:val="nil"/>
              <w:bottom w:val="single" w:sz="4" w:space="0" w:color="auto"/>
              <w:right w:val="nil"/>
            </w:tcBorders>
            <w:shd w:val="clear" w:color="auto" w:fill="auto"/>
            <w:hideMark/>
          </w:tcPr>
          <w:p w14:paraId="6FF2220C"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1283" w:type="dxa"/>
            <w:tcBorders>
              <w:top w:val="nil"/>
              <w:left w:val="nil"/>
              <w:bottom w:val="single" w:sz="4" w:space="0" w:color="auto"/>
              <w:right w:val="nil"/>
            </w:tcBorders>
            <w:shd w:val="clear" w:color="auto" w:fill="auto"/>
            <w:noWrap/>
            <w:hideMark/>
          </w:tcPr>
          <w:p w14:paraId="3711091E"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0.313</w:t>
            </w:r>
          </w:p>
        </w:tc>
        <w:tc>
          <w:tcPr>
            <w:tcW w:w="1284" w:type="dxa"/>
            <w:tcBorders>
              <w:top w:val="nil"/>
              <w:left w:val="nil"/>
              <w:bottom w:val="single" w:sz="4" w:space="0" w:color="auto"/>
              <w:right w:val="nil"/>
            </w:tcBorders>
            <w:shd w:val="clear" w:color="auto" w:fill="auto"/>
            <w:noWrap/>
            <w:hideMark/>
          </w:tcPr>
          <w:p w14:paraId="239786F6"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0.911</w:t>
            </w:r>
          </w:p>
        </w:tc>
        <w:tc>
          <w:tcPr>
            <w:tcW w:w="1284" w:type="dxa"/>
            <w:tcBorders>
              <w:top w:val="nil"/>
              <w:left w:val="nil"/>
              <w:bottom w:val="single" w:sz="4" w:space="0" w:color="auto"/>
              <w:right w:val="nil"/>
            </w:tcBorders>
            <w:shd w:val="clear" w:color="auto" w:fill="auto"/>
            <w:noWrap/>
            <w:hideMark/>
          </w:tcPr>
          <w:p w14:paraId="072154A7"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0.429</w:t>
            </w:r>
          </w:p>
        </w:tc>
        <w:tc>
          <w:tcPr>
            <w:tcW w:w="1283" w:type="dxa"/>
            <w:tcBorders>
              <w:top w:val="nil"/>
              <w:left w:val="nil"/>
              <w:bottom w:val="single" w:sz="4" w:space="0" w:color="auto"/>
              <w:right w:val="nil"/>
            </w:tcBorders>
            <w:shd w:val="clear" w:color="auto" w:fill="auto"/>
            <w:noWrap/>
            <w:hideMark/>
          </w:tcPr>
          <w:p w14:paraId="24B93082"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0.961</w:t>
            </w:r>
          </w:p>
        </w:tc>
        <w:tc>
          <w:tcPr>
            <w:tcW w:w="1284" w:type="dxa"/>
            <w:tcBorders>
              <w:top w:val="nil"/>
              <w:left w:val="nil"/>
              <w:bottom w:val="single" w:sz="4" w:space="0" w:color="auto"/>
              <w:right w:val="nil"/>
            </w:tcBorders>
            <w:shd w:val="clear" w:color="auto" w:fill="auto"/>
            <w:noWrap/>
            <w:hideMark/>
          </w:tcPr>
          <w:p w14:paraId="6F86BAA6"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0.688</w:t>
            </w:r>
          </w:p>
        </w:tc>
        <w:tc>
          <w:tcPr>
            <w:tcW w:w="1284" w:type="dxa"/>
            <w:tcBorders>
              <w:top w:val="nil"/>
              <w:left w:val="nil"/>
              <w:bottom w:val="single" w:sz="4" w:space="0" w:color="auto"/>
              <w:right w:val="nil"/>
            </w:tcBorders>
            <w:shd w:val="clear" w:color="auto" w:fill="auto"/>
            <w:noWrap/>
            <w:hideMark/>
          </w:tcPr>
          <w:p w14:paraId="1EB360D4"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0.701</w:t>
            </w:r>
          </w:p>
        </w:tc>
      </w:tr>
      <w:tr w:rsidR="009A2343" w:rsidRPr="009A2343" w14:paraId="35A4672F" w14:textId="77777777" w:rsidTr="009A2343">
        <w:trPr>
          <w:trHeight w:val="300"/>
        </w:trPr>
        <w:tc>
          <w:tcPr>
            <w:tcW w:w="1316" w:type="dxa"/>
            <w:vMerge w:val="restart"/>
            <w:tcBorders>
              <w:top w:val="nil"/>
              <w:left w:val="nil"/>
              <w:bottom w:val="single" w:sz="4" w:space="0" w:color="auto"/>
              <w:right w:val="nil"/>
            </w:tcBorders>
            <w:shd w:val="clear" w:color="auto" w:fill="auto"/>
            <w:hideMark/>
          </w:tcPr>
          <w:p w14:paraId="3C5AB09E" w14:textId="77777777" w:rsidR="009A2343" w:rsidRPr="009A2343" w:rsidRDefault="009A2343" w:rsidP="009A2343">
            <w:pPr>
              <w:rPr>
                <w:rFonts w:ascii="Arial" w:hAnsi="Arial" w:cs="Arial"/>
                <w:sz w:val="20"/>
                <w:lang w:eastAsia="en-GB"/>
              </w:rPr>
            </w:pPr>
            <w:r w:rsidRPr="009A2343">
              <w:rPr>
                <w:rFonts w:ascii="Arial" w:hAnsi="Arial" w:cs="Arial"/>
                <w:sz w:val="20"/>
                <w:lang w:eastAsia="en-GB"/>
              </w:rPr>
              <w:t>Component 8</w:t>
            </w:r>
          </w:p>
        </w:tc>
        <w:tc>
          <w:tcPr>
            <w:tcW w:w="480" w:type="dxa"/>
            <w:tcBorders>
              <w:top w:val="nil"/>
              <w:left w:val="nil"/>
              <w:bottom w:val="single" w:sz="4" w:space="0" w:color="auto"/>
              <w:right w:val="nil"/>
            </w:tcBorders>
            <w:shd w:val="clear" w:color="auto" w:fill="auto"/>
            <w:hideMark/>
          </w:tcPr>
          <w:p w14:paraId="7E36822C"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1283" w:type="dxa"/>
            <w:tcBorders>
              <w:top w:val="nil"/>
              <w:left w:val="nil"/>
              <w:bottom w:val="single" w:sz="4" w:space="0" w:color="auto"/>
              <w:right w:val="nil"/>
            </w:tcBorders>
            <w:shd w:val="clear" w:color="auto" w:fill="auto"/>
            <w:noWrap/>
            <w:hideMark/>
          </w:tcPr>
          <w:p w14:paraId="0C2CDDF4"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0.102</w:t>
            </w:r>
          </w:p>
        </w:tc>
        <w:tc>
          <w:tcPr>
            <w:tcW w:w="1284" w:type="dxa"/>
            <w:tcBorders>
              <w:top w:val="nil"/>
              <w:left w:val="nil"/>
              <w:bottom w:val="single" w:sz="4" w:space="0" w:color="auto"/>
              <w:right w:val="nil"/>
            </w:tcBorders>
            <w:shd w:val="clear" w:color="auto" w:fill="auto"/>
            <w:noWrap/>
            <w:hideMark/>
          </w:tcPr>
          <w:p w14:paraId="304B98CE"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0.201</w:t>
            </w:r>
          </w:p>
        </w:tc>
        <w:tc>
          <w:tcPr>
            <w:tcW w:w="1284" w:type="dxa"/>
            <w:tcBorders>
              <w:top w:val="nil"/>
              <w:left w:val="nil"/>
              <w:bottom w:val="single" w:sz="4" w:space="0" w:color="auto"/>
              <w:right w:val="nil"/>
            </w:tcBorders>
            <w:shd w:val="clear" w:color="auto" w:fill="auto"/>
            <w:noWrap/>
            <w:hideMark/>
          </w:tcPr>
          <w:p w14:paraId="5F31F565"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0.129</w:t>
            </w:r>
          </w:p>
        </w:tc>
        <w:tc>
          <w:tcPr>
            <w:tcW w:w="1283" w:type="dxa"/>
            <w:tcBorders>
              <w:top w:val="nil"/>
              <w:left w:val="nil"/>
              <w:bottom w:val="single" w:sz="4" w:space="0" w:color="auto"/>
              <w:right w:val="nil"/>
            </w:tcBorders>
            <w:shd w:val="clear" w:color="auto" w:fill="auto"/>
            <w:noWrap/>
            <w:hideMark/>
          </w:tcPr>
          <w:p w14:paraId="1AA00660"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0.064</w:t>
            </w:r>
          </w:p>
        </w:tc>
        <w:tc>
          <w:tcPr>
            <w:tcW w:w="1284" w:type="dxa"/>
            <w:tcBorders>
              <w:top w:val="nil"/>
              <w:left w:val="nil"/>
              <w:bottom w:val="single" w:sz="4" w:space="0" w:color="auto"/>
              <w:right w:val="nil"/>
            </w:tcBorders>
            <w:shd w:val="clear" w:color="auto" w:fill="auto"/>
            <w:noWrap/>
            <w:hideMark/>
          </w:tcPr>
          <w:p w14:paraId="08214CD2"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-0.050</w:t>
            </w:r>
          </w:p>
        </w:tc>
        <w:tc>
          <w:tcPr>
            <w:tcW w:w="1284" w:type="dxa"/>
            <w:tcBorders>
              <w:top w:val="nil"/>
              <w:left w:val="nil"/>
              <w:bottom w:val="single" w:sz="4" w:space="0" w:color="auto"/>
              <w:right w:val="nil"/>
            </w:tcBorders>
            <w:shd w:val="clear" w:color="auto" w:fill="auto"/>
            <w:noWrap/>
            <w:hideMark/>
          </w:tcPr>
          <w:p w14:paraId="008CD3C2"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0.071</w:t>
            </w:r>
          </w:p>
        </w:tc>
      </w:tr>
      <w:tr w:rsidR="009A2343" w:rsidRPr="009A2343" w14:paraId="4B375F30" w14:textId="77777777" w:rsidTr="009A2343">
        <w:trPr>
          <w:trHeight w:val="300"/>
        </w:trPr>
        <w:tc>
          <w:tcPr>
            <w:tcW w:w="1316" w:type="dxa"/>
            <w:vMerge/>
            <w:tcBorders>
              <w:top w:val="nil"/>
              <w:left w:val="nil"/>
              <w:bottom w:val="single" w:sz="4" w:space="0" w:color="auto"/>
              <w:right w:val="nil"/>
            </w:tcBorders>
            <w:vAlign w:val="center"/>
            <w:hideMark/>
          </w:tcPr>
          <w:p w14:paraId="7F174845" w14:textId="77777777" w:rsidR="009A2343" w:rsidRPr="009A2343" w:rsidRDefault="009A2343" w:rsidP="009A2343">
            <w:pPr>
              <w:rPr>
                <w:rFonts w:ascii="Arial" w:hAnsi="Arial" w:cs="Arial"/>
                <w:sz w:val="20"/>
                <w:lang w:eastAsia="en-GB"/>
              </w:rPr>
            </w:pPr>
          </w:p>
        </w:tc>
        <w:tc>
          <w:tcPr>
            <w:tcW w:w="480" w:type="dxa"/>
            <w:tcBorders>
              <w:top w:val="nil"/>
              <w:left w:val="nil"/>
              <w:bottom w:val="single" w:sz="4" w:space="0" w:color="auto"/>
              <w:right w:val="nil"/>
            </w:tcBorders>
            <w:shd w:val="clear" w:color="auto" w:fill="auto"/>
            <w:hideMark/>
          </w:tcPr>
          <w:p w14:paraId="3B3C6E56"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1283" w:type="dxa"/>
            <w:tcBorders>
              <w:top w:val="nil"/>
              <w:left w:val="nil"/>
              <w:bottom w:val="single" w:sz="4" w:space="0" w:color="auto"/>
              <w:right w:val="nil"/>
            </w:tcBorders>
            <w:shd w:val="clear" w:color="auto" w:fill="auto"/>
            <w:noWrap/>
            <w:hideMark/>
          </w:tcPr>
          <w:p w14:paraId="1861A90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0.528</w:t>
            </w:r>
          </w:p>
        </w:tc>
        <w:tc>
          <w:tcPr>
            <w:tcW w:w="1284" w:type="dxa"/>
            <w:tcBorders>
              <w:top w:val="nil"/>
              <w:left w:val="nil"/>
              <w:bottom w:val="single" w:sz="4" w:space="0" w:color="auto"/>
              <w:right w:val="nil"/>
            </w:tcBorders>
            <w:shd w:val="clear" w:color="auto" w:fill="auto"/>
            <w:noWrap/>
            <w:hideMark/>
          </w:tcPr>
          <w:p w14:paraId="759ECFA1"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0.208</w:t>
            </w:r>
          </w:p>
        </w:tc>
        <w:tc>
          <w:tcPr>
            <w:tcW w:w="1284" w:type="dxa"/>
            <w:tcBorders>
              <w:top w:val="nil"/>
              <w:left w:val="nil"/>
              <w:bottom w:val="single" w:sz="4" w:space="0" w:color="auto"/>
              <w:right w:val="nil"/>
            </w:tcBorders>
            <w:shd w:val="clear" w:color="auto" w:fill="auto"/>
            <w:noWrap/>
            <w:hideMark/>
          </w:tcPr>
          <w:p w14:paraId="68903C03"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0.423</w:t>
            </w:r>
          </w:p>
        </w:tc>
        <w:tc>
          <w:tcPr>
            <w:tcW w:w="1283" w:type="dxa"/>
            <w:tcBorders>
              <w:top w:val="nil"/>
              <w:left w:val="nil"/>
              <w:bottom w:val="single" w:sz="4" w:space="0" w:color="auto"/>
              <w:right w:val="nil"/>
            </w:tcBorders>
            <w:shd w:val="clear" w:color="auto" w:fill="auto"/>
            <w:noWrap/>
            <w:hideMark/>
          </w:tcPr>
          <w:p w14:paraId="005B27E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0.689</w:t>
            </w:r>
          </w:p>
        </w:tc>
        <w:tc>
          <w:tcPr>
            <w:tcW w:w="1284" w:type="dxa"/>
            <w:tcBorders>
              <w:top w:val="nil"/>
              <w:left w:val="nil"/>
              <w:bottom w:val="single" w:sz="4" w:space="0" w:color="auto"/>
              <w:right w:val="nil"/>
            </w:tcBorders>
            <w:shd w:val="clear" w:color="auto" w:fill="auto"/>
            <w:noWrap/>
            <w:hideMark/>
          </w:tcPr>
          <w:p w14:paraId="44171A45"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0.758</w:t>
            </w:r>
          </w:p>
        </w:tc>
        <w:tc>
          <w:tcPr>
            <w:tcW w:w="1284" w:type="dxa"/>
            <w:tcBorders>
              <w:top w:val="nil"/>
              <w:left w:val="nil"/>
              <w:bottom w:val="single" w:sz="4" w:space="0" w:color="auto"/>
              <w:right w:val="nil"/>
            </w:tcBorders>
            <w:shd w:val="clear" w:color="auto" w:fill="auto"/>
            <w:noWrap/>
            <w:hideMark/>
          </w:tcPr>
          <w:p w14:paraId="45578FE0"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0.657</w:t>
            </w:r>
          </w:p>
        </w:tc>
      </w:tr>
      <w:tr w:rsidR="009A2343" w:rsidRPr="009A2343" w14:paraId="0EDE5FB7" w14:textId="77777777" w:rsidTr="009A2343">
        <w:trPr>
          <w:trHeight w:val="300"/>
        </w:trPr>
        <w:tc>
          <w:tcPr>
            <w:tcW w:w="1316" w:type="dxa"/>
            <w:vMerge w:val="restart"/>
            <w:tcBorders>
              <w:top w:val="nil"/>
              <w:left w:val="nil"/>
              <w:bottom w:val="single" w:sz="4" w:space="0" w:color="auto"/>
              <w:right w:val="nil"/>
            </w:tcBorders>
            <w:shd w:val="clear" w:color="auto" w:fill="auto"/>
            <w:hideMark/>
          </w:tcPr>
          <w:p w14:paraId="264B93F9" w14:textId="77777777" w:rsidR="009A2343" w:rsidRPr="009A2343" w:rsidRDefault="009A2343" w:rsidP="009A2343">
            <w:pPr>
              <w:rPr>
                <w:rFonts w:ascii="Arial" w:hAnsi="Arial" w:cs="Arial"/>
                <w:sz w:val="20"/>
                <w:lang w:eastAsia="en-GB"/>
              </w:rPr>
            </w:pPr>
            <w:r w:rsidRPr="009A2343">
              <w:rPr>
                <w:rFonts w:ascii="Arial" w:hAnsi="Arial" w:cs="Arial"/>
                <w:sz w:val="20"/>
                <w:lang w:eastAsia="en-GB"/>
              </w:rPr>
              <w:t>Component 12</w:t>
            </w:r>
          </w:p>
        </w:tc>
        <w:tc>
          <w:tcPr>
            <w:tcW w:w="480" w:type="dxa"/>
            <w:tcBorders>
              <w:top w:val="nil"/>
              <w:left w:val="nil"/>
              <w:bottom w:val="single" w:sz="4" w:space="0" w:color="auto"/>
              <w:right w:val="nil"/>
            </w:tcBorders>
            <w:shd w:val="clear" w:color="auto" w:fill="auto"/>
            <w:hideMark/>
          </w:tcPr>
          <w:p w14:paraId="3C7881A3"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1283" w:type="dxa"/>
            <w:tcBorders>
              <w:top w:val="nil"/>
              <w:left w:val="nil"/>
              <w:bottom w:val="single" w:sz="4" w:space="0" w:color="auto"/>
              <w:right w:val="nil"/>
            </w:tcBorders>
            <w:shd w:val="clear" w:color="auto" w:fill="auto"/>
            <w:noWrap/>
            <w:hideMark/>
          </w:tcPr>
          <w:p w14:paraId="76121D4F"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-0.046</w:t>
            </w:r>
          </w:p>
        </w:tc>
        <w:tc>
          <w:tcPr>
            <w:tcW w:w="1284" w:type="dxa"/>
            <w:tcBorders>
              <w:top w:val="nil"/>
              <w:left w:val="nil"/>
              <w:bottom w:val="single" w:sz="4" w:space="0" w:color="auto"/>
              <w:right w:val="nil"/>
            </w:tcBorders>
            <w:shd w:val="clear" w:color="auto" w:fill="auto"/>
            <w:noWrap/>
            <w:hideMark/>
          </w:tcPr>
          <w:p w14:paraId="2FFB4A66"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0.047</w:t>
            </w:r>
          </w:p>
        </w:tc>
        <w:tc>
          <w:tcPr>
            <w:tcW w:w="1284" w:type="dxa"/>
            <w:tcBorders>
              <w:top w:val="nil"/>
              <w:left w:val="nil"/>
              <w:bottom w:val="single" w:sz="4" w:space="0" w:color="auto"/>
              <w:right w:val="nil"/>
            </w:tcBorders>
            <w:shd w:val="clear" w:color="auto" w:fill="auto"/>
            <w:noWrap/>
            <w:hideMark/>
          </w:tcPr>
          <w:p w14:paraId="5661F7B5"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0.054</w:t>
            </w:r>
          </w:p>
        </w:tc>
        <w:tc>
          <w:tcPr>
            <w:tcW w:w="1283" w:type="dxa"/>
            <w:tcBorders>
              <w:top w:val="nil"/>
              <w:left w:val="nil"/>
              <w:bottom w:val="single" w:sz="4" w:space="0" w:color="auto"/>
              <w:right w:val="nil"/>
            </w:tcBorders>
            <w:shd w:val="clear" w:color="auto" w:fill="auto"/>
            <w:noWrap/>
            <w:hideMark/>
          </w:tcPr>
          <w:p w14:paraId="0768ADA1"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-0.033</w:t>
            </w:r>
          </w:p>
        </w:tc>
        <w:tc>
          <w:tcPr>
            <w:tcW w:w="1284" w:type="dxa"/>
            <w:tcBorders>
              <w:top w:val="nil"/>
              <w:left w:val="nil"/>
              <w:bottom w:val="single" w:sz="4" w:space="0" w:color="auto"/>
              <w:right w:val="nil"/>
            </w:tcBorders>
            <w:shd w:val="clear" w:color="auto" w:fill="auto"/>
            <w:noWrap/>
            <w:hideMark/>
          </w:tcPr>
          <w:p w14:paraId="55D9A8E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-0.087</w:t>
            </w:r>
          </w:p>
        </w:tc>
        <w:tc>
          <w:tcPr>
            <w:tcW w:w="1284" w:type="dxa"/>
            <w:tcBorders>
              <w:top w:val="nil"/>
              <w:left w:val="nil"/>
              <w:bottom w:val="single" w:sz="4" w:space="0" w:color="auto"/>
              <w:right w:val="nil"/>
            </w:tcBorders>
            <w:shd w:val="clear" w:color="auto" w:fill="auto"/>
            <w:noWrap/>
            <w:hideMark/>
          </w:tcPr>
          <w:p w14:paraId="1A321863"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-0.118</w:t>
            </w:r>
          </w:p>
        </w:tc>
      </w:tr>
      <w:tr w:rsidR="009A2343" w:rsidRPr="009A2343" w14:paraId="0BF910FF" w14:textId="77777777" w:rsidTr="009A2343">
        <w:trPr>
          <w:trHeight w:val="300"/>
        </w:trPr>
        <w:tc>
          <w:tcPr>
            <w:tcW w:w="1316" w:type="dxa"/>
            <w:vMerge/>
            <w:tcBorders>
              <w:top w:val="nil"/>
              <w:left w:val="nil"/>
              <w:bottom w:val="single" w:sz="4" w:space="0" w:color="auto"/>
              <w:right w:val="nil"/>
            </w:tcBorders>
            <w:vAlign w:val="center"/>
            <w:hideMark/>
          </w:tcPr>
          <w:p w14:paraId="040AA97B" w14:textId="77777777" w:rsidR="009A2343" w:rsidRPr="009A2343" w:rsidRDefault="009A2343" w:rsidP="009A2343">
            <w:pPr>
              <w:rPr>
                <w:rFonts w:ascii="Arial" w:hAnsi="Arial" w:cs="Arial"/>
                <w:sz w:val="20"/>
                <w:lang w:eastAsia="en-GB"/>
              </w:rPr>
            </w:pPr>
          </w:p>
        </w:tc>
        <w:tc>
          <w:tcPr>
            <w:tcW w:w="480" w:type="dxa"/>
            <w:tcBorders>
              <w:top w:val="nil"/>
              <w:left w:val="nil"/>
              <w:bottom w:val="single" w:sz="4" w:space="0" w:color="auto"/>
              <w:right w:val="nil"/>
            </w:tcBorders>
            <w:shd w:val="clear" w:color="auto" w:fill="auto"/>
            <w:hideMark/>
          </w:tcPr>
          <w:p w14:paraId="2814776D"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1283" w:type="dxa"/>
            <w:tcBorders>
              <w:top w:val="nil"/>
              <w:left w:val="nil"/>
              <w:bottom w:val="single" w:sz="4" w:space="0" w:color="auto"/>
              <w:right w:val="nil"/>
            </w:tcBorders>
            <w:shd w:val="clear" w:color="auto" w:fill="auto"/>
            <w:noWrap/>
            <w:hideMark/>
          </w:tcPr>
          <w:p w14:paraId="34365CBA"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0.773</w:t>
            </w:r>
          </w:p>
        </w:tc>
        <w:tc>
          <w:tcPr>
            <w:tcW w:w="1284" w:type="dxa"/>
            <w:tcBorders>
              <w:top w:val="nil"/>
              <w:left w:val="nil"/>
              <w:bottom w:val="single" w:sz="4" w:space="0" w:color="auto"/>
              <w:right w:val="nil"/>
            </w:tcBorders>
            <w:shd w:val="clear" w:color="auto" w:fill="auto"/>
            <w:noWrap/>
            <w:hideMark/>
          </w:tcPr>
          <w:p w14:paraId="24901407"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0.771</w:t>
            </w:r>
          </w:p>
        </w:tc>
        <w:tc>
          <w:tcPr>
            <w:tcW w:w="1284" w:type="dxa"/>
            <w:tcBorders>
              <w:top w:val="nil"/>
              <w:left w:val="nil"/>
              <w:bottom w:val="single" w:sz="4" w:space="0" w:color="auto"/>
              <w:right w:val="nil"/>
            </w:tcBorders>
            <w:shd w:val="clear" w:color="auto" w:fill="auto"/>
            <w:noWrap/>
            <w:hideMark/>
          </w:tcPr>
          <w:p w14:paraId="465D1CD2"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0.739</w:t>
            </w:r>
          </w:p>
        </w:tc>
        <w:tc>
          <w:tcPr>
            <w:tcW w:w="1283" w:type="dxa"/>
            <w:tcBorders>
              <w:top w:val="nil"/>
              <w:left w:val="nil"/>
              <w:bottom w:val="single" w:sz="4" w:space="0" w:color="auto"/>
              <w:right w:val="nil"/>
            </w:tcBorders>
            <w:shd w:val="clear" w:color="auto" w:fill="auto"/>
            <w:noWrap/>
            <w:hideMark/>
          </w:tcPr>
          <w:p w14:paraId="7D277AAE"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0.836</w:t>
            </w:r>
          </w:p>
        </w:tc>
        <w:tc>
          <w:tcPr>
            <w:tcW w:w="1284" w:type="dxa"/>
            <w:tcBorders>
              <w:top w:val="nil"/>
              <w:left w:val="nil"/>
              <w:bottom w:val="single" w:sz="4" w:space="0" w:color="auto"/>
              <w:right w:val="nil"/>
            </w:tcBorders>
            <w:shd w:val="clear" w:color="auto" w:fill="auto"/>
            <w:noWrap/>
            <w:hideMark/>
          </w:tcPr>
          <w:p w14:paraId="6E9A4F9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0.589</w:t>
            </w:r>
          </w:p>
        </w:tc>
        <w:tc>
          <w:tcPr>
            <w:tcW w:w="1284" w:type="dxa"/>
            <w:tcBorders>
              <w:top w:val="nil"/>
              <w:left w:val="nil"/>
              <w:bottom w:val="single" w:sz="4" w:space="0" w:color="auto"/>
              <w:right w:val="nil"/>
            </w:tcBorders>
            <w:shd w:val="clear" w:color="auto" w:fill="auto"/>
            <w:noWrap/>
            <w:hideMark/>
          </w:tcPr>
          <w:p w14:paraId="30ECEAD1"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0.464</w:t>
            </w:r>
          </w:p>
        </w:tc>
      </w:tr>
      <w:tr w:rsidR="009A2343" w:rsidRPr="009A2343" w14:paraId="19C416FA" w14:textId="77777777" w:rsidTr="009A2343">
        <w:trPr>
          <w:trHeight w:val="300"/>
        </w:trPr>
        <w:tc>
          <w:tcPr>
            <w:tcW w:w="1316" w:type="dxa"/>
            <w:vMerge w:val="restart"/>
            <w:tcBorders>
              <w:top w:val="nil"/>
              <w:left w:val="nil"/>
              <w:bottom w:val="single" w:sz="4" w:space="0" w:color="auto"/>
              <w:right w:val="nil"/>
            </w:tcBorders>
            <w:shd w:val="clear" w:color="auto" w:fill="auto"/>
            <w:hideMark/>
          </w:tcPr>
          <w:p w14:paraId="6D0DBB89" w14:textId="77777777" w:rsidR="009A2343" w:rsidRPr="009A2343" w:rsidRDefault="009A2343" w:rsidP="009A2343">
            <w:pPr>
              <w:rPr>
                <w:rFonts w:ascii="Arial" w:hAnsi="Arial" w:cs="Arial"/>
                <w:sz w:val="20"/>
                <w:lang w:eastAsia="en-GB"/>
              </w:rPr>
            </w:pPr>
            <w:r w:rsidRPr="009A2343">
              <w:rPr>
                <w:rFonts w:ascii="Arial" w:hAnsi="Arial" w:cs="Arial"/>
                <w:sz w:val="20"/>
                <w:lang w:eastAsia="en-GB"/>
              </w:rPr>
              <w:t>Component 13</w:t>
            </w:r>
          </w:p>
        </w:tc>
        <w:tc>
          <w:tcPr>
            <w:tcW w:w="480" w:type="dxa"/>
            <w:tcBorders>
              <w:top w:val="nil"/>
              <w:left w:val="nil"/>
              <w:bottom w:val="single" w:sz="4" w:space="0" w:color="auto"/>
              <w:right w:val="nil"/>
            </w:tcBorders>
            <w:shd w:val="clear" w:color="auto" w:fill="auto"/>
            <w:hideMark/>
          </w:tcPr>
          <w:p w14:paraId="42E059C0"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r</w:t>
            </w:r>
          </w:p>
        </w:tc>
        <w:tc>
          <w:tcPr>
            <w:tcW w:w="1283" w:type="dxa"/>
            <w:tcBorders>
              <w:top w:val="nil"/>
              <w:left w:val="nil"/>
              <w:bottom w:val="single" w:sz="4" w:space="0" w:color="auto"/>
              <w:right w:val="nil"/>
            </w:tcBorders>
            <w:shd w:val="clear" w:color="auto" w:fill="auto"/>
            <w:noWrap/>
            <w:hideMark/>
          </w:tcPr>
          <w:p w14:paraId="33DFF2A4"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0.239</w:t>
            </w:r>
          </w:p>
        </w:tc>
        <w:tc>
          <w:tcPr>
            <w:tcW w:w="1284" w:type="dxa"/>
            <w:tcBorders>
              <w:top w:val="nil"/>
              <w:left w:val="nil"/>
              <w:bottom w:val="single" w:sz="4" w:space="0" w:color="auto"/>
              <w:right w:val="nil"/>
            </w:tcBorders>
            <w:shd w:val="clear" w:color="auto" w:fill="auto"/>
            <w:noWrap/>
            <w:hideMark/>
          </w:tcPr>
          <w:p w14:paraId="316C59E4"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0.200</w:t>
            </w:r>
          </w:p>
        </w:tc>
        <w:tc>
          <w:tcPr>
            <w:tcW w:w="1284" w:type="dxa"/>
            <w:tcBorders>
              <w:top w:val="nil"/>
              <w:left w:val="nil"/>
              <w:bottom w:val="single" w:sz="4" w:space="0" w:color="auto"/>
              <w:right w:val="nil"/>
            </w:tcBorders>
            <w:shd w:val="clear" w:color="auto" w:fill="auto"/>
            <w:noWrap/>
            <w:hideMark/>
          </w:tcPr>
          <w:p w14:paraId="24C15147"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0.127</w:t>
            </w:r>
          </w:p>
        </w:tc>
        <w:tc>
          <w:tcPr>
            <w:tcW w:w="1283" w:type="dxa"/>
            <w:tcBorders>
              <w:top w:val="nil"/>
              <w:left w:val="nil"/>
              <w:bottom w:val="single" w:sz="4" w:space="0" w:color="auto"/>
              <w:right w:val="nil"/>
            </w:tcBorders>
            <w:shd w:val="clear" w:color="auto" w:fill="auto"/>
            <w:noWrap/>
            <w:hideMark/>
          </w:tcPr>
          <w:p w14:paraId="2757D547"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0.213</w:t>
            </w:r>
          </w:p>
        </w:tc>
        <w:tc>
          <w:tcPr>
            <w:tcW w:w="1284" w:type="dxa"/>
            <w:tcBorders>
              <w:top w:val="nil"/>
              <w:left w:val="nil"/>
              <w:bottom w:val="single" w:sz="4" w:space="0" w:color="auto"/>
              <w:right w:val="nil"/>
            </w:tcBorders>
            <w:shd w:val="clear" w:color="auto" w:fill="auto"/>
            <w:noWrap/>
            <w:hideMark/>
          </w:tcPr>
          <w:p w14:paraId="6F9DDF61"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0.305</w:t>
            </w:r>
          </w:p>
        </w:tc>
        <w:tc>
          <w:tcPr>
            <w:tcW w:w="1284" w:type="dxa"/>
            <w:tcBorders>
              <w:top w:val="nil"/>
              <w:left w:val="nil"/>
              <w:bottom w:val="single" w:sz="4" w:space="0" w:color="auto"/>
              <w:right w:val="nil"/>
            </w:tcBorders>
            <w:shd w:val="clear" w:color="auto" w:fill="auto"/>
            <w:noWrap/>
            <w:hideMark/>
          </w:tcPr>
          <w:p w14:paraId="168F7D3C"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0.193</w:t>
            </w:r>
          </w:p>
        </w:tc>
      </w:tr>
      <w:tr w:rsidR="009A2343" w:rsidRPr="009A2343" w14:paraId="6279FDD4" w14:textId="77777777" w:rsidTr="009A2343">
        <w:trPr>
          <w:trHeight w:val="300"/>
        </w:trPr>
        <w:tc>
          <w:tcPr>
            <w:tcW w:w="1316" w:type="dxa"/>
            <w:vMerge/>
            <w:tcBorders>
              <w:top w:val="nil"/>
              <w:left w:val="nil"/>
              <w:bottom w:val="single" w:sz="4" w:space="0" w:color="auto"/>
              <w:right w:val="nil"/>
            </w:tcBorders>
            <w:vAlign w:val="center"/>
            <w:hideMark/>
          </w:tcPr>
          <w:p w14:paraId="12B246CC" w14:textId="77777777" w:rsidR="009A2343" w:rsidRPr="009A2343" w:rsidRDefault="009A2343" w:rsidP="009A2343">
            <w:pPr>
              <w:rPr>
                <w:rFonts w:ascii="Arial" w:hAnsi="Arial" w:cs="Arial"/>
                <w:sz w:val="20"/>
                <w:lang w:eastAsia="en-GB"/>
              </w:rPr>
            </w:pPr>
          </w:p>
        </w:tc>
        <w:tc>
          <w:tcPr>
            <w:tcW w:w="480" w:type="dxa"/>
            <w:tcBorders>
              <w:top w:val="nil"/>
              <w:left w:val="nil"/>
              <w:bottom w:val="single" w:sz="4" w:space="0" w:color="auto"/>
              <w:right w:val="nil"/>
            </w:tcBorders>
            <w:shd w:val="clear" w:color="auto" w:fill="auto"/>
            <w:hideMark/>
          </w:tcPr>
          <w:p w14:paraId="5C52A8A5" w14:textId="77777777" w:rsidR="009A2343" w:rsidRPr="009A2343" w:rsidRDefault="009A2343" w:rsidP="009A2343">
            <w:pPr>
              <w:rPr>
                <w:rFonts w:ascii="Arial" w:hAnsi="Arial" w:cs="Arial"/>
                <w:i/>
                <w:iCs/>
                <w:sz w:val="20"/>
                <w:lang w:eastAsia="en-GB"/>
              </w:rPr>
            </w:pPr>
            <w:r w:rsidRPr="009A2343">
              <w:rPr>
                <w:rFonts w:ascii="Arial" w:hAnsi="Arial" w:cs="Arial"/>
                <w:i/>
                <w:iCs/>
                <w:sz w:val="20"/>
                <w:lang w:eastAsia="en-GB"/>
              </w:rPr>
              <w:t>p</w:t>
            </w:r>
          </w:p>
        </w:tc>
        <w:tc>
          <w:tcPr>
            <w:tcW w:w="1283" w:type="dxa"/>
            <w:tcBorders>
              <w:top w:val="nil"/>
              <w:left w:val="nil"/>
              <w:bottom w:val="single" w:sz="4" w:space="0" w:color="auto"/>
              <w:right w:val="nil"/>
            </w:tcBorders>
            <w:shd w:val="clear" w:color="auto" w:fill="auto"/>
            <w:noWrap/>
            <w:hideMark/>
          </w:tcPr>
          <w:p w14:paraId="6A1CA60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0.132</w:t>
            </w:r>
          </w:p>
        </w:tc>
        <w:tc>
          <w:tcPr>
            <w:tcW w:w="1284" w:type="dxa"/>
            <w:tcBorders>
              <w:top w:val="nil"/>
              <w:left w:val="nil"/>
              <w:bottom w:val="single" w:sz="4" w:space="0" w:color="auto"/>
              <w:right w:val="nil"/>
            </w:tcBorders>
            <w:shd w:val="clear" w:color="auto" w:fill="auto"/>
            <w:noWrap/>
            <w:hideMark/>
          </w:tcPr>
          <w:p w14:paraId="681AE79C"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0.211</w:t>
            </w:r>
          </w:p>
        </w:tc>
        <w:tc>
          <w:tcPr>
            <w:tcW w:w="1284" w:type="dxa"/>
            <w:tcBorders>
              <w:top w:val="nil"/>
              <w:left w:val="nil"/>
              <w:bottom w:val="single" w:sz="4" w:space="0" w:color="auto"/>
              <w:right w:val="nil"/>
            </w:tcBorders>
            <w:shd w:val="clear" w:color="auto" w:fill="auto"/>
            <w:noWrap/>
            <w:hideMark/>
          </w:tcPr>
          <w:p w14:paraId="6B342FEC"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0.429</w:t>
            </w:r>
          </w:p>
        </w:tc>
        <w:tc>
          <w:tcPr>
            <w:tcW w:w="1283" w:type="dxa"/>
            <w:tcBorders>
              <w:top w:val="nil"/>
              <w:left w:val="nil"/>
              <w:bottom w:val="single" w:sz="4" w:space="0" w:color="auto"/>
              <w:right w:val="nil"/>
            </w:tcBorders>
            <w:shd w:val="clear" w:color="auto" w:fill="auto"/>
            <w:noWrap/>
            <w:hideMark/>
          </w:tcPr>
          <w:p w14:paraId="4C1F7249"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0.182</w:t>
            </w:r>
          </w:p>
        </w:tc>
        <w:tc>
          <w:tcPr>
            <w:tcW w:w="1284" w:type="dxa"/>
            <w:tcBorders>
              <w:top w:val="nil"/>
              <w:left w:val="nil"/>
              <w:bottom w:val="single" w:sz="4" w:space="0" w:color="auto"/>
              <w:right w:val="nil"/>
            </w:tcBorders>
            <w:shd w:val="clear" w:color="auto" w:fill="auto"/>
            <w:noWrap/>
            <w:hideMark/>
          </w:tcPr>
          <w:p w14:paraId="6D70369B"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0.052</w:t>
            </w:r>
          </w:p>
        </w:tc>
        <w:tc>
          <w:tcPr>
            <w:tcW w:w="1284" w:type="dxa"/>
            <w:tcBorders>
              <w:top w:val="nil"/>
              <w:left w:val="nil"/>
              <w:bottom w:val="single" w:sz="4" w:space="0" w:color="auto"/>
              <w:right w:val="nil"/>
            </w:tcBorders>
            <w:shd w:val="clear" w:color="auto" w:fill="auto"/>
            <w:noWrap/>
            <w:hideMark/>
          </w:tcPr>
          <w:p w14:paraId="04EBBB38" w14:textId="77777777" w:rsidR="009A2343" w:rsidRPr="009A2343" w:rsidRDefault="009A2343" w:rsidP="009A2343">
            <w:pPr>
              <w:jc w:val="right"/>
              <w:rPr>
                <w:rFonts w:ascii="Arial" w:hAnsi="Arial" w:cs="Arial"/>
                <w:sz w:val="20"/>
                <w:lang w:eastAsia="en-GB"/>
              </w:rPr>
            </w:pPr>
            <w:r w:rsidRPr="009A2343">
              <w:rPr>
                <w:rFonts w:ascii="Arial" w:hAnsi="Arial" w:cs="Arial"/>
                <w:sz w:val="20"/>
                <w:lang w:eastAsia="en-GB"/>
              </w:rPr>
              <w:t>0.227</w:t>
            </w:r>
          </w:p>
        </w:tc>
      </w:tr>
    </w:tbl>
    <w:p w14:paraId="7D0B877A" w14:textId="77777777" w:rsidR="009A2343" w:rsidRPr="009A2343" w:rsidRDefault="009A2343" w:rsidP="009A2343">
      <w:pPr>
        <w:rPr>
          <w:rFonts w:ascii="Arial" w:hAnsi="Arial" w:cs="Arial"/>
          <w:b/>
          <w:sz w:val="20"/>
        </w:rPr>
      </w:pPr>
    </w:p>
    <w:p w14:paraId="5FF3D9FF" w14:textId="213DBFD9" w:rsidR="009A2343" w:rsidRDefault="009A2343">
      <w:pPr>
        <w:rPr>
          <w:rFonts w:ascii="Arial" w:hAnsi="Arial" w:cs="Arial"/>
          <w:b/>
          <w:bCs/>
          <w:kern w:val="32"/>
          <w:sz w:val="20"/>
        </w:rPr>
      </w:pPr>
      <w:r>
        <w:rPr>
          <w:rFonts w:ascii="Arial" w:hAnsi="Arial" w:cs="Arial"/>
          <w:sz w:val="20"/>
        </w:rPr>
        <w:br w:type="page"/>
      </w:r>
    </w:p>
    <w:p w14:paraId="686CB4B7" w14:textId="77777777" w:rsidR="009A2343" w:rsidRPr="009A2343" w:rsidRDefault="009A2343" w:rsidP="009A2343">
      <w:pPr>
        <w:rPr>
          <w:rFonts w:ascii="Arial" w:hAnsi="Arial" w:cs="Arial"/>
          <w:b/>
          <w:sz w:val="20"/>
        </w:rPr>
      </w:pPr>
      <w:r w:rsidRPr="009A2343">
        <w:rPr>
          <w:rFonts w:ascii="Arial" w:hAnsi="Arial" w:cs="Arial"/>
          <w:b/>
          <w:sz w:val="20"/>
        </w:rPr>
        <w:lastRenderedPageBreak/>
        <w:t>PAG CBF Analysis</w:t>
      </w:r>
    </w:p>
    <w:p w14:paraId="2D5DB662" w14:textId="77777777" w:rsidR="009A2343" w:rsidRPr="009A2343" w:rsidRDefault="009A2343" w:rsidP="009A2343">
      <w:pPr>
        <w:rPr>
          <w:rFonts w:ascii="Arial" w:hAnsi="Arial" w:cs="Arial"/>
          <w:sz w:val="20"/>
        </w:rPr>
      </w:pPr>
      <w:r w:rsidRPr="009A2343">
        <w:rPr>
          <w:rFonts w:ascii="Arial" w:hAnsi="Arial" w:cs="Arial"/>
          <w:sz w:val="20"/>
        </w:rPr>
        <w:t>The exploratory analysis of the PAG CBF was carried out using an ROI created by combining three 6 mm spherical ROIs derived from Roy et al.</w:t>
      </w:r>
      <w:r w:rsidRPr="009A2343">
        <w:rPr>
          <w:rFonts w:ascii="Arial" w:hAnsi="Arial" w:cs="Arial"/>
          <w:sz w:val="20"/>
        </w:rPr>
        <w:fldChar w:fldCharType="begin"/>
      </w:r>
      <w:r w:rsidRPr="009A2343">
        <w:rPr>
          <w:rFonts w:ascii="Arial" w:hAnsi="Arial" w:cs="Arial"/>
          <w:sz w:val="20"/>
        </w:rPr>
        <w:instrText xml:space="preserve"> ADDIN ZOTERO_ITEM CSL_CITATION {"citationID":"TRdszMqH","properties":{"formattedCitation":"({\\i{}4})","plainCitation":"(4)","noteIndex":0},"citationItems":[{"id":2565,"uris":["http://zotero.org/users/1439202/items/PX7Q37LY"],"uri":["http://zotero.org/users/1439202/items/PX7Q37LY"],"itemData":{"id":2565,"type":"article-journal","title":"Representation of aversive prediction errors in the human periaqueductal gray","container-title":"Nature Neuroscience","page":"1607-1612","volume":"17","issue":"11","source":"www.nature.com","abstract":"Pain is a primary driver of learning and motivated action. It is also a target of learning, as nociceptive brain responses are shaped by learning processes. We combined an instrumental pain avoidance task with an axiomatic approach to assessing fMRI signals related to prediction errors (PEs), which drive reinforcement-based learning. We found that pain PEs were encoded in the periaqueductal gray (PAG), a structure important for pain control and learning in animal models. Axiomatic tests combined with dynamic causal modeling suggested that ventromedial prefrontal cortex, supported by putamen, provides an expected value–related input to the PAG, which then conveys PE signals to prefrontal regions important for behavioral regulation, including orbitofrontal, anterior mid-cingulate and dorsomedial prefrontal cortices. Thus, pain-related learning involves distinct neural circuitry, with implications for behavior and pain dynamics.","DOI":"10.1038/nn.3832","ISSN":"1546-1726","language":"en","author":[{"family":"Roy","given":"Mathieu"},{"family":"Shohamy","given":"Daphna"},{"family":"Daw","given":"Nathaniel"},{"family":"Jepma","given":"Marieke"},{"family":"Wimmer","given":"G. Elliott"},{"family":"Wager","given":"Tor D."}],"issued":{"date-parts":[["2014",11]]}}}],"schema":"https://github.com/citation-style-language/schema/raw/master/csl-citation.json"} </w:instrText>
      </w:r>
      <w:r w:rsidRPr="009A2343">
        <w:rPr>
          <w:rFonts w:ascii="Arial" w:hAnsi="Arial" w:cs="Arial"/>
          <w:sz w:val="20"/>
        </w:rPr>
        <w:fldChar w:fldCharType="separate"/>
      </w:r>
      <w:r w:rsidRPr="009A2343">
        <w:rPr>
          <w:rFonts w:ascii="Arial" w:hAnsi="Arial" w:cs="Arial"/>
          <w:sz w:val="20"/>
        </w:rPr>
        <w:t>(</w:t>
      </w:r>
      <w:r w:rsidRPr="009A2343">
        <w:rPr>
          <w:rFonts w:ascii="Arial" w:hAnsi="Arial" w:cs="Arial"/>
          <w:i/>
          <w:iCs/>
          <w:sz w:val="20"/>
        </w:rPr>
        <w:t>4</w:t>
      </w:r>
      <w:r w:rsidRPr="009A2343">
        <w:rPr>
          <w:rFonts w:ascii="Arial" w:hAnsi="Arial" w:cs="Arial"/>
          <w:sz w:val="20"/>
        </w:rPr>
        <w:t>)</w:t>
      </w:r>
      <w:r w:rsidRPr="009A2343">
        <w:rPr>
          <w:rFonts w:ascii="Arial" w:hAnsi="Arial" w:cs="Arial"/>
          <w:sz w:val="20"/>
        </w:rPr>
        <w:fldChar w:fldCharType="end"/>
      </w:r>
      <w:r w:rsidRPr="009A2343">
        <w:rPr>
          <w:rFonts w:ascii="Arial" w:hAnsi="Arial" w:cs="Arial"/>
          <w:sz w:val="20"/>
        </w:rPr>
        <w:t xml:space="preserve"> (spheres were centred on MNI</w:t>
      </w:r>
      <w:r w:rsidRPr="009A2343">
        <w:rPr>
          <w:rFonts w:ascii="Arial" w:hAnsi="Arial" w:cs="Arial"/>
          <w:sz w:val="20"/>
          <w:vertAlign w:val="subscript"/>
        </w:rPr>
        <w:t>xyz</w:t>
      </w:r>
      <w:r w:rsidRPr="009A2343">
        <w:rPr>
          <w:rFonts w:ascii="Arial" w:hAnsi="Arial" w:cs="Arial"/>
          <w:sz w:val="20"/>
        </w:rPr>
        <w:t xml:space="preserve"> coordinates 0 -24 -4; 0 -26 -6; 0 -29 -8). Group comparisons were corrected for age, sex and mean global grey matter CBF. Knee pain patients exhibited significantly greater CBF of the PAG than healthy controls (</w:t>
      </w:r>
      <w:r w:rsidRPr="009A2343">
        <w:rPr>
          <w:rFonts w:ascii="Arial" w:hAnsi="Arial" w:cs="Arial"/>
          <w:i/>
          <w:sz w:val="20"/>
        </w:rPr>
        <w:t>t</w:t>
      </w:r>
      <w:r w:rsidRPr="009A2343">
        <w:rPr>
          <w:rFonts w:ascii="Arial" w:hAnsi="Arial" w:cs="Arial"/>
          <w:sz w:val="20"/>
        </w:rPr>
        <w:t xml:space="preserve">(71)=2.74, </w:t>
      </w:r>
      <w:r w:rsidRPr="009A2343">
        <w:rPr>
          <w:rFonts w:ascii="Arial" w:hAnsi="Arial" w:cs="Arial"/>
          <w:i/>
          <w:sz w:val="20"/>
        </w:rPr>
        <w:t>p</w:t>
      </w:r>
      <w:r w:rsidRPr="009A2343">
        <w:rPr>
          <w:rFonts w:ascii="Arial" w:hAnsi="Arial" w:cs="Arial"/>
          <w:sz w:val="20"/>
        </w:rPr>
        <w:t>=.008).</w:t>
      </w:r>
    </w:p>
    <w:p w14:paraId="58F5A3EC" w14:textId="6F176A45" w:rsidR="009A2343" w:rsidRPr="009A2343" w:rsidRDefault="009A2343" w:rsidP="00B42F9C">
      <w:pPr>
        <w:pStyle w:val="SMHeading"/>
        <w:rPr>
          <w:rFonts w:ascii="Arial" w:hAnsi="Arial" w:cs="Arial"/>
          <w:sz w:val="20"/>
          <w:szCs w:val="20"/>
        </w:rPr>
      </w:pPr>
      <w:r>
        <w:object w:dxaOrig="5890" w:dyaOrig="4080" w14:anchorId="04092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45pt;height:204.2pt" o:ole="">
            <v:imagedata r:id="rId7" o:title=""/>
          </v:shape>
          <o:OLEObject Type="Embed" ProgID="Prism7.Document" ShapeID="_x0000_i1025" DrawAspect="Content" ObjectID="_1628414628" r:id="rId8"/>
        </w:object>
      </w:r>
    </w:p>
    <w:p w14:paraId="4E4ED6CB" w14:textId="61FCBC91" w:rsidR="009A2343" w:rsidRDefault="007411A1" w:rsidP="00B42F9C">
      <w:pPr>
        <w:pStyle w:val="SMHeading"/>
        <w:rPr>
          <w:rFonts w:ascii="Arial" w:hAnsi="Arial" w:cs="Arial"/>
          <w:b w:val="0"/>
          <w:sz w:val="20"/>
          <w:szCs w:val="20"/>
        </w:rPr>
      </w:pPr>
      <w:r w:rsidRPr="00840BB2">
        <w:rPr>
          <w:rFonts w:ascii="Arial" w:hAnsi="Arial" w:cs="Arial"/>
          <w:sz w:val="20"/>
          <w:szCs w:val="20"/>
        </w:rPr>
        <w:t>Fig. S1.</w:t>
      </w:r>
      <w:r w:rsidR="009A2343">
        <w:rPr>
          <w:rFonts w:ascii="Arial" w:hAnsi="Arial" w:cs="Arial"/>
          <w:sz w:val="20"/>
          <w:szCs w:val="20"/>
        </w:rPr>
        <w:t xml:space="preserve"> </w:t>
      </w:r>
      <w:r w:rsidR="009A2343" w:rsidRPr="009A2343">
        <w:rPr>
          <w:rFonts w:ascii="Arial" w:hAnsi="Arial" w:cs="Arial"/>
          <w:b w:val="0"/>
          <w:sz w:val="20"/>
          <w:szCs w:val="20"/>
        </w:rPr>
        <w:t>Mean CBF extracted from the PAG and compared between knee pain patients and healthy pain-free controls (corrected for age, sex and mean global greay matter CBF).</w:t>
      </w:r>
    </w:p>
    <w:p w14:paraId="37DB0275" w14:textId="77777777" w:rsidR="009A2343" w:rsidRDefault="009A2343">
      <w:pPr>
        <w:rPr>
          <w:rFonts w:ascii="Arial" w:hAnsi="Arial" w:cs="Arial"/>
          <w:bCs/>
          <w:kern w:val="32"/>
          <w:sz w:val="20"/>
        </w:rPr>
      </w:pPr>
      <w:r>
        <w:rPr>
          <w:rFonts w:ascii="Arial" w:hAnsi="Arial" w:cs="Arial"/>
          <w:b/>
          <w:sz w:val="20"/>
        </w:rPr>
        <w:br w:type="page"/>
      </w:r>
    </w:p>
    <w:p w14:paraId="718152EC" w14:textId="77777777" w:rsidR="009A2343" w:rsidRPr="009A2343" w:rsidRDefault="009A2343" w:rsidP="009A2343">
      <w:pPr>
        <w:rPr>
          <w:rFonts w:ascii="Arial" w:hAnsi="Arial" w:cs="Arial"/>
          <w:b/>
          <w:sz w:val="20"/>
        </w:rPr>
      </w:pPr>
      <w:r w:rsidRPr="009A2343">
        <w:rPr>
          <w:rFonts w:ascii="Arial" w:hAnsi="Arial" w:cs="Arial"/>
          <w:b/>
          <w:sz w:val="20"/>
        </w:rPr>
        <w:lastRenderedPageBreak/>
        <w:t>Medication effects</w:t>
      </w:r>
    </w:p>
    <w:p w14:paraId="09571030" w14:textId="77777777" w:rsidR="009A2343" w:rsidRPr="009A2343" w:rsidRDefault="009A2343" w:rsidP="009A2343">
      <w:pPr>
        <w:rPr>
          <w:rFonts w:ascii="Arial" w:hAnsi="Arial" w:cs="Arial"/>
          <w:sz w:val="20"/>
        </w:rPr>
      </w:pPr>
      <w:r w:rsidRPr="009A2343">
        <w:rPr>
          <w:rFonts w:ascii="Arial" w:hAnsi="Arial" w:cs="Arial"/>
          <w:sz w:val="20"/>
        </w:rPr>
        <w:t xml:space="preserve">Comparison of the CBF values extracted from the unified component (positive loadings, negative loadings and remaining regions) between those on antidepressants or opioid medication and those who were not, did not yield any significant differences (all p&gt;0.4). The correlation between the QST factor score and the CBF of component 12 positive loadings plotted below, did not reveal a systematic effect of medication (Dark blue: patients on opioid medication, Red: patients on antidepressants, Purple: patients on both opioid and antidepressant medication, Light blue: all other patients). </w:t>
      </w:r>
    </w:p>
    <w:p w14:paraId="3455F295" w14:textId="77777777" w:rsidR="009A2343" w:rsidRDefault="009A2343" w:rsidP="00B42F9C">
      <w:pPr>
        <w:pStyle w:val="SMHeading"/>
        <w:rPr>
          <w:rFonts w:ascii="Arial" w:hAnsi="Arial" w:cs="Arial"/>
          <w:sz w:val="20"/>
          <w:szCs w:val="20"/>
        </w:rPr>
      </w:pPr>
    </w:p>
    <w:p w14:paraId="1B4BA4F4" w14:textId="6690A253" w:rsidR="00B9440A" w:rsidRPr="00840BB2" w:rsidRDefault="004A5C1E" w:rsidP="00B9440A">
      <w:pPr>
        <w:pStyle w:val="SMcaption"/>
        <w:rPr>
          <w:rFonts w:ascii="Arial" w:hAnsi="Arial" w:cs="Arial"/>
          <w:sz w:val="20"/>
        </w:rPr>
      </w:pPr>
      <w:r>
        <w:rPr>
          <w:noProof/>
          <w:lang w:val="en-GB" w:eastAsia="en-GB"/>
        </w:rPr>
        <w:drawing>
          <wp:inline distT="0" distB="0" distL="0" distR="0" wp14:anchorId="55B043C3" wp14:editId="6624621C">
            <wp:extent cx="4973802" cy="3916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330" cy="3919610"/>
                    </a:xfrm>
                    <a:prstGeom prst="rect">
                      <a:avLst/>
                    </a:prstGeom>
                    <a:noFill/>
                  </pic:spPr>
                </pic:pic>
              </a:graphicData>
            </a:graphic>
          </wp:inline>
        </w:drawing>
      </w:r>
    </w:p>
    <w:p w14:paraId="6A341F04" w14:textId="77777777" w:rsidR="00C50C6D" w:rsidRPr="00840BB2" w:rsidRDefault="00C50C6D" w:rsidP="00477182">
      <w:pPr>
        <w:pStyle w:val="SMcaption"/>
        <w:rPr>
          <w:rFonts w:ascii="Arial" w:hAnsi="Arial" w:cs="Arial"/>
          <w:sz w:val="20"/>
        </w:rPr>
      </w:pPr>
    </w:p>
    <w:p w14:paraId="459DA02A" w14:textId="44C2B268" w:rsidR="004A5C1E" w:rsidRPr="00840BB2" w:rsidRDefault="004A5C1E" w:rsidP="004A5C1E">
      <w:pPr>
        <w:pStyle w:val="SMHeading"/>
        <w:rPr>
          <w:rFonts w:ascii="Arial" w:hAnsi="Arial" w:cs="Arial"/>
          <w:sz w:val="20"/>
          <w:szCs w:val="20"/>
        </w:rPr>
      </w:pPr>
      <w:r w:rsidRPr="00840BB2">
        <w:rPr>
          <w:rFonts w:ascii="Arial" w:hAnsi="Arial" w:cs="Arial"/>
          <w:sz w:val="20"/>
          <w:szCs w:val="20"/>
        </w:rPr>
        <w:t xml:space="preserve">Fig. S2. </w:t>
      </w:r>
      <w:r>
        <w:rPr>
          <w:rFonts w:ascii="Arial" w:hAnsi="Arial" w:cs="Arial"/>
          <w:b w:val="0"/>
          <w:sz w:val="20"/>
          <w:szCs w:val="20"/>
        </w:rPr>
        <w:t>Mean CBF of component 12 positive loadings colour-coded to signify patients on: opioid medication (dark blue), antidepressants (red), opioid and antidepressants (purple) and all other patients (blue).</w:t>
      </w:r>
    </w:p>
    <w:p w14:paraId="0AA738C7" w14:textId="77777777" w:rsidR="00030840" w:rsidRPr="00840BB2" w:rsidRDefault="00030840" w:rsidP="00477182">
      <w:pPr>
        <w:pStyle w:val="SMcaption"/>
        <w:rPr>
          <w:rFonts w:ascii="Arial" w:hAnsi="Arial" w:cs="Arial"/>
          <w:sz w:val="20"/>
        </w:rPr>
      </w:pPr>
    </w:p>
    <w:p w14:paraId="69188469" w14:textId="77777777" w:rsidR="00E20CF6" w:rsidRDefault="00E20CF6">
      <w:pPr>
        <w:rPr>
          <w:rFonts w:ascii="Arial" w:hAnsi="Arial" w:cs="Arial"/>
          <w:b/>
          <w:sz w:val="20"/>
        </w:rPr>
      </w:pPr>
      <w:r>
        <w:rPr>
          <w:rFonts w:ascii="Arial" w:hAnsi="Arial" w:cs="Arial"/>
          <w:b/>
          <w:sz w:val="20"/>
        </w:rPr>
        <w:br w:type="page"/>
      </w:r>
    </w:p>
    <w:p w14:paraId="6C96BED5" w14:textId="62EAE9CF" w:rsidR="00820484" w:rsidRPr="00E20CF6" w:rsidRDefault="00820484" w:rsidP="00477182">
      <w:pPr>
        <w:pStyle w:val="SMcaption"/>
        <w:rPr>
          <w:rFonts w:ascii="Arial" w:hAnsi="Arial" w:cs="Arial"/>
          <w:b/>
          <w:sz w:val="28"/>
        </w:rPr>
      </w:pPr>
      <w:bookmarkStart w:id="0" w:name="_GoBack"/>
      <w:r w:rsidRPr="00E20CF6">
        <w:rPr>
          <w:rFonts w:ascii="Arial" w:hAnsi="Arial" w:cs="Arial"/>
          <w:b/>
          <w:sz w:val="28"/>
        </w:rPr>
        <w:lastRenderedPageBreak/>
        <w:t>References</w:t>
      </w:r>
    </w:p>
    <w:bookmarkEnd w:id="0"/>
    <w:p w14:paraId="4688864F" w14:textId="77777777" w:rsidR="004A5C1E" w:rsidRPr="004A5C1E" w:rsidRDefault="004A5C1E" w:rsidP="004A5C1E">
      <w:pPr>
        <w:pStyle w:val="Bibliography"/>
        <w:rPr>
          <w:rFonts w:ascii="Arial" w:hAnsi="Arial" w:cs="Arial"/>
          <w:sz w:val="20"/>
        </w:rPr>
      </w:pPr>
      <w:r w:rsidRPr="004A5C1E">
        <w:rPr>
          <w:rFonts w:ascii="Arial" w:hAnsi="Arial" w:cs="Arial"/>
          <w:sz w:val="20"/>
          <w:u w:val="single"/>
        </w:rPr>
        <w:fldChar w:fldCharType="begin"/>
      </w:r>
      <w:r w:rsidRPr="004A5C1E">
        <w:rPr>
          <w:rFonts w:ascii="Arial" w:hAnsi="Arial" w:cs="Arial"/>
          <w:sz w:val="20"/>
          <w:u w:val="single"/>
        </w:rPr>
        <w:instrText xml:space="preserve"> ADDIN ZOTERO_BIBL {"uncited":[],"omitted":[],"custom":[]} CSL_BIBLIOGRAPHY </w:instrText>
      </w:r>
      <w:r w:rsidRPr="004A5C1E">
        <w:rPr>
          <w:rFonts w:ascii="Arial" w:hAnsi="Arial" w:cs="Arial"/>
          <w:sz w:val="20"/>
          <w:u w:val="single"/>
        </w:rPr>
        <w:fldChar w:fldCharType="separate"/>
      </w:r>
      <w:r w:rsidRPr="004A5C1E">
        <w:rPr>
          <w:rFonts w:ascii="Arial" w:hAnsi="Arial" w:cs="Arial"/>
          <w:sz w:val="20"/>
        </w:rPr>
        <w:t xml:space="preserve">1. </w:t>
      </w:r>
      <w:r w:rsidRPr="004A5C1E">
        <w:rPr>
          <w:rFonts w:ascii="Arial" w:hAnsi="Arial" w:cs="Arial"/>
          <w:sz w:val="20"/>
        </w:rPr>
        <w:tab/>
        <w:t xml:space="preserve">Rathleff MS, Petersen KK, Arendt-Nielsen L, Thorborg K, Graven-Nielsen T (2016) Impaired Conditioned Pain Modulation in Young Female Adults with Long-Standing Patellofemoral Pain: A Single Blinded Cross-Sectional Study. </w:t>
      </w:r>
      <w:r w:rsidRPr="004A5C1E">
        <w:rPr>
          <w:rFonts w:ascii="Arial" w:hAnsi="Arial" w:cs="Arial"/>
          <w:i/>
          <w:iCs/>
          <w:sz w:val="20"/>
        </w:rPr>
        <w:t>Pain Med Malden Mass</w:t>
      </w:r>
      <w:r w:rsidRPr="004A5C1E">
        <w:rPr>
          <w:rFonts w:ascii="Arial" w:hAnsi="Arial" w:cs="Arial"/>
          <w:sz w:val="20"/>
        </w:rPr>
        <w:t xml:space="preserve"> 17(5):980–988.</w:t>
      </w:r>
    </w:p>
    <w:p w14:paraId="7E957131" w14:textId="77777777" w:rsidR="004A5C1E" w:rsidRPr="004A5C1E" w:rsidRDefault="004A5C1E" w:rsidP="004A5C1E">
      <w:pPr>
        <w:pStyle w:val="Bibliography"/>
        <w:rPr>
          <w:rFonts w:ascii="Arial" w:hAnsi="Arial" w:cs="Arial"/>
          <w:sz w:val="20"/>
        </w:rPr>
      </w:pPr>
      <w:r w:rsidRPr="004A5C1E">
        <w:rPr>
          <w:rFonts w:ascii="Arial" w:hAnsi="Arial" w:cs="Arial"/>
          <w:sz w:val="20"/>
        </w:rPr>
        <w:t xml:space="preserve">2. </w:t>
      </w:r>
      <w:r w:rsidRPr="004A5C1E">
        <w:rPr>
          <w:rFonts w:ascii="Arial" w:hAnsi="Arial" w:cs="Arial"/>
          <w:sz w:val="20"/>
        </w:rPr>
        <w:tab/>
        <w:t xml:space="preserve">Vaegter HB, Graven-Nielsen T (2016) Pain modulatory phenotypes differentiate subgroups with different clinical and experimental pain sensitivity. </w:t>
      </w:r>
      <w:r w:rsidRPr="004A5C1E">
        <w:rPr>
          <w:rFonts w:ascii="Arial" w:hAnsi="Arial" w:cs="Arial"/>
          <w:i/>
          <w:iCs/>
          <w:sz w:val="20"/>
        </w:rPr>
        <w:t>Pain</w:t>
      </w:r>
      <w:r w:rsidRPr="004A5C1E">
        <w:rPr>
          <w:rFonts w:ascii="Arial" w:hAnsi="Arial" w:cs="Arial"/>
          <w:sz w:val="20"/>
        </w:rPr>
        <w:t xml:space="preserve"> 157(7):1480–1488.</w:t>
      </w:r>
    </w:p>
    <w:p w14:paraId="4624659A" w14:textId="77777777" w:rsidR="004A5C1E" w:rsidRPr="004A5C1E" w:rsidRDefault="004A5C1E" w:rsidP="004A5C1E">
      <w:pPr>
        <w:pStyle w:val="Bibliography"/>
        <w:rPr>
          <w:rFonts w:ascii="Arial" w:hAnsi="Arial" w:cs="Arial"/>
          <w:sz w:val="20"/>
        </w:rPr>
      </w:pPr>
      <w:r w:rsidRPr="004A5C1E">
        <w:rPr>
          <w:rFonts w:ascii="Arial" w:hAnsi="Arial" w:cs="Arial"/>
          <w:sz w:val="20"/>
        </w:rPr>
        <w:t xml:space="preserve">3. </w:t>
      </w:r>
      <w:r w:rsidRPr="004A5C1E">
        <w:rPr>
          <w:rFonts w:ascii="Arial" w:hAnsi="Arial" w:cs="Arial"/>
          <w:sz w:val="20"/>
        </w:rPr>
        <w:tab/>
        <w:t xml:space="preserve">Petersen KK, et al. (2017) Age Interactions on Pain Sensitization in Patients With Severe Knee Osteoarthritis and Controls. </w:t>
      </w:r>
      <w:r w:rsidRPr="004A5C1E">
        <w:rPr>
          <w:rFonts w:ascii="Arial" w:hAnsi="Arial" w:cs="Arial"/>
          <w:i/>
          <w:iCs/>
          <w:sz w:val="20"/>
        </w:rPr>
        <w:t>Clin J Pain</w:t>
      </w:r>
      <w:r w:rsidRPr="004A5C1E">
        <w:rPr>
          <w:rFonts w:ascii="Arial" w:hAnsi="Arial" w:cs="Arial"/>
          <w:sz w:val="20"/>
        </w:rPr>
        <w:t xml:space="preserve"> 33(12):1081–1087.</w:t>
      </w:r>
    </w:p>
    <w:p w14:paraId="7D5AA812" w14:textId="77777777" w:rsidR="004A5C1E" w:rsidRPr="004A5C1E" w:rsidRDefault="004A5C1E" w:rsidP="004A5C1E">
      <w:pPr>
        <w:pStyle w:val="Bibliography"/>
        <w:rPr>
          <w:rFonts w:ascii="Arial" w:hAnsi="Arial" w:cs="Arial"/>
          <w:sz w:val="20"/>
        </w:rPr>
      </w:pPr>
      <w:r w:rsidRPr="004A5C1E">
        <w:rPr>
          <w:rFonts w:ascii="Arial" w:hAnsi="Arial" w:cs="Arial"/>
          <w:sz w:val="20"/>
        </w:rPr>
        <w:t xml:space="preserve">4. </w:t>
      </w:r>
      <w:r w:rsidRPr="004A5C1E">
        <w:rPr>
          <w:rFonts w:ascii="Arial" w:hAnsi="Arial" w:cs="Arial"/>
          <w:sz w:val="20"/>
        </w:rPr>
        <w:tab/>
        <w:t xml:space="preserve">Roy M, et al. (2014) Representation of aversive prediction errors in the human periaqueductal gray. </w:t>
      </w:r>
      <w:r w:rsidRPr="004A5C1E">
        <w:rPr>
          <w:rFonts w:ascii="Arial" w:hAnsi="Arial" w:cs="Arial"/>
          <w:i/>
          <w:iCs/>
          <w:sz w:val="20"/>
        </w:rPr>
        <w:t>Nat Neurosci</w:t>
      </w:r>
      <w:r w:rsidRPr="004A5C1E">
        <w:rPr>
          <w:rFonts w:ascii="Arial" w:hAnsi="Arial" w:cs="Arial"/>
          <w:sz w:val="20"/>
        </w:rPr>
        <w:t xml:space="preserve"> 17(11):1607–1612.</w:t>
      </w:r>
    </w:p>
    <w:p w14:paraId="2450442D" w14:textId="19EEC6A8" w:rsidR="00CF16C9" w:rsidRPr="00797F24" w:rsidRDefault="004A5C1E" w:rsidP="004A5C1E">
      <w:pPr>
        <w:pStyle w:val="SMcaption"/>
        <w:rPr>
          <w:rFonts w:ascii="Arial" w:hAnsi="Arial" w:cs="Arial"/>
          <w:color w:val="333333"/>
          <w:sz w:val="20"/>
        </w:rPr>
      </w:pPr>
      <w:r w:rsidRPr="004A5C1E">
        <w:rPr>
          <w:rFonts w:ascii="Arial" w:hAnsi="Arial" w:cs="Arial"/>
          <w:sz w:val="20"/>
          <w:u w:val="single"/>
        </w:rPr>
        <w:fldChar w:fldCharType="end"/>
      </w:r>
    </w:p>
    <w:sectPr w:rsidR="00CF16C9" w:rsidRPr="00797F24" w:rsidSect="00E20CF6">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11BDE" w14:textId="77777777" w:rsidR="009A2343" w:rsidRDefault="009A2343">
      <w:r>
        <w:separator/>
      </w:r>
    </w:p>
  </w:endnote>
  <w:endnote w:type="continuationSeparator" w:id="0">
    <w:p w14:paraId="1A9B0EB1" w14:textId="77777777" w:rsidR="009A2343" w:rsidRDefault="009A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6907" w14:textId="62AB3D72" w:rsidR="009A2343" w:rsidRDefault="009A2343">
    <w:pPr>
      <w:pStyle w:val="Footer"/>
      <w:jc w:val="right"/>
    </w:pPr>
    <w:r>
      <w:fldChar w:fldCharType="begin"/>
    </w:r>
    <w:r>
      <w:instrText xml:space="preserve"> PAGE   \* MERGEFORMAT </w:instrText>
    </w:r>
    <w:r>
      <w:fldChar w:fldCharType="separate"/>
    </w:r>
    <w:r w:rsidR="00E20CF6">
      <w:rPr>
        <w:noProof/>
      </w:rPr>
      <w:t>9</w:t>
    </w:r>
    <w:r>
      <w:fldChar w:fldCharType="end"/>
    </w:r>
  </w:p>
  <w:p w14:paraId="180EEFF6" w14:textId="77777777" w:rsidR="009A2343" w:rsidRDefault="009A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D8A46" w14:textId="77777777" w:rsidR="009A2343" w:rsidRDefault="009A2343">
      <w:r>
        <w:separator/>
      </w:r>
    </w:p>
  </w:footnote>
  <w:footnote w:type="continuationSeparator" w:id="0">
    <w:p w14:paraId="68D8E19E" w14:textId="77777777" w:rsidR="009A2343" w:rsidRDefault="009A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0DC9" w14:textId="77777777" w:rsidR="009A2343" w:rsidRPr="005001AC" w:rsidRDefault="009A2343" w:rsidP="005001AC">
    <w:pPr>
      <w:jc w:val="right"/>
      <w:rPr>
        <w:sz w:val="20"/>
      </w:rPr>
    </w:pPr>
  </w:p>
  <w:p w14:paraId="0091C365" w14:textId="77777777" w:rsidR="009A2343" w:rsidRDefault="009A23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10DD8"/>
    <w:multiLevelType w:val="hybridMultilevel"/>
    <w:tmpl w:val="6F8A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15F74"/>
    <w:rsid w:val="00017C53"/>
    <w:rsid w:val="00030840"/>
    <w:rsid w:val="00065EBD"/>
    <w:rsid w:val="00077DFD"/>
    <w:rsid w:val="00083B44"/>
    <w:rsid w:val="000850DC"/>
    <w:rsid w:val="000C2771"/>
    <w:rsid w:val="000F0DCE"/>
    <w:rsid w:val="00112C5B"/>
    <w:rsid w:val="00114193"/>
    <w:rsid w:val="00115A38"/>
    <w:rsid w:val="0011687B"/>
    <w:rsid w:val="00124F82"/>
    <w:rsid w:val="0016337A"/>
    <w:rsid w:val="00164269"/>
    <w:rsid w:val="001A1BDE"/>
    <w:rsid w:val="001C0520"/>
    <w:rsid w:val="001C0975"/>
    <w:rsid w:val="001F0876"/>
    <w:rsid w:val="001F167C"/>
    <w:rsid w:val="001F5E91"/>
    <w:rsid w:val="002077B9"/>
    <w:rsid w:val="00236DBE"/>
    <w:rsid w:val="00262D72"/>
    <w:rsid w:val="00294FBB"/>
    <w:rsid w:val="002C030F"/>
    <w:rsid w:val="002C667A"/>
    <w:rsid w:val="00325D90"/>
    <w:rsid w:val="00331D75"/>
    <w:rsid w:val="00355362"/>
    <w:rsid w:val="00363E44"/>
    <w:rsid w:val="00387114"/>
    <w:rsid w:val="00395E86"/>
    <w:rsid w:val="00397983"/>
    <w:rsid w:val="003A2FD8"/>
    <w:rsid w:val="003B40E6"/>
    <w:rsid w:val="003F6E14"/>
    <w:rsid w:val="00405336"/>
    <w:rsid w:val="004571D5"/>
    <w:rsid w:val="00461D81"/>
    <w:rsid w:val="0046356B"/>
    <w:rsid w:val="00477182"/>
    <w:rsid w:val="004779CB"/>
    <w:rsid w:val="004A159F"/>
    <w:rsid w:val="004A5C1E"/>
    <w:rsid w:val="004B2F21"/>
    <w:rsid w:val="004E42D8"/>
    <w:rsid w:val="004E7BA2"/>
    <w:rsid w:val="004F7EDF"/>
    <w:rsid w:val="005001AC"/>
    <w:rsid w:val="00527D71"/>
    <w:rsid w:val="005607DD"/>
    <w:rsid w:val="005A558C"/>
    <w:rsid w:val="005E28F8"/>
    <w:rsid w:val="005E6513"/>
    <w:rsid w:val="00611A19"/>
    <w:rsid w:val="006140DF"/>
    <w:rsid w:val="00651114"/>
    <w:rsid w:val="0065772A"/>
    <w:rsid w:val="00670299"/>
    <w:rsid w:val="00691985"/>
    <w:rsid w:val="006A1B64"/>
    <w:rsid w:val="006E3E68"/>
    <w:rsid w:val="007108F5"/>
    <w:rsid w:val="00713E5B"/>
    <w:rsid w:val="007402FC"/>
    <w:rsid w:val="007411A1"/>
    <w:rsid w:val="00797F24"/>
    <w:rsid w:val="007B5946"/>
    <w:rsid w:val="007F5297"/>
    <w:rsid w:val="00807D35"/>
    <w:rsid w:val="00820484"/>
    <w:rsid w:val="00824DF3"/>
    <w:rsid w:val="00840BB2"/>
    <w:rsid w:val="00885C9B"/>
    <w:rsid w:val="008D5D2A"/>
    <w:rsid w:val="00914B63"/>
    <w:rsid w:val="009258B8"/>
    <w:rsid w:val="009354F3"/>
    <w:rsid w:val="00943C3C"/>
    <w:rsid w:val="009447DC"/>
    <w:rsid w:val="00961BA5"/>
    <w:rsid w:val="009743A9"/>
    <w:rsid w:val="009A2343"/>
    <w:rsid w:val="009A5287"/>
    <w:rsid w:val="009A670E"/>
    <w:rsid w:val="009B2AC5"/>
    <w:rsid w:val="009B7984"/>
    <w:rsid w:val="009F4BED"/>
    <w:rsid w:val="009F7D93"/>
    <w:rsid w:val="00A3403B"/>
    <w:rsid w:val="00A51A12"/>
    <w:rsid w:val="00A627D4"/>
    <w:rsid w:val="00A72B81"/>
    <w:rsid w:val="00A74DA2"/>
    <w:rsid w:val="00AC15B4"/>
    <w:rsid w:val="00AD499C"/>
    <w:rsid w:val="00B15008"/>
    <w:rsid w:val="00B36869"/>
    <w:rsid w:val="00B42F9C"/>
    <w:rsid w:val="00B43B31"/>
    <w:rsid w:val="00B47CFA"/>
    <w:rsid w:val="00B57F00"/>
    <w:rsid w:val="00B77B2A"/>
    <w:rsid w:val="00B82C22"/>
    <w:rsid w:val="00B8723B"/>
    <w:rsid w:val="00B93DBA"/>
    <w:rsid w:val="00B9440A"/>
    <w:rsid w:val="00BB2D2A"/>
    <w:rsid w:val="00BD58CF"/>
    <w:rsid w:val="00C04CC1"/>
    <w:rsid w:val="00C50C6D"/>
    <w:rsid w:val="00C600D9"/>
    <w:rsid w:val="00CC1384"/>
    <w:rsid w:val="00CD3720"/>
    <w:rsid w:val="00CF16C9"/>
    <w:rsid w:val="00CF1848"/>
    <w:rsid w:val="00CF5C2F"/>
    <w:rsid w:val="00D04BCF"/>
    <w:rsid w:val="00D143D9"/>
    <w:rsid w:val="00D269AB"/>
    <w:rsid w:val="00D346C2"/>
    <w:rsid w:val="00DA59EA"/>
    <w:rsid w:val="00DD421A"/>
    <w:rsid w:val="00E20CF6"/>
    <w:rsid w:val="00E257C8"/>
    <w:rsid w:val="00E37047"/>
    <w:rsid w:val="00E60D0F"/>
    <w:rsid w:val="00E9773B"/>
    <w:rsid w:val="00EA596B"/>
    <w:rsid w:val="00EC13A3"/>
    <w:rsid w:val="00EC7C85"/>
    <w:rsid w:val="00F125EE"/>
    <w:rsid w:val="00F12E98"/>
    <w:rsid w:val="00F22029"/>
    <w:rsid w:val="00F630EA"/>
    <w:rsid w:val="00F7007E"/>
    <w:rsid w:val="00F70200"/>
    <w:rsid w:val="00F73193"/>
    <w:rsid w:val="00F74F95"/>
    <w:rsid w:val="00F80705"/>
    <w:rsid w:val="00F94284"/>
    <w:rsid w:val="00FA1481"/>
    <w:rsid w:val="00FF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basedOn w:val="DefaultParagraphFont"/>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 w:type="table" w:styleId="TableGrid">
    <w:name w:val="Table Grid"/>
    <w:basedOn w:val="TableNormal"/>
    <w:uiPriority w:val="39"/>
    <w:rsid w:val="009A234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2196</Words>
  <Characters>24931</Characters>
  <Application>Microsoft Office Word</Application>
  <DocSecurity>0</DocSecurity>
  <Lines>207</Lines>
  <Paragraphs>54</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27073</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Sarina Iwabuchi</cp:lastModifiedBy>
  <cp:revision>2</cp:revision>
  <cp:lastPrinted>2018-02-26T17:19:00Z</cp:lastPrinted>
  <dcterms:created xsi:type="dcterms:W3CDTF">2019-08-27T11:37:00Z</dcterms:created>
  <dcterms:modified xsi:type="dcterms:W3CDTF">2019-08-27T11:37:00Z</dcterms:modified>
</cp:coreProperties>
</file>