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A90" w:rsidRPr="00A74DBC" w:rsidRDefault="00812A90" w:rsidP="00DC6C80">
      <w:pPr>
        <w:rPr>
          <w:b/>
          <w:sz w:val="36"/>
          <w:szCs w:val="36"/>
        </w:rPr>
      </w:pPr>
      <w:r w:rsidRPr="00A74DBC">
        <w:rPr>
          <w:b/>
          <w:sz w:val="36"/>
          <w:szCs w:val="36"/>
        </w:rPr>
        <w:t>Supplemen</w:t>
      </w:r>
      <w:bookmarkStart w:id="0" w:name="_GoBack"/>
      <w:bookmarkEnd w:id="0"/>
      <w:r w:rsidRPr="00A74DBC">
        <w:rPr>
          <w:b/>
          <w:sz w:val="36"/>
          <w:szCs w:val="36"/>
        </w:rPr>
        <w:t xml:space="preserve">tary </w:t>
      </w:r>
      <w:r>
        <w:rPr>
          <w:b/>
          <w:sz w:val="36"/>
          <w:szCs w:val="36"/>
        </w:rPr>
        <w:t>Information</w:t>
      </w:r>
    </w:p>
    <w:p w:rsidR="00812A90" w:rsidRDefault="00812A90" w:rsidP="005D1697">
      <w:pPr>
        <w:spacing w:line="480" w:lineRule="auto"/>
        <w:outlineLvl w:val="0"/>
        <w:rPr>
          <w:b/>
        </w:rPr>
      </w:pPr>
    </w:p>
    <w:p w:rsidR="00812A90" w:rsidRPr="009C233A" w:rsidRDefault="00812A90" w:rsidP="005D1697">
      <w:pPr>
        <w:spacing w:line="480" w:lineRule="auto"/>
        <w:jc w:val="center"/>
      </w:pPr>
      <w:r w:rsidRPr="006B2847">
        <w:t>Increased functional connectivity of thalam</w:t>
      </w:r>
      <w:r>
        <w:t>ic subdivisions</w:t>
      </w:r>
      <w:r w:rsidRPr="006B2847">
        <w:t xml:space="preserve"> in</w:t>
      </w:r>
      <w:r>
        <w:t xml:space="preserve"> patients with</w:t>
      </w:r>
      <w:r w:rsidRPr="006B2847">
        <w:t xml:space="preserve"> Parkinson</w:t>
      </w:r>
      <w:r>
        <w:t>’</w:t>
      </w:r>
      <w:r>
        <w:t>s</w:t>
      </w:r>
      <w:r w:rsidRPr="006B2847">
        <w:t xml:space="preserve"> disease</w:t>
      </w:r>
    </w:p>
    <w:p w:rsidR="00812A90" w:rsidRDefault="00812A90" w:rsidP="005D1697">
      <w:pPr>
        <w:spacing w:line="480" w:lineRule="auto"/>
        <w:outlineLvl w:val="0"/>
        <w:rPr>
          <w:b/>
        </w:rPr>
      </w:pPr>
    </w:p>
    <w:p w:rsidR="00812A90" w:rsidRPr="00FA2BAF" w:rsidRDefault="00812A90" w:rsidP="005D1697">
      <w:pPr>
        <w:spacing w:line="480" w:lineRule="auto"/>
      </w:pPr>
      <w:r w:rsidRPr="00FA2BAF">
        <w:t xml:space="preserve">Conor Owens-Walton, David </w:t>
      </w:r>
      <w:proofErr w:type="spellStart"/>
      <w:r w:rsidRPr="00FA2BAF">
        <w:t>Jakabek</w:t>
      </w:r>
      <w:proofErr w:type="spellEnd"/>
      <w:r w:rsidRPr="00FA2BAF">
        <w:t xml:space="preserve">, Brian D. Power, Mark </w:t>
      </w:r>
      <w:proofErr w:type="spellStart"/>
      <w:r w:rsidRPr="00FA2BAF">
        <w:t>Walterfang</w:t>
      </w:r>
      <w:proofErr w:type="spellEnd"/>
      <w:r w:rsidRPr="00FA2BAF">
        <w:t xml:space="preserve">, Dennis </w:t>
      </w:r>
      <w:proofErr w:type="spellStart"/>
      <w:r w:rsidRPr="00FA2BAF">
        <w:t>Velakoulis</w:t>
      </w:r>
      <w:proofErr w:type="spellEnd"/>
      <w:r w:rsidRPr="00FA2BAF">
        <w:t xml:space="preserve">, Danielle van </w:t>
      </w:r>
      <w:proofErr w:type="spellStart"/>
      <w:r w:rsidRPr="00FA2BAF">
        <w:t>Westen</w:t>
      </w:r>
      <w:proofErr w:type="spellEnd"/>
      <w:r w:rsidRPr="00FA2BAF">
        <w:t xml:space="preserve">, Jeffrey C.L. </w:t>
      </w:r>
      <w:proofErr w:type="spellStart"/>
      <w:r w:rsidRPr="00FA2BAF">
        <w:t>Looi</w:t>
      </w:r>
      <w:proofErr w:type="spellEnd"/>
      <w:r w:rsidRPr="00FA2BAF">
        <w:t>, Marnie Shaw and Oskar Hansson</w:t>
      </w:r>
      <w:r>
        <w:t>.</w:t>
      </w:r>
    </w:p>
    <w:p w:rsidR="00812A90" w:rsidRDefault="00812A90" w:rsidP="00DC6C80">
      <w:pPr>
        <w:rPr>
          <w:b/>
          <w:sz w:val="36"/>
          <w:szCs w:val="36"/>
        </w:rPr>
      </w:pPr>
    </w:p>
    <w:p w:rsidR="00812A90" w:rsidRPr="00A74DBC" w:rsidRDefault="00812A90" w:rsidP="00DC6C80">
      <w:pPr>
        <w:rPr>
          <w:b/>
          <w:sz w:val="36"/>
          <w:szCs w:val="36"/>
        </w:rPr>
      </w:pPr>
      <w:r w:rsidRPr="00A74DBC">
        <w:rPr>
          <w:b/>
          <w:sz w:val="36"/>
          <w:szCs w:val="36"/>
        </w:rPr>
        <w:t>Supplementary Materials and Methods</w:t>
      </w:r>
    </w:p>
    <w:p w:rsidR="00812A90" w:rsidRDefault="00812A90" w:rsidP="00DC6C80">
      <w:pPr>
        <w:rPr>
          <w:u w:val="single"/>
        </w:rPr>
      </w:pPr>
    </w:p>
    <w:p w:rsidR="00812A90" w:rsidRPr="008F3B54" w:rsidRDefault="00812A90" w:rsidP="00DC6C80">
      <w:pPr>
        <w:spacing w:line="480" w:lineRule="auto"/>
        <w:rPr>
          <w:b/>
          <w:sz w:val="28"/>
          <w:szCs w:val="28"/>
        </w:rPr>
      </w:pPr>
      <w:r w:rsidRPr="008F3B54">
        <w:rPr>
          <w:b/>
          <w:sz w:val="28"/>
          <w:szCs w:val="28"/>
        </w:rPr>
        <w:t>Manual segmentation of the thalamus</w:t>
      </w:r>
    </w:p>
    <w:p w:rsidR="00812A90" w:rsidRPr="00D0425D" w:rsidRDefault="00812A90" w:rsidP="00A16A7B">
      <w:pPr>
        <w:spacing w:line="480" w:lineRule="auto"/>
        <w:jc w:val="both"/>
      </w:pPr>
      <w:r>
        <w:t>A</w:t>
      </w:r>
      <w:r w:rsidRPr="00367245">
        <w:t xml:space="preserve"> neuropsychiatrist with extensive experience in the clinical neu</w:t>
      </w:r>
      <w:r>
        <w:t>roanatomy of the thalamus (BDP)</w:t>
      </w:r>
      <w:r w:rsidRPr="00367245">
        <w:t xml:space="preserve"> provided training for the CO-W to conduct the </w:t>
      </w:r>
      <w:r>
        <w:t>manual</w:t>
      </w:r>
      <w:r w:rsidRPr="00367245">
        <w:t xml:space="preserve"> tracing.</w:t>
      </w:r>
      <w:r>
        <w:t xml:space="preserve"> </w:t>
      </w:r>
      <w:r w:rsidRPr="00367245">
        <w:t xml:space="preserve">Tracing was performed </w:t>
      </w:r>
      <w:r>
        <w:t xml:space="preserve">in the coronal plane </w:t>
      </w:r>
      <w:r w:rsidRPr="00367245">
        <w:t xml:space="preserve">from the caudal to rostral </w:t>
      </w:r>
      <w:r>
        <w:t>direction</w:t>
      </w:r>
      <w:r w:rsidRPr="00367245">
        <w:t xml:space="preserve">. Neuroradiological and neurosurgical atlases were used to </w:t>
      </w:r>
      <w:r>
        <w:t>assist with</w:t>
      </w:r>
      <w:r w:rsidRPr="00367245">
        <w:t xml:space="preserve"> boundary definition and troubleshooting</w:t>
      </w:r>
      <w:r>
        <w:rPr>
          <w:noProof/>
        </w:rPr>
        <w:t xml:space="preserve"> [1, 2]</w:t>
      </w:r>
      <w:r w:rsidRPr="00367245">
        <w:t xml:space="preserve">. </w:t>
      </w:r>
      <w:r>
        <w:t xml:space="preserve">The method </w:t>
      </w:r>
      <w:r>
        <w:rPr>
          <w:noProof/>
        </w:rPr>
        <w:t>[3]</w:t>
      </w:r>
      <w:r>
        <w:t xml:space="preserve"> stipulates that t</w:t>
      </w:r>
      <w:r w:rsidRPr="00367245">
        <w:t xml:space="preserve">he caudal border of the structure encompasses the pulvinar, where the thalamus emerges under the </w:t>
      </w:r>
      <w:proofErr w:type="gramStart"/>
      <w:r w:rsidRPr="00367245">
        <w:t>crus</w:t>
      </w:r>
      <w:proofErr w:type="gramEnd"/>
      <w:r w:rsidRPr="00367245">
        <w:t xml:space="preserve"> fornix. The medial border was defined using various nuclei acting as landmarks, characteristic white matter tracts and in rostral slices the hypothalamic sulcus. The superior border was defined by the body of the lateral ventricle and the rostral border was defined by the diminutive thalamic mass in comparison with the hypothalamus, mamillary bodies, column of the fornix and the optic tract. The protocol </w:t>
      </w:r>
      <w:r>
        <w:t>excludes</w:t>
      </w:r>
      <w:r w:rsidRPr="00367245">
        <w:t xml:space="preserve"> the ventral thalamus, the components of which provide helpful landmarks for lateral and inferior boundary delineation. The lateral geniculate nuclei were also excluded from tracing to allow for effective morphological </w:t>
      </w:r>
      <w:r>
        <w:t xml:space="preserve">surface </w:t>
      </w:r>
      <w:r w:rsidRPr="00367245">
        <w:t>mapping to be performed.</w:t>
      </w:r>
      <w:r w:rsidRPr="003B5367">
        <w:t xml:space="preserve"> </w:t>
      </w:r>
      <w:r>
        <w:t>Reliability of the manual tracing was</w:t>
      </w:r>
      <w:r w:rsidRPr="00367245">
        <w:t xml:space="preserve"> quantified by the calculation of an </w:t>
      </w:r>
      <w:r w:rsidRPr="00367245">
        <w:rPr>
          <w:i/>
        </w:rPr>
        <w:t>inter</w:t>
      </w:r>
      <w:r w:rsidRPr="00367245">
        <w:t>-rater reliability statistic (intraclass correlation coefficient, two-way mixed effec</w:t>
      </w:r>
      <w:r>
        <w:t>ts model for absolute agreement</w:t>
      </w:r>
      <w:r w:rsidRPr="00367245">
        <w:t xml:space="preserve">), measuring the tracers </w:t>
      </w:r>
      <w:r w:rsidRPr="00367245">
        <w:lastRenderedPageBreak/>
        <w:t xml:space="preserve">agreement with BDP (left thalamus, </w:t>
      </w:r>
      <w:r w:rsidRPr="00367245">
        <w:rPr>
          <w:i/>
        </w:rPr>
        <w:t xml:space="preserve">r </w:t>
      </w:r>
      <w:r w:rsidRPr="00367245">
        <w:t xml:space="preserve">= 0.908 &amp; right thalamus </w:t>
      </w:r>
      <w:r w:rsidRPr="00367245">
        <w:rPr>
          <w:i/>
        </w:rPr>
        <w:t xml:space="preserve">r </w:t>
      </w:r>
      <w:r w:rsidRPr="00367245">
        <w:t xml:space="preserve">= 0.888), and also an </w:t>
      </w:r>
      <w:r w:rsidRPr="00367245">
        <w:rPr>
          <w:i/>
        </w:rPr>
        <w:t>intra</w:t>
      </w:r>
      <w:r w:rsidRPr="00367245">
        <w:t>-</w:t>
      </w:r>
      <w:proofErr w:type="spellStart"/>
      <w:r w:rsidRPr="00367245">
        <w:t>rater</w:t>
      </w:r>
      <w:proofErr w:type="spellEnd"/>
      <w:r w:rsidRPr="00367245">
        <w:t xml:space="preserve"> reliability coefficient statistic (as an intraclass correlation coefficient, two way mixed effects model for absolute agreement), measuring the consistency of the </w:t>
      </w:r>
      <w:proofErr w:type="spellStart"/>
      <w:r w:rsidRPr="00367245">
        <w:t>rater</w:t>
      </w:r>
      <w:proofErr w:type="spellEnd"/>
      <w:r w:rsidRPr="00367245">
        <w:t xml:space="preserve"> over time (left thalamus, </w:t>
      </w:r>
      <w:r w:rsidRPr="00367245">
        <w:rPr>
          <w:i/>
        </w:rPr>
        <w:t xml:space="preserve">r </w:t>
      </w:r>
      <w:r w:rsidRPr="00367245">
        <w:t xml:space="preserve">= 0.940 &amp; right thalamus </w:t>
      </w:r>
      <w:r w:rsidRPr="00367245">
        <w:rPr>
          <w:i/>
        </w:rPr>
        <w:t xml:space="preserve">r </w:t>
      </w:r>
      <w:r w:rsidRPr="00367245">
        <w:t>= 0.879)</w:t>
      </w:r>
      <w:r>
        <w:rPr>
          <w:noProof/>
        </w:rPr>
        <w:t xml:space="preserve"> [4]</w:t>
      </w:r>
      <w:r w:rsidRPr="00367245">
        <w:t xml:space="preserve">. The </w:t>
      </w:r>
      <w:r w:rsidRPr="00367245">
        <w:rPr>
          <w:i/>
        </w:rPr>
        <w:t>inter</w:t>
      </w:r>
      <w:r w:rsidRPr="00367245">
        <w:t>-rater score was the final correla</w:t>
      </w:r>
      <w:r>
        <w:t>tion coefficient obtained by CO-W</w:t>
      </w:r>
      <w:r w:rsidRPr="00367245">
        <w:t xml:space="preserve"> after a significant period of training on an MRI dataset under the training and guidance of BDP. The </w:t>
      </w:r>
      <w:r w:rsidRPr="00367245">
        <w:rPr>
          <w:i/>
        </w:rPr>
        <w:t>intra</w:t>
      </w:r>
      <w:r w:rsidRPr="00367245">
        <w:t>-</w:t>
      </w:r>
      <w:proofErr w:type="spellStart"/>
      <w:r w:rsidRPr="00367245">
        <w:t>rater</w:t>
      </w:r>
      <w:proofErr w:type="spellEnd"/>
      <w:r w:rsidRPr="00367245">
        <w:t xml:space="preserve"> score was obtained by CO-W by re-tracing every ~10</w:t>
      </w:r>
      <w:r w:rsidRPr="00367245">
        <w:rPr>
          <w:vertAlign w:val="superscript"/>
        </w:rPr>
        <w:t>th</w:t>
      </w:r>
      <w:r w:rsidRPr="00367245">
        <w:t xml:space="preserve"> participant’s thalamus (bilaterally) during the manual segmentation process, with obtained volumes from the first run correlated against the re-traced volumes.</w:t>
      </w:r>
    </w:p>
    <w:p w:rsidR="00812A90" w:rsidRDefault="00812A90" w:rsidP="00DC6C80">
      <w:pPr>
        <w:spacing w:line="480" w:lineRule="auto"/>
        <w:rPr>
          <w:b/>
        </w:rPr>
      </w:pPr>
    </w:p>
    <w:p w:rsidR="00812A90" w:rsidRPr="00037788" w:rsidRDefault="00812A90" w:rsidP="00DC6C80">
      <w:pPr>
        <w:spacing w:line="480" w:lineRule="auto"/>
        <w:rPr>
          <w:b/>
          <w:sz w:val="28"/>
          <w:szCs w:val="28"/>
        </w:rPr>
      </w:pPr>
      <w:r w:rsidRPr="00037788">
        <w:rPr>
          <w:b/>
          <w:sz w:val="28"/>
          <w:szCs w:val="28"/>
        </w:rPr>
        <w:t>Independent component analysis denoising</w:t>
      </w:r>
    </w:p>
    <w:p w:rsidR="00812A90" w:rsidRPr="00932DA8" w:rsidRDefault="00812A90" w:rsidP="00A16A7B">
      <w:pPr>
        <w:spacing w:line="480" w:lineRule="auto"/>
        <w:jc w:val="both"/>
      </w:pPr>
      <w:r w:rsidRPr="00932DA8">
        <w:t>A probabilistic independent component analysis (</w:t>
      </w:r>
      <w:r>
        <w:t xml:space="preserve">ICA) </w:t>
      </w:r>
      <w:r>
        <w:rPr>
          <w:noProof/>
        </w:rPr>
        <w:t xml:space="preserve">[5] </w:t>
      </w:r>
      <w:r w:rsidRPr="00932DA8">
        <w:t>was performed using the MELODIC tool (Multivariate Exploratory Linear Decomposition into Independent Components, version 3.15). This involves masking of non-brain voxels, voxel-wise de-meaning of the data and normalisation of the voxel-wise variance. Data were whitened and projected into a 53-dimensional subspace using probabilistic principal component analysis where the number of dimensions was estimated using the Laplace approximation to the Bayesian evidence of the model order</w:t>
      </w:r>
      <w:r>
        <w:rPr>
          <w:noProof/>
        </w:rPr>
        <w:t xml:space="preserve"> [5, 6]</w:t>
      </w:r>
      <w:r w:rsidRPr="00932DA8">
        <w:t>. The whitened observations were decomposed into sets of vectors which describe signal variation across the temporal domain (time-courses) and across the spatial domain (maps) by optimising for non-Gaussian spatial source distributions using a fixed-point iteration technique</w:t>
      </w:r>
      <w:r>
        <w:rPr>
          <w:noProof/>
        </w:rPr>
        <w:t xml:space="preserve"> [7]</w:t>
      </w:r>
      <w:r w:rsidRPr="00932DA8">
        <w:t xml:space="preserve">. Estimated component maps were divided by the standard deviation of the residual noise and </w:t>
      </w:r>
      <w:proofErr w:type="spellStart"/>
      <w:r w:rsidRPr="00932DA8">
        <w:t>thresholded</w:t>
      </w:r>
      <w:proofErr w:type="spellEnd"/>
      <w:r w:rsidRPr="00932DA8">
        <w:t xml:space="preserve"> by fitting a mixture model to the histogram of intensity values</w:t>
      </w:r>
      <w:r>
        <w:rPr>
          <w:noProof/>
        </w:rPr>
        <w:t xml:space="preserve"> [5]</w:t>
      </w:r>
      <w:r w:rsidRPr="00932DA8">
        <w:t xml:space="preserve">. This ICA analysis allows for the identification and removal of motion, scanner and </w:t>
      </w:r>
      <w:proofErr w:type="spellStart"/>
      <w:r w:rsidRPr="00932DA8">
        <w:t>cerebro</w:t>
      </w:r>
      <w:proofErr w:type="spellEnd"/>
      <w:r w:rsidRPr="00932DA8">
        <w:t>-spinal fluid artefacts (collectively referred to as noise) using ICA ‘data de</w:t>
      </w:r>
      <w:r>
        <w:t xml:space="preserve">noising’ conducted with FSL’s </w:t>
      </w:r>
      <w:r w:rsidRPr="00932DA8">
        <w:t>FIX</w:t>
      </w:r>
      <w:r>
        <w:t xml:space="preserve"> classifier </w:t>
      </w:r>
      <w:r>
        <w:rPr>
          <w:noProof/>
        </w:rPr>
        <w:t>[8]</w:t>
      </w:r>
      <w:r w:rsidRPr="00932DA8">
        <w:t>. The FIX classifier used the ‘</w:t>
      </w:r>
      <w:proofErr w:type="spellStart"/>
      <w:r w:rsidRPr="00353F5B">
        <w:rPr>
          <w:i/>
        </w:rPr>
        <w:t>Standard.RData</w:t>
      </w:r>
      <w:proofErr w:type="spellEnd"/>
      <w:r w:rsidRPr="00353F5B">
        <w:rPr>
          <w:i/>
        </w:rPr>
        <w:t xml:space="preserve"> trained-weights</w:t>
      </w:r>
      <w:r w:rsidRPr="00932DA8">
        <w:t xml:space="preserve">’ classifier file which is designed for use on standard functional datasets. The classified </w:t>
      </w:r>
      <w:r w:rsidRPr="00932DA8">
        <w:lastRenderedPageBreak/>
        <w:t>ran over a sample of subjects comprised of participants form both PD and Control groups</w:t>
      </w:r>
      <w:r>
        <w:t xml:space="preserve"> (</w:t>
      </w:r>
      <w:r w:rsidRPr="00BD2073">
        <w:rPr>
          <w:i/>
        </w:rPr>
        <w:t>n</w:t>
      </w:r>
      <w:r>
        <w:t xml:space="preserve"> = 20)</w:t>
      </w:r>
      <w:r w:rsidRPr="00932DA8">
        <w:t xml:space="preserve">. The classification of ‘signal’ and ‘noise’ components was checked using the </w:t>
      </w:r>
      <w:r>
        <w:t xml:space="preserve">validated guidelines with a </w:t>
      </w:r>
      <w:r w:rsidRPr="00932DA8">
        <w:t>conservative approach was taken to any reclassification of ICAs, whereby components identified by the FIX classifier are left in the data unless they are clearly artefactual</w:t>
      </w:r>
      <w:r>
        <w:t xml:space="preserve"> </w:t>
      </w:r>
      <w:r>
        <w:rPr>
          <w:noProof/>
        </w:rPr>
        <w:t>[9]</w:t>
      </w:r>
      <w:r w:rsidRPr="00932DA8">
        <w:t xml:space="preserve">. Once this checking and reclassification was finished, the FIX classifier was re-trained using this new information and was then run over all participant ICA datasets, regressing out noise components while also cleaning up motion confounds (24 regressors). From this process FIX creates a de-noised filtered functional file that is used for individual and group-level statistical analysis. </w:t>
      </w:r>
    </w:p>
    <w:p w:rsidR="00812A90" w:rsidRDefault="00812A90" w:rsidP="00DC6C80">
      <w:pPr>
        <w:spacing w:line="480" w:lineRule="auto"/>
        <w:rPr>
          <w:b/>
        </w:rPr>
      </w:pPr>
    </w:p>
    <w:p w:rsidR="00812A90" w:rsidRPr="000240C6" w:rsidRDefault="00812A90" w:rsidP="00DC6C80">
      <w:pPr>
        <w:spacing w:line="480" w:lineRule="auto"/>
        <w:rPr>
          <w:b/>
          <w:sz w:val="28"/>
          <w:szCs w:val="28"/>
        </w:rPr>
      </w:pPr>
      <w:r w:rsidRPr="000240C6">
        <w:rPr>
          <w:b/>
          <w:sz w:val="28"/>
          <w:szCs w:val="28"/>
        </w:rPr>
        <w:t>Individual-level GLM functional connectivity analyses</w:t>
      </w:r>
    </w:p>
    <w:p w:rsidR="00812A90" w:rsidRDefault="00812A90" w:rsidP="00A16A7B">
      <w:pPr>
        <w:spacing w:line="480" w:lineRule="auto"/>
        <w:jc w:val="both"/>
      </w:pPr>
      <w:r>
        <w:t>Three</w:t>
      </w:r>
      <w:r w:rsidRPr="00376C8C">
        <w:t xml:space="preserve"> masks were cr</w:t>
      </w:r>
      <w:r>
        <w:t xml:space="preserve">eated to cover white matter, </w:t>
      </w:r>
      <w:r w:rsidRPr="00376C8C">
        <w:t xml:space="preserve">ventricle </w:t>
      </w:r>
      <w:r>
        <w:t>and whole-brain regions</w:t>
      </w:r>
      <w:r w:rsidRPr="00376C8C">
        <w:t xml:space="preserve">, with timeseries extracted from these regions to be regressed from the data at the individual-subject level. These masks were produced using segmentations derived from subjects T1-weighted structural images using </w:t>
      </w:r>
      <w:proofErr w:type="spellStart"/>
      <w:r w:rsidRPr="00376C8C">
        <w:t>FreeSurfer</w:t>
      </w:r>
      <w:proofErr w:type="spellEnd"/>
      <w:r w:rsidRPr="00376C8C">
        <w:t xml:space="preserve"> recon-all command</w:t>
      </w:r>
      <w:r>
        <w:rPr>
          <w:noProof/>
        </w:rPr>
        <w:t xml:space="preserve"> [10]</w:t>
      </w:r>
      <w:r w:rsidRPr="00376C8C">
        <w:t xml:space="preserve">. To register these masks for use with FSL, the </w:t>
      </w:r>
      <w:proofErr w:type="spellStart"/>
      <w:r>
        <w:t>highres</w:t>
      </w:r>
      <w:proofErr w:type="spellEnd"/>
      <w:r>
        <w:t xml:space="preserve"> T1 image from each </w:t>
      </w:r>
      <w:proofErr w:type="spellStart"/>
      <w:r>
        <w:t>FreeS</w:t>
      </w:r>
      <w:r w:rsidRPr="00376C8C">
        <w:t>urfer</w:t>
      </w:r>
      <w:proofErr w:type="spellEnd"/>
      <w:r w:rsidRPr="00376C8C">
        <w:t xml:space="preserve"> analysis was registered to each participant</w:t>
      </w:r>
      <w:r>
        <w:t>’</w:t>
      </w:r>
      <w:r w:rsidRPr="00376C8C">
        <w:t xml:space="preserve">s T1-weighted structural image used in FSL. </w:t>
      </w:r>
      <w:r>
        <w:t xml:space="preserve">Average timeseries from within these masks were then calculated using </w:t>
      </w:r>
      <w:proofErr w:type="spellStart"/>
      <w:r>
        <w:t>fslmeants</w:t>
      </w:r>
      <w:proofErr w:type="spellEnd"/>
      <w:r>
        <w:t>. To perform whole-brain signal regression</w:t>
      </w:r>
      <w:r w:rsidRPr="00797A06">
        <w:t xml:space="preserve"> we calculated the average signal across all voxels within </w:t>
      </w:r>
      <w:r>
        <w:t>a</w:t>
      </w:r>
      <w:r w:rsidRPr="00797A06">
        <w:t xml:space="preserve"> whole brain mask (white matter and grey matter) created using masks from </w:t>
      </w:r>
      <w:proofErr w:type="spellStart"/>
      <w:r w:rsidRPr="00797A06">
        <w:t>Freesurfer</w:t>
      </w:r>
      <w:proofErr w:type="spellEnd"/>
      <w:r w:rsidRPr="00797A06">
        <w:t xml:space="preserve"> recon-all. These masks were registered to </w:t>
      </w:r>
      <w:proofErr w:type="spellStart"/>
      <w:r w:rsidRPr="00797A06">
        <w:t>highres</w:t>
      </w:r>
      <w:proofErr w:type="spellEnd"/>
      <w:r w:rsidRPr="00797A06">
        <w:t xml:space="preserve"> space, then to </w:t>
      </w:r>
      <w:proofErr w:type="spellStart"/>
      <w:r w:rsidRPr="00797A06">
        <w:t>lowres</w:t>
      </w:r>
      <w:proofErr w:type="spellEnd"/>
      <w:r w:rsidRPr="00797A06">
        <w:t xml:space="preserve"> functional space where they were </w:t>
      </w:r>
      <w:proofErr w:type="spellStart"/>
      <w:r w:rsidRPr="00797A06">
        <w:t>thresholded</w:t>
      </w:r>
      <w:proofErr w:type="spellEnd"/>
      <w:r w:rsidRPr="00797A06">
        <w:t xml:space="preserve"> to only include voxels with a greater than 70% chance of inclusion. This was decided upon based on trial and error, with this number fitting the brain tissue most comprehensively whilst still excluding voxels from ventricle and CSF regions. We then used </w:t>
      </w:r>
      <w:proofErr w:type="spellStart"/>
      <w:r w:rsidRPr="00797A06">
        <w:t>fslmeants</w:t>
      </w:r>
      <w:proofErr w:type="spellEnd"/>
      <w:r w:rsidRPr="00797A06">
        <w:t xml:space="preserve"> to extract the average signal </w:t>
      </w:r>
      <w:r w:rsidRPr="00797A06">
        <w:lastRenderedPageBreak/>
        <w:t>within this mask to be regressed from the data.</w:t>
      </w:r>
      <w:r w:rsidRPr="00376C8C">
        <w:t xml:space="preserve"> </w:t>
      </w:r>
      <w:r>
        <w:t>All m</w:t>
      </w:r>
      <w:r w:rsidRPr="00376C8C">
        <w:t xml:space="preserve">asks were also eroded </w:t>
      </w:r>
      <w:r>
        <w:t xml:space="preserve">using </w:t>
      </w:r>
      <w:proofErr w:type="spellStart"/>
      <w:r>
        <w:t>fslmaths</w:t>
      </w:r>
      <w:proofErr w:type="spellEnd"/>
      <w:r>
        <w:t xml:space="preserve"> </w:t>
      </w:r>
      <w:r w:rsidRPr="00376C8C">
        <w:t>to avoid partial volume effects.</w:t>
      </w:r>
    </w:p>
    <w:p w:rsidR="00812A90" w:rsidRDefault="00812A90" w:rsidP="00A16A7B">
      <w:pPr>
        <w:spacing w:line="480" w:lineRule="auto"/>
        <w:jc w:val="both"/>
      </w:pPr>
    </w:p>
    <w:p w:rsidR="00812A90" w:rsidRDefault="00812A90" w:rsidP="00A16A7B">
      <w:pPr>
        <w:spacing w:line="480" w:lineRule="auto"/>
        <w:jc w:val="both"/>
      </w:pPr>
      <w:r w:rsidRPr="00367245">
        <w:t xml:space="preserve">We incorporated a temporal derivative into </w:t>
      </w:r>
      <w:r>
        <w:t xml:space="preserve">the design matrix for each individual-level </w:t>
      </w:r>
      <w:r w:rsidRPr="00367245">
        <w:t>GLM to shift the model in time and account for variations in the hemodynamic response function and slice timing delays</w:t>
      </w:r>
      <w:r>
        <w:t>, allowing for a better fit for the whole model, reducing unexplained noise and potentially increasing statistical significance. The temporal derivative is based upon 1</w:t>
      </w:r>
      <w:r w:rsidRPr="00DC1297">
        <w:rPr>
          <w:vertAlign w:val="superscript"/>
        </w:rPr>
        <w:t>st</w:t>
      </w:r>
      <w:r>
        <w:t xml:space="preserve"> order Taylor series expansion where f</w:t>
      </w:r>
      <m:oMath>
        <m:d>
          <m:dPr>
            <m:ctrlPr>
              <w:rPr>
                <w:rFonts w:ascii="Cambria Math" w:hAnsi="Cambria Math"/>
                <w:i/>
              </w:rPr>
            </m:ctrlPr>
          </m:dPr>
          <m:e>
            <m:r>
              <w:rPr>
                <w:rFonts w:ascii="Cambria Math" w:hAnsi="Cambria Math"/>
              </w:rPr>
              <m:t>t+a</m:t>
            </m:r>
          </m:e>
        </m:d>
        <m:r>
          <m:rPr>
            <m:sty m:val="p"/>
          </m:rPr>
          <w:rPr>
            <w:rFonts w:ascii="Cambria Math" w:hAnsi="Cambria Math"/>
          </w:rPr>
          <m:t>≈f</m:t>
        </m:r>
        <m:d>
          <m:dPr>
            <m:ctrlPr>
              <w:rPr>
                <w:rFonts w:ascii="Cambria Math" w:hAnsi="Cambria Math"/>
              </w:rPr>
            </m:ctrlPr>
          </m:dPr>
          <m:e>
            <m:r>
              <m:rPr>
                <m:sty m:val="p"/>
              </m:rPr>
              <w:rPr>
                <w:rFonts w:ascii="Cambria Math" w:hAnsi="Cambria Math"/>
              </w:rPr>
              <m:t>t</m:t>
            </m:r>
          </m:e>
        </m:d>
        <m:r>
          <w:rPr>
            <w:rFonts w:ascii="Cambria Math" w:hAnsi="Cambria Math"/>
          </w:rPr>
          <m:t>+a.f'(t)</m:t>
        </m:r>
      </m:oMath>
      <w:r>
        <w:t>. In this function, f</w:t>
      </w:r>
      <m:oMath>
        <m:d>
          <m:dPr>
            <m:ctrlPr>
              <w:rPr>
                <w:rFonts w:ascii="Cambria Math" w:hAnsi="Cambria Math"/>
                <w:i/>
              </w:rPr>
            </m:ctrlPr>
          </m:dPr>
          <m:e>
            <m:r>
              <w:rPr>
                <w:rFonts w:ascii="Cambria Math" w:hAnsi="Cambria Math"/>
              </w:rPr>
              <m:t>t+a</m:t>
            </m:r>
          </m:e>
        </m:d>
      </m:oMath>
      <w:r>
        <w:t xml:space="preserve"> represents the shifted EV, </w:t>
      </w:r>
      <m:oMath>
        <m:r>
          <m:rPr>
            <m:sty m:val="p"/>
          </m:rPr>
          <w:rPr>
            <w:rFonts w:ascii="Cambria Math" w:hAnsi="Cambria Math"/>
          </w:rPr>
          <m:t>f</m:t>
        </m:r>
        <m:d>
          <m:dPr>
            <m:ctrlPr>
              <w:rPr>
                <w:rFonts w:ascii="Cambria Math" w:hAnsi="Cambria Math"/>
              </w:rPr>
            </m:ctrlPr>
          </m:dPr>
          <m:e>
            <m:r>
              <m:rPr>
                <m:sty m:val="p"/>
              </m:rPr>
              <w:rPr>
                <w:rFonts w:ascii="Cambria Math" w:hAnsi="Cambria Math"/>
              </w:rPr>
              <m:t>t</m:t>
            </m:r>
          </m:e>
        </m:d>
      </m:oMath>
      <w:r>
        <w:t xml:space="preserve"> represents the EV and </w:t>
      </w:r>
      <m:oMath>
        <m:r>
          <w:rPr>
            <w:rFonts w:ascii="Cambria Math" w:hAnsi="Cambria Math"/>
          </w:rPr>
          <m:t>a.f'(t)</m:t>
        </m:r>
      </m:oMath>
      <w:r>
        <w:t xml:space="preserve"> represents the temporal derivative. We</w:t>
      </w:r>
      <w:r w:rsidRPr="00367245">
        <w:t xml:space="preserve"> </w:t>
      </w:r>
      <w:r>
        <w:t>also removed timepoints</w:t>
      </w:r>
      <w:r w:rsidRPr="00367245">
        <w:t xml:space="preserve"> </w:t>
      </w:r>
      <w:r>
        <w:t>corrupted by</w:t>
      </w:r>
      <w:r w:rsidRPr="00367245">
        <w:t xml:space="preserve"> </w:t>
      </w:r>
      <w:r>
        <w:t xml:space="preserve">large </w:t>
      </w:r>
      <w:r w:rsidRPr="00367245">
        <w:t>moti</w:t>
      </w:r>
      <w:r>
        <w:t xml:space="preserve">on-related signal by calculating the temporal derivative of </w:t>
      </w:r>
      <w:proofErr w:type="spellStart"/>
      <w:r>
        <w:t>timecourses</w:t>
      </w:r>
      <w:proofErr w:type="spellEnd"/>
      <w:r>
        <w:t xml:space="preserve"> for </w:t>
      </w:r>
      <w:r w:rsidRPr="00D71A34">
        <w:t>root mean squared head position change for volume N to volume N+1 (DVARS)</w:t>
      </w:r>
      <w:r>
        <w:rPr>
          <w:noProof/>
        </w:rPr>
        <w:t xml:space="preserve"> [11]</w:t>
      </w:r>
      <w:r w:rsidRPr="00D71A34">
        <w:t>. This was performed using FSL Motion Outliers which identifies timepoints with significant DVARS outliers (75th percentile plus 1.5 multiplied by the interquartile range). This approach can help deal with large motion effects that are unable to be resolved by traditional linear motion parameter regression methods</w:t>
      </w:r>
      <w:r>
        <w:rPr>
          <w:noProof/>
        </w:rPr>
        <w:t xml:space="preserve"> [12]</w:t>
      </w:r>
      <w:r w:rsidRPr="00D71A34">
        <w:t>. Neuroanatomical labelling of significant</w:t>
      </w:r>
      <w:r>
        <w:t xml:space="preserve"> results used the Harvard-Oxford Cortical and Subcortical Atlases within FSL, incorporating the Yale </w:t>
      </w:r>
      <w:proofErr w:type="spellStart"/>
      <w:r>
        <w:t>BioImage</w:t>
      </w:r>
      <w:proofErr w:type="spellEnd"/>
      <w:r>
        <w:t xml:space="preserve"> Suite MNI to </w:t>
      </w:r>
      <w:proofErr w:type="spellStart"/>
      <w:r>
        <w:t>Talairach</w:t>
      </w:r>
      <w:proofErr w:type="spellEnd"/>
      <w:r>
        <w:t xml:space="preserve"> and </w:t>
      </w:r>
      <w:proofErr w:type="spellStart"/>
      <w:r>
        <w:t>Brodmann</w:t>
      </w:r>
      <w:proofErr w:type="spellEnd"/>
      <w:r>
        <w:t xml:space="preserve"> Areas online converter tool (</w:t>
      </w:r>
      <w:hyperlink r:id="rId5" w:history="1">
        <w:r w:rsidRPr="002F3B2A">
          <w:rPr>
            <w:rStyle w:val="Hyperlink"/>
          </w:rPr>
          <w:t>https://medicine.yale.edu/bioimaging/suite/</w:t>
        </w:r>
      </w:hyperlink>
      <w:r>
        <w:t>).</w:t>
      </w:r>
    </w:p>
    <w:p w:rsidR="00812A90" w:rsidRDefault="00812A90" w:rsidP="0011325F">
      <w:pPr>
        <w:spacing w:line="480" w:lineRule="auto"/>
      </w:pPr>
    </w:p>
    <w:p w:rsidR="00812A90" w:rsidRPr="00F72FA9" w:rsidRDefault="00812A90" w:rsidP="0011325F">
      <w:pPr>
        <w:spacing w:line="480" w:lineRule="auto"/>
        <w:rPr>
          <w:b/>
          <w:sz w:val="28"/>
          <w:szCs w:val="28"/>
        </w:rPr>
      </w:pPr>
      <w:r w:rsidRPr="00F72FA9">
        <w:rPr>
          <w:b/>
          <w:sz w:val="28"/>
          <w:szCs w:val="28"/>
        </w:rPr>
        <w:t>Atlas-based ROI segmentation</w:t>
      </w:r>
      <w:r>
        <w:rPr>
          <w:b/>
          <w:sz w:val="28"/>
          <w:szCs w:val="28"/>
        </w:rPr>
        <w:t xml:space="preserve"> statistics</w:t>
      </w:r>
    </w:p>
    <w:p w:rsidR="00812A90" w:rsidRPr="006E195B" w:rsidRDefault="00812A90" w:rsidP="00A16A7B">
      <w:pPr>
        <w:spacing w:line="480" w:lineRule="auto"/>
        <w:jc w:val="both"/>
      </w:pPr>
      <w:r>
        <w:t xml:space="preserve">Using </w:t>
      </w:r>
      <w:proofErr w:type="spellStart"/>
      <w:r>
        <w:t>FSLStats</w:t>
      </w:r>
      <w:proofErr w:type="spellEnd"/>
      <w:r>
        <w:t xml:space="preserve"> we calculated the number of voxels that comprised the thalamic seed-ROIs in PD (</w:t>
      </w:r>
      <w:proofErr w:type="spellStart"/>
      <w:r>
        <w:t>VLp</w:t>
      </w:r>
      <w:proofErr w:type="spellEnd"/>
      <w:r>
        <w:t>/VA, M = 185.75; S.D = 17.15; MD/A, M = 546.53; S.D = 46.52) and Controls (</w:t>
      </w:r>
      <w:proofErr w:type="spellStart"/>
      <w:r>
        <w:t>VLp</w:t>
      </w:r>
      <w:proofErr w:type="spellEnd"/>
      <w:r>
        <w:t xml:space="preserve">/VA , M = 185.50; S.D = 17.67; MD/A, M = 539.75; S.D = 43.52). We then compared these metrics between the two groups using an independent samples t-test and found no </w:t>
      </w:r>
      <w:r>
        <w:lastRenderedPageBreak/>
        <w:t xml:space="preserve">significant difference between-groups in voxel numbers for the </w:t>
      </w:r>
      <w:proofErr w:type="spellStart"/>
      <w:r>
        <w:t>VLp</w:t>
      </w:r>
      <w:proofErr w:type="spellEnd"/>
      <w:r>
        <w:t>/VA (</w:t>
      </w:r>
      <w:r>
        <w:rPr>
          <w:i/>
        </w:rPr>
        <w:t>p =</w:t>
      </w:r>
      <w:r w:rsidRPr="007A6F46">
        <w:t xml:space="preserve"> 0.960</w:t>
      </w:r>
      <w:r>
        <w:t>) or MD/A (</w:t>
      </w:r>
      <w:r>
        <w:rPr>
          <w:i/>
        </w:rPr>
        <w:t>p</w:t>
      </w:r>
      <w:r>
        <w:t xml:space="preserve"> = 0.603) seed-ROIs.</w:t>
      </w:r>
    </w:p>
    <w:p w:rsidR="00812A90" w:rsidRDefault="00812A90" w:rsidP="00DC6C80">
      <w:pPr>
        <w:spacing w:line="480" w:lineRule="auto"/>
        <w:rPr>
          <w:color w:val="FF0000"/>
        </w:rPr>
      </w:pPr>
    </w:p>
    <w:p w:rsidR="00812A90" w:rsidRPr="000240C6" w:rsidRDefault="00812A90" w:rsidP="00DC6C80">
      <w:pPr>
        <w:spacing w:line="480" w:lineRule="auto"/>
        <w:rPr>
          <w:b/>
          <w:sz w:val="28"/>
          <w:szCs w:val="28"/>
        </w:rPr>
      </w:pPr>
      <w:r w:rsidRPr="000240C6">
        <w:rPr>
          <w:b/>
          <w:sz w:val="28"/>
          <w:szCs w:val="28"/>
        </w:rPr>
        <w:t>SPHARM-PDM detail</w:t>
      </w:r>
    </w:p>
    <w:p w:rsidR="00812A90" w:rsidRDefault="00812A90" w:rsidP="00A16A7B">
      <w:pPr>
        <w:spacing w:line="480" w:lineRule="auto"/>
        <w:jc w:val="both"/>
      </w:pPr>
      <w:r w:rsidRPr="005D6C04">
        <w:t xml:space="preserve">Using the 3-D </w:t>
      </w:r>
      <w:r>
        <w:t xml:space="preserve">binary </w:t>
      </w:r>
      <w:r w:rsidRPr="005D6C04">
        <w:t xml:space="preserve">object maps obtained from the manual region-of-interest segmentation </w:t>
      </w:r>
      <w:r>
        <w:t>of the thalamus</w:t>
      </w:r>
      <w:r w:rsidRPr="005D6C04">
        <w:t>, shape analysis was performed using the spherical harmonic toolkit SPHARM-PDM</w:t>
      </w:r>
      <w:r>
        <w:t xml:space="preserve"> </w:t>
      </w:r>
      <w:r>
        <w:rPr>
          <w:noProof/>
        </w:rPr>
        <w:t>[13]</w:t>
      </w:r>
      <w:r w:rsidRPr="005D6C04">
        <w:t xml:space="preserve">. </w:t>
      </w:r>
      <w:r>
        <w:t>S</w:t>
      </w:r>
      <w:r w:rsidRPr="005D6C04">
        <w:t>egmentations were pre-processed to ensure a spherical topology</w:t>
      </w:r>
      <w:r>
        <w:t>, then</w:t>
      </w:r>
      <w:r w:rsidRPr="005D6C04">
        <w:t xml:space="preserve"> described by spherical harmonic functions and </w:t>
      </w:r>
      <w:r>
        <w:t>sampled o</w:t>
      </w:r>
      <w:r w:rsidRPr="005D6C04">
        <w:t xml:space="preserve">nto surfaces of 1002 points. </w:t>
      </w:r>
      <w:r>
        <w:t>S</w:t>
      </w:r>
      <w:r w:rsidRPr="005D6C04">
        <w:t xml:space="preserve">urfaces were then aligned using a rigid-body Procrustes alignment to a mean template created from a </w:t>
      </w:r>
      <w:r>
        <w:t xml:space="preserve">group </w:t>
      </w:r>
      <w:r w:rsidRPr="005D6C04">
        <w:t xml:space="preserve">sample. </w:t>
      </w:r>
      <w:r>
        <w:t xml:space="preserve">Comparisons between groups were performed using multivariate analysis of covariance </w:t>
      </w:r>
      <w:r w:rsidRPr="006B1D05">
        <w:t xml:space="preserve">models with a </w:t>
      </w:r>
      <w:proofErr w:type="spellStart"/>
      <w:r w:rsidRPr="006B1D05">
        <w:t>Hotelling</w:t>
      </w:r>
      <w:proofErr w:type="spellEnd"/>
      <w:r w:rsidRPr="006B1D05">
        <w:t xml:space="preserve"> statistic in R (version 3.2.1, R </w:t>
      </w:r>
      <w:r>
        <w:t>D</w:t>
      </w:r>
      <w:r w:rsidRPr="006B1D05">
        <w:t xml:space="preserve">evelopment </w:t>
      </w:r>
      <w:r>
        <w:t>C</w:t>
      </w:r>
      <w:r w:rsidRPr="006B1D05">
        <w:t xml:space="preserve">ore </w:t>
      </w:r>
      <w:r>
        <w:t>T</w:t>
      </w:r>
      <w:r w:rsidRPr="006B1D05">
        <w:t xml:space="preserve">eam, 2014). Significant surface change was displayed at </w:t>
      </w:r>
      <w:r w:rsidRPr="00654A20">
        <w:rPr>
          <w:i/>
        </w:rPr>
        <w:t>p</w:t>
      </w:r>
      <w:r w:rsidRPr="006B1D05">
        <w:t xml:space="preserve"> &lt; 0.05 with a correction for multiple comparisons performed using a false-discovery rate estimation of</w:t>
      </w:r>
      <w:r>
        <w:t xml:space="preserve"> </w:t>
      </w:r>
      <w:r w:rsidRPr="00654A20">
        <w:rPr>
          <w:i/>
        </w:rPr>
        <w:t>q</w:t>
      </w:r>
      <w:r>
        <w:t xml:space="preserve"> =</w:t>
      </w:r>
      <w:r w:rsidRPr="006B1D05">
        <w:t xml:space="preserve"> 5%</w:t>
      </w:r>
      <w:r>
        <w:rPr>
          <w:noProof/>
        </w:rPr>
        <w:t xml:space="preserve"> [14]</w:t>
      </w:r>
      <w:r w:rsidRPr="006B1D05">
        <w:t>. All analyses included covariates of intracranial volume, age and sex</w:t>
      </w:r>
      <w:r>
        <w:t xml:space="preserve">. Statistical shape analysis provides visualisations of the local effect size via mean difference magnitude displacement maps. </w:t>
      </w:r>
      <w:r w:rsidRPr="00CA20FB">
        <w:t>Mean difference displacement maps display the magnitude of surface change (deflation or inflation) in mm between corresponding points on the mean surfaces of PD</w:t>
      </w:r>
      <w:r>
        <w:t xml:space="preserve"> subjects</w:t>
      </w:r>
      <w:r w:rsidRPr="00CA20FB">
        <w:t xml:space="preserve"> relative to the Control group.</w:t>
      </w: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Default="00812A90" w:rsidP="00DC6C80">
      <w:pPr>
        <w:spacing w:line="480" w:lineRule="auto"/>
        <w:rPr>
          <w:color w:val="FF0000"/>
        </w:rPr>
      </w:pPr>
    </w:p>
    <w:p w:rsidR="00812A90" w:rsidRPr="00193FD7" w:rsidRDefault="00812A90" w:rsidP="00193FD7">
      <w:pPr>
        <w:spacing w:line="480" w:lineRule="auto"/>
        <w:rPr>
          <w:b/>
          <w:sz w:val="36"/>
          <w:szCs w:val="36"/>
        </w:rPr>
      </w:pPr>
      <w:r w:rsidRPr="000240C6">
        <w:rPr>
          <w:b/>
          <w:sz w:val="36"/>
          <w:szCs w:val="36"/>
        </w:rPr>
        <w:lastRenderedPageBreak/>
        <w:t>Supplementary Results</w:t>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09"/>
        <w:gridCol w:w="708"/>
        <w:gridCol w:w="709"/>
        <w:gridCol w:w="709"/>
        <w:gridCol w:w="709"/>
        <w:gridCol w:w="708"/>
        <w:gridCol w:w="709"/>
        <w:gridCol w:w="709"/>
        <w:gridCol w:w="709"/>
        <w:gridCol w:w="567"/>
        <w:gridCol w:w="661"/>
        <w:gridCol w:w="614"/>
      </w:tblGrid>
      <w:tr w:rsidR="00812A90" w:rsidRPr="006D6265" w:rsidTr="00C637A6">
        <w:trPr>
          <w:trHeight w:val="256"/>
        </w:trPr>
        <w:tc>
          <w:tcPr>
            <w:tcW w:w="1135" w:type="dxa"/>
            <w:vMerge w:val="restart"/>
            <w:tcBorders>
              <w:top w:val="single" w:sz="4" w:space="0" w:color="auto"/>
              <w:bottom w:val="single" w:sz="4" w:space="0" w:color="auto"/>
            </w:tcBorders>
            <w:vAlign w:val="bottom"/>
          </w:tcPr>
          <w:p w:rsidR="00812A90" w:rsidRPr="006D6265" w:rsidRDefault="00812A90" w:rsidP="00C45836">
            <w:pPr>
              <w:rPr>
                <w:b/>
                <w:sz w:val="22"/>
                <w:szCs w:val="22"/>
              </w:rPr>
            </w:pPr>
            <w:r w:rsidRPr="006D6265">
              <w:rPr>
                <w:b/>
                <w:sz w:val="22"/>
                <w:szCs w:val="22"/>
              </w:rPr>
              <w:t>Maxima number</w:t>
            </w:r>
          </w:p>
        </w:tc>
        <w:tc>
          <w:tcPr>
            <w:tcW w:w="1417"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sidRPr="006D6265">
              <w:rPr>
                <w:b/>
                <w:sz w:val="22"/>
                <w:szCs w:val="22"/>
              </w:rPr>
              <w:t>LED</w:t>
            </w:r>
          </w:p>
        </w:tc>
        <w:tc>
          <w:tcPr>
            <w:tcW w:w="1418"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sidRPr="006D6265">
              <w:rPr>
                <w:b/>
                <w:sz w:val="22"/>
                <w:szCs w:val="22"/>
              </w:rPr>
              <w:t>Disease duration</w:t>
            </w:r>
          </w:p>
        </w:tc>
        <w:tc>
          <w:tcPr>
            <w:tcW w:w="1417"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sidRPr="006D6265">
              <w:rPr>
                <w:b/>
                <w:sz w:val="22"/>
                <w:szCs w:val="22"/>
              </w:rPr>
              <w:t>UPDRS-III</w:t>
            </w:r>
          </w:p>
        </w:tc>
        <w:tc>
          <w:tcPr>
            <w:tcW w:w="1418"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Pr>
                <w:b/>
                <w:sz w:val="22"/>
                <w:szCs w:val="22"/>
              </w:rPr>
              <w:t>TUG</w:t>
            </w:r>
          </w:p>
        </w:tc>
        <w:tc>
          <w:tcPr>
            <w:tcW w:w="1276"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Pr>
                <w:b/>
                <w:sz w:val="22"/>
                <w:szCs w:val="22"/>
              </w:rPr>
              <w:t>AQT</w:t>
            </w:r>
          </w:p>
        </w:tc>
        <w:tc>
          <w:tcPr>
            <w:tcW w:w="1275" w:type="dxa"/>
            <w:gridSpan w:val="2"/>
            <w:tcBorders>
              <w:top w:val="single" w:sz="4" w:space="0" w:color="auto"/>
              <w:bottom w:val="single" w:sz="4" w:space="0" w:color="auto"/>
            </w:tcBorders>
            <w:vAlign w:val="bottom"/>
          </w:tcPr>
          <w:p w:rsidR="00812A90" w:rsidRPr="006D6265" w:rsidRDefault="00812A90" w:rsidP="002223BB">
            <w:pPr>
              <w:jc w:val="center"/>
              <w:rPr>
                <w:b/>
                <w:sz w:val="22"/>
                <w:szCs w:val="22"/>
              </w:rPr>
            </w:pPr>
            <w:r>
              <w:rPr>
                <w:b/>
                <w:sz w:val="22"/>
                <w:szCs w:val="22"/>
              </w:rPr>
              <w:t>AF</w:t>
            </w:r>
          </w:p>
        </w:tc>
      </w:tr>
      <w:tr w:rsidR="00812A90" w:rsidRPr="006D6265" w:rsidTr="00685FE5">
        <w:trPr>
          <w:trHeight w:val="255"/>
        </w:trPr>
        <w:tc>
          <w:tcPr>
            <w:tcW w:w="1135" w:type="dxa"/>
            <w:vMerge/>
            <w:tcBorders>
              <w:bottom w:val="single" w:sz="4" w:space="0" w:color="auto"/>
            </w:tcBorders>
            <w:vAlign w:val="bottom"/>
          </w:tcPr>
          <w:p w:rsidR="00812A90" w:rsidRPr="006D6265" w:rsidRDefault="00812A90" w:rsidP="00A30296">
            <w:pPr>
              <w:rPr>
                <w:b/>
                <w:sz w:val="22"/>
                <w:szCs w:val="22"/>
              </w:rPr>
            </w:pPr>
          </w:p>
        </w:tc>
        <w:tc>
          <w:tcPr>
            <w:tcW w:w="709" w:type="dxa"/>
            <w:tcBorders>
              <w:bottom w:val="single" w:sz="4" w:space="0" w:color="auto"/>
            </w:tcBorders>
            <w:vAlign w:val="bottom"/>
          </w:tcPr>
          <w:p w:rsidR="00812A90" w:rsidRPr="006D6265" w:rsidRDefault="00812A90" w:rsidP="00A30296">
            <w:pPr>
              <w:jc w:val="center"/>
              <w:rPr>
                <w:b/>
                <w:sz w:val="22"/>
                <w:szCs w:val="22"/>
              </w:rPr>
            </w:pPr>
            <w:r w:rsidRPr="006D6265">
              <w:rPr>
                <w:b/>
                <w:sz w:val="22"/>
                <w:szCs w:val="22"/>
              </w:rPr>
              <w:t>r</w:t>
            </w:r>
          </w:p>
        </w:tc>
        <w:tc>
          <w:tcPr>
            <w:tcW w:w="708" w:type="dxa"/>
            <w:tcBorders>
              <w:bottom w:val="single" w:sz="4" w:space="0" w:color="auto"/>
            </w:tcBorders>
            <w:vAlign w:val="bottom"/>
          </w:tcPr>
          <w:p w:rsidR="00812A90" w:rsidRPr="006D6265" w:rsidRDefault="00812A90" w:rsidP="00A30296">
            <w:pPr>
              <w:jc w:val="center"/>
              <w:rPr>
                <w:b/>
                <w:sz w:val="22"/>
                <w:szCs w:val="22"/>
              </w:rPr>
            </w:pPr>
            <w:r w:rsidRPr="006D6265">
              <w:rPr>
                <w:b/>
                <w:i/>
                <w:sz w:val="22"/>
                <w:szCs w:val="22"/>
              </w:rPr>
              <w:t>p</w:t>
            </w:r>
          </w:p>
        </w:tc>
        <w:tc>
          <w:tcPr>
            <w:tcW w:w="709" w:type="dxa"/>
            <w:tcBorders>
              <w:bottom w:val="single" w:sz="4" w:space="0" w:color="auto"/>
            </w:tcBorders>
            <w:vAlign w:val="bottom"/>
          </w:tcPr>
          <w:p w:rsidR="00812A90" w:rsidRPr="006D6265" w:rsidRDefault="00812A90" w:rsidP="00A30296">
            <w:pPr>
              <w:jc w:val="center"/>
              <w:rPr>
                <w:b/>
                <w:i/>
                <w:sz w:val="22"/>
                <w:szCs w:val="22"/>
              </w:rPr>
            </w:pPr>
            <w:r w:rsidRPr="006D6265">
              <w:rPr>
                <w:b/>
                <w:sz w:val="22"/>
                <w:szCs w:val="22"/>
              </w:rPr>
              <w:t>r</w:t>
            </w:r>
          </w:p>
        </w:tc>
        <w:tc>
          <w:tcPr>
            <w:tcW w:w="709" w:type="dxa"/>
            <w:tcBorders>
              <w:bottom w:val="single" w:sz="4" w:space="0" w:color="auto"/>
            </w:tcBorders>
            <w:vAlign w:val="bottom"/>
          </w:tcPr>
          <w:p w:rsidR="00812A90" w:rsidRPr="006D6265" w:rsidRDefault="00812A90" w:rsidP="00A30296">
            <w:pPr>
              <w:jc w:val="center"/>
              <w:rPr>
                <w:b/>
                <w:sz w:val="22"/>
                <w:szCs w:val="22"/>
              </w:rPr>
            </w:pPr>
            <w:r w:rsidRPr="006D6265">
              <w:rPr>
                <w:b/>
                <w:i/>
                <w:sz w:val="22"/>
                <w:szCs w:val="22"/>
              </w:rPr>
              <w:t>p</w:t>
            </w:r>
          </w:p>
        </w:tc>
        <w:tc>
          <w:tcPr>
            <w:tcW w:w="709" w:type="dxa"/>
            <w:vAlign w:val="bottom"/>
          </w:tcPr>
          <w:p w:rsidR="00812A90" w:rsidRPr="006D6265" w:rsidRDefault="00812A90" w:rsidP="00A30296">
            <w:pPr>
              <w:jc w:val="center"/>
              <w:rPr>
                <w:b/>
                <w:i/>
                <w:sz w:val="22"/>
                <w:szCs w:val="22"/>
              </w:rPr>
            </w:pPr>
            <w:r w:rsidRPr="006D6265">
              <w:rPr>
                <w:b/>
                <w:sz w:val="22"/>
                <w:szCs w:val="22"/>
              </w:rPr>
              <w:t>r</w:t>
            </w:r>
          </w:p>
        </w:tc>
        <w:tc>
          <w:tcPr>
            <w:tcW w:w="708" w:type="dxa"/>
            <w:vAlign w:val="bottom"/>
          </w:tcPr>
          <w:p w:rsidR="00812A90" w:rsidRPr="006D6265" w:rsidRDefault="00812A90" w:rsidP="00A30296">
            <w:pPr>
              <w:jc w:val="center"/>
              <w:rPr>
                <w:b/>
                <w:sz w:val="22"/>
                <w:szCs w:val="22"/>
              </w:rPr>
            </w:pPr>
            <w:r w:rsidRPr="006D6265">
              <w:rPr>
                <w:b/>
                <w:i/>
                <w:sz w:val="22"/>
                <w:szCs w:val="22"/>
              </w:rPr>
              <w:t>p</w:t>
            </w:r>
          </w:p>
        </w:tc>
        <w:tc>
          <w:tcPr>
            <w:tcW w:w="709" w:type="dxa"/>
            <w:tcBorders>
              <w:bottom w:val="single" w:sz="4" w:space="0" w:color="auto"/>
            </w:tcBorders>
            <w:vAlign w:val="bottom"/>
          </w:tcPr>
          <w:p w:rsidR="00812A90" w:rsidRPr="00754F73" w:rsidRDefault="00812A90" w:rsidP="00A30296">
            <w:pPr>
              <w:jc w:val="center"/>
              <w:rPr>
                <w:b/>
                <w:sz w:val="22"/>
                <w:szCs w:val="22"/>
              </w:rPr>
            </w:pPr>
            <w:r w:rsidRPr="006D6265">
              <w:rPr>
                <w:b/>
                <w:sz w:val="22"/>
                <w:szCs w:val="22"/>
              </w:rPr>
              <w:t>r</w:t>
            </w:r>
          </w:p>
        </w:tc>
        <w:tc>
          <w:tcPr>
            <w:tcW w:w="709" w:type="dxa"/>
            <w:tcBorders>
              <w:bottom w:val="single" w:sz="4" w:space="0" w:color="auto"/>
            </w:tcBorders>
            <w:vAlign w:val="bottom"/>
          </w:tcPr>
          <w:p w:rsidR="00812A90" w:rsidRPr="006D6265" w:rsidRDefault="00812A90" w:rsidP="00A30296">
            <w:pPr>
              <w:jc w:val="center"/>
              <w:rPr>
                <w:b/>
                <w:i/>
                <w:sz w:val="22"/>
                <w:szCs w:val="22"/>
              </w:rPr>
            </w:pPr>
            <w:r w:rsidRPr="006D6265">
              <w:rPr>
                <w:b/>
                <w:i/>
                <w:sz w:val="22"/>
                <w:szCs w:val="22"/>
              </w:rPr>
              <w:t>p</w:t>
            </w:r>
          </w:p>
        </w:tc>
        <w:tc>
          <w:tcPr>
            <w:tcW w:w="709" w:type="dxa"/>
            <w:tcBorders>
              <w:bottom w:val="single" w:sz="4" w:space="0" w:color="auto"/>
            </w:tcBorders>
            <w:vAlign w:val="bottom"/>
          </w:tcPr>
          <w:p w:rsidR="00812A90" w:rsidRPr="006D6265" w:rsidRDefault="00812A90" w:rsidP="00A30296">
            <w:pPr>
              <w:jc w:val="center"/>
              <w:rPr>
                <w:b/>
                <w:i/>
                <w:sz w:val="22"/>
                <w:szCs w:val="22"/>
              </w:rPr>
            </w:pPr>
            <w:r w:rsidRPr="006D6265">
              <w:rPr>
                <w:b/>
                <w:sz w:val="22"/>
                <w:szCs w:val="22"/>
              </w:rPr>
              <w:t>r</w:t>
            </w:r>
          </w:p>
        </w:tc>
        <w:tc>
          <w:tcPr>
            <w:tcW w:w="567" w:type="dxa"/>
            <w:tcBorders>
              <w:bottom w:val="single" w:sz="4" w:space="0" w:color="auto"/>
            </w:tcBorders>
            <w:vAlign w:val="bottom"/>
          </w:tcPr>
          <w:p w:rsidR="00812A90" w:rsidRPr="006D6265" w:rsidRDefault="00812A90" w:rsidP="00A30296">
            <w:pPr>
              <w:jc w:val="center"/>
              <w:rPr>
                <w:b/>
                <w:i/>
                <w:sz w:val="22"/>
                <w:szCs w:val="22"/>
              </w:rPr>
            </w:pPr>
            <w:r w:rsidRPr="006D6265">
              <w:rPr>
                <w:b/>
                <w:i/>
                <w:sz w:val="22"/>
                <w:szCs w:val="22"/>
              </w:rPr>
              <w:t>p</w:t>
            </w:r>
          </w:p>
        </w:tc>
        <w:tc>
          <w:tcPr>
            <w:tcW w:w="661" w:type="dxa"/>
            <w:tcBorders>
              <w:bottom w:val="single" w:sz="4" w:space="0" w:color="auto"/>
            </w:tcBorders>
            <w:vAlign w:val="bottom"/>
          </w:tcPr>
          <w:p w:rsidR="00812A90" w:rsidRPr="006D6265" w:rsidRDefault="00812A90" w:rsidP="00A30296">
            <w:pPr>
              <w:jc w:val="center"/>
              <w:rPr>
                <w:b/>
                <w:i/>
                <w:sz w:val="22"/>
                <w:szCs w:val="22"/>
              </w:rPr>
            </w:pPr>
            <w:r w:rsidRPr="006D6265">
              <w:rPr>
                <w:b/>
                <w:sz w:val="22"/>
                <w:szCs w:val="22"/>
              </w:rPr>
              <w:t>r</w:t>
            </w:r>
          </w:p>
        </w:tc>
        <w:tc>
          <w:tcPr>
            <w:tcW w:w="614" w:type="dxa"/>
            <w:tcBorders>
              <w:bottom w:val="single" w:sz="4" w:space="0" w:color="auto"/>
            </w:tcBorders>
            <w:vAlign w:val="bottom"/>
          </w:tcPr>
          <w:p w:rsidR="00812A90" w:rsidRPr="006D6265" w:rsidRDefault="00812A90" w:rsidP="00A30296">
            <w:pPr>
              <w:jc w:val="center"/>
              <w:rPr>
                <w:b/>
                <w:i/>
                <w:sz w:val="22"/>
                <w:szCs w:val="22"/>
              </w:rPr>
            </w:pPr>
            <w:r w:rsidRPr="006D6265">
              <w:rPr>
                <w:b/>
                <w:i/>
                <w:sz w:val="22"/>
                <w:szCs w:val="22"/>
              </w:rPr>
              <w:t>p</w:t>
            </w:r>
          </w:p>
        </w:tc>
      </w:tr>
      <w:tr w:rsidR="00812A90" w:rsidRPr="006D6265" w:rsidTr="00685FE5">
        <w:trPr>
          <w:trHeight w:val="158"/>
        </w:trPr>
        <w:tc>
          <w:tcPr>
            <w:tcW w:w="1135" w:type="dxa"/>
            <w:tcBorders>
              <w:top w:val="single" w:sz="4" w:space="0" w:color="auto"/>
            </w:tcBorders>
            <w:vAlign w:val="bottom"/>
          </w:tcPr>
          <w:p w:rsidR="00812A90" w:rsidRPr="006D6265" w:rsidRDefault="00812A90" w:rsidP="001651E1">
            <w:pPr>
              <w:jc w:val="center"/>
              <w:rPr>
                <w:b/>
                <w:sz w:val="22"/>
                <w:szCs w:val="22"/>
              </w:rPr>
            </w:pPr>
            <w:r w:rsidRPr="006D6265">
              <w:rPr>
                <w:b/>
                <w:sz w:val="22"/>
                <w:szCs w:val="22"/>
              </w:rPr>
              <w:t>1</w:t>
            </w:r>
          </w:p>
        </w:tc>
        <w:tc>
          <w:tcPr>
            <w:tcW w:w="709" w:type="dxa"/>
            <w:tcBorders>
              <w:top w:val="single" w:sz="4" w:space="0" w:color="auto"/>
            </w:tcBorders>
            <w:vAlign w:val="bottom"/>
          </w:tcPr>
          <w:p w:rsidR="00812A90" w:rsidRPr="001651E1" w:rsidRDefault="00812A90" w:rsidP="001651E1">
            <w:pPr>
              <w:jc w:val="center"/>
            </w:pPr>
            <w:r w:rsidRPr="001651E1">
              <w:rPr>
                <w:color w:val="000000"/>
              </w:rPr>
              <w:t>0.32</w:t>
            </w:r>
          </w:p>
        </w:tc>
        <w:tc>
          <w:tcPr>
            <w:tcW w:w="708" w:type="dxa"/>
            <w:tcBorders>
              <w:top w:val="single" w:sz="4" w:space="0" w:color="auto"/>
            </w:tcBorders>
            <w:vAlign w:val="bottom"/>
          </w:tcPr>
          <w:p w:rsidR="00812A90" w:rsidRPr="004F4F71" w:rsidRDefault="00812A90" w:rsidP="001651E1">
            <w:pPr>
              <w:jc w:val="center"/>
            </w:pPr>
            <w:r w:rsidRPr="004F4F71">
              <w:rPr>
                <w:color w:val="000000"/>
              </w:rPr>
              <w:t>0.13</w:t>
            </w:r>
          </w:p>
        </w:tc>
        <w:tc>
          <w:tcPr>
            <w:tcW w:w="709" w:type="dxa"/>
            <w:tcBorders>
              <w:top w:val="single" w:sz="4" w:space="0" w:color="auto"/>
            </w:tcBorders>
            <w:vAlign w:val="bottom"/>
          </w:tcPr>
          <w:p w:rsidR="00812A90" w:rsidRPr="004F4F71" w:rsidRDefault="00812A90" w:rsidP="001651E1">
            <w:pPr>
              <w:jc w:val="center"/>
            </w:pPr>
            <w:r w:rsidRPr="004F4F71">
              <w:rPr>
                <w:color w:val="000000"/>
              </w:rPr>
              <w:t>0.41</w:t>
            </w:r>
          </w:p>
        </w:tc>
        <w:tc>
          <w:tcPr>
            <w:tcW w:w="709" w:type="dxa"/>
            <w:tcBorders>
              <w:top w:val="single" w:sz="4" w:space="0" w:color="auto"/>
            </w:tcBorders>
            <w:vAlign w:val="bottom"/>
          </w:tcPr>
          <w:p w:rsidR="00812A90" w:rsidRPr="004F4F71" w:rsidRDefault="00812A90" w:rsidP="001651E1">
            <w:pPr>
              <w:jc w:val="center"/>
            </w:pPr>
            <w:r w:rsidRPr="004F4F71">
              <w:rPr>
                <w:color w:val="000000"/>
              </w:rPr>
              <w:t>0.03</w:t>
            </w:r>
          </w:p>
        </w:tc>
        <w:tc>
          <w:tcPr>
            <w:tcW w:w="709" w:type="dxa"/>
            <w:tcBorders>
              <w:top w:val="single" w:sz="4" w:space="0" w:color="auto"/>
            </w:tcBorders>
            <w:vAlign w:val="bottom"/>
          </w:tcPr>
          <w:p w:rsidR="00812A90" w:rsidRPr="004F4F71" w:rsidRDefault="00812A90" w:rsidP="001651E1">
            <w:pPr>
              <w:jc w:val="center"/>
            </w:pPr>
            <w:r w:rsidRPr="004F4F71">
              <w:rPr>
                <w:color w:val="000000"/>
              </w:rPr>
              <w:t>0.12</w:t>
            </w:r>
          </w:p>
        </w:tc>
        <w:tc>
          <w:tcPr>
            <w:tcW w:w="708" w:type="dxa"/>
            <w:tcBorders>
              <w:top w:val="single" w:sz="4" w:space="0" w:color="auto"/>
            </w:tcBorders>
            <w:vAlign w:val="bottom"/>
          </w:tcPr>
          <w:p w:rsidR="00812A90" w:rsidRPr="004F4F71" w:rsidRDefault="00812A90" w:rsidP="001651E1">
            <w:pPr>
              <w:jc w:val="center"/>
            </w:pPr>
            <w:r w:rsidRPr="004F4F71">
              <w:rPr>
                <w:color w:val="000000"/>
              </w:rPr>
              <w:t>0.52</w:t>
            </w:r>
          </w:p>
        </w:tc>
        <w:tc>
          <w:tcPr>
            <w:tcW w:w="709" w:type="dxa"/>
            <w:tcBorders>
              <w:top w:val="single" w:sz="4" w:space="0" w:color="auto"/>
            </w:tcBorders>
            <w:vAlign w:val="bottom"/>
          </w:tcPr>
          <w:p w:rsidR="00812A90" w:rsidRPr="004F4F71" w:rsidRDefault="00812A90" w:rsidP="001651E1">
            <w:pPr>
              <w:jc w:val="center"/>
            </w:pPr>
            <w:r w:rsidRPr="004F4F71">
              <w:rPr>
                <w:color w:val="000000"/>
              </w:rPr>
              <w:t>0.23</w:t>
            </w:r>
          </w:p>
        </w:tc>
        <w:tc>
          <w:tcPr>
            <w:tcW w:w="709" w:type="dxa"/>
            <w:tcBorders>
              <w:top w:val="single" w:sz="4" w:space="0" w:color="auto"/>
            </w:tcBorders>
            <w:vAlign w:val="bottom"/>
          </w:tcPr>
          <w:p w:rsidR="00812A90" w:rsidRPr="004F4F71" w:rsidRDefault="00812A90" w:rsidP="001651E1">
            <w:pPr>
              <w:jc w:val="center"/>
            </w:pPr>
            <w:r w:rsidRPr="004F4F71">
              <w:rPr>
                <w:color w:val="000000"/>
              </w:rPr>
              <w:t>0.37</w:t>
            </w:r>
          </w:p>
        </w:tc>
        <w:tc>
          <w:tcPr>
            <w:tcW w:w="709" w:type="dxa"/>
            <w:tcBorders>
              <w:top w:val="single" w:sz="4" w:space="0" w:color="auto"/>
            </w:tcBorders>
            <w:vAlign w:val="bottom"/>
          </w:tcPr>
          <w:p w:rsidR="00812A90" w:rsidRPr="004F4F71" w:rsidRDefault="00812A90" w:rsidP="001651E1">
            <w:pPr>
              <w:jc w:val="center"/>
            </w:pPr>
            <w:r w:rsidRPr="004F4F71">
              <w:rPr>
                <w:color w:val="000000"/>
              </w:rPr>
              <w:t>0.18</w:t>
            </w:r>
          </w:p>
        </w:tc>
        <w:tc>
          <w:tcPr>
            <w:tcW w:w="567" w:type="dxa"/>
            <w:tcBorders>
              <w:top w:val="single" w:sz="4" w:space="0" w:color="auto"/>
            </w:tcBorders>
            <w:vAlign w:val="bottom"/>
          </w:tcPr>
          <w:p w:rsidR="00812A90" w:rsidRPr="001651E1" w:rsidRDefault="00812A90" w:rsidP="001651E1">
            <w:pPr>
              <w:jc w:val="center"/>
            </w:pPr>
            <w:r w:rsidRPr="001651E1">
              <w:rPr>
                <w:color w:val="000000"/>
              </w:rPr>
              <w:t>0.17</w:t>
            </w:r>
          </w:p>
        </w:tc>
        <w:tc>
          <w:tcPr>
            <w:tcW w:w="661" w:type="dxa"/>
            <w:tcBorders>
              <w:top w:val="single" w:sz="4" w:space="0" w:color="auto"/>
            </w:tcBorders>
            <w:vAlign w:val="bottom"/>
          </w:tcPr>
          <w:p w:rsidR="00812A90" w:rsidRPr="001651E1" w:rsidRDefault="00812A90" w:rsidP="001651E1">
            <w:pPr>
              <w:jc w:val="center"/>
            </w:pPr>
            <w:r w:rsidRPr="001651E1">
              <w:rPr>
                <w:color w:val="000000"/>
              </w:rPr>
              <w:t>0.26</w:t>
            </w:r>
          </w:p>
        </w:tc>
        <w:tc>
          <w:tcPr>
            <w:tcW w:w="614" w:type="dxa"/>
            <w:tcBorders>
              <w:top w:val="single" w:sz="4" w:space="0" w:color="auto"/>
            </w:tcBorders>
            <w:vAlign w:val="bottom"/>
          </w:tcPr>
          <w:p w:rsidR="00812A90" w:rsidRPr="001651E1" w:rsidRDefault="00812A90" w:rsidP="001651E1">
            <w:pPr>
              <w:jc w:val="center"/>
            </w:pPr>
            <w:r w:rsidRPr="001651E1">
              <w:rPr>
                <w:color w:val="000000"/>
              </w:rPr>
              <w:t>0.23</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2</w:t>
            </w:r>
          </w:p>
        </w:tc>
        <w:tc>
          <w:tcPr>
            <w:tcW w:w="709" w:type="dxa"/>
            <w:vAlign w:val="bottom"/>
          </w:tcPr>
          <w:p w:rsidR="00812A90" w:rsidRPr="001651E1" w:rsidRDefault="00812A90" w:rsidP="001651E1">
            <w:pPr>
              <w:jc w:val="center"/>
            </w:pPr>
            <w:r w:rsidRPr="001651E1">
              <w:rPr>
                <w:color w:val="000000"/>
              </w:rPr>
              <w:t>0.31</w:t>
            </w:r>
          </w:p>
        </w:tc>
        <w:tc>
          <w:tcPr>
            <w:tcW w:w="708" w:type="dxa"/>
            <w:vAlign w:val="bottom"/>
          </w:tcPr>
          <w:p w:rsidR="00812A90" w:rsidRPr="004F4F71" w:rsidRDefault="00812A90" w:rsidP="001651E1">
            <w:pPr>
              <w:jc w:val="center"/>
            </w:pPr>
            <w:r w:rsidRPr="004F4F71">
              <w:rPr>
                <w:color w:val="000000"/>
              </w:rPr>
              <w:t>0.13</w:t>
            </w:r>
          </w:p>
        </w:tc>
        <w:tc>
          <w:tcPr>
            <w:tcW w:w="709" w:type="dxa"/>
            <w:vAlign w:val="bottom"/>
          </w:tcPr>
          <w:p w:rsidR="00812A90" w:rsidRPr="004F4F71" w:rsidRDefault="00812A90" w:rsidP="001651E1">
            <w:pPr>
              <w:jc w:val="center"/>
            </w:pPr>
            <w:r w:rsidRPr="004F4F71">
              <w:rPr>
                <w:color w:val="000000"/>
              </w:rPr>
              <w:t>0.32</w:t>
            </w:r>
          </w:p>
        </w:tc>
        <w:tc>
          <w:tcPr>
            <w:tcW w:w="709" w:type="dxa"/>
            <w:vAlign w:val="bottom"/>
          </w:tcPr>
          <w:p w:rsidR="00812A90" w:rsidRPr="004F4F71" w:rsidRDefault="00812A90" w:rsidP="001651E1">
            <w:pPr>
              <w:jc w:val="center"/>
            </w:pPr>
            <w:r w:rsidRPr="004F4F71">
              <w:rPr>
                <w:color w:val="000000"/>
              </w:rPr>
              <w:t>0.09</w:t>
            </w:r>
          </w:p>
        </w:tc>
        <w:tc>
          <w:tcPr>
            <w:tcW w:w="709" w:type="dxa"/>
            <w:vAlign w:val="bottom"/>
          </w:tcPr>
          <w:p w:rsidR="00812A90" w:rsidRPr="004F4F71" w:rsidRDefault="00812A90" w:rsidP="001651E1">
            <w:pPr>
              <w:jc w:val="center"/>
            </w:pPr>
            <w:r w:rsidRPr="004F4F71">
              <w:rPr>
                <w:color w:val="000000"/>
              </w:rPr>
              <w:t>0.11</w:t>
            </w:r>
          </w:p>
        </w:tc>
        <w:tc>
          <w:tcPr>
            <w:tcW w:w="708" w:type="dxa"/>
            <w:vAlign w:val="bottom"/>
          </w:tcPr>
          <w:p w:rsidR="00812A90" w:rsidRPr="004F4F71" w:rsidRDefault="00812A90" w:rsidP="001651E1">
            <w:pPr>
              <w:jc w:val="center"/>
            </w:pPr>
            <w:r w:rsidRPr="004F4F71">
              <w:rPr>
                <w:color w:val="000000"/>
              </w:rPr>
              <w:t>0.57</w:t>
            </w:r>
          </w:p>
        </w:tc>
        <w:tc>
          <w:tcPr>
            <w:tcW w:w="709" w:type="dxa"/>
            <w:vAlign w:val="bottom"/>
          </w:tcPr>
          <w:p w:rsidR="00812A90" w:rsidRPr="004F4F71" w:rsidRDefault="00812A90" w:rsidP="001651E1">
            <w:pPr>
              <w:jc w:val="center"/>
            </w:pPr>
            <w:r w:rsidRPr="004F4F71">
              <w:rPr>
                <w:color w:val="000000"/>
              </w:rPr>
              <w:t>0.43</w:t>
            </w:r>
          </w:p>
        </w:tc>
        <w:tc>
          <w:tcPr>
            <w:tcW w:w="709" w:type="dxa"/>
            <w:vAlign w:val="bottom"/>
          </w:tcPr>
          <w:p w:rsidR="00812A90" w:rsidRPr="004F4F71" w:rsidRDefault="00812A90" w:rsidP="001651E1">
            <w:pPr>
              <w:jc w:val="center"/>
            </w:pPr>
            <w:r w:rsidRPr="004F4F71">
              <w:rPr>
                <w:color w:val="000000"/>
              </w:rPr>
              <w:t>0.02</w:t>
            </w:r>
          </w:p>
        </w:tc>
        <w:tc>
          <w:tcPr>
            <w:tcW w:w="709" w:type="dxa"/>
            <w:vAlign w:val="bottom"/>
          </w:tcPr>
          <w:p w:rsidR="00812A90" w:rsidRPr="004F4F71" w:rsidRDefault="00812A90" w:rsidP="001651E1">
            <w:pPr>
              <w:jc w:val="center"/>
            </w:pPr>
            <w:r w:rsidRPr="004F4F71">
              <w:rPr>
                <w:color w:val="000000"/>
              </w:rPr>
              <w:t>0.20</w:t>
            </w:r>
          </w:p>
        </w:tc>
        <w:tc>
          <w:tcPr>
            <w:tcW w:w="567" w:type="dxa"/>
            <w:vAlign w:val="bottom"/>
          </w:tcPr>
          <w:p w:rsidR="00812A90" w:rsidRPr="001651E1" w:rsidRDefault="00812A90" w:rsidP="001651E1">
            <w:pPr>
              <w:jc w:val="center"/>
            </w:pPr>
            <w:r w:rsidRPr="001651E1">
              <w:rPr>
                <w:color w:val="000000"/>
              </w:rPr>
              <w:t>0.31</w:t>
            </w:r>
          </w:p>
        </w:tc>
        <w:tc>
          <w:tcPr>
            <w:tcW w:w="661" w:type="dxa"/>
            <w:vAlign w:val="bottom"/>
          </w:tcPr>
          <w:p w:rsidR="00812A90" w:rsidRPr="001651E1" w:rsidRDefault="00812A90" w:rsidP="001651E1">
            <w:pPr>
              <w:jc w:val="center"/>
            </w:pPr>
            <w:r w:rsidRPr="001651E1">
              <w:rPr>
                <w:color w:val="000000"/>
              </w:rPr>
              <w:t>0.25</w:t>
            </w:r>
          </w:p>
        </w:tc>
        <w:tc>
          <w:tcPr>
            <w:tcW w:w="614" w:type="dxa"/>
            <w:vAlign w:val="bottom"/>
          </w:tcPr>
          <w:p w:rsidR="00812A90" w:rsidRPr="001651E1" w:rsidRDefault="00812A90" w:rsidP="001651E1">
            <w:pPr>
              <w:jc w:val="center"/>
            </w:pPr>
            <w:r w:rsidRPr="001651E1">
              <w:rPr>
                <w:color w:val="000000"/>
              </w:rPr>
              <w:t>0.18</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3</w:t>
            </w:r>
          </w:p>
        </w:tc>
        <w:tc>
          <w:tcPr>
            <w:tcW w:w="709" w:type="dxa"/>
            <w:shd w:val="clear" w:color="auto" w:fill="auto"/>
            <w:vAlign w:val="bottom"/>
          </w:tcPr>
          <w:p w:rsidR="00812A90" w:rsidRPr="001651E1" w:rsidRDefault="00812A90" w:rsidP="001651E1">
            <w:pPr>
              <w:jc w:val="center"/>
            </w:pPr>
            <w:r w:rsidRPr="001651E1">
              <w:rPr>
                <w:color w:val="000000"/>
              </w:rPr>
              <w:t>0.49</w:t>
            </w:r>
          </w:p>
        </w:tc>
        <w:tc>
          <w:tcPr>
            <w:tcW w:w="708" w:type="dxa"/>
            <w:shd w:val="clear" w:color="auto" w:fill="auto"/>
            <w:vAlign w:val="bottom"/>
          </w:tcPr>
          <w:p w:rsidR="00812A90" w:rsidRPr="004F4F71" w:rsidRDefault="00812A90" w:rsidP="001651E1">
            <w:pPr>
              <w:jc w:val="center"/>
            </w:pPr>
            <w:r w:rsidRPr="004F4F71">
              <w:rPr>
                <w:color w:val="000000"/>
              </w:rPr>
              <w:t>0.01</w:t>
            </w:r>
          </w:p>
        </w:tc>
        <w:tc>
          <w:tcPr>
            <w:tcW w:w="709" w:type="dxa"/>
            <w:shd w:val="clear" w:color="auto" w:fill="auto"/>
            <w:vAlign w:val="bottom"/>
          </w:tcPr>
          <w:p w:rsidR="00812A90" w:rsidRPr="004F4F71" w:rsidRDefault="00812A90" w:rsidP="001651E1">
            <w:pPr>
              <w:jc w:val="center"/>
            </w:pPr>
            <w:r w:rsidRPr="004F4F71">
              <w:rPr>
                <w:color w:val="000000"/>
              </w:rPr>
              <w:t>0.57</w:t>
            </w:r>
          </w:p>
        </w:tc>
        <w:tc>
          <w:tcPr>
            <w:tcW w:w="709" w:type="dxa"/>
            <w:shd w:val="clear" w:color="auto" w:fill="auto"/>
            <w:vAlign w:val="bottom"/>
          </w:tcPr>
          <w:p w:rsidR="00812A90" w:rsidRPr="004F4F71" w:rsidRDefault="00812A90" w:rsidP="001651E1">
            <w:pPr>
              <w:jc w:val="center"/>
            </w:pPr>
            <w:r w:rsidRPr="004F4F71">
              <w:rPr>
                <w:color w:val="000000"/>
              </w:rPr>
              <w:t>0.01</w:t>
            </w:r>
          </w:p>
        </w:tc>
        <w:tc>
          <w:tcPr>
            <w:tcW w:w="709" w:type="dxa"/>
            <w:shd w:val="clear" w:color="auto" w:fill="auto"/>
            <w:vAlign w:val="bottom"/>
          </w:tcPr>
          <w:p w:rsidR="00812A90" w:rsidRPr="004F4F71" w:rsidRDefault="00812A90" w:rsidP="001651E1">
            <w:pPr>
              <w:jc w:val="center"/>
            </w:pPr>
            <w:r w:rsidRPr="004F4F71">
              <w:rPr>
                <w:color w:val="000000"/>
              </w:rPr>
              <w:t>-0.04</w:t>
            </w:r>
          </w:p>
        </w:tc>
        <w:tc>
          <w:tcPr>
            <w:tcW w:w="708" w:type="dxa"/>
            <w:shd w:val="clear" w:color="auto" w:fill="auto"/>
            <w:vAlign w:val="bottom"/>
          </w:tcPr>
          <w:p w:rsidR="00812A90" w:rsidRPr="004F4F71" w:rsidRDefault="00812A90" w:rsidP="001651E1">
            <w:pPr>
              <w:jc w:val="center"/>
            </w:pPr>
            <w:r w:rsidRPr="004F4F71">
              <w:rPr>
                <w:color w:val="000000"/>
              </w:rPr>
              <w:t>0.82</w:t>
            </w:r>
          </w:p>
        </w:tc>
        <w:tc>
          <w:tcPr>
            <w:tcW w:w="709" w:type="dxa"/>
            <w:vAlign w:val="bottom"/>
          </w:tcPr>
          <w:p w:rsidR="00812A90" w:rsidRPr="004F4F71" w:rsidRDefault="00812A90" w:rsidP="001651E1">
            <w:pPr>
              <w:jc w:val="center"/>
            </w:pPr>
            <w:r w:rsidRPr="004F4F71">
              <w:rPr>
                <w:color w:val="000000"/>
              </w:rPr>
              <w:t>0.13</w:t>
            </w:r>
          </w:p>
        </w:tc>
        <w:tc>
          <w:tcPr>
            <w:tcW w:w="709" w:type="dxa"/>
            <w:vAlign w:val="bottom"/>
          </w:tcPr>
          <w:p w:rsidR="00812A90" w:rsidRPr="004F4F71" w:rsidRDefault="00812A90" w:rsidP="001651E1">
            <w:pPr>
              <w:jc w:val="center"/>
            </w:pPr>
            <w:r w:rsidRPr="004F4F71">
              <w:rPr>
                <w:color w:val="000000"/>
              </w:rPr>
              <w:t>0.52</w:t>
            </w:r>
          </w:p>
        </w:tc>
        <w:tc>
          <w:tcPr>
            <w:tcW w:w="709" w:type="dxa"/>
            <w:vAlign w:val="bottom"/>
          </w:tcPr>
          <w:p w:rsidR="00812A90" w:rsidRPr="004F4F71" w:rsidRDefault="00812A90" w:rsidP="001651E1">
            <w:pPr>
              <w:jc w:val="center"/>
            </w:pPr>
            <w:r w:rsidRPr="004F4F71">
              <w:rPr>
                <w:color w:val="000000"/>
              </w:rPr>
              <w:t>0.18</w:t>
            </w:r>
          </w:p>
        </w:tc>
        <w:tc>
          <w:tcPr>
            <w:tcW w:w="567" w:type="dxa"/>
            <w:vAlign w:val="bottom"/>
          </w:tcPr>
          <w:p w:rsidR="00812A90" w:rsidRPr="001651E1" w:rsidRDefault="00812A90" w:rsidP="001651E1">
            <w:pPr>
              <w:jc w:val="center"/>
            </w:pPr>
            <w:r w:rsidRPr="001651E1">
              <w:rPr>
                <w:color w:val="000000"/>
              </w:rPr>
              <w:t>0.37</w:t>
            </w:r>
          </w:p>
        </w:tc>
        <w:tc>
          <w:tcPr>
            <w:tcW w:w="661" w:type="dxa"/>
            <w:vAlign w:val="bottom"/>
          </w:tcPr>
          <w:p w:rsidR="00812A90" w:rsidRPr="001651E1" w:rsidRDefault="00812A90" w:rsidP="001651E1">
            <w:pPr>
              <w:jc w:val="center"/>
            </w:pPr>
            <w:r w:rsidRPr="001651E1">
              <w:rPr>
                <w:color w:val="000000"/>
              </w:rPr>
              <w:t>0.18</w:t>
            </w:r>
          </w:p>
        </w:tc>
        <w:tc>
          <w:tcPr>
            <w:tcW w:w="614" w:type="dxa"/>
            <w:vAlign w:val="bottom"/>
          </w:tcPr>
          <w:p w:rsidR="00812A90" w:rsidRPr="001651E1" w:rsidRDefault="00812A90" w:rsidP="001651E1">
            <w:pPr>
              <w:jc w:val="center"/>
            </w:pPr>
            <w:r w:rsidRPr="001651E1">
              <w:rPr>
                <w:color w:val="000000"/>
              </w:rPr>
              <w:t>0.35</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4</w:t>
            </w:r>
          </w:p>
        </w:tc>
        <w:tc>
          <w:tcPr>
            <w:tcW w:w="709" w:type="dxa"/>
            <w:vAlign w:val="bottom"/>
          </w:tcPr>
          <w:p w:rsidR="00812A90" w:rsidRPr="001651E1" w:rsidRDefault="00812A90" w:rsidP="001651E1">
            <w:pPr>
              <w:jc w:val="center"/>
            </w:pPr>
            <w:r w:rsidRPr="001651E1">
              <w:rPr>
                <w:color w:val="000000"/>
              </w:rPr>
              <w:t>-0.41</w:t>
            </w:r>
          </w:p>
        </w:tc>
        <w:tc>
          <w:tcPr>
            <w:tcW w:w="708" w:type="dxa"/>
            <w:vAlign w:val="bottom"/>
          </w:tcPr>
          <w:p w:rsidR="00812A90" w:rsidRPr="004F4F71" w:rsidRDefault="00812A90" w:rsidP="001651E1">
            <w:pPr>
              <w:jc w:val="center"/>
            </w:pPr>
            <w:r w:rsidRPr="004F4F71">
              <w:rPr>
                <w:color w:val="000000"/>
              </w:rPr>
              <w:t>0.04</w:t>
            </w:r>
          </w:p>
        </w:tc>
        <w:tc>
          <w:tcPr>
            <w:tcW w:w="709" w:type="dxa"/>
            <w:vAlign w:val="bottom"/>
          </w:tcPr>
          <w:p w:rsidR="00812A90" w:rsidRPr="004F4F71" w:rsidRDefault="00812A90" w:rsidP="001651E1">
            <w:pPr>
              <w:jc w:val="center"/>
            </w:pPr>
            <w:r w:rsidRPr="004F4F71">
              <w:rPr>
                <w:color w:val="000000"/>
              </w:rPr>
              <w:t>-0.21</w:t>
            </w:r>
          </w:p>
        </w:tc>
        <w:tc>
          <w:tcPr>
            <w:tcW w:w="709" w:type="dxa"/>
            <w:vAlign w:val="bottom"/>
          </w:tcPr>
          <w:p w:rsidR="00812A90" w:rsidRPr="004F4F71" w:rsidRDefault="00812A90" w:rsidP="001651E1">
            <w:pPr>
              <w:jc w:val="center"/>
            </w:pPr>
            <w:r w:rsidRPr="004F4F71">
              <w:rPr>
                <w:color w:val="000000"/>
              </w:rPr>
              <w:t>0.28</w:t>
            </w:r>
          </w:p>
        </w:tc>
        <w:tc>
          <w:tcPr>
            <w:tcW w:w="709" w:type="dxa"/>
            <w:vAlign w:val="bottom"/>
          </w:tcPr>
          <w:p w:rsidR="00812A90" w:rsidRPr="004F4F71" w:rsidRDefault="00812A90" w:rsidP="001651E1">
            <w:pPr>
              <w:jc w:val="center"/>
            </w:pPr>
            <w:r w:rsidRPr="004F4F71">
              <w:rPr>
                <w:color w:val="000000"/>
              </w:rPr>
              <w:t>-0.03</w:t>
            </w:r>
          </w:p>
        </w:tc>
        <w:tc>
          <w:tcPr>
            <w:tcW w:w="708" w:type="dxa"/>
            <w:vAlign w:val="bottom"/>
          </w:tcPr>
          <w:p w:rsidR="00812A90" w:rsidRPr="004F4F71" w:rsidRDefault="00812A90" w:rsidP="001651E1">
            <w:pPr>
              <w:jc w:val="center"/>
            </w:pPr>
            <w:r w:rsidRPr="004F4F71">
              <w:rPr>
                <w:color w:val="000000"/>
              </w:rPr>
              <w:t>0.88</w:t>
            </w:r>
          </w:p>
        </w:tc>
        <w:tc>
          <w:tcPr>
            <w:tcW w:w="709" w:type="dxa"/>
            <w:vAlign w:val="bottom"/>
          </w:tcPr>
          <w:p w:rsidR="00812A90" w:rsidRPr="004F4F71" w:rsidRDefault="00812A90" w:rsidP="001651E1">
            <w:pPr>
              <w:jc w:val="center"/>
            </w:pPr>
            <w:r w:rsidRPr="004F4F71">
              <w:rPr>
                <w:color w:val="000000"/>
              </w:rPr>
              <w:t>-0.13</w:t>
            </w:r>
          </w:p>
        </w:tc>
        <w:tc>
          <w:tcPr>
            <w:tcW w:w="709" w:type="dxa"/>
            <w:vAlign w:val="bottom"/>
          </w:tcPr>
          <w:p w:rsidR="00812A90" w:rsidRPr="004F4F71" w:rsidRDefault="00812A90" w:rsidP="001651E1">
            <w:pPr>
              <w:jc w:val="center"/>
            </w:pPr>
            <w:r w:rsidRPr="004F4F71">
              <w:rPr>
                <w:color w:val="000000"/>
              </w:rPr>
              <w:t>0.52</w:t>
            </w:r>
          </w:p>
        </w:tc>
        <w:tc>
          <w:tcPr>
            <w:tcW w:w="709" w:type="dxa"/>
            <w:vAlign w:val="bottom"/>
          </w:tcPr>
          <w:p w:rsidR="00812A90" w:rsidRPr="004F4F71" w:rsidRDefault="00812A90" w:rsidP="001651E1">
            <w:pPr>
              <w:jc w:val="center"/>
            </w:pPr>
            <w:r w:rsidRPr="004F4F71">
              <w:rPr>
                <w:color w:val="000000"/>
              </w:rPr>
              <w:t>-0.13</w:t>
            </w:r>
          </w:p>
        </w:tc>
        <w:tc>
          <w:tcPr>
            <w:tcW w:w="567" w:type="dxa"/>
            <w:vAlign w:val="bottom"/>
          </w:tcPr>
          <w:p w:rsidR="00812A90" w:rsidRPr="001651E1" w:rsidRDefault="00812A90" w:rsidP="001651E1">
            <w:pPr>
              <w:jc w:val="center"/>
            </w:pPr>
            <w:r w:rsidRPr="001651E1">
              <w:rPr>
                <w:color w:val="000000"/>
              </w:rPr>
              <w:t>0.52</w:t>
            </w:r>
          </w:p>
        </w:tc>
        <w:tc>
          <w:tcPr>
            <w:tcW w:w="661" w:type="dxa"/>
            <w:vAlign w:val="bottom"/>
          </w:tcPr>
          <w:p w:rsidR="00812A90" w:rsidRPr="001651E1" w:rsidRDefault="00812A90" w:rsidP="001651E1">
            <w:pPr>
              <w:jc w:val="center"/>
            </w:pPr>
            <w:r w:rsidRPr="001651E1">
              <w:rPr>
                <w:color w:val="000000"/>
              </w:rPr>
              <w:t>-0.02</w:t>
            </w:r>
          </w:p>
        </w:tc>
        <w:tc>
          <w:tcPr>
            <w:tcW w:w="614" w:type="dxa"/>
            <w:vAlign w:val="bottom"/>
          </w:tcPr>
          <w:p w:rsidR="00812A90" w:rsidRPr="001651E1" w:rsidRDefault="00812A90" w:rsidP="001651E1">
            <w:pPr>
              <w:jc w:val="center"/>
            </w:pPr>
            <w:r w:rsidRPr="001651E1">
              <w:rPr>
                <w:color w:val="000000"/>
              </w:rPr>
              <w:t>0.93</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5</w:t>
            </w:r>
          </w:p>
        </w:tc>
        <w:tc>
          <w:tcPr>
            <w:tcW w:w="709" w:type="dxa"/>
            <w:vAlign w:val="bottom"/>
          </w:tcPr>
          <w:p w:rsidR="00812A90" w:rsidRPr="001651E1" w:rsidRDefault="00812A90" w:rsidP="001651E1">
            <w:pPr>
              <w:jc w:val="center"/>
            </w:pPr>
            <w:r w:rsidRPr="001651E1">
              <w:rPr>
                <w:color w:val="000000"/>
              </w:rPr>
              <w:t>-0.33</w:t>
            </w:r>
          </w:p>
        </w:tc>
        <w:tc>
          <w:tcPr>
            <w:tcW w:w="708" w:type="dxa"/>
            <w:vAlign w:val="bottom"/>
          </w:tcPr>
          <w:p w:rsidR="00812A90" w:rsidRPr="004F4F71" w:rsidRDefault="00812A90" w:rsidP="001651E1">
            <w:pPr>
              <w:jc w:val="center"/>
            </w:pPr>
            <w:r w:rsidRPr="004F4F71">
              <w:rPr>
                <w:color w:val="000000"/>
              </w:rPr>
              <w:t>0.11</w:t>
            </w:r>
          </w:p>
        </w:tc>
        <w:tc>
          <w:tcPr>
            <w:tcW w:w="709" w:type="dxa"/>
            <w:vAlign w:val="bottom"/>
          </w:tcPr>
          <w:p w:rsidR="00812A90" w:rsidRPr="004F4F71" w:rsidRDefault="00812A90" w:rsidP="001651E1">
            <w:pPr>
              <w:jc w:val="center"/>
            </w:pPr>
            <w:r w:rsidRPr="004F4F71">
              <w:rPr>
                <w:color w:val="000000"/>
              </w:rPr>
              <w:t>-0.18</w:t>
            </w:r>
          </w:p>
        </w:tc>
        <w:tc>
          <w:tcPr>
            <w:tcW w:w="709" w:type="dxa"/>
            <w:vAlign w:val="bottom"/>
          </w:tcPr>
          <w:p w:rsidR="00812A90" w:rsidRPr="004F4F71" w:rsidRDefault="00812A90" w:rsidP="001651E1">
            <w:pPr>
              <w:jc w:val="center"/>
            </w:pPr>
            <w:r w:rsidRPr="004F4F71">
              <w:rPr>
                <w:color w:val="000000"/>
              </w:rPr>
              <w:t>0.36</w:t>
            </w:r>
          </w:p>
        </w:tc>
        <w:tc>
          <w:tcPr>
            <w:tcW w:w="709" w:type="dxa"/>
            <w:vAlign w:val="bottom"/>
          </w:tcPr>
          <w:p w:rsidR="00812A90" w:rsidRPr="004F4F71" w:rsidRDefault="00812A90" w:rsidP="001651E1">
            <w:pPr>
              <w:jc w:val="center"/>
            </w:pPr>
            <w:r w:rsidRPr="004F4F71">
              <w:rPr>
                <w:color w:val="000000"/>
              </w:rPr>
              <w:t>0.33</w:t>
            </w:r>
          </w:p>
        </w:tc>
        <w:tc>
          <w:tcPr>
            <w:tcW w:w="708" w:type="dxa"/>
            <w:vAlign w:val="bottom"/>
          </w:tcPr>
          <w:p w:rsidR="00812A90" w:rsidRPr="004F4F71" w:rsidRDefault="00812A90" w:rsidP="001651E1">
            <w:pPr>
              <w:jc w:val="center"/>
            </w:pPr>
            <w:r w:rsidRPr="004F4F71">
              <w:rPr>
                <w:color w:val="000000"/>
              </w:rPr>
              <w:t>0.08</w:t>
            </w:r>
          </w:p>
        </w:tc>
        <w:tc>
          <w:tcPr>
            <w:tcW w:w="709" w:type="dxa"/>
            <w:vAlign w:val="bottom"/>
          </w:tcPr>
          <w:p w:rsidR="00812A90" w:rsidRPr="004F4F71" w:rsidRDefault="00812A90" w:rsidP="001651E1">
            <w:pPr>
              <w:jc w:val="center"/>
            </w:pPr>
            <w:r w:rsidRPr="004F4F71">
              <w:rPr>
                <w:color w:val="000000"/>
              </w:rPr>
              <w:t>0.05</w:t>
            </w:r>
          </w:p>
        </w:tc>
        <w:tc>
          <w:tcPr>
            <w:tcW w:w="709" w:type="dxa"/>
            <w:vAlign w:val="bottom"/>
          </w:tcPr>
          <w:p w:rsidR="00812A90" w:rsidRPr="004F4F71" w:rsidRDefault="00812A90" w:rsidP="001651E1">
            <w:pPr>
              <w:jc w:val="center"/>
            </w:pPr>
            <w:r w:rsidRPr="004F4F71">
              <w:rPr>
                <w:color w:val="000000"/>
              </w:rPr>
              <w:t>0.82</w:t>
            </w:r>
          </w:p>
        </w:tc>
        <w:tc>
          <w:tcPr>
            <w:tcW w:w="709" w:type="dxa"/>
            <w:vAlign w:val="bottom"/>
          </w:tcPr>
          <w:p w:rsidR="00812A90" w:rsidRPr="004F4F71" w:rsidRDefault="00812A90" w:rsidP="001651E1">
            <w:pPr>
              <w:jc w:val="center"/>
            </w:pPr>
            <w:r w:rsidRPr="004F4F71">
              <w:rPr>
                <w:color w:val="000000"/>
              </w:rPr>
              <w:t>-0.04</w:t>
            </w:r>
          </w:p>
        </w:tc>
        <w:tc>
          <w:tcPr>
            <w:tcW w:w="567" w:type="dxa"/>
            <w:vAlign w:val="bottom"/>
          </w:tcPr>
          <w:p w:rsidR="00812A90" w:rsidRPr="001651E1" w:rsidRDefault="00812A90" w:rsidP="001651E1">
            <w:pPr>
              <w:jc w:val="center"/>
            </w:pPr>
            <w:r w:rsidRPr="001651E1">
              <w:rPr>
                <w:color w:val="000000"/>
              </w:rPr>
              <w:t>0.83</w:t>
            </w:r>
          </w:p>
        </w:tc>
        <w:tc>
          <w:tcPr>
            <w:tcW w:w="661" w:type="dxa"/>
            <w:vAlign w:val="bottom"/>
          </w:tcPr>
          <w:p w:rsidR="00812A90" w:rsidRPr="001651E1" w:rsidRDefault="00812A90" w:rsidP="001651E1">
            <w:pPr>
              <w:jc w:val="center"/>
            </w:pPr>
            <w:r w:rsidRPr="001651E1">
              <w:rPr>
                <w:color w:val="000000"/>
              </w:rPr>
              <w:t>0.11</w:t>
            </w:r>
          </w:p>
        </w:tc>
        <w:tc>
          <w:tcPr>
            <w:tcW w:w="614" w:type="dxa"/>
            <w:vAlign w:val="bottom"/>
          </w:tcPr>
          <w:p w:rsidR="00812A90" w:rsidRPr="001651E1" w:rsidRDefault="00812A90" w:rsidP="001651E1">
            <w:pPr>
              <w:jc w:val="center"/>
            </w:pPr>
            <w:r w:rsidRPr="001651E1">
              <w:rPr>
                <w:color w:val="000000"/>
              </w:rPr>
              <w:t>0.58</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6</w:t>
            </w:r>
          </w:p>
        </w:tc>
        <w:tc>
          <w:tcPr>
            <w:tcW w:w="709" w:type="dxa"/>
            <w:vAlign w:val="bottom"/>
          </w:tcPr>
          <w:p w:rsidR="00812A90" w:rsidRPr="001651E1" w:rsidRDefault="00812A90" w:rsidP="001651E1">
            <w:pPr>
              <w:jc w:val="center"/>
            </w:pPr>
            <w:r w:rsidRPr="001651E1">
              <w:rPr>
                <w:color w:val="000000"/>
              </w:rPr>
              <w:t>-0.36</w:t>
            </w:r>
          </w:p>
        </w:tc>
        <w:tc>
          <w:tcPr>
            <w:tcW w:w="708" w:type="dxa"/>
            <w:vAlign w:val="bottom"/>
          </w:tcPr>
          <w:p w:rsidR="00812A90" w:rsidRPr="004F4F71" w:rsidRDefault="00812A90" w:rsidP="001651E1">
            <w:pPr>
              <w:jc w:val="center"/>
            </w:pPr>
            <w:r w:rsidRPr="004F4F71">
              <w:rPr>
                <w:color w:val="000000"/>
              </w:rPr>
              <w:t>0.08</w:t>
            </w:r>
          </w:p>
        </w:tc>
        <w:tc>
          <w:tcPr>
            <w:tcW w:w="709" w:type="dxa"/>
            <w:vAlign w:val="bottom"/>
          </w:tcPr>
          <w:p w:rsidR="00812A90" w:rsidRPr="004F4F71" w:rsidRDefault="00812A90" w:rsidP="001651E1">
            <w:pPr>
              <w:jc w:val="center"/>
            </w:pPr>
            <w:r w:rsidRPr="004F4F71">
              <w:rPr>
                <w:color w:val="000000"/>
              </w:rPr>
              <w:t>-0.31</w:t>
            </w:r>
          </w:p>
        </w:tc>
        <w:tc>
          <w:tcPr>
            <w:tcW w:w="709" w:type="dxa"/>
            <w:vAlign w:val="bottom"/>
          </w:tcPr>
          <w:p w:rsidR="00812A90" w:rsidRPr="004F4F71" w:rsidRDefault="00812A90" w:rsidP="001651E1">
            <w:pPr>
              <w:jc w:val="center"/>
            </w:pPr>
            <w:r w:rsidRPr="004F4F71">
              <w:rPr>
                <w:color w:val="000000"/>
              </w:rPr>
              <w:t>0.11</w:t>
            </w:r>
          </w:p>
        </w:tc>
        <w:tc>
          <w:tcPr>
            <w:tcW w:w="709" w:type="dxa"/>
            <w:vAlign w:val="bottom"/>
          </w:tcPr>
          <w:p w:rsidR="00812A90" w:rsidRPr="004F4F71" w:rsidRDefault="00812A90" w:rsidP="001651E1">
            <w:pPr>
              <w:jc w:val="center"/>
            </w:pPr>
            <w:r w:rsidRPr="004F4F71">
              <w:rPr>
                <w:color w:val="000000"/>
              </w:rPr>
              <w:t>0.10</w:t>
            </w:r>
          </w:p>
        </w:tc>
        <w:tc>
          <w:tcPr>
            <w:tcW w:w="708" w:type="dxa"/>
            <w:vAlign w:val="bottom"/>
          </w:tcPr>
          <w:p w:rsidR="00812A90" w:rsidRPr="004F4F71" w:rsidRDefault="00812A90" w:rsidP="001651E1">
            <w:pPr>
              <w:jc w:val="center"/>
            </w:pPr>
            <w:r w:rsidRPr="004F4F71">
              <w:rPr>
                <w:color w:val="000000"/>
              </w:rPr>
              <w:t>0.60</w:t>
            </w:r>
          </w:p>
        </w:tc>
        <w:tc>
          <w:tcPr>
            <w:tcW w:w="709" w:type="dxa"/>
            <w:vAlign w:val="bottom"/>
          </w:tcPr>
          <w:p w:rsidR="00812A90" w:rsidRPr="004F4F71" w:rsidRDefault="00812A90" w:rsidP="001651E1">
            <w:pPr>
              <w:jc w:val="center"/>
            </w:pPr>
            <w:r w:rsidRPr="004F4F71">
              <w:rPr>
                <w:color w:val="000000"/>
              </w:rPr>
              <w:t>0.43</w:t>
            </w:r>
          </w:p>
        </w:tc>
        <w:tc>
          <w:tcPr>
            <w:tcW w:w="709" w:type="dxa"/>
            <w:vAlign w:val="bottom"/>
          </w:tcPr>
          <w:p w:rsidR="00812A90" w:rsidRPr="004F4F71" w:rsidRDefault="00812A90" w:rsidP="001651E1">
            <w:pPr>
              <w:jc w:val="center"/>
            </w:pPr>
            <w:r w:rsidRPr="004F4F71">
              <w:rPr>
                <w:color w:val="000000"/>
              </w:rPr>
              <w:t>0.02</w:t>
            </w:r>
          </w:p>
        </w:tc>
        <w:tc>
          <w:tcPr>
            <w:tcW w:w="709" w:type="dxa"/>
            <w:vAlign w:val="bottom"/>
          </w:tcPr>
          <w:p w:rsidR="00812A90" w:rsidRPr="004F4F71" w:rsidRDefault="00812A90" w:rsidP="001651E1">
            <w:pPr>
              <w:jc w:val="center"/>
            </w:pPr>
            <w:r w:rsidRPr="004F4F71">
              <w:rPr>
                <w:color w:val="000000"/>
              </w:rPr>
              <w:t>-0.08</w:t>
            </w:r>
          </w:p>
        </w:tc>
        <w:tc>
          <w:tcPr>
            <w:tcW w:w="567" w:type="dxa"/>
            <w:vAlign w:val="bottom"/>
          </w:tcPr>
          <w:p w:rsidR="00812A90" w:rsidRPr="001651E1" w:rsidRDefault="00812A90" w:rsidP="001651E1">
            <w:pPr>
              <w:jc w:val="center"/>
            </w:pPr>
            <w:r w:rsidRPr="001651E1">
              <w:rPr>
                <w:color w:val="000000"/>
              </w:rPr>
              <w:t>0.69</w:t>
            </w:r>
          </w:p>
        </w:tc>
        <w:tc>
          <w:tcPr>
            <w:tcW w:w="661" w:type="dxa"/>
            <w:vAlign w:val="bottom"/>
          </w:tcPr>
          <w:p w:rsidR="00812A90" w:rsidRPr="001651E1" w:rsidRDefault="00812A90" w:rsidP="001651E1">
            <w:pPr>
              <w:jc w:val="center"/>
            </w:pPr>
            <w:r w:rsidRPr="001651E1">
              <w:rPr>
                <w:color w:val="000000"/>
              </w:rPr>
              <w:t>0.08</w:t>
            </w:r>
          </w:p>
        </w:tc>
        <w:tc>
          <w:tcPr>
            <w:tcW w:w="614" w:type="dxa"/>
            <w:vAlign w:val="bottom"/>
          </w:tcPr>
          <w:p w:rsidR="00812A90" w:rsidRPr="001651E1" w:rsidRDefault="00812A90" w:rsidP="001651E1">
            <w:pPr>
              <w:jc w:val="center"/>
            </w:pPr>
            <w:r w:rsidRPr="001651E1">
              <w:rPr>
                <w:color w:val="000000"/>
              </w:rPr>
              <w:t>0.68</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7</w:t>
            </w:r>
          </w:p>
        </w:tc>
        <w:tc>
          <w:tcPr>
            <w:tcW w:w="709" w:type="dxa"/>
            <w:vAlign w:val="bottom"/>
          </w:tcPr>
          <w:p w:rsidR="00812A90" w:rsidRPr="001651E1" w:rsidRDefault="00812A90" w:rsidP="001651E1">
            <w:pPr>
              <w:jc w:val="center"/>
            </w:pPr>
            <w:r w:rsidRPr="001651E1">
              <w:rPr>
                <w:color w:val="000000"/>
              </w:rPr>
              <w:t>-0.20</w:t>
            </w:r>
          </w:p>
        </w:tc>
        <w:tc>
          <w:tcPr>
            <w:tcW w:w="708" w:type="dxa"/>
            <w:vAlign w:val="bottom"/>
          </w:tcPr>
          <w:p w:rsidR="00812A90" w:rsidRPr="004F4F71" w:rsidRDefault="00812A90" w:rsidP="001651E1">
            <w:pPr>
              <w:jc w:val="center"/>
            </w:pPr>
            <w:r w:rsidRPr="004F4F71">
              <w:rPr>
                <w:color w:val="000000"/>
              </w:rPr>
              <w:t>0.34</w:t>
            </w:r>
          </w:p>
        </w:tc>
        <w:tc>
          <w:tcPr>
            <w:tcW w:w="709" w:type="dxa"/>
            <w:vAlign w:val="bottom"/>
          </w:tcPr>
          <w:p w:rsidR="00812A90" w:rsidRPr="004F4F71" w:rsidRDefault="00812A90" w:rsidP="001651E1">
            <w:pPr>
              <w:jc w:val="center"/>
            </w:pPr>
            <w:r w:rsidRPr="004F4F71">
              <w:rPr>
                <w:color w:val="000000"/>
              </w:rPr>
              <w:t>-0.28</w:t>
            </w:r>
          </w:p>
        </w:tc>
        <w:tc>
          <w:tcPr>
            <w:tcW w:w="709" w:type="dxa"/>
            <w:vAlign w:val="bottom"/>
          </w:tcPr>
          <w:p w:rsidR="00812A90" w:rsidRPr="004F4F71" w:rsidRDefault="00812A90" w:rsidP="001651E1">
            <w:pPr>
              <w:jc w:val="center"/>
            </w:pPr>
            <w:r w:rsidRPr="004F4F71">
              <w:rPr>
                <w:color w:val="000000"/>
              </w:rPr>
              <w:t>0.14</w:t>
            </w:r>
          </w:p>
        </w:tc>
        <w:tc>
          <w:tcPr>
            <w:tcW w:w="709" w:type="dxa"/>
            <w:vAlign w:val="bottom"/>
          </w:tcPr>
          <w:p w:rsidR="00812A90" w:rsidRPr="004F4F71" w:rsidRDefault="00812A90" w:rsidP="001651E1">
            <w:pPr>
              <w:jc w:val="center"/>
            </w:pPr>
            <w:r w:rsidRPr="004F4F71">
              <w:rPr>
                <w:color w:val="000000"/>
              </w:rPr>
              <w:t>0.04</w:t>
            </w:r>
          </w:p>
        </w:tc>
        <w:tc>
          <w:tcPr>
            <w:tcW w:w="708" w:type="dxa"/>
            <w:vAlign w:val="bottom"/>
          </w:tcPr>
          <w:p w:rsidR="00812A90" w:rsidRPr="004F4F71" w:rsidRDefault="00812A90" w:rsidP="001651E1">
            <w:pPr>
              <w:jc w:val="center"/>
            </w:pPr>
            <w:r w:rsidRPr="004F4F71">
              <w:rPr>
                <w:color w:val="000000"/>
              </w:rPr>
              <w:t>0.86</w:t>
            </w:r>
          </w:p>
        </w:tc>
        <w:tc>
          <w:tcPr>
            <w:tcW w:w="709" w:type="dxa"/>
            <w:vAlign w:val="bottom"/>
          </w:tcPr>
          <w:p w:rsidR="00812A90" w:rsidRPr="004F4F71" w:rsidRDefault="00812A90" w:rsidP="001651E1">
            <w:pPr>
              <w:jc w:val="center"/>
            </w:pPr>
            <w:r w:rsidRPr="004F4F71">
              <w:rPr>
                <w:color w:val="000000"/>
              </w:rPr>
              <w:t>0.29</w:t>
            </w:r>
          </w:p>
        </w:tc>
        <w:tc>
          <w:tcPr>
            <w:tcW w:w="709" w:type="dxa"/>
            <w:vAlign w:val="bottom"/>
          </w:tcPr>
          <w:p w:rsidR="00812A90" w:rsidRPr="004F4F71" w:rsidRDefault="00812A90" w:rsidP="001651E1">
            <w:pPr>
              <w:jc w:val="center"/>
            </w:pPr>
            <w:r w:rsidRPr="004F4F71">
              <w:rPr>
                <w:color w:val="000000"/>
              </w:rPr>
              <w:t>0.13</w:t>
            </w:r>
          </w:p>
        </w:tc>
        <w:tc>
          <w:tcPr>
            <w:tcW w:w="709" w:type="dxa"/>
            <w:vAlign w:val="bottom"/>
          </w:tcPr>
          <w:p w:rsidR="00812A90" w:rsidRPr="004F4F71" w:rsidRDefault="00812A90" w:rsidP="001651E1">
            <w:pPr>
              <w:jc w:val="center"/>
            </w:pPr>
            <w:r w:rsidRPr="004F4F71">
              <w:rPr>
                <w:color w:val="000000"/>
              </w:rPr>
              <w:t>0.16</w:t>
            </w:r>
          </w:p>
        </w:tc>
        <w:tc>
          <w:tcPr>
            <w:tcW w:w="567" w:type="dxa"/>
            <w:vAlign w:val="bottom"/>
          </w:tcPr>
          <w:p w:rsidR="00812A90" w:rsidRPr="001651E1" w:rsidRDefault="00812A90" w:rsidP="001651E1">
            <w:pPr>
              <w:jc w:val="center"/>
            </w:pPr>
            <w:r w:rsidRPr="001651E1">
              <w:rPr>
                <w:color w:val="000000"/>
              </w:rPr>
              <w:t>0.42</w:t>
            </w:r>
          </w:p>
        </w:tc>
        <w:tc>
          <w:tcPr>
            <w:tcW w:w="661" w:type="dxa"/>
            <w:vAlign w:val="bottom"/>
          </w:tcPr>
          <w:p w:rsidR="00812A90" w:rsidRPr="001651E1" w:rsidRDefault="00812A90" w:rsidP="001651E1">
            <w:pPr>
              <w:jc w:val="center"/>
            </w:pPr>
            <w:r w:rsidRPr="001651E1">
              <w:rPr>
                <w:color w:val="000000"/>
              </w:rPr>
              <w:t>0.08</w:t>
            </w:r>
          </w:p>
        </w:tc>
        <w:tc>
          <w:tcPr>
            <w:tcW w:w="614" w:type="dxa"/>
            <w:vAlign w:val="bottom"/>
          </w:tcPr>
          <w:p w:rsidR="00812A90" w:rsidRPr="001651E1" w:rsidRDefault="00812A90" w:rsidP="001651E1">
            <w:pPr>
              <w:jc w:val="center"/>
            </w:pPr>
            <w:r w:rsidRPr="001651E1">
              <w:rPr>
                <w:color w:val="000000"/>
              </w:rPr>
              <w:t>0.68</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8</w:t>
            </w:r>
          </w:p>
        </w:tc>
        <w:tc>
          <w:tcPr>
            <w:tcW w:w="709" w:type="dxa"/>
            <w:vAlign w:val="bottom"/>
          </w:tcPr>
          <w:p w:rsidR="00812A90" w:rsidRPr="001651E1" w:rsidRDefault="00812A90" w:rsidP="001651E1">
            <w:pPr>
              <w:jc w:val="center"/>
            </w:pPr>
            <w:r w:rsidRPr="001651E1">
              <w:rPr>
                <w:color w:val="000000"/>
              </w:rPr>
              <w:t>0.16</w:t>
            </w:r>
          </w:p>
        </w:tc>
        <w:tc>
          <w:tcPr>
            <w:tcW w:w="708" w:type="dxa"/>
            <w:vAlign w:val="bottom"/>
          </w:tcPr>
          <w:p w:rsidR="00812A90" w:rsidRPr="004F4F71" w:rsidRDefault="00812A90" w:rsidP="001651E1">
            <w:pPr>
              <w:jc w:val="center"/>
            </w:pPr>
            <w:r w:rsidRPr="004F4F71">
              <w:rPr>
                <w:color w:val="000000"/>
              </w:rPr>
              <w:t>0.46</w:t>
            </w:r>
          </w:p>
        </w:tc>
        <w:tc>
          <w:tcPr>
            <w:tcW w:w="709" w:type="dxa"/>
            <w:vAlign w:val="bottom"/>
          </w:tcPr>
          <w:p w:rsidR="00812A90" w:rsidRPr="004F4F71" w:rsidRDefault="00812A90" w:rsidP="001651E1">
            <w:pPr>
              <w:jc w:val="center"/>
            </w:pPr>
            <w:r w:rsidRPr="004F4F71">
              <w:rPr>
                <w:color w:val="000000"/>
              </w:rPr>
              <w:t>0.30</w:t>
            </w:r>
          </w:p>
        </w:tc>
        <w:tc>
          <w:tcPr>
            <w:tcW w:w="709" w:type="dxa"/>
            <w:vAlign w:val="bottom"/>
          </w:tcPr>
          <w:p w:rsidR="00812A90" w:rsidRPr="004F4F71" w:rsidRDefault="00812A90" w:rsidP="001651E1">
            <w:pPr>
              <w:jc w:val="center"/>
            </w:pPr>
            <w:r w:rsidRPr="004F4F71">
              <w:rPr>
                <w:color w:val="000000"/>
              </w:rPr>
              <w:t>0.12</w:t>
            </w:r>
          </w:p>
        </w:tc>
        <w:tc>
          <w:tcPr>
            <w:tcW w:w="709" w:type="dxa"/>
            <w:vAlign w:val="bottom"/>
          </w:tcPr>
          <w:p w:rsidR="00812A90" w:rsidRPr="004F4F71" w:rsidRDefault="00812A90" w:rsidP="001651E1">
            <w:pPr>
              <w:jc w:val="center"/>
            </w:pPr>
            <w:r w:rsidRPr="004F4F71">
              <w:rPr>
                <w:color w:val="000000"/>
              </w:rPr>
              <w:t>0.19</w:t>
            </w:r>
          </w:p>
        </w:tc>
        <w:tc>
          <w:tcPr>
            <w:tcW w:w="708" w:type="dxa"/>
            <w:vAlign w:val="bottom"/>
          </w:tcPr>
          <w:p w:rsidR="00812A90" w:rsidRPr="004F4F71" w:rsidRDefault="00812A90" w:rsidP="001651E1">
            <w:pPr>
              <w:jc w:val="center"/>
            </w:pPr>
            <w:r w:rsidRPr="004F4F71">
              <w:rPr>
                <w:color w:val="000000"/>
              </w:rPr>
              <w:t>0.32</w:t>
            </w:r>
          </w:p>
        </w:tc>
        <w:tc>
          <w:tcPr>
            <w:tcW w:w="709" w:type="dxa"/>
            <w:vAlign w:val="bottom"/>
          </w:tcPr>
          <w:p w:rsidR="00812A90" w:rsidRPr="004F4F71" w:rsidRDefault="00812A90" w:rsidP="001651E1">
            <w:pPr>
              <w:jc w:val="center"/>
            </w:pPr>
            <w:r w:rsidRPr="004F4F71">
              <w:rPr>
                <w:color w:val="000000"/>
              </w:rPr>
              <w:t>0.27</w:t>
            </w:r>
          </w:p>
        </w:tc>
        <w:tc>
          <w:tcPr>
            <w:tcW w:w="709" w:type="dxa"/>
            <w:vAlign w:val="bottom"/>
          </w:tcPr>
          <w:p w:rsidR="00812A90" w:rsidRPr="004F4F71" w:rsidRDefault="00812A90" w:rsidP="001651E1">
            <w:pPr>
              <w:jc w:val="center"/>
            </w:pPr>
            <w:r w:rsidRPr="004F4F71">
              <w:rPr>
                <w:color w:val="000000"/>
              </w:rPr>
              <w:t>0.16</w:t>
            </w:r>
          </w:p>
        </w:tc>
        <w:tc>
          <w:tcPr>
            <w:tcW w:w="709" w:type="dxa"/>
            <w:vAlign w:val="bottom"/>
          </w:tcPr>
          <w:p w:rsidR="00812A90" w:rsidRPr="004F4F71" w:rsidRDefault="00812A90" w:rsidP="001651E1">
            <w:pPr>
              <w:jc w:val="center"/>
            </w:pPr>
            <w:r w:rsidRPr="004F4F71">
              <w:rPr>
                <w:color w:val="000000"/>
              </w:rPr>
              <w:t>0.14</w:t>
            </w:r>
          </w:p>
        </w:tc>
        <w:tc>
          <w:tcPr>
            <w:tcW w:w="567" w:type="dxa"/>
            <w:vAlign w:val="bottom"/>
          </w:tcPr>
          <w:p w:rsidR="00812A90" w:rsidRPr="001651E1" w:rsidRDefault="00812A90" w:rsidP="001651E1">
            <w:pPr>
              <w:jc w:val="center"/>
            </w:pPr>
            <w:r w:rsidRPr="001651E1">
              <w:rPr>
                <w:color w:val="000000"/>
              </w:rPr>
              <w:t>0.48</w:t>
            </w:r>
          </w:p>
        </w:tc>
        <w:tc>
          <w:tcPr>
            <w:tcW w:w="661" w:type="dxa"/>
            <w:vAlign w:val="bottom"/>
          </w:tcPr>
          <w:p w:rsidR="00812A90" w:rsidRPr="001651E1" w:rsidRDefault="00812A90" w:rsidP="001651E1">
            <w:pPr>
              <w:jc w:val="center"/>
            </w:pPr>
            <w:r w:rsidRPr="001651E1">
              <w:rPr>
                <w:color w:val="000000"/>
              </w:rPr>
              <w:t>0.33</w:t>
            </w:r>
          </w:p>
        </w:tc>
        <w:tc>
          <w:tcPr>
            <w:tcW w:w="614" w:type="dxa"/>
            <w:vAlign w:val="bottom"/>
          </w:tcPr>
          <w:p w:rsidR="00812A90" w:rsidRPr="001651E1" w:rsidRDefault="00812A90" w:rsidP="001651E1">
            <w:pPr>
              <w:jc w:val="center"/>
            </w:pPr>
            <w:r w:rsidRPr="001651E1">
              <w:rPr>
                <w:color w:val="000000"/>
              </w:rPr>
              <w:t>0.08</w:t>
            </w:r>
          </w:p>
        </w:tc>
      </w:tr>
      <w:tr w:rsidR="00812A90" w:rsidRPr="006D6265" w:rsidTr="00685FE5">
        <w:trPr>
          <w:trHeight w:val="158"/>
        </w:trPr>
        <w:tc>
          <w:tcPr>
            <w:tcW w:w="1135" w:type="dxa"/>
            <w:vAlign w:val="bottom"/>
          </w:tcPr>
          <w:p w:rsidR="00812A90" w:rsidRPr="006D6265" w:rsidRDefault="00812A90" w:rsidP="001651E1">
            <w:pPr>
              <w:jc w:val="center"/>
              <w:rPr>
                <w:b/>
                <w:sz w:val="22"/>
                <w:szCs w:val="22"/>
              </w:rPr>
            </w:pPr>
            <w:r w:rsidRPr="006D6265">
              <w:rPr>
                <w:b/>
                <w:sz w:val="22"/>
                <w:szCs w:val="22"/>
              </w:rPr>
              <w:t>9</w:t>
            </w:r>
          </w:p>
        </w:tc>
        <w:tc>
          <w:tcPr>
            <w:tcW w:w="709" w:type="dxa"/>
            <w:vAlign w:val="bottom"/>
          </w:tcPr>
          <w:p w:rsidR="00812A90" w:rsidRPr="001651E1" w:rsidRDefault="00812A90" w:rsidP="001651E1">
            <w:pPr>
              <w:jc w:val="center"/>
            </w:pPr>
            <w:r w:rsidRPr="001651E1">
              <w:rPr>
                <w:color w:val="000000"/>
              </w:rPr>
              <w:t>-0.28</w:t>
            </w:r>
          </w:p>
        </w:tc>
        <w:tc>
          <w:tcPr>
            <w:tcW w:w="708" w:type="dxa"/>
            <w:vAlign w:val="bottom"/>
          </w:tcPr>
          <w:p w:rsidR="00812A90" w:rsidRPr="004F4F71" w:rsidRDefault="00812A90" w:rsidP="001651E1">
            <w:pPr>
              <w:jc w:val="center"/>
            </w:pPr>
            <w:r w:rsidRPr="004F4F71">
              <w:rPr>
                <w:color w:val="000000"/>
              </w:rPr>
              <w:t>0.17</w:t>
            </w:r>
          </w:p>
        </w:tc>
        <w:tc>
          <w:tcPr>
            <w:tcW w:w="709" w:type="dxa"/>
            <w:vAlign w:val="bottom"/>
          </w:tcPr>
          <w:p w:rsidR="00812A90" w:rsidRPr="004F4F71" w:rsidRDefault="00812A90" w:rsidP="001651E1">
            <w:pPr>
              <w:jc w:val="center"/>
            </w:pPr>
            <w:r w:rsidRPr="004F4F71">
              <w:rPr>
                <w:color w:val="000000"/>
              </w:rPr>
              <w:t>-0.19</w:t>
            </w:r>
          </w:p>
        </w:tc>
        <w:tc>
          <w:tcPr>
            <w:tcW w:w="709" w:type="dxa"/>
            <w:vAlign w:val="bottom"/>
          </w:tcPr>
          <w:p w:rsidR="00812A90" w:rsidRPr="004F4F71" w:rsidRDefault="00812A90" w:rsidP="001651E1">
            <w:pPr>
              <w:jc w:val="center"/>
            </w:pPr>
            <w:r w:rsidRPr="004F4F71">
              <w:rPr>
                <w:color w:val="000000"/>
              </w:rPr>
              <w:t>0.31</w:t>
            </w:r>
          </w:p>
        </w:tc>
        <w:tc>
          <w:tcPr>
            <w:tcW w:w="709" w:type="dxa"/>
            <w:vAlign w:val="bottom"/>
          </w:tcPr>
          <w:p w:rsidR="00812A90" w:rsidRPr="004F4F71" w:rsidRDefault="00812A90" w:rsidP="001651E1">
            <w:pPr>
              <w:jc w:val="center"/>
            </w:pPr>
            <w:r w:rsidRPr="004F4F71">
              <w:rPr>
                <w:color w:val="000000"/>
              </w:rPr>
              <w:t>0.08</w:t>
            </w:r>
          </w:p>
        </w:tc>
        <w:tc>
          <w:tcPr>
            <w:tcW w:w="708" w:type="dxa"/>
            <w:vAlign w:val="bottom"/>
          </w:tcPr>
          <w:p w:rsidR="00812A90" w:rsidRPr="004F4F71" w:rsidRDefault="00812A90" w:rsidP="001651E1">
            <w:pPr>
              <w:jc w:val="center"/>
            </w:pPr>
            <w:r w:rsidRPr="004F4F71">
              <w:rPr>
                <w:color w:val="000000"/>
              </w:rPr>
              <w:t>0.68</w:t>
            </w:r>
          </w:p>
        </w:tc>
        <w:tc>
          <w:tcPr>
            <w:tcW w:w="709" w:type="dxa"/>
            <w:vAlign w:val="bottom"/>
          </w:tcPr>
          <w:p w:rsidR="00812A90" w:rsidRPr="004F4F71" w:rsidRDefault="00812A90" w:rsidP="001651E1">
            <w:pPr>
              <w:jc w:val="center"/>
            </w:pPr>
            <w:r w:rsidRPr="004F4F71">
              <w:rPr>
                <w:color w:val="000000"/>
              </w:rPr>
              <w:t>0.37</w:t>
            </w:r>
          </w:p>
        </w:tc>
        <w:tc>
          <w:tcPr>
            <w:tcW w:w="709" w:type="dxa"/>
            <w:vAlign w:val="bottom"/>
          </w:tcPr>
          <w:p w:rsidR="00812A90" w:rsidRPr="004F4F71" w:rsidRDefault="00812A90" w:rsidP="001651E1">
            <w:pPr>
              <w:jc w:val="center"/>
            </w:pPr>
            <w:r w:rsidRPr="004F4F71">
              <w:rPr>
                <w:color w:val="000000"/>
              </w:rPr>
              <w:t>0.05</w:t>
            </w:r>
          </w:p>
        </w:tc>
        <w:tc>
          <w:tcPr>
            <w:tcW w:w="709" w:type="dxa"/>
            <w:vAlign w:val="bottom"/>
          </w:tcPr>
          <w:p w:rsidR="00812A90" w:rsidRPr="004F4F71" w:rsidRDefault="00812A90" w:rsidP="001651E1">
            <w:pPr>
              <w:jc w:val="center"/>
            </w:pPr>
            <w:r w:rsidRPr="004F4F71">
              <w:rPr>
                <w:color w:val="000000"/>
              </w:rPr>
              <w:t>-0.01</w:t>
            </w:r>
          </w:p>
        </w:tc>
        <w:tc>
          <w:tcPr>
            <w:tcW w:w="567" w:type="dxa"/>
            <w:vAlign w:val="bottom"/>
          </w:tcPr>
          <w:p w:rsidR="00812A90" w:rsidRPr="001651E1" w:rsidRDefault="00812A90" w:rsidP="001651E1">
            <w:pPr>
              <w:jc w:val="center"/>
            </w:pPr>
            <w:r w:rsidRPr="001651E1">
              <w:rPr>
                <w:color w:val="000000"/>
              </w:rPr>
              <w:t>0.97</w:t>
            </w:r>
          </w:p>
        </w:tc>
        <w:tc>
          <w:tcPr>
            <w:tcW w:w="661" w:type="dxa"/>
            <w:vAlign w:val="bottom"/>
          </w:tcPr>
          <w:p w:rsidR="00812A90" w:rsidRPr="001651E1" w:rsidRDefault="00812A90" w:rsidP="001651E1">
            <w:pPr>
              <w:jc w:val="center"/>
            </w:pPr>
            <w:r w:rsidRPr="001651E1">
              <w:rPr>
                <w:color w:val="000000"/>
              </w:rPr>
              <w:t>0.03</w:t>
            </w:r>
          </w:p>
        </w:tc>
        <w:tc>
          <w:tcPr>
            <w:tcW w:w="614" w:type="dxa"/>
            <w:vAlign w:val="bottom"/>
          </w:tcPr>
          <w:p w:rsidR="00812A90" w:rsidRPr="001651E1" w:rsidRDefault="00812A90" w:rsidP="001651E1">
            <w:pPr>
              <w:jc w:val="center"/>
            </w:pPr>
            <w:r w:rsidRPr="001651E1">
              <w:rPr>
                <w:color w:val="000000"/>
              </w:rPr>
              <w:t>0.90</w:t>
            </w:r>
          </w:p>
        </w:tc>
      </w:tr>
      <w:tr w:rsidR="00812A90" w:rsidRPr="006D6265" w:rsidTr="00752B99">
        <w:tc>
          <w:tcPr>
            <w:tcW w:w="9356" w:type="dxa"/>
            <w:gridSpan w:val="13"/>
            <w:tcBorders>
              <w:top w:val="single" w:sz="4" w:space="0" w:color="auto"/>
              <w:bottom w:val="single" w:sz="4" w:space="0" w:color="auto"/>
            </w:tcBorders>
          </w:tcPr>
          <w:p w:rsidR="00812A90" w:rsidRDefault="00812A90" w:rsidP="00FC0B01">
            <w:pPr>
              <w:rPr>
                <w:sz w:val="22"/>
                <w:szCs w:val="22"/>
              </w:rPr>
            </w:pPr>
            <w:r>
              <w:rPr>
                <w:b/>
                <w:sz w:val="22"/>
                <w:szCs w:val="22"/>
              </w:rPr>
              <w:t>Supplementary Table S1</w:t>
            </w:r>
            <w:r w:rsidRPr="006D6265">
              <w:rPr>
                <w:b/>
                <w:sz w:val="22"/>
                <w:szCs w:val="22"/>
              </w:rPr>
              <w:t>. Correlations between functional connectivity and clinical data</w:t>
            </w:r>
            <w:r>
              <w:rPr>
                <w:b/>
                <w:sz w:val="22"/>
                <w:szCs w:val="22"/>
              </w:rPr>
              <w:t>.</w:t>
            </w:r>
            <w:r>
              <w:rPr>
                <w:sz w:val="22"/>
                <w:szCs w:val="22"/>
              </w:rPr>
              <w:t xml:space="preserve"> </w:t>
            </w:r>
          </w:p>
          <w:p w:rsidR="00812A90" w:rsidRPr="00774EE7" w:rsidRDefault="00812A90" w:rsidP="00FC0B01">
            <w:pPr>
              <w:rPr>
                <w:sz w:val="22"/>
                <w:szCs w:val="22"/>
              </w:rPr>
            </w:pPr>
            <w:r w:rsidRPr="00C73708">
              <w:rPr>
                <w:sz w:val="22"/>
                <w:szCs w:val="22"/>
              </w:rPr>
              <w:t xml:space="preserve">All values are rounded to two decimal places. </w:t>
            </w:r>
            <w:proofErr w:type="spellStart"/>
            <w:r w:rsidRPr="00DA09E8">
              <w:rPr>
                <w:sz w:val="22"/>
                <w:szCs w:val="22"/>
              </w:rPr>
              <w:t>VLp</w:t>
            </w:r>
            <w:proofErr w:type="spellEnd"/>
            <w:r w:rsidRPr="00DA09E8">
              <w:rPr>
                <w:sz w:val="22"/>
                <w:szCs w:val="22"/>
              </w:rPr>
              <w:t>/VA thalamus, clusters 1-6, MD/A thalamus clusters 7-9. Significance based on a two-tailed Pears</w:t>
            </w:r>
            <w:r w:rsidRPr="00C73708">
              <w:rPr>
                <w:sz w:val="22"/>
                <w:szCs w:val="22"/>
              </w:rPr>
              <w:t>on correlation controlling for age, sex and years of education.</w:t>
            </w:r>
            <w:r w:rsidRPr="00C73708">
              <w:rPr>
                <w:i/>
                <w:sz w:val="22"/>
                <w:szCs w:val="22"/>
              </w:rPr>
              <w:t xml:space="preserve"> </w:t>
            </w:r>
            <w:r w:rsidRPr="00C63708">
              <w:rPr>
                <w:sz w:val="22"/>
                <w:szCs w:val="22"/>
              </w:rPr>
              <w:t xml:space="preserve">A correction for multiple comparisons using the Bonferroni method stipulate a </w:t>
            </w:r>
            <w:r w:rsidRPr="00C63708">
              <w:rPr>
                <w:i/>
                <w:sz w:val="22"/>
                <w:szCs w:val="22"/>
              </w:rPr>
              <w:t>p</w:t>
            </w:r>
            <w:r w:rsidRPr="00C63708">
              <w:rPr>
                <w:sz w:val="22"/>
                <w:szCs w:val="22"/>
              </w:rPr>
              <w:t>-value of &lt; 0.00</w:t>
            </w:r>
            <w:r>
              <w:rPr>
                <w:sz w:val="22"/>
                <w:szCs w:val="22"/>
              </w:rPr>
              <w:t>09</w:t>
            </w:r>
            <w:r w:rsidRPr="00C63708">
              <w:rPr>
                <w:sz w:val="22"/>
                <w:szCs w:val="22"/>
              </w:rPr>
              <w:t xml:space="preserve">25 required for significance (based on performing </w:t>
            </w:r>
            <w:r>
              <w:rPr>
                <w:sz w:val="22"/>
                <w:szCs w:val="22"/>
              </w:rPr>
              <w:t>54</w:t>
            </w:r>
            <w:r w:rsidRPr="00C63708">
              <w:rPr>
                <w:sz w:val="22"/>
                <w:szCs w:val="22"/>
              </w:rPr>
              <w:t xml:space="preserve"> analyses)</w:t>
            </w:r>
            <w:r w:rsidRPr="00C73708">
              <w:rPr>
                <w:sz w:val="22"/>
                <w:szCs w:val="22"/>
              </w:rPr>
              <w:t xml:space="preserve">. LED, levodopa equivalent dosage; UPDRS-III, Unified Parkinson’s Disease Rating Scale part III; TUG, Timed </w:t>
            </w:r>
            <w:r>
              <w:rPr>
                <w:sz w:val="22"/>
                <w:szCs w:val="22"/>
              </w:rPr>
              <w:t>U</w:t>
            </w:r>
            <w:r w:rsidRPr="00C73708">
              <w:rPr>
                <w:sz w:val="22"/>
                <w:szCs w:val="22"/>
              </w:rPr>
              <w:t xml:space="preserve">p and </w:t>
            </w:r>
            <w:r>
              <w:rPr>
                <w:sz w:val="22"/>
                <w:szCs w:val="22"/>
              </w:rPr>
              <w:t>G</w:t>
            </w:r>
            <w:r w:rsidRPr="00C73708">
              <w:rPr>
                <w:sz w:val="22"/>
                <w:szCs w:val="22"/>
              </w:rPr>
              <w:t>o test; AQT, A quick test of cognitive speed test; AF, Animal fluency test</w:t>
            </w:r>
            <w:r>
              <w:rPr>
                <w:sz w:val="22"/>
                <w:szCs w:val="22"/>
              </w:rPr>
              <w:t>.</w:t>
            </w:r>
            <w:r w:rsidRPr="00C73708">
              <w:rPr>
                <w:sz w:val="22"/>
                <w:szCs w:val="22"/>
              </w:rPr>
              <w:t xml:space="preserve"> </w:t>
            </w:r>
          </w:p>
        </w:tc>
      </w:tr>
    </w:tbl>
    <w:p w:rsidR="00812A90" w:rsidRDefault="00812A90" w:rsidP="000A0002">
      <w:pPr>
        <w:pStyle w:val="EndNoteBibliographyTitle"/>
        <w:jc w:val="left"/>
        <w:rPr>
          <w:b/>
          <w:noProof/>
        </w:rPr>
      </w:pPr>
    </w:p>
    <w:p w:rsidR="00812A90" w:rsidRDefault="00812A90" w:rsidP="000A0002">
      <w:pPr>
        <w:pStyle w:val="EndNoteBibliographyTitle"/>
        <w:jc w:val="left"/>
        <w:rPr>
          <w:b/>
          <w:noProof/>
        </w:rPr>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753"/>
        <w:gridCol w:w="1366"/>
        <w:gridCol w:w="1141"/>
        <w:gridCol w:w="826"/>
        <w:gridCol w:w="1457"/>
      </w:tblGrid>
      <w:tr w:rsidR="00812A90" w:rsidRPr="00367245" w:rsidTr="00663C28">
        <w:trPr>
          <w:trHeight w:val="554"/>
        </w:trPr>
        <w:tc>
          <w:tcPr>
            <w:tcW w:w="2813" w:type="dxa"/>
            <w:tcBorders>
              <w:top w:val="single" w:sz="4" w:space="0" w:color="auto"/>
              <w:left w:val="nil"/>
              <w:bottom w:val="single" w:sz="4" w:space="0" w:color="auto"/>
              <w:right w:val="nil"/>
            </w:tcBorders>
            <w:shd w:val="clear" w:color="auto" w:fill="auto"/>
            <w:vAlign w:val="bottom"/>
          </w:tcPr>
          <w:p w:rsidR="00812A90" w:rsidRPr="00364C75" w:rsidRDefault="00812A90" w:rsidP="00C45836">
            <w:pPr>
              <w:rPr>
                <w:b/>
                <w:sz w:val="22"/>
                <w:szCs w:val="22"/>
              </w:rPr>
            </w:pPr>
            <w:r w:rsidRPr="00364C75">
              <w:rPr>
                <w:b/>
                <w:sz w:val="22"/>
                <w:szCs w:val="22"/>
              </w:rPr>
              <w:t>Structure</w:t>
            </w:r>
          </w:p>
        </w:tc>
        <w:tc>
          <w:tcPr>
            <w:tcW w:w="1753" w:type="dxa"/>
            <w:tcBorders>
              <w:top w:val="single" w:sz="4" w:space="0" w:color="auto"/>
              <w:left w:val="nil"/>
              <w:bottom w:val="single" w:sz="4" w:space="0" w:color="auto"/>
              <w:right w:val="nil"/>
            </w:tcBorders>
            <w:vAlign w:val="bottom"/>
          </w:tcPr>
          <w:p w:rsidR="00812A90" w:rsidRPr="00364C75" w:rsidRDefault="00812A90" w:rsidP="00C45836">
            <w:pPr>
              <w:jc w:val="center"/>
              <w:rPr>
                <w:b/>
                <w:sz w:val="22"/>
                <w:szCs w:val="22"/>
              </w:rPr>
            </w:pPr>
            <w:r w:rsidRPr="00364C75">
              <w:rPr>
                <w:b/>
                <w:sz w:val="22"/>
                <w:szCs w:val="22"/>
              </w:rPr>
              <w:t>Group</w:t>
            </w:r>
          </w:p>
        </w:tc>
        <w:tc>
          <w:tcPr>
            <w:tcW w:w="1366" w:type="dxa"/>
            <w:tcBorders>
              <w:top w:val="single" w:sz="4" w:space="0" w:color="auto"/>
              <w:left w:val="nil"/>
              <w:bottom w:val="single" w:sz="4" w:space="0" w:color="auto"/>
              <w:right w:val="nil"/>
            </w:tcBorders>
            <w:shd w:val="clear" w:color="auto" w:fill="auto"/>
            <w:vAlign w:val="bottom"/>
          </w:tcPr>
          <w:p w:rsidR="00812A90" w:rsidRPr="00364C75" w:rsidRDefault="00812A90" w:rsidP="00C45836">
            <w:pPr>
              <w:jc w:val="center"/>
              <w:rPr>
                <w:b/>
                <w:sz w:val="22"/>
                <w:szCs w:val="22"/>
              </w:rPr>
            </w:pPr>
            <w:r>
              <w:rPr>
                <w:b/>
                <w:sz w:val="22"/>
                <w:szCs w:val="22"/>
              </w:rPr>
              <w:t>Clinical m</w:t>
            </w:r>
            <w:r w:rsidRPr="00364C75">
              <w:rPr>
                <w:b/>
                <w:sz w:val="22"/>
                <w:szCs w:val="22"/>
              </w:rPr>
              <w:t>easure</w:t>
            </w:r>
          </w:p>
        </w:tc>
        <w:tc>
          <w:tcPr>
            <w:tcW w:w="1141" w:type="dxa"/>
            <w:tcBorders>
              <w:top w:val="single" w:sz="4" w:space="0" w:color="auto"/>
              <w:left w:val="nil"/>
              <w:bottom w:val="single" w:sz="4" w:space="0" w:color="auto"/>
              <w:right w:val="nil"/>
            </w:tcBorders>
            <w:shd w:val="clear" w:color="auto" w:fill="auto"/>
            <w:vAlign w:val="bottom"/>
          </w:tcPr>
          <w:p w:rsidR="00812A90" w:rsidRPr="00364C75" w:rsidRDefault="00812A90" w:rsidP="00C45836">
            <w:pPr>
              <w:jc w:val="center"/>
              <w:rPr>
                <w:b/>
                <w:sz w:val="22"/>
                <w:szCs w:val="22"/>
              </w:rPr>
            </w:pPr>
            <w:r w:rsidRPr="00364C75">
              <w:rPr>
                <w:b/>
                <w:sz w:val="22"/>
                <w:szCs w:val="22"/>
              </w:rPr>
              <w:t>R</w:t>
            </w:r>
            <w:r w:rsidRPr="00364C75">
              <w:rPr>
                <w:b/>
                <w:sz w:val="22"/>
                <w:szCs w:val="22"/>
                <w:vertAlign w:val="superscript"/>
              </w:rPr>
              <w:t>2</w:t>
            </w:r>
          </w:p>
          <w:p w:rsidR="00812A90" w:rsidRPr="00364C75" w:rsidRDefault="00812A90" w:rsidP="00C45836">
            <w:pPr>
              <w:jc w:val="center"/>
              <w:rPr>
                <w:b/>
                <w:sz w:val="22"/>
                <w:szCs w:val="22"/>
              </w:rPr>
            </w:pPr>
            <w:r>
              <w:rPr>
                <w:b/>
                <w:sz w:val="22"/>
                <w:szCs w:val="22"/>
              </w:rPr>
              <w:t>c</w:t>
            </w:r>
            <w:r w:rsidRPr="00364C75">
              <w:rPr>
                <w:b/>
                <w:sz w:val="22"/>
                <w:szCs w:val="22"/>
              </w:rPr>
              <w:t>hange</w:t>
            </w:r>
          </w:p>
        </w:tc>
        <w:tc>
          <w:tcPr>
            <w:tcW w:w="826" w:type="dxa"/>
            <w:tcBorders>
              <w:top w:val="single" w:sz="4" w:space="0" w:color="auto"/>
              <w:left w:val="nil"/>
              <w:bottom w:val="single" w:sz="4" w:space="0" w:color="auto"/>
              <w:right w:val="nil"/>
            </w:tcBorders>
            <w:shd w:val="clear" w:color="auto" w:fill="auto"/>
            <w:vAlign w:val="bottom"/>
          </w:tcPr>
          <w:p w:rsidR="00812A90" w:rsidRPr="00364C75" w:rsidRDefault="00812A90" w:rsidP="00C45836">
            <w:pPr>
              <w:jc w:val="center"/>
              <w:rPr>
                <w:b/>
                <w:sz w:val="22"/>
                <w:szCs w:val="22"/>
              </w:rPr>
            </w:pPr>
            <w:r w:rsidRPr="00364C75">
              <w:rPr>
                <w:b/>
                <w:sz w:val="22"/>
                <w:szCs w:val="22"/>
              </w:rPr>
              <w:sym w:font="Symbol" w:char="F062"/>
            </w:r>
          </w:p>
        </w:tc>
        <w:tc>
          <w:tcPr>
            <w:tcW w:w="1457" w:type="dxa"/>
            <w:tcBorders>
              <w:top w:val="single" w:sz="4" w:space="0" w:color="auto"/>
              <w:left w:val="nil"/>
              <w:bottom w:val="single" w:sz="4" w:space="0" w:color="auto"/>
              <w:right w:val="nil"/>
            </w:tcBorders>
            <w:shd w:val="clear" w:color="auto" w:fill="auto"/>
            <w:vAlign w:val="bottom"/>
          </w:tcPr>
          <w:p w:rsidR="00812A90" w:rsidRPr="00364C75" w:rsidRDefault="00812A90" w:rsidP="00C45836">
            <w:pPr>
              <w:jc w:val="center"/>
              <w:rPr>
                <w:b/>
                <w:sz w:val="22"/>
                <w:szCs w:val="22"/>
              </w:rPr>
            </w:pPr>
            <w:r w:rsidRPr="00364C75">
              <w:rPr>
                <w:b/>
                <w:i/>
                <w:sz w:val="22"/>
                <w:szCs w:val="22"/>
              </w:rPr>
              <w:t>p</w:t>
            </w:r>
            <w:r w:rsidRPr="00364C75">
              <w:rPr>
                <w:b/>
                <w:sz w:val="22"/>
                <w:szCs w:val="22"/>
              </w:rPr>
              <w:t>-value</w:t>
            </w:r>
          </w:p>
        </w:tc>
      </w:tr>
      <w:tr w:rsidR="00812A90" w:rsidRPr="00367245" w:rsidTr="00663C28">
        <w:trPr>
          <w:trHeight w:val="272"/>
        </w:trPr>
        <w:tc>
          <w:tcPr>
            <w:tcW w:w="2813" w:type="dxa"/>
            <w:vMerge w:val="restart"/>
            <w:tcBorders>
              <w:top w:val="single" w:sz="4" w:space="0" w:color="auto"/>
              <w:left w:val="nil"/>
              <w:bottom w:val="nil"/>
              <w:right w:val="nil"/>
            </w:tcBorders>
            <w:shd w:val="clear" w:color="auto" w:fill="auto"/>
          </w:tcPr>
          <w:p w:rsidR="00812A90" w:rsidRPr="009B3207" w:rsidRDefault="00812A90" w:rsidP="00C45836">
            <w:pPr>
              <w:rPr>
                <w:sz w:val="22"/>
                <w:szCs w:val="22"/>
              </w:rPr>
            </w:pPr>
            <w:r w:rsidRPr="009B3207">
              <w:rPr>
                <w:sz w:val="22"/>
                <w:szCs w:val="22"/>
              </w:rPr>
              <w:t>Right thalamus</w:t>
            </w:r>
          </w:p>
        </w:tc>
        <w:tc>
          <w:tcPr>
            <w:tcW w:w="1753" w:type="dxa"/>
            <w:tcBorders>
              <w:top w:val="single" w:sz="4" w:space="0" w:color="auto"/>
              <w:left w:val="nil"/>
              <w:bottom w:val="nil"/>
              <w:right w:val="nil"/>
            </w:tcBorders>
            <w:vAlign w:val="bottom"/>
          </w:tcPr>
          <w:p w:rsidR="00812A90" w:rsidRPr="009B3207" w:rsidRDefault="00812A90" w:rsidP="00C45836">
            <w:pPr>
              <w:jc w:val="center"/>
              <w:rPr>
                <w:sz w:val="22"/>
                <w:szCs w:val="22"/>
              </w:rPr>
            </w:pPr>
            <w:r w:rsidRPr="009B3207">
              <w:rPr>
                <w:sz w:val="22"/>
                <w:szCs w:val="22"/>
              </w:rPr>
              <w:t>Controls</w:t>
            </w:r>
          </w:p>
        </w:tc>
        <w:tc>
          <w:tcPr>
            <w:tcW w:w="1366" w:type="dxa"/>
            <w:vMerge w:val="restart"/>
            <w:tcBorders>
              <w:top w:val="single" w:sz="4" w:space="0" w:color="auto"/>
              <w:left w:val="nil"/>
              <w:bottom w:val="nil"/>
              <w:right w:val="nil"/>
            </w:tcBorders>
            <w:shd w:val="clear" w:color="auto" w:fill="auto"/>
          </w:tcPr>
          <w:p w:rsidR="00812A90" w:rsidRPr="009B3207" w:rsidRDefault="00812A90" w:rsidP="00C45836">
            <w:pPr>
              <w:jc w:val="center"/>
              <w:rPr>
                <w:sz w:val="22"/>
                <w:szCs w:val="22"/>
              </w:rPr>
            </w:pPr>
            <w:r w:rsidRPr="009B3207">
              <w:rPr>
                <w:sz w:val="22"/>
                <w:szCs w:val="22"/>
              </w:rPr>
              <w:t>UPDRS-III</w:t>
            </w:r>
          </w:p>
        </w:tc>
        <w:tc>
          <w:tcPr>
            <w:tcW w:w="1141" w:type="dxa"/>
            <w:tcBorders>
              <w:top w:val="single" w:sz="4" w:space="0" w:color="auto"/>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0.001</w:t>
            </w:r>
          </w:p>
        </w:tc>
        <w:tc>
          <w:tcPr>
            <w:tcW w:w="826" w:type="dxa"/>
            <w:tcBorders>
              <w:top w:val="single" w:sz="4" w:space="0" w:color="auto"/>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0.041</w:t>
            </w:r>
          </w:p>
        </w:tc>
        <w:tc>
          <w:tcPr>
            <w:tcW w:w="1457" w:type="dxa"/>
            <w:tcBorders>
              <w:top w:val="single" w:sz="4" w:space="0" w:color="auto"/>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0.906</w:t>
            </w:r>
          </w:p>
        </w:tc>
      </w:tr>
      <w:tr w:rsidR="00812A90" w:rsidRPr="00367245" w:rsidTr="00663C28">
        <w:trPr>
          <w:trHeight w:val="272"/>
        </w:trPr>
        <w:tc>
          <w:tcPr>
            <w:tcW w:w="2813" w:type="dxa"/>
            <w:vMerge/>
            <w:tcBorders>
              <w:top w:val="nil"/>
              <w:left w:val="nil"/>
              <w:bottom w:val="nil"/>
              <w:right w:val="nil"/>
            </w:tcBorders>
            <w:shd w:val="clear" w:color="auto" w:fill="auto"/>
          </w:tcPr>
          <w:p w:rsidR="00812A90" w:rsidRPr="009B3207" w:rsidRDefault="00812A90" w:rsidP="00C45836">
            <w:pPr>
              <w:rPr>
                <w:sz w:val="22"/>
                <w:szCs w:val="22"/>
              </w:rPr>
            </w:pPr>
          </w:p>
        </w:tc>
        <w:tc>
          <w:tcPr>
            <w:tcW w:w="1753" w:type="dxa"/>
            <w:tcBorders>
              <w:top w:val="nil"/>
              <w:left w:val="nil"/>
              <w:bottom w:val="nil"/>
              <w:right w:val="nil"/>
            </w:tcBorders>
            <w:vAlign w:val="bottom"/>
          </w:tcPr>
          <w:p w:rsidR="00812A90" w:rsidRPr="009B3207" w:rsidRDefault="00812A90" w:rsidP="00C45836">
            <w:pPr>
              <w:jc w:val="center"/>
              <w:rPr>
                <w:sz w:val="22"/>
                <w:szCs w:val="22"/>
              </w:rPr>
            </w:pPr>
            <w:r w:rsidRPr="009B3207">
              <w:rPr>
                <w:sz w:val="22"/>
                <w:szCs w:val="22"/>
              </w:rPr>
              <w:t>PD</w:t>
            </w:r>
          </w:p>
        </w:tc>
        <w:tc>
          <w:tcPr>
            <w:tcW w:w="1366" w:type="dxa"/>
            <w:vMerge/>
            <w:tcBorders>
              <w:top w:val="nil"/>
              <w:left w:val="nil"/>
              <w:bottom w:val="nil"/>
              <w:right w:val="nil"/>
            </w:tcBorders>
            <w:shd w:val="clear" w:color="auto" w:fill="auto"/>
          </w:tcPr>
          <w:p w:rsidR="00812A90" w:rsidRPr="009B3207" w:rsidRDefault="00812A90" w:rsidP="00C45836">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0.006</w:t>
            </w:r>
          </w:p>
        </w:tc>
        <w:tc>
          <w:tcPr>
            <w:tcW w:w="826"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0.149</w:t>
            </w:r>
          </w:p>
        </w:tc>
        <w:tc>
          <w:tcPr>
            <w:tcW w:w="1457"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0.671</w:t>
            </w:r>
          </w:p>
        </w:tc>
      </w:tr>
      <w:tr w:rsidR="00812A90" w:rsidRPr="00367245" w:rsidTr="00663C28">
        <w:trPr>
          <w:trHeight w:val="272"/>
        </w:trPr>
        <w:tc>
          <w:tcPr>
            <w:tcW w:w="2813" w:type="dxa"/>
            <w:vMerge w:val="restart"/>
            <w:tcBorders>
              <w:top w:val="nil"/>
              <w:left w:val="nil"/>
              <w:bottom w:val="nil"/>
              <w:right w:val="nil"/>
            </w:tcBorders>
            <w:shd w:val="clear" w:color="auto" w:fill="auto"/>
          </w:tcPr>
          <w:p w:rsidR="00812A90" w:rsidRPr="009B3207" w:rsidRDefault="00812A90" w:rsidP="00C45836">
            <w:pPr>
              <w:rPr>
                <w:sz w:val="22"/>
                <w:szCs w:val="22"/>
              </w:rPr>
            </w:pPr>
            <w:r>
              <w:rPr>
                <w:sz w:val="22"/>
                <w:szCs w:val="22"/>
              </w:rPr>
              <w:t>Left thalamus</w:t>
            </w:r>
          </w:p>
        </w:tc>
        <w:tc>
          <w:tcPr>
            <w:tcW w:w="1753" w:type="dxa"/>
            <w:tcBorders>
              <w:top w:val="nil"/>
              <w:left w:val="nil"/>
              <w:bottom w:val="nil"/>
              <w:right w:val="nil"/>
            </w:tcBorders>
            <w:vAlign w:val="bottom"/>
          </w:tcPr>
          <w:p w:rsidR="00812A90" w:rsidRPr="009B3207" w:rsidRDefault="00812A90" w:rsidP="00C45836">
            <w:pPr>
              <w:jc w:val="center"/>
              <w:rPr>
                <w:sz w:val="22"/>
                <w:szCs w:val="22"/>
              </w:rPr>
            </w:pPr>
            <w:r w:rsidRPr="009B3207">
              <w:rPr>
                <w:sz w:val="22"/>
                <w:szCs w:val="22"/>
              </w:rPr>
              <w:t>Controls</w:t>
            </w:r>
          </w:p>
        </w:tc>
        <w:tc>
          <w:tcPr>
            <w:tcW w:w="1366" w:type="dxa"/>
            <w:vMerge/>
            <w:tcBorders>
              <w:top w:val="nil"/>
              <w:left w:val="nil"/>
              <w:bottom w:val="nil"/>
              <w:right w:val="nil"/>
            </w:tcBorders>
            <w:shd w:val="clear" w:color="auto" w:fill="auto"/>
          </w:tcPr>
          <w:p w:rsidR="00812A90" w:rsidRPr="009B3207" w:rsidRDefault="00812A90" w:rsidP="00C45836">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0.07</w:t>
            </w:r>
          </w:p>
        </w:tc>
        <w:tc>
          <w:tcPr>
            <w:tcW w:w="826"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0.371</w:t>
            </w:r>
          </w:p>
        </w:tc>
        <w:tc>
          <w:tcPr>
            <w:tcW w:w="1457"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0.266</w:t>
            </w:r>
          </w:p>
        </w:tc>
      </w:tr>
      <w:tr w:rsidR="00812A90" w:rsidRPr="00367245" w:rsidTr="00663C28">
        <w:trPr>
          <w:trHeight w:val="272"/>
        </w:trPr>
        <w:tc>
          <w:tcPr>
            <w:tcW w:w="2813" w:type="dxa"/>
            <w:vMerge/>
            <w:tcBorders>
              <w:top w:val="nil"/>
              <w:left w:val="nil"/>
              <w:bottom w:val="nil"/>
              <w:right w:val="nil"/>
            </w:tcBorders>
            <w:shd w:val="clear" w:color="auto" w:fill="auto"/>
          </w:tcPr>
          <w:p w:rsidR="00812A90" w:rsidRPr="009B3207" w:rsidRDefault="00812A90" w:rsidP="00C45836">
            <w:pPr>
              <w:rPr>
                <w:sz w:val="22"/>
                <w:szCs w:val="22"/>
              </w:rPr>
            </w:pPr>
          </w:p>
        </w:tc>
        <w:tc>
          <w:tcPr>
            <w:tcW w:w="1753" w:type="dxa"/>
            <w:tcBorders>
              <w:top w:val="nil"/>
              <w:left w:val="nil"/>
              <w:bottom w:val="nil"/>
              <w:right w:val="nil"/>
            </w:tcBorders>
            <w:vAlign w:val="bottom"/>
          </w:tcPr>
          <w:p w:rsidR="00812A90" w:rsidRPr="009B3207" w:rsidRDefault="00812A90" w:rsidP="00C45836">
            <w:pPr>
              <w:jc w:val="center"/>
              <w:rPr>
                <w:sz w:val="22"/>
                <w:szCs w:val="22"/>
              </w:rPr>
            </w:pPr>
            <w:r w:rsidRPr="009B3207">
              <w:rPr>
                <w:sz w:val="22"/>
                <w:szCs w:val="22"/>
              </w:rPr>
              <w:t>PD</w:t>
            </w:r>
          </w:p>
        </w:tc>
        <w:tc>
          <w:tcPr>
            <w:tcW w:w="1366" w:type="dxa"/>
            <w:vMerge/>
            <w:tcBorders>
              <w:top w:val="nil"/>
              <w:left w:val="nil"/>
              <w:bottom w:val="nil"/>
              <w:right w:val="nil"/>
            </w:tcBorders>
            <w:shd w:val="clear" w:color="auto" w:fill="auto"/>
          </w:tcPr>
          <w:p w:rsidR="00812A90" w:rsidRPr="009B3207" w:rsidRDefault="00812A90" w:rsidP="00C45836">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0.002</w:t>
            </w:r>
          </w:p>
        </w:tc>
        <w:tc>
          <w:tcPr>
            <w:tcW w:w="826"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0.062</w:t>
            </w:r>
          </w:p>
        </w:tc>
        <w:tc>
          <w:tcPr>
            <w:tcW w:w="1457"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sidRPr="009B3207">
              <w:rPr>
                <w:sz w:val="22"/>
                <w:szCs w:val="22"/>
              </w:rPr>
              <w:t>0.802</w:t>
            </w:r>
          </w:p>
        </w:tc>
      </w:tr>
      <w:tr w:rsidR="00812A90" w:rsidRPr="00367245" w:rsidTr="00663C28">
        <w:trPr>
          <w:trHeight w:val="272"/>
        </w:trPr>
        <w:tc>
          <w:tcPr>
            <w:tcW w:w="2813" w:type="dxa"/>
            <w:vMerge w:val="restart"/>
            <w:tcBorders>
              <w:top w:val="nil"/>
              <w:left w:val="nil"/>
              <w:bottom w:val="nil"/>
              <w:right w:val="nil"/>
            </w:tcBorders>
            <w:shd w:val="clear" w:color="auto" w:fill="auto"/>
          </w:tcPr>
          <w:p w:rsidR="00812A90" w:rsidRPr="009B3207" w:rsidRDefault="00812A90" w:rsidP="00C45836">
            <w:pPr>
              <w:rPr>
                <w:sz w:val="22"/>
                <w:szCs w:val="22"/>
              </w:rPr>
            </w:pPr>
            <w:r>
              <w:rPr>
                <w:sz w:val="22"/>
                <w:szCs w:val="22"/>
              </w:rPr>
              <w:t>Right thalamus</w:t>
            </w:r>
          </w:p>
        </w:tc>
        <w:tc>
          <w:tcPr>
            <w:tcW w:w="1753" w:type="dxa"/>
            <w:tcBorders>
              <w:top w:val="nil"/>
              <w:left w:val="nil"/>
              <w:bottom w:val="nil"/>
              <w:right w:val="nil"/>
            </w:tcBorders>
            <w:vAlign w:val="bottom"/>
          </w:tcPr>
          <w:p w:rsidR="00812A90" w:rsidRPr="009B3207" w:rsidRDefault="00812A90" w:rsidP="00C45836">
            <w:pPr>
              <w:jc w:val="center"/>
              <w:rPr>
                <w:sz w:val="22"/>
                <w:szCs w:val="22"/>
              </w:rPr>
            </w:pPr>
            <w:r w:rsidRPr="009B3207">
              <w:rPr>
                <w:sz w:val="22"/>
                <w:szCs w:val="22"/>
              </w:rPr>
              <w:t>Controls</w:t>
            </w:r>
          </w:p>
        </w:tc>
        <w:tc>
          <w:tcPr>
            <w:tcW w:w="1366" w:type="dxa"/>
            <w:vMerge w:val="restart"/>
            <w:tcBorders>
              <w:top w:val="nil"/>
              <w:left w:val="nil"/>
              <w:bottom w:val="nil"/>
              <w:right w:val="nil"/>
            </w:tcBorders>
            <w:shd w:val="clear" w:color="auto" w:fill="auto"/>
          </w:tcPr>
          <w:p w:rsidR="00812A90" w:rsidRPr="009B3207" w:rsidRDefault="00812A90" w:rsidP="00C45836">
            <w:pPr>
              <w:jc w:val="center"/>
              <w:rPr>
                <w:sz w:val="22"/>
                <w:szCs w:val="22"/>
              </w:rPr>
            </w:pPr>
            <w:r>
              <w:rPr>
                <w:sz w:val="22"/>
                <w:szCs w:val="22"/>
              </w:rPr>
              <w:t>TUG</w:t>
            </w:r>
          </w:p>
        </w:tc>
        <w:tc>
          <w:tcPr>
            <w:tcW w:w="1141"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Pr>
                <w:sz w:val="22"/>
                <w:szCs w:val="22"/>
              </w:rPr>
              <w:t>0.067</w:t>
            </w:r>
          </w:p>
        </w:tc>
        <w:tc>
          <w:tcPr>
            <w:tcW w:w="826"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Pr>
                <w:sz w:val="22"/>
                <w:szCs w:val="22"/>
              </w:rPr>
              <w:t>-0.366</w:t>
            </w:r>
          </w:p>
        </w:tc>
        <w:tc>
          <w:tcPr>
            <w:tcW w:w="1457" w:type="dxa"/>
            <w:tcBorders>
              <w:top w:val="nil"/>
              <w:left w:val="nil"/>
              <w:bottom w:val="nil"/>
              <w:right w:val="nil"/>
            </w:tcBorders>
            <w:shd w:val="clear" w:color="auto" w:fill="auto"/>
            <w:vAlign w:val="bottom"/>
          </w:tcPr>
          <w:p w:rsidR="00812A90" w:rsidRPr="009B3207" w:rsidRDefault="00812A90" w:rsidP="00C45836">
            <w:pPr>
              <w:jc w:val="center"/>
              <w:rPr>
                <w:sz w:val="22"/>
                <w:szCs w:val="22"/>
              </w:rPr>
            </w:pPr>
            <w:r>
              <w:rPr>
                <w:sz w:val="22"/>
                <w:szCs w:val="22"/>
              </w:rPr>
              <w:t>0.284</w:t>
            </w:r>
          </w:p>
        </w:tc>
      </w:tr>
      <w:tr w:rsidR="00812A90" w:rsidRPr="00367245" w:rsidTr="00663C28">
        <w:trPr>
          <w:trHeight w:val="272"/>
        </w:trPr>
        <w:tc>
          <w:tcPr>
            <w:tcW w:w="2813" w:type="dxa"/>
            <w:vMerge/>
            <w:tcBorders>
              <w:top w:val="nil"/>
              <w:left w:val="nil"/>
              <w:bottom w:val="nil"/>
              <w:right w:val="nil"/>
            </w:tcBorders>
            <w:shd w:val="clear" w:color="auto" w:fill="auto"/>
          </w:tcPr>
          <w:p w:rsidR="00812A90" w:rsidRPr="009B3207" w:rsidRDefault="00812A90" w:rsidP="00472DC3">
            <w:pPr>
              <w:rPr>
                <w:sz w:val="22"/>
                <w:szCs w:val="22"/>
              </w:rPr>
            </w:pPr>
          </w:p>
        </w:tc>
        <w:tc>
          <w:tcPr>
            <w:tcW w:w="1753" w:type="dxa"/>
            <w:tcBorders>
              <w:top w:val="nil"/>
              <w:left w:val="nil"/>
              <w:bottom w:val="nil"/>
              <w:right w:val="nil"/>
            </w:tcBorders>
            <w:vAlign w:val="bottom"/>
          </w:tcPr>
          <w:p w:rsidR="00812A90" w:rsidRPr="009B3207" w:rsidRDefault="00812A90" w:rsidP="00472DC3">
            <w:pPr>
              <w:jc w:val="center"/>
              <w:rPr>
                <w:sz w:val="22"/>
                <w:szCs w:val="22"/>
              </w:rPr>
            </w:pPr>
            <w:r w:rsidRPr="009B3207">
              <w:rPr>
                <w:sz w:val="22"/>
                <w:szCs w:val="22"/>
              </w:rPr>
              <w:t>PD</w:t>
            </w:r>
          </w:p>
        </w:tc>
        <w:tc>
          <w:tcPr>
            <w:tcW w:w="1366" w:type="dxa"/>
            <w:vMerge/>
            <w:tcBorders>
              <w:top w:val="nil"/>
              <w:left w:val="nil"/>
              <w:bottom w:val="nil"/>
              <w:right w:val="nil"/>
            </w:tcBorders>
            <w:shd w:val="clear" w:color="auto" w:fill="auto"/>
          </w:tcPr>
          <w:p w:rsidR="00812A90" w:rsidRPr="009B3207" w:rsidRDefault="00812A90" w:rsidP="00472DC3">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0.062</w:t>
            </w:r>
          </w:p>
        </w:tc>
        <w:tc>
          <w:tcPr>
            <w:tcW w:w="826"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0.463</w:t>
            </w:r>
          </w:p>
        </w:tc>
        <w:tc>
          <w:tcPr>
            <w:tcW w:w="1457"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0.128</w:t>
            </w:r>
          </w:p>
        </w:tc>
      </w:tr>
      <w:tr w:rsidR="00812A90" w:rsidRPr="00367245" w:rsidTr="00663C28">
        <w:trPr>
          <w:trHeight w:val="272"/>
        </w:trPr>
        <w:tc>
          <w:tcPr>
            <w:tcW w:w="2813" w:type="dxa"/>
            <w:vMerge w:val="restart"/>
            <w:tcBorders>
              <w:top w:val="nil"/>
              <w:left w:val="nil"/>
              <w:bottom w:val="nil"/>
              <w:right w:val="nil"/>
            </w:tcBorders>
            <w:shd w:val="clear" w:color="auto" w:fill="auto"/>
          </w:tcPr>
          <w:p w:rsidR="00812A90" w:rsidRPr="009B3207" w:rsidRDefault="00812A90" w:rsidP="00472DC3">
            <w:pPr>
              <w:rPr>
                <w:sz w:val="22"/>
                <w:szCs w:val="22"/>
              </w:rPr>
            </w:pPr>
            <w:r w:rsidRPr="009B3207">
              <w:rPr>
                <w:sz w:val="22"/>
                <w:szCs w:val="22"/>
              </w:rPr>
              <w:t>Left thalamus</w:t>
            </w:r>
          </w:p>
        </w:tc>
        <w:tc>
          <w:tcPr>
            <w:tcW w:w="1753" w:type="dxa"/>
            <w:tcBorders>
              <w:top w:val="nil"/>
              <w:left w:val="nil"/>
              <w:bottom w:val="nil"/>
              <w:right w:val="nil"/>
            </w:tcBorders>
            <w:vAlign w:val="bottom"/>
          </w:tcPr>
          <w:p w:rsidR="00812A90" w:rsidRPr="009B3207" w:rsidRDefault="00812A90" w:rsidP="00472DC3">
            <w:pPr>
              <w:jc w:val="center"/>
              <w:rPr>
                <w:sz w:val="22"/>
                <w:szCs w:val="22"/>
              </w:rPr>
            </w:pPr>
            <w:r w:rsidRPr="009B3207">
              <w:rPr>
                <w:sz w:val="22"/>
                <w:szCs w:val="22"/>
              </w:rPr>
              <w:t>Controls</w:t>
            </w:r>
          </w:p>
        </w:tc>
        <w:tc>
          <w:tcPr>
            <w:tcW w:w="1366" w:type="dxa"/>
            <w:vMerge/>
            <w:tcBorders>
              <w:top w:val="nil"/>
              <w:left w:val="nil"/>
              <w:bottom w:val="nil"/>
              <w:right w:val="nil"/>
            </w:tcBorders>
            <w:shd w:val="clear" w:color="auto" w:fill="auto"/>
          </w:tcPr>
          <w:p w:rsidR="00812A90" w:rsidRPr="009B3207" w:rsidRDefault="00812A90" w:rsidP="00472DC3">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0.007</w:t>
            </w:r>
          </w:p>
        </w:tc>
        <w:tc>
          <w:tcPr>
            <w:tcW w:w="826"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-0.118</w:t>
            </w:r>
          </w:p>
        </w:tc>
        <w:tc>
          <w:tcPr>
            <w:tcW w:w="1457"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0.732</w:t>
            </w:r>
          </w:p>
        </w:tc>
      </w:tr>
      <w:tr w:rsidR="00812A90" w:rsidRPr="00367245" w:rsidTr="00663C28">
        <w:trPr>
          <w:trHeight w:val="272"/>
        </w:trPr>
        <w:tc>
          <w:tcPr>
            <w:tcW w:w="2813" w:type="dxa"/>
            <w:vMerge/>
            <w:tcBorders>
              <w:top w:val="nil"/>
              <w:left w:val="nil"/>
              <w:bottom w:val="nil"/>
              <w:right w:val="nil"/>
            </w:tcBorders>
            <w:shd w:val="clear" w:color="auto" w:fill="auto"/>
          </w:tcPr>
          <w:p w:rsidR="00812A90" w:rsidRPr="009B3207" w:rsidRDefault="00812A90" w:rsidP="00472DC3">
            <w:pPr>
              <w:rPr>
                <w:sz w:val="22"/>
                <w:szCs w:val="22"/>
              </w:rPr>
            </w:pPr>
          </w:p>
        </w:tc>
        <w:tc>
          <w:tcPr>
            <w:tcW w:w="1753" w:type="dxa"/>
            <w:tcBorders>
              <w:top w:val="nil"/>
              <w:left w:val="nil"/>
              <w:bottom w:val="nil"/>
              <w:right w:val="nil"/>
            </w:tcBorders>
            <w:vAlign w:val="bottom"/>
          </w:tcPr>
          <w:p w:rsidR="00812A90" w:rsidRPr="009B3207" w:rsidRDefault="00812A90" w:rsidP="00472DC3">
            <w:pPr>
              <w:jc w:val="center"/>
              <w:rPr>
                <w:sz w:val="22"/>
                <w:szCs w:val="22"/>
              </w:rPr>
            </w:pPr>
            <w:r w:rsidRPr="009B3207">
              <w:rPr>
                <w:sz w:val="22"/>
                <w:szCs w:val="22"/>
              </w:rPr>
              <w:t>PD</w:t>
            </w:r>
          </w:p>
        </w:tc>
        <w:tc>
          <w:tcPr>
            <w:tcW w:w="1366" w:type="dxa"/>
            <w:vMerge/>
            <w:tcBorders>
              <w:top w:val="nil"/>
              <w:left w:val="nil"/>
              <w:bottom w:val="nil"/>
              <w:right w:val="nil"/>
            </w:tcBorders>
            <w:shd w:val="clear" w:color="auto" w:fill="auto"/>
          </w:tcPr>
          <w:p w:rsidR="00812A90" w:rsidRPr="009B3207" w:rsidRDefault="00812A90" w:rsidP="00472DC3">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0.021</w:t>
            </w:r>
          </w:p>
        </w:tc>
        <w:tc>
          <w:tcPr>
            <w:tcW w:w="826"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0.192</w:t>
            </w:r>
          </w:p>
        </w:tc>
        <w:tc>
          <w:tcPr>
            <w:tcW w:w="1457"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0.380</w:t>
            </w:r>
          </w:p>
        </w:tc>
      </w:tr>
      <w:tr w:rsidR="00812A90" w:rsidRPr="00367245" w:rsidTr="00663C28">
        <w:trPr>
          <w:trHeight w:val="272"/>
        </w:trPr>
        <w:tc>
          <w:tcPr>
            <w:tcW w:w="2813" w:type="dxa"/>
            <w:vMerge w:val="restart"/>
            <w:tcBorders>
              <w:top w:val="nil"/>
              <w:left w:val="nil"/>
              <w:right w:val="nil"/>
            </w:tcBorders>
            <w:shd w:val="clear" w:color="auto" w:fill="auto"/>
          </w:tcPr>
          <w:p w:rsidR="00812A90" w:rsidRPr="009B3207" w:rsidRDefault="00812A90" w:rsidP="00472DC3">
            <w:pPr>
              <w:rPr>
                <w:sz w:val="22"/>
                <w:szCs w:val="22"/>
              </w:rPr>
            </w:pPr>
            <w:r>
              <w:rPr>
                <w:sz w:val="22"/>
                <w:szCs w:val="22"/>
              </w:rPr>
              <w:t>Right thalamus</w:t>
            </w:r>
          </w:p>
        </w:tc>
        <w:tc>
          <w:tcPr>
            <w:tcW w:w="1753" w:type="dxa"/>
            <w:tcBorders>
              <w:top w:val="nil"/>
              <w:left w:val="nil"/>
              <w:bottom w:val="nil"/>
              <w:right w:val="nil"/>
            </w:tcBorders>
            <w:vAlign w:val="bottom"/>
          </w:tcPr>
          <w:p w:rsidR="00812A90" w:rsidRPr="009B3207" w:rsidRDefault="00812A90" w:rsidP="00472DC3">
            <w:pPr>
              <w:jc w:val="center"/>
              <w:rPr>
                <w:sz w:val="22"/>
                <w:szCs w:val="22"/>
              </w:rPr>
            </w:pPr>
            <w:r w:rsidRPr="009B3207">
              <w:rPr>
                <w:sz w:val="22"/>
                <w:szCs w:val="22"/>
              </w:rPr>
              <w:t>Controls</w:t>
            </w:r>
          </w:p>
        </w:tc>
        <w:tc>
          <w:tcPr>
            <w:tcW w:w="1366" w:type="dxa"/>
            <w:vMerge w:val="restart"/>
            <w:tcBorders>
              <w:top w:val="nil"/>
              <w:left w:val="nil"/>
              <w:right w:val="nil"/>
            </w:tcBorders>
            <w:shd w:val="clear" w:color="auto" w:fill="auto"/>
          </w:tcPr>
          <w:p w:rsidR="00812A90" w:rsidRPr="009B3207" w:rsidRDefault="00812A90" w:rsidP="00472DC3">
            <w:pPr>
              <w:jc w:val="center"/>
              <w:rPr>
                <w:sz w:val="22"/>
                <w:szCs w:val="22"/>
              </w:rPr>
            </w:pPr>
            <w:r>
              <w:rPr>
                <w:sz w:val="22"/>
                <w:szCs w:val="22"/>
              </w:rPr>
              <w:t>AQT</w:t>
            </w:r>
          </w:p>
        </w:tc>
        <w:tc>
          <w:tcPr>
            <w:tcW w:w="1141"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0.001</w:t>
            </w:r>
          </w:p>
        </w:tc>
        <w:tc>
          <w:tcPr>
            <w:tcW w:w="826"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0.037</w:t>
            </w:r>
          </w:p>
        </w:tc>
        <w:tc>
          <w:tcPr>
            <w:tcW w:w="1457"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0.909</w:t>
            </w:r>
          </w:p>
        </w:tc>
      </w:tr>
      <w:tr w:rsidR="00812A90" w:rsidRPr="00367245" w:rsidTr="00663C28">
        <w:trPr>
          <w:trHeight w:val="272"/>
        </w:trPr>
        <w:tc>
          <w:tcPr>
            <w:tcW w:w="2813" w:type="dxa"/>
            <w:vMerge/>
            <w:tcBorders>
              <w:left w:val="nil"/>
              <w:bottom w:val="nil"/>
              <w:right w:val="nil"/>
            </w:tcBorders>
            <w:shd w:val="clear" w:color="auto" w:fill="auto"/>
          </w:tcPr>
          <w:p w:rsidR="00812A90" w:rsidRPr="009B3207" w:rsidRDefault="00812A90" w:rsidP="00472DC3">
            <w:pPr>
              <w:rPr>
                <w:sz w:val="22"/>
                <w:szCs w:val="22"/>
              </w:rPr>
            </w:pPr>
          </w:p>
        </w:tc>
        <w:tc>
          <w:tcPr>
            <w:tcW w:w="1753" w:type="dxa"/>
            <w:tcBorders>
              <w:top w:val="nil"/>
              <w:left w:val="nil"/>
              <w:bottom w:val="nil"/>
              <w:right w:val="nil"/>
            </w:tcBorders>
            <w:vAlign w:val="bottom"/>
          </w:tcPr>
          <w:p w:rsidR="00812A90" w:rsidRPr="009B3207" w:rsidRDefault="00812A90" w:rsidP="00472DC3">
            <w:pPr>
              <w:jc w:val="center"/>
              <w:rPr>
                <w:sz w:val="22"/>
                <w:szCs w:val="22"/>
              </w:rPr>
            </w:pPr>
            <w:r w:rsidRPr="009B3207">
              <w:rPr>
                <w:sz w:val="22"/>
                <w:szCs w:val="22"/>
              </w:rPr>
              <w:t>PD</w:t>
            </w:r>
          </w:p>
        </w:tc>
        <w:tc>
          <w:tcPr>
            <w:tcW w:w="1366" w:type="dxa"/>
            <w:vMerge/>
            <w:tcBorders>
              <w:left w:val="nil"/>
              <w:right w:val="nil"/>
            </w:tcBorders>
            <w:shd w:val="clear" w:color="auto" w:fill="auto"/>
          </w:tcPr>
          <w:p w:rsidR="00812A90" w:rsidRPr="009B3207" w:rsidRDefault="00812A90" w:rsidP="00472DC3">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0.016</w:t>
            </w:r>
          </w:p>
        </w:tc>
        <w:tc>
          <w:tcPr>
            <w:tcW w:w="826"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0.232</w:t>
            </w:r>
          </w:p>
        </w:tc>
        <w:tc>
          <w:tcPr>
            <w:tcW w:w="1457" w:type="dxa"/>
            <w:tcBorders>
              <w:top w:val="nil"/>
              <w:left w:val="nil"/>
              <w:bottom w:val="nil"/>
              <w:right w:val="nil"/>
            </w:tcBorders>
            <w:shd w:val="clear" w:color="auto" w:fill="auto"/>
            <w:vAlign w:val="bottom"/>
          </w:tcPr>
          <w:p w:rsidR="00812A90" w:rsidRPr="009B3207" w:rsidRDefault="00812A90" w:rsidP="00472DC3">
            <w:pPr>
              <w:jc w:val="center"/>
              <w:rPr>
                <w:sz w:val="22"/>
                <w:szCs w:val="22"/>
              </w:rPr>
            </w:pPr>
            <w:r>
              <w:rPr>
                <w:sz w:val="22"/>
                <w:szCs w:val="22"/>
              </w:rPr>
              <w:t>0.515</w:t>
            </w:r>
          </w:p>
        </w:tc>
      </w:tr>
      <w:tr w:rsidR="00812A90" w:rsidRPr="00367245" w:rsidTr="00663C28">
        <w:trPr>
          <w:trHeight w:val="272"/>
        </w:trPr>
        <w:tc>
          <w:tcPr>
            <w:tcW w:w="2813" w:type="dxa"/>
            <w:vMerge w:val="restart"/>
            <w:tcBorders>
              <w:top w:val="nil"/>
              <w:left w:val="nil"/>
              <w:right w:val="nil"/>
            </w:tcBorders>
            <w:shd w:val="clear" w:color="auto" w:fill="auto"/>
          </w:tcPr>
          <w:p w:rsidR="00812A90" w:rsidRPr="009B3207" w:rsidRDefault="00812A90" w:rsidP="00822B7D">
            <w:pPr>
              <w:rPr>
                <w:sz w:val="22"/>
                <w:szCs w:val="22"/>
              </w:rPr>
            </w:pPr>
            <w:r>
              <w:rPr>
                <w:sz w:val="22"/>
                <w:szCs w:val="22"/>
              </w:rPr>
              <w:t>Left thalamus</w:t>
            </w:r>
          </w:p>
        </w:tc>
        <w:tc>
          <w:tcPr>
            <w:tcW w:w="1753" w:type="dxa"/>
            <w:tcBorders>
              <w:top w:val="nil"/>
              <w:left w:val="nil"/>
              <w:bottom w:val="nil"/>
              <w:right w:val="nil"/>
            </w:tcBorders>
            <w:vAlign w:val="bottom"/>
          </w:tcPr>
          <w:p w:rsidR="00812A90" w:rsidRPr="009B3207" w:rsidRDefault="00812A90" w:rsidP="00822B7D">
            <w:pPr>
              <w:jc w:val="center"/>
              <w:rPr>
                <w:sz w:val="22"/>
                <w:szCs w:val="22"/>
              </w:rPr>
            </w:pPr>
            <w:r w:rsidRPr="009B3207">
              <w:rPr>
                <w:sz w:val="22"/>
                <w:szCs w:val="22"/>
              </w:rPr>
              <w:t>Controls</w:t>
            </w:r>
          </w:p>
        </w:tc>
        <w:tc>
          <w:tcPr>
            <w:tcW w:w="1366" w:type="dxa"/>
            <w:vMerge/>
            <w:tcBorders>
              <w:left w:val="nil"/>
              <w:right w:val="nil"/>
            </w:tcBorders>
            <w:shd w:val="clear" w:color="auto" w:fill="auto"/>
          </w:tcPr>
          <w:p w:rsidR="00812A90" w:rsidRPr="009B3207" w:rsidRDefault="00812A90" w:rsidP="00822B7D">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0.049</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-0.326</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0.315</w:t>
            </w:r>
          </w:p>
        </w:tc>
      </w:tr>
      <w:tr w:rsidR="00812A90" w:rsidRPr="00367245" w:rsidTr="00663C28">
        <w:trPr>
          <w:trHeight w:val="272"/>
        </w:trPr>
        <w:tc>
          <w:tcPr>
            <w:tcW w:w="2813" w:type="dxa"/>
            <w:vMerge/>
            <w:tcBorders>
              <w:left w:val="nil"/>
              <w:bottom w:val="nil"/>
              <w:right w:val="nil"/>
            </w:tcBorders>
            <w:shd w:val="clear" w:color="auto" w:fill="auto"/>
          </w:tcPr>
          <w:p w:rsidR="00812A90" w:rsidRPr="009B3207" w:rsidRDefault="00812A90" w:rsidP="00822B7D">
            <w:pPr>
              <w:rPr>
                <w:sz w:val="22"/>
                <w:szCs w:val="22"/>
              </w:rPr>
            </w:pPr>
          </w:p>
        </w:tc>
        <w:tc>
          <w:tcPr>
            <w:tcW w:w="1753" w:type="dxa"/>
            <w:tcBorders>
              <w:top w:val="nil"/>
              <w:left w:val="nil"/>
              <w:bottom w:val="nil"/>
              <w:right w:val="nil"/>
            </w:tcBorders>
            <w:vAlign w:val="bottom"/>
          </w:tcPr>
          <w:p w:rsidR="00812A90" w:rsidRPr="009B3207" w:rsidRDefault="00812A90" w:rsidP="00822B7D">
            <w:pPr>
              <w:jc w:val="center"/>
              <w:rPr>
                <w:sz w:val="22"/>
                <w:szCs w:val="22"/>
              </w:rPr>
            </w:pPr>
            <w:r w:rsidRPr="009B3207">
              <w:rPr>
                <w:sz w:val="22"/>
                <w:szCs w:val="22"/>
              </w:rPr>
              <w:t>PD</w:t>
            </w:r>
          </w:p>
        </w:tc>
        <w:tc>
          <w:tcPr>
            <w:tcW w:w="1366" w:type="dxa"/>
            <w:vMerge/>
            <w:tcBorders>
              <w:left w:val="nil"/>
              <w:bottom w:val="nil"/>
              <w:right w:val="nil"/>
            </w:tcBorders>
            <w:shd w:val="clear" w:color="auto" w:fill="auto"/>
          </w:tcPr>
          <w:p w:rsidR="00812A90" w:rsidRPr="009B3207" w:rsidRDefault="00812A90" w:rsidP="00822B7D">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0.038</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0.257</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0.306</w:t>
            </w:r>
          </w:p>
        </w:tc>
      </w:tr>
      <w:tr w:rsidR="00812A90" w:rsidRPr="00367245" w:rsidTr="00663C28">
        <w:trPr>
          <w:trHeight w:val="272"/>
        </w:trPr>
        <w:tc>
          <w:tcPr>
            <w:tcW w:w="2813" w:type="dxa"/>
            <w:vMerge w:val="restart"/>
            <w:tcBorders>
              <w:top w:val="nil"/>
              <w:left w:val="nil"/>
              <w:bottom w:val="nil"/>
              <w:right w:val="nil"/>
            </w:tcBorders>
            <w:shd w:val="clear" w:color="auto" w:fill="auto"/>
          </w:tcPr>
          <w:p w:rsidR="00812A90" w:rsidRPr="009B3207" w:rsidRDefault="00812A90" w:rsidP="00822B7D">
            <w:pPr>
              <w:rPr>
                <w:sz w:val="22"/>
                <w:szCs w:val="22"/>
              </w:rPr>
            </w:pPr>
            <w:r>
              <w:rPr>
                <w:sz w:val="22"/>
                <w:szCs w:val="22"/>
              </w:rPr>
              <w:t>Right thalamus</w:t>
            </w:r>
          </w:p>
        </w:tc>
        <w:tc>
          <w:tcPr>
            <w:tcW w:w="1753" w:type="dxa"/>
            <w:tcBorders>
              <w:top w:val="nil"/>
              <w:left w:val="nil"/>
              <w:bottom w:val="nil"/>
              <w:right w:val="nil"/>
            </w:tcBorders>
            <w:vAlign w:val="bottom"/>
          </w:tcPr>
          <w:p w:rsidR="00812A90" w:rsidRPr="009B3207" w:rsidRDefault="00812A90" w:rsidP="00822B7D">
            <w:pPr>
              <w:jc w:val="center"/>
              <w:rPr>
                <w:sz w:val="22"/>
                <w:szCs w:val="22"/>
              </w:rPr>
            </w:pPr>
            <w:r w:rsidRPr="009B3207">
              <w:rPr>
                <w:sz w:val="22"/>
                <w:szCs w:val="22"/>
              </w:rPr>
              <w:t>Controls</w:t>
            </w:r>
          </w:p>
        </w:tc>
        <w:tc>
          <w:tcPr>
            <w:tcW w:w="1366" w:type="dxa"/>
            <w:vMerge w:val="restart"/>
            <w:tcBorders>
              <w:top w:val="nil"/>
              <w:left w:val="nil"/>
              <w:right w:val="nil"/>
            </w:tcBorders>
            <w:shd w:val="clear" w:color="auto" w:fill="auto"/>
          </w:tcPr>
          <w:p w:rsidR="00812A90" w:rsidRPr="009B3207" w:rsidRDefault="00812A90" w:rsidP="00822B7D">
            <w:pPr>
              <w:jc w:val="center"/>
              <w:rPr>
                <w:sz w:val="22"/>
                <w:szCs w:val="22"/>
              </w:rPr>
            </w:pPr>
            <w:r>
              <w:rPr>
                <w:sz w:val="22"/>
                <w:szCs w:val="22"/>
              </w:rPr>
              <w:t>AF</w:t>
            </w:r>
          </w:p>
        </w:tc>
        <w:tc>
          <w:tcPr>
            <w:tcW w:w="1141"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0.011</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-0.152</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0.655</w:t>
            </w:r>
          </w:p>
        </w:tc>
      </w:tr>
      <w:tr w:rsidR="00812A90" w:rsidRPr="00367245" w:rsidTr="00663C28">
        <w:trPr>
          <w:trHeight w:val="272"/>
        </w:trPr>
        <w:tc>
          <w:tcPr>
            <w:tcW w:w="2813" w:type="dxa"/>
            <w:vMerge/>
            <w:tcBorders>
              <w:top w:val="nil"/>
              <w:left w:val="nil"/>
              <w:bottom w:val="nil"/>
              <w:right w:val="nil"/>
            </w:tcBorders>
            <w:shd w:val="clear" w:color="auto" w:fill="auto"/>
          </w:tcPr>
          <w:p w:rsidR="00812A90" w:rsidRPr="009B3207" w:rsidRDefault="00812A90" w:rsidP="00822B7D">
            <w:pPr>
              <w:rPr>
                <w:sz w:val="22"/>
                <w:szCs w:val="22"/>
              </w:rPr>
            </w:pPr>
          </w:p>
        </w:tc>
        <w:tc>
          <w:tcPr>
            <w:tcW w:w="1753" w:type="dxa"/>
            <w:tcBorders>
              <w:top w:val="nil"/>
              <w:left w:val="nil"/>
              <w:bottom w:val="nil"/>
              <w:right w:val="nil"/>
            </w:tcBorders>
            <w:vAlign w:val="bottom"/>
          </w:tcPr>
          <w:p w:rsidR="00812A90" w:rsidRPr="009B3207" w:rsidRDefault="00812A90" w:rsidP="00822B7D">
            <w:pPr>
              <w:jc w:val="center"/>
              <w:rPr>
                <w:sz w:val="22"/>
                <w:szCs w:val="22"/>
              </w:rPr>
            </w:pPr>
            <w:r w:rsidRPr="009B3207">
              <w:rPr>
                <w:sz w:val="22"/>
                <w:szCs w:val="22"/>
              </w:rPr>
              <w:t>PD</w:t>
            </w:r>
          </w:p>
        </w:tc>
        <w:tc>
          <w:tcPr>
            <w:tcW w:w="1366" w:type="dxa"/>
            <w:vMerge/>
            <w:tcBorders>
              <w:left w:val="nil"/>
              <w:right w:val="nil"/>
            </w:tcBorders>
            <w:shd w:val="clear" w:color="auto" w:fill="auto"/>
          </w:tcPr>
          <w:p w:rsidR="00812A90" w:rsidRPr="009B3207" w:rsidRDefault="00812A90" w:rsidP="00822B7D">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0.098</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0.584</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0.135</w:t>
            </w:r>
          </w:p>
        </w:tc>
      </w:tr>
      <w:tr w:rsidR="00812A90" w:rsidRPr="00367245" w:rsidTr="00663C28">
        <w:trPr>
          <w:trHeight w:val="272"/>
        </w:trPr>
        <w:tc>
          <w:tcPr>
            <w:tcW w:w="2813" w:type="dxa"/>
            <w:vMerge w:val="restart"/>
            <w:tcBorders>
              <w:top w:val="nil"/>
              <w:left w:val="nil"/>
              <w:right w:val="nil"/>
            </w:tcBorders>
            <w:shd w:val="clear" w:color="auto" w:fill="auto"/>
          </w:tcPr>
          <w:p w:rsidR="00812A90" w:rsidRPr="009B3207" w:rsidRDefault="00812A90" w:rsidP="00822B7D">
            <w:pPr>
              <w:rPr>
                <w:sz w:val="22"/>
                <w:szCs w:val="22"/>
              </w:rPr>
            </w:pPr>
            <w:r>
              <w:rPr>
                <w:sz w:val="22"/>
                <w:szCs w:val="22"/>
              </w:rPr>
              <w:t>Left thalamus</w:t>
            </w:r>
          </w:p>
        </w:tc>
        <w:tc>
          <w:tcPr>
            <w:tcW w:w="1753" w:type="dxa"/>
            <w:tcBorders>
              <w:top w:val="nil"/>
              <w:left w:val="nil"/>
              <w:bottom w:val="nil"/>
              <w:right w:val="nil"/>
            </w:tcBorders>
            <w:vAlign w:val="bottom"/>
          </w:tcPr>
          <w:p w:rsidR="00812A90" w:rsidRPr="009B3207" w:rsidRDefault="00812A90" w:rsidP="00822B7D">
            <w:pPr>
              <w:jc w:val="center"/>
              <w:rPr>
                <w:sz w:val="22"/>
                <w:szCs w:val="22"/>
              </w:rPr>
            </w:pPr>
            <w:r w:rsidRPr="009B3207">
              <w:rPr>
                <w:sz w:val="22"/>
                <w:szCs w:val="22"/>
              </w:rPr>
              <w:t>Controls</w:t>
            </w:r>
          </w:p>
        </w:tc>
        <w:tc>
          <w:tcPr>
            <w:tcW w:w="1366" w:type="dxa"/>
            <w:vMerge/>
            <w:tcBorders>
              <w:left w:val="nil"/>
              <w:right w:val="nil"/>
            </w:tcBorders>
            <w:shd w:val="clear" w:color="auto" w:fill="auto"/>
          </w:tcPr>
          <w:p w:rsidR="00812A90" w:rsidRPr="009B3207" w:rsidRDefault="00812A90" w:rsidP="00822B7D">
            <w:pPr>
              <w:jc w:val="center"/>
              <w:rPr>
                <w:sz w:val="22"/>
                <w:szCs w:val="22"/>
              </w:rPr>
            </w:pPr>
          </w:p>
        </w:tc>
        <w:tc>
          <w:tcPr>
            <w:tcW w:w="1141"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0.047</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-0.318</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0.358</w:t>
            </w:r>
          </w:p>
        </w:tc>
      </w:tr>
      <w:tr w:rsidR="00812A90" w:rsidRPr="00367245" w:rsidTr="00663C28">
        <w:trPr>
          <w:trHeight w:val="272"/>
        </w:trPr>
        <w:tc>
          <w:tcPr>
            <w:tcW w:w="2813" w:type="dxa"/>
            <w:vMerge/>
            <w:tcBorders>
              <w:left w:val="nil"/>
              <w:bottom w:val="single" w:sz="4" w:space="0" w:color="auto"/>
              <w:right w:val="nil"/>
            </w:tcBorders>
            <w:shd w:val="clear" w:color="auto" w:fill="auto"/>
          </w:tcPr>
          <w:p w:rsidR="00812A90" w:rsidRPr="009B3207" w:rsidRDefault="00812A90" w:rsidP="00822B7D">
            <w:pPr>
              <w:rPr>
                <w:sz w:val="22"/>
                <w:szCs w:val="22"/>
              </w:rPr>
            </w:pPr>
          </w:p>
        </w:tc>
        <w:tc>
          <w:tcPr>
            <w:tcW w:w="1753" w:type="dxa"/>
            <w:tcBorders>
              <w:top w:val="nil"/>
              <w:left w:val="nil"/>
              <w:bottom w:val="single" w:sz="4" w:space="0" w:color="auto"/>
              <w:right w:val="nil"/>
            </w:tcBorders>
            <w:vAlign w:val="bottom"/>
          </w:tcPr>
          <w:p w:rsidR="00812A90" w:rsidRPr="009B3207" w:rsidRDefault="00812A90" w:rsidP="00822B7D">
            <w:pPr>
              <w:jc w:val="center"/>
              <w:rPr>
                <w:sz w:val="22"/>
                <w:szCs w:val="22"/>
              </w:rPr>
            </w:pPr>
            <w:r w:rsidRPr="009B3207">
              <w:rPr>
                <w:sz w:val="22"/>
                <w:szCs w:val="22"/>
              </w:rPr>
              <w:t>PD</w:t>
            </w:r>
          </w:p>
        </w:tc>
        <w:tc>
          <w:tcPr>
            <w:tcW w:w="1366" w:type="dxa"/>
            <w:vMerge/>
            <w:tcBorders>
              <w:left w:val="nil"/>
              <w:bottom w:val="single" w:sz="4" w:space="0" w:color="auto"/>
              <w:right w:val="nil"/>
            </w:tcBorders>
            <w:shd w:val="clear" w:color="auto" w:fill="auto"/>
          </w:tcPr>
          <w:p w:rsidR="00812A90" w:rsidRPr="009B3207" w:rsidRDefault="00812A90" w:rsidP="00822B7D">
            <w:pPr>
              <w:jc w:val="center"/>
              <w:rPr>
                <w:sz w:val="22"/>
                <w:szCs w:val="22"/>
              </w:rPr>
            </w:pPr>
          </w:p>
        </w:tc>
        <w:tc>
          <w:tcPr>
            <w:tcW w:w="1141" w:type="dxa"/>
            <w:tcBorders>
              <w:top w:val="nil"/>
              <w:left w:val="nil"/>
              <w:bottom w:val="single" w:sz="4" w:space="0" w:color="auto"/>
              <w:right w:val="nil"/>
            </w:tcBorders>
            <w:shd w:val="clear" w:color="auto" w:fill="auto"/>
            <w:vAlign w:val="bottom"/>
          </w:tcPr>
          <w:p w:rsidR="00812A90" w:rsidRPr="009B3207" w:rsidRDefault="00812A90" w:rsidP="00822B7D">
            <w:pPr>
              <w:jc w:val="center"/>
              <w:rPr>
                <w:sz w:val="22"/>
                <w:szCs w:val="22"/>
              </w:rPr>
            </w:pPr>
            <w:r>
              <w:rPr>
                <w:sz w:val="22"/>
                <w:szCs w:val="22"/>
              </w:rPr>
              <w:t>0.077</w:t>
            </w:r>
          </w:p>
        </w:tc>
        <w:tc>
          <w:tcPr>
            <w:tcW w:w="826"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0.367</w:t>
            </w:r>
          </w:p>
        </w:tc>
        <w:tc>
          <w:tcPr>
            <w:tcW w:w="1457" w:type="dxa"/>
            <w:tcBorders>
              <w:top w:val="nil"/>
              <w:left w:val="nil"/>
              <w:bottom w:val="nil"/>
              <w:right w:val="nil"/>
            </w:tcBorders>
            <w:shd w:val="clear" w:color="auto" w:fill="auto"/>
            <w:vAlign w:val="bottom"/>
          </w:tcPr>
          <w:p w:rsidR="00812A90" w:rsidRPr="009B3207" w:rsidRDefault="00812A90" w:rsidP="00822B7D">
            <w:pPr>
              <w:jc w:val="center"/>
              <w:rPr>
                <w:sz w:val="22"/>
                <w:szCs w:val="22"/>
              </w:rPr>
            </w:pPr>
            <w:r>
              <w:rPr>
                <w:sz w:val="22"/>
                <w:szCs w:val="22"/>
              </w:rPr>
              <w:t>0.188</w:t>
            </w:r>
          </w:p>
        </w:tc>
      </w:tr>
      <w:tr w:rsidR="00812A90" w:rsidRPr="00367245" w:rsidTr="00663C28">
        <w:trPr>
          <w:trHeight w:val="761"/>
        </w:trPr>
        <w:tc>
          <w:tcPr>
            <w:tcW w:w="9356" w:type="dxa"/>
            <w:gridSpan w:val="6"/>
            <w:tcBorders>
              <w:top w:val="single" w:sz="4" w:space="0" w:color="auto"/>
              <w:left w:val="nil"/>
              <w:bottom w:val="single" w:sz="4" w:space="0" w:color="auto"/>
              <w:right w:val="nil"/>
            </w:tcBorders>
          </w:tcPr>
          <w:p w:rsidR="00812A90" w:rsidRDefault="00812A90" w:rsidP="00822B7D">
            <w:pPr>
              <w:rPr>
                <w:b/>
                <w:sz w:val="22"/>
                <w:szCs w:val="22"/>
              </w:rPr>
            </w:pPr>
            <w:r>
              <w:rPr>
                <w:b/>
                <w:sz w:val="22"/>
                <w:szCs w:val="22"/>
              </w:rPr>
              <w:t>Supplementary Table S2</w:t>
            </w:r>
            <w:r w:rsidRPr="009B3207">
              <w:rPr>
                <w:b/>
                <w:sz w:val="22"/>
                <w:szCs w:val="22"/>
              </w:rPr>
              <w:t>.</w:t>
            </w:r>
            <w:r w:rsidRPr="009B3207">
              <w:rPr>
                <w:sz w:val="22"/>
                <w:szCs w:val="22"/>
              </w:rPr>
              <w:t xml:space="preserve"> </w:t>
            </w:r>
            <w:r>
              <w:rPr>
                <w:b/>
                <w:sz w:val="22"/>
                <w:szCs w:val="22"/>
              </w:rPr>
              <w:t>Correlations between thalami</w:t>
            </w:r>
            <w:r w:rsidRPr="00DB4B5C">
              <w:rPr>
                <w:b/>
                <w:sz w:val="22"/>
                <w:szCs w:val="22"/>
              </w:rPr>
              <w:t xml:space="preserve"> volumes and clinical </w:t>
            </w:r>
            <w:r>
              <w:rPr>
                <w:b/>
                <w:sz w:val="22"/>
                <w:szCs w:val="22"/>
              </w:rPr>
              <w:t>measures</w:t>
            </w:r>
            <w:r w:rsidRPr="00DB4B5C">
              <w:rPr>
                <w:b/>
                <w:sz w:val="22"/>
                <w:szCs w:val="22"/>
              </w:rPr>
              <w:t>: PD and Controls</w:t>
            </w:r>
            <w:r>
              <w:rPr>
                <w:b/>
                <w:sz w:val="22"/>
                <w:szCs w:val="22"/>
              </w:rPr>
              <w:t>.</w:t>
            </w:r>
          </w:p>
          <w:p w:rsidR="00812A90" w:rsidRPr="009B3207" w:rsidRDefault="00812A90" w:rsidP="00822B7D">
            <w:pPr>
              <w:rPr>
                <w:sz w:val="22"/>
                <w:szCs w:val="22"/>
              </w:rPr>
            </w:pPr>
            <w:r w:rsidRPr="00C63708">
              <w:rPr>
                <w:sz w:val="22"/>
                <w:szCs w:val="22"/>
              </w:rPr>
              <w:t>A correction for multiple comparisons</w:t>
            </w:r>
            <w:r>
              <w:rPr>
                <w:sz w:val="22"/>
                <w:szCs w:val="22"/>
              </w:rPr>
              <w:t xml:space="preserve"> </w:t>
            </w:r>
            <w:r w:rsidRPr="00C63708">
              <w:rPr>
                <w:sz w:val="22"/>
                <w:szCs w:val="22"/>
              </w:rPr>
              <w:t xml:space="preserve">using the Bonferroni method stipulate a </w:t>
            </w:r>
            <w:r w:rsidRPr="00C63708">
              <w:rPr>
                <w:i/>
                <w:sz w:val="22"/>
                <w:szCs w:val="22"/>
              </w:rPr>
              <w:t>p</w:t>
            </w:r>
            <w:r w:rsidRPr="00C63708">
              <w:rPr>
                <w:sz w:val="22"/>
                <w:szCs w:val="22"/>
              </w:rPr>
              <w:t>-value of &lt; 0.00625 required for significance (based on performing 8 analyses).</w:t>
            </w:r>
            <w:r>
              <w:rPr>
                <w:sz w:val="22"/>
                <w:szCs w:val="22"/>
              </w:rPr>
              <w:t xml:space="preserve"> UPDRS-III, </w:t>
            </w:r>
            <w:r w:rsidRPr="009B3207">
              <w:rPr>
                <w:sz w:val="22"/>
                <w:szCs w:val="22"/>
              </w:rPr>
              <w:t>Unified Parkinson’</w:t>
            </w:r>
            <w:r>
              <w:rPr>
                <w:sz w:val="22"/>
                <w:szCs w:val="22"/>
              </w:rPr>
              <w:t>s Disease Rating Scale part III; TUG, Timed up and Go test; AQT, A Quick Test of Cognitive Speed; AF, Animal Fluency test;</w:t>
            </w:r>
            <w:r w:rsidRPr="00A16228">
              <w:rPr>
                <w:sz w:val="22"/>
                <w:szCs w:val="22"/>
              </w:rPr>
              <w:t xml:space="preserve"> R</w:t>
            </w:r>
            <w:r w:rsidRPr="00A16228">
              <w:rPr>
                <w:sz w:val="22"/>
                <w:szCs w:val="22"/>
                <w:vertAlign w:val="superscript"/>
              </w:rPr>
              <w:t>2</w:t>
            </w:r>
            <w:r w:rsidRPr="00A16228">
              <w:rPr>
                <w:sz w:val="22"/>
                <w:szCs w:val="22"/>
              </w:rPr>
              <w:t xml:space="preserve"> change, variance in clinical </w:t>
            </w:r>
            <w:r w:rsidRPr="00C63708">
              <w:rPr>
                <w:sz w:val="22"/>
                <w:szCs w:val="22"/>
              </w:rPr>
              <w:t xml:space="preserve">measure score explained by unique contribution of the volume of interest (multiply by 100 to find percentage); </w:t>
            </w:r>
            <w:r w:rsidRPr="00C63708">
              <w:rPr>
                <w:sz w:val="22"/>
                <w:szCs w:val="22"/>
              </w:rPr>
              <w:sym w:font="Symbol" w:char="F062"/>
            </w:r>
            <w:r w:rsidRPr="00C63708">
              <w:rPr>
                <w:sz w:val="22"/>
                <w:szCs w:val="22"/>
              </w:rPr>
              <w:t>, standardized beta coefficient</w:t>
            </w:r>
            <w:r>
              <w:rPr>
                <w:sz w:val="22"/>
                <w:szCs w:val="22"/>
              </w:rPr>
              <w:t>,</w:t>
            </w:r>
            <w:r w:rsidRPr="00C63708">
              <w:rPr>
                <w:sz w:val="22"/>
                <w:szCs w:val="22"/>
              </w:rPr>
              <w:t xml:space="preserve"> indicating effect size</w:t>
            </w:r>
            <w:r>
              <w:rPr>
                <w:sz w:val="22"/>
                <w:szCs w:val="22"/>
              </w:rPr>
              <w:t>.</w:t>
            </w:r>
            <w:r w:rsidRPr="00C63708">
              <w:rPr>
                <w:sz w:val="22"/>
                <w:szCs w:val="22"/>
              </w:rPr>
              <w:t xml:space="preserve"> </w:t>
            </w:r>
          </w:p>
        </w:tc>
      </w:tr>
    </w:tbl>
    <w:p w:rsidR="00812A90" w:rsidRDefault="00812A90" w:rsidP="00740A95">
      <w:pPr>
        <w:pStyle w:val="EndNoteBibliography"/>
        <w:rPr>
          <w:noProof/>
        </w:rPr>
      </w:pPr>
    </w:p>
    <w:p w:rsidR="00812A90" w:rsidRDefault="00812A90" w:rsidP="008A028E">
      <w:pPr>
        <w:pStyle w:val="EndNoteBibliography"/>
        <w:ind w:left="720" w:hanging="720"/>
        <w:rPr>
          <w:noProof/>
        </w:rPr>
      </w:pPr>
    </w:p>
    <w:p w:rsidR="00812A90" w:rsidRPr="005D1295" w:rsidRDefault="00812A90" w:rsidP="005D1295">
      <w:pPr>
        <w:pStyle w:val="EndNoteBibliographyTitle"/>
        <w:rPr>
          <w:b/>
          <w:noProof/>
        </w:rPr>
      </w:pPr>
      <w:r w:rsidRPr="005D1295">
        <w:rPr>
          <w:b/>
          <w:noProof/>
        </w:rPr>
        <w:lastRenderedPageBreak/>
        <w:t>References</w:t>
      </w:r>
    </w:p>
    <w:p w:rsidR="00812A90" w:rsidRPr="005D1295" w:rsidRDefault="00812A90" w:rsidP="005D1295">
      <w:pPr>
        <w:pStyle w:val="EndNoteBibliographyTitle"/>
        <w:rPr>
          <w:b/>
          <w:noProof/>
        </w:rPr>
      </w:pPr>
    </w:p>
    <w:p w:rsidR="00812A90" w:rsidRPr="005D1295" w:rsidRDefault="00812A90" w:rsidP="005D1295">
      <w:pPr>
        <w:pStyle w:val="EndNoteBibliography"/>
        <w:ind w:left="720" w:hanging="720"/>
        <w:rPr>
          <w:noProof/>
        </w:rPr>
      </w:pPr>
      <w:r w:rsidRPr="005D1295">
        <w:rPr>
          <w:noProof/>
        </w:rPr>
        <w:t>1.</w:t>
      </w:r>
      <w:r w:rsidRPr="005D1295">
        <w:rPr>
          <w:noProof/>
        </w:rPr>
        <w:tab/>
        <w:t>Duvernoy HM. The human brain: surface, three-dimensional sectional anatomy with MRI, and blood supply: Springer Science &amp; Business Media; 2012.</w:t>
      </w:r>
    </w:p>
    <w:p w:rsidR="00812A90" w:rsidRPr="005D1295" w:rsidRDefault="00812A90" w:rsidP="005D1295">
      <w:pPr>
        <w:pStyle w:val="EndNoteBibliography"/>
        <w:ind w:left="720" w:hanging="720"/>
        <w:rPr>
          <w:noProof/>
        </w:rPr>
      </w:pPr>
      <w:r w:rsidRPr="005D1295">
        <w:rPr>
          <w:noProof/>
        </w:rPr>
        <w:t>2.</w:t>
      </w:r>
      <w:r w:rsidRPr="005D1295">
        <w:rPr>
          <w:noProof/>
        </w:rPr>
        <w:tab/>
        <w:t>Morel A. Stereotactic atlas of the human thalamus and basal ganglia: CRC Press; 2007.</w:t>
      </w:r>
    </w:p>
    <w:p w:rsidR="00812A90" w:rsidRPr="005D1295" w:rsidRDefault="00812A90" w:rsidP="005D1295">
      <w:pPr>
        <w:pStyle w:val="EndNoteBibliography"/>
        <w:ind w:left="720" w:hanging="720"/>
        <w:rPr>
          <w:noProof/>
        </w:rPr>
      </w:pPr>
      <w:r w:rsidRPr="005D1295">
        <w:rPr>
          <w:noProof/>
        </w:rPr>
        <w:t>3.</w:t>
      </w:r>
      <w:r w:rsidRPr="005D1295">
        <w:rPr>
          <w:noProof/>
        </w:rPr>
        <w:tab/>
        <w:t>Power BD, Wilkes FA, Hunter-Dickson M, van Westen D, Santillo AF, Walterfang M, et al. Validation of a protocol for manual segmentation of the thalamus on magnetic resonance imaging scans. Psychiatry Research: Neuroimaging. 2015;232(1):98-105.</w:t>
      </w:r>
    </w:p>
    <w:p w:rsidR="00812A90" w:rsidRPr="005D1295" w:rsidRDefault="00812A90" w:rsidP="005D1295">
      <w:pPr>
        <w:pStyle w:val="EndNoteBibliography"/>
        <w:ind w:left="720" w:hanging="720"/>
        <w:rPr>
          <w:noProof/>
        </w:rPr>
      </w:pPr>
      <w:r w:rsidRPr="005D1295">
        <w:rPr>
          <w:noProof/>
        </w:rPr>
        <w:t>4.</w:t>
      </w:r>
      <w:r w:rsidRPr="005D1295">
        <w:rPr>
          <w:noProof/>
        </w:rPr>
        <w:tab/>
        <w:t>Shrout PE, Fleiss JL. Intraclass correlations: uses in assessing rater reliability. Psychological bulletin. 1979;86(2):420.</w:t>
      </w:r>
    </w:p>
    <w:p w:rsidR="00812A90" w:rsidRPr="005D1295" w:rsidRDefault="00812A90" w:rsidP="005D1295">
      <w:pPr>
        <w:pStyle w:val="EndNoteBibliography"/>
        <w:ind w:left="720" w:hanging="720"/>
        <w:rPr>
          <w:noProof/>
        </w:rPr>
      </w:pPr>
      <w:r w:rsidRPr="005D1295">
        <w:rPr>
          <w:noProof/>
        </w:rPr>
        <w:t>5.</w:t>
      </w:r>
      <w:r w:rsidRPr="005D1295">
        <w:rPr>
          <w:noProof/>
        </w:rPr>
        <w:tab/>
        <w:t>Beckmann CF, Smith SM. Probabilistic independent component analysis for functional magnetic resonance imaging. IEEE transactions on medical imaging. 2004;23(2):137-52.</w:t>
      </w:r>
    </w:p>
    <w:p w:rsidR="00812A90" w:rsidRPr="005D1295" w:rsidRDefault="00812A90" w:rsidP="005D1295">
      <w:pPr>
        <w:pStyle w:val="EndNoteBibliography"/>
        <w:ind w:left="720" w:hanging="720"/>
        <w:rPr>
          <w:noProof/>
        </w:rPr>
      </w:pPr>
      <w:r w:rsidRPr="005D1295">
        <w:rPr>
          <w:noProof/>
        </w:rPr>
        <w:t>6.</w:t>
      </w:r>
      <w:r w:rsidRPr="005D1295">
        <w:rPr>
          <w:noProof/>
        </w:rPr>
        <w:tab/>
        <w:t>Minka TP, editor Automatic choice of dimensionality for PCA. Advances in neural information processing systems; 2001.</w:t>
      </w:r>
    </w:p>
    <w:p w:rsidR="00812A90" w:rsidRPr="005D1295" w:rsidRDefault="00812A90" w:rsidP="005D1295">
      <w:pPr>
        <w:pStyle w:val="EndNoteBibliography"/>
        <w:ind w:left="720" w:hanging="720"/>
        <w:rPr>
          <w:noProof/>
        </w:rPr>
      </w:pPr>
      <w:r w:rsidRPr="005D1295">
        <w:rPr>
          <w:noProof/>
        </w:rPr>
        <w:t>7.</w:t>
      </w:r>
      <w:r w:rsidRPr="005D1295">
        <w:rPr>
          <w:noProof/>
        </w:rPr>
        <w:tab/>
        <w:t>Hyvarinen A. Fast and robust fixed-point algorithms for independent component analysis. IEEE transactions on Neural Networks. 1999;10(3):626-34.</w:t>
      </w:r>
    </w:p>
    <w:p w:rsidR="00812A90" w:rsidRPr="005D1295" w:rsidRDefault="00812A90" w:rsidP="005D1295">
      <w:pPr>
        <w:pStyle w:val="EndNoteBibliography"/>
        <w:ind w:left="720" w:hanging="720"/>
        <w:rPr>
          <w:noProof/>
        </w:rPr>
      </w:pPr>
      <w:r w:rsidRPr="005D1295">
        <w:rPr>
          <w:noProof/>
        </w:rPr>
        <w:t>8.</w:t>
      </w:r>
      <w:r w:rsidRPr="005D1295">
        <w:rPr>
          <w:noProof/>
        </w:rPr>
        <w:tab/>
        <w:t>Salimi-Khorshidi G, Douaud G, Beckmann CF, Glasser MF, Griffanti L, Smith SM. Automatic denoising of functional MRI data: combining independent component analysis and hierarchical fusion of classifiers. Neuroimage. 2014;90:449-68.</w:t>
      </w:r>
    </w:p>
    <w:p w:rsidR="00812A90" w:rsidRPr="005D1295" w:rsidRDefault="00812A90" w:rsidP="005D1295">
      <w:pPr>
        <w:pStyle w:val="EndNoteBibliography"/>
        <w:ind w:left="720" w:hanging="720"/>
        <w:rPr>
          <w:noProof/>
        </w:rPr>
      </w:pPr>
      <w:r w:rsidRPr="005D1295">
        <w:rPr>
          <w:noProof/>
        </w:rPr>
        <w:t>9.</w:t>
      </w:r>
      <w:r w:rsidRPr="005D1295">
        <w:rPr>
          <w:noProof/>
        </w:rPr>
        <w:tab/>
        <w:t>Griffanti L, Salimi-Khorshidi G, Beckmann CF, Auerbach EJ, Douaud G, Sexton CE, et al. ICA-based artefact removal and accelerated fMRI acquisition for improved resting state network imaging. Neuroimage. 2014;95:232-47.</w:t>
      </w:r>
    </w:p>
    <w:p w:rsidR="00812A90" w:rsidRPr="005D1295" w:rsidRDefault="00812A90" w:rsidP="005D1295">
      <w:pPr>
        <w:pStyle w:val="EndNoteBibliography"/>
        <w:ind w:left="720" w:hanging="720"/>
        <w:rPr>
          <w:noProof/>
        </w:rPr>
      </w:pPr>
      <w:r w:rsidRPr="005D1295">
        <w:rPr>
          <w:noProof/>
        </w:rPr>
        <w:t>10.</w:t>
      </w:r>
      <w:r w:rsidRPr="005D1295">
        <w:rPr>
          <w:noProof/>
        </w:rPr>
        <w:tab/>
        <w:t>Fischl B. FreeSurfer. Neuroimage. 2012;62(2):774-81.</w:t>
      </w:r>
    </w:p>
    <w:p w:rsidR="00812A90" w:rsidRPr="005D1295" w:rsidRDefault="00812A90" w:rsidP="005D1295">
      <w:pPr>
        <w:pStyle w:val="EndNoteBibliography"/>
        <w:ind w:left="720" w:hanging="720"/>
        <w:rPr>
          <w:noProof/>
        </w:rPr>
      </w:pPr>
      <w:r w:rsidRPr="005D1295">
        <w:rPr>
          <w:noProof/>
        </w:rPr>
        <w:t>11.</w:t>
      </w:r>
      <w:r w:rsidRPr="005D1295">
        <w:rPr>
          <w:noProof/>
        </w:rPr>
        <w:tab/>
        <w:t>Smyser CD, Inder TE, Shimony JS, Hill JE, Degnan AJ, Snyder AZ, et al. Longitudinal analysis of neural network development in preterm infants. Cerebral cortex (New York, NY : 1991). 2010;20(12):2852-62.</w:t>
      </w:r>
    </w:p>
    <w:p w:rsidR="00812A90" w:rsidRPr="005D1295" w:rsidRDefault="00812A90" w:rsidP="005D1295">
      <w:pPr>
        <w:pStyle w:val="EndNoteBibliography"/>
        <w:ind w:left="720" w:hanging="720"/>
        <w:rPr>
          <w:noProof/>
        </w:rPr>
      </w:pPr>
      <w:r w:rsidRPr="005D1295">
        <w:rPr>
          <w:noProof/>
        </w:rPr>
        <w:t>12.</w:t>
      </w:r>
      <w:r w:rsidRPr="005D1295">
        <w:rPr>
          <w:noProof/>
        </w:rPr>
        <w:tab/>
        <w:t>Power JD, Barnes KA, Snyder AZ, Schlaggar BL, Petersen SE. Spurious but systematic correlations in functional connectivity MRI networks arise from subject motion. Neuroimage. 2012;59(3):2142-54.</w:t>
      </w:r>
    </w:p>
    <w:p w:rsidR="00812A90" w:rsidRPr="005D1295" w:rsidRDefault="00812A90" w:rsidP="005D1295">
      <w:pPr>
        <w:pStyle w:val="EndNoteBibliography"/>
        <w:ind w:left="720" w:hanging="720"/>
        <w:rPr>
          <w:noProof/>
        </w:rPr>
      </w:pPr>
      <w:r w:rsidRPr="005D1295">
        <w:rPr>
          <w:noProof/>
        </w:rPr>
        <w:t>13.</w:t>
      </w:r>
      <w:r w:rsidRPr="005D1295">
        <w:rPr>
          <w:noProof/>
        </w:rPr>
        <w:tab/>
        <w:t>Styner M, Oguz I, Xu S, Brechbuhler C, Pantazis D, Levitt JJ, et al. Framework for the Statistical Shape Analysis of Brain Structures using SPHARM-PDM. The insight journal. 2006(1071):242-50.</w:t>
      </w:r>
    </w:p>
    <w:p w:rsidR="00812A90" w:rsidRPr="005D1295" w:rsidRDefault="00812A90" w:rsidP="005D1295">
      <w:pPr>
        <w:pStyle w:val="EndNoteBibliography"/>
        <w:ind w:left="720" w:hanging="720"/>
        <w:rPr>
          <w:noProof/>
        </w:rPr>
      </w:pPr>
      <w:r w:rsidRPr="005D1295">
        <w:rPr>
          <w:noProof/>
        </w:rPr>
        <w:t>14.</w:t>
      </w:r>
      <w:r w:rsidRPr="005D1295">
        <w:rPr>
          <w:noProof/>
        </w:rPr>
        <w:tab/>
        <w:t>Genovese CR, Lazar NA, Nichols T. Thresholding of statistical maps in functional neuroimaging using the false discovery rate. Neuroimage. 2002;15(4):870-8.</w:t>
      </w:r>
    </w:p>
    <w:p w:rsidR="00812A90" w:rsidRDefault="00812A90" w:rsidP="008A028E">
      <w:pPr>
        <w:pStyle w:val="EndNoteBibliography"/>
        <w:ind w:left="720" w:hanging="720"/>
        <w:rPr>
          <w:noProof/>
        </w:rPr>
      </w:pPr>
    </w:p>
    <w:p w:rsidR="00553234" w:rsidRDefault="00812A90"/>
    <w:sectPr w:rsidR="00553234" w:rsidSect="006A49E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7592017"/>
      <w:docPartObj>
        <w:docPartGallery w:val="Page Numbers (Bottom of Page)"/>
        <w:docPartUnique/>
      </w:docPartObj>
    </w:sdtPr>
    <w:sdtEndPr>
      <w:rPr>
        <w:rStyle w:val="PageNumber"/>
      </w:rPr>
    </w:sdtEndPr>
    <w:sdtContent>
      <w:p w:rsidR="00E50DD4" w:rsidRDefault="00812A90" w:rsidP="002F6A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50DD4" w:rsidRDefault="00812A90" w:rsidP="00E50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4774416"/>
      <w:docPartObj>
        <w:docPartGallery w:val="Page Numbers (Bottom of Page)"/>
        <w:docPartUnique/>
      </w:docPartObj>
    </w:sdtPr>
    <w:sdtEndPr>
      <w:rPr>
        <w:rStyle w:val="PageNumber"/>
      </w:rPr>
    </w:sdtEndPr>
    <w:sdtContent>
      <w:p w:rsidR="00E50DD4" w:rsidRDefault="00812A90" w:rsidP="002F6A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50DD4" w:rsidRDefault="00812A90" w:rsidP="00E50D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515" w:rsidRDefault="00812A9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515" w:rsidRDefault="0081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B37" w:rsidRDefault="00812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515" w:rsidRDefault="0081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4FC6"/>
    <w:multiLevelType w:val="hybridMultilevel"/>
    <w:tmpl w:val="C76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41E5A"/>
    <w:multiLevelType w:val="hybridMultilevel"/>
    <w:tmpl w:val="41DE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E019B"/>
    <w:multiLevelType w:val="hybridMultilevel"/>
    <w:tmpl w:val="7714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B554A"/>
    <w:multiLevelType w:val="hybridMultilevel"/>
    <w:tmpl w:val="85628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EB1AD7"/>
    <w:multiLevelType w:val="hybridMultilevel"/>
    <w:tmpl w:val="C22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27068"/>
    <w:multiLevelType w:val="hybridMultilevel"/>
    <w:tmpl w:val="05CA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12A90"/>
    <w:rsid w:val="000039BC"/>
    <w:rsid w:val="00004C77"/>
    <w:rsid w:val="00006F3F"/>
    <w:rsid w:val="0001290A"/>
    <w:rsid w:val="0002464E"/>
    <w:rsid w:val="00034D7D"/>
    <w:rsid w:val="00057207"/>
    <w:rsid w:val="000644FE"/>
    <w:rsid w:val="0006585E"/>
    <w:rsid w:val="0006777E"/>
    <w:rsid w:val="000740BD"/>
    <w:rsid w:val="0008141E"/>
    <w:rsid w:val="000A1595"/>
    <w:rsid w:val="000A26D6"/>
    <w:rsid w:val="000A4915"/>
    <w:rsid w:val="000B34A2"/>
    <w:rsid w:val="000B59F2"/>
    <w:rsid w:val="000C2D1B"/>
    <w:rsid w:val="000D2044"/>
    <w:rsid w:val="000E24C9"/>
    <w:rsid w:val="000E63B9"/>
    <w:rsid w:val="000F0A12"/>
    <w:rsid w:val="000F2380"/>
    <w:rsid w:val="00102048"/>
    <w:rsid w:val="00110142"/>
    <w:rsid w:val="00112229"/>
    <w:rsid w:val="00125176"/>
    <w:rsid w:val="00131913"/>
    <w:rsid w:val="001407BE"/>
    <w:rsid w:val="00154C42"/>
    <w:rsid w:val="00165A53"/>
    <w:rsid w:val="0017025D"/>
    <w:rsid w:val="001721E2"/>
    <w:rsid w:val="001835BF"/>
    <w:rsid w:val="001936C5"/>
    <w:rsid w:val="001B07FC"/>
    <w:rsid w:val="001C3D0C"/>
    <w:rsid w:val="001C5453"/>
    <w:rsid w:val="001D4598"/>
    <w:rsid w:val="001D462B"/>
    <w:rsid w:val="001D73B1"/>
    <w:rsid w:val="001E074C"/>
    <w:rsid w:val="001F7DD4"/>
    <w:rsid w:val="00203325"/>
    <w:rsid w:val="0020596B"/>
    <w:rsid w:val="00213470"/>
    <w:rsid w:val="00215E77"/>
    <w:rsid w:val="00217295"/>
    <w:rsid w:val="002175C8"/>
    <w:rsid w:val="00223AC8"/>
    <w:rsid w:val="00226103"/>
    <w:rsid w:val="00230ACC"/>
    <w:rsid w:val="00233F65"/>
    <w:rsid w:val="00242059"/>
    <w:rsid w:val="00242A87"/>
    <w:rsid w:val="00243434"/>
    <w:rsid w:val="0025185D"/>
    <w:rsid w:val="002603B1"/>
    <w:rsid w:val="00261A04"/>
    <w:rsid w:val="002748D7"/>
    <w:rsid w:val="002831D4"/>
    <w:rsid w:val="002A02EE"/>
    <w:rsid w:val="002A2C18"/>
    <w:rsid w:val="002A659B"/>
    <w:rsid w:val="002B150B"/>
    <w:rsid w:val="002B3F79"/>
    <w:rsid w:val="002C1D92"/>
    <w:rsid w:val="002C7B6E"/>
    <w:rsid w:val="002D3A86"/>
    <w:rsid w:val="002D7266"/>
    <w:rsid w:val="002D7DF2"/>
    <w:rsid w:val="002E501B"/>
    <w:rsid w:val="002E5733"/>
    <w:rsid w:val="00302ACE"/>
    <w:rsid w:val="003328B3"/>
    <w:rsid w:val="00340965"/>
    <w:rsid w:val="0035106F"/>
    <w:rsid w:val="003654B6"/>
    <w:rsid w:val="00370492"/>
    <w:rsid w:val="003804F1"/>
    <w:rsid w:val="0038761C"/>
    <w:rsid w:val="00387B64"/>
    <w:rsid w:val="003D1AFF"/>
    <w:rsid w:val="003E5FA7"/>
    <w:rsid w:val="003F3964"/>
    <w:rsid w:val="0040324B"/>
    <w:rsid w:val="00431E11"/>
    <w:rsid w:val="00443CF0"/>
    <w:rsid w:val="0045048F"/>
    <w:rsid w:val="00453630"/>
    <w:rsid w:val="00456D15"/>
    <w:rsid w:val="00457290"/>
    <w:rsid w:val="00460F31"/>
    <w:rsid w:val="0046175F"/>
    <w:rsid w:val="004644D1"/>
    <w:rsid w:val="00471904"/>
    <w:rsid w:val="00481314"/>
    <w:rsid w:val="00481CD5"/>
    <w:rsid w:val="004847AD"/>
    <w:rsid w:val="0048666B"/>
    <w:rsid w:val="004951FB"/>
    <w:rsid w:val="004A4D22"/>
    <w:rsid w:val="004B141F"/>
    <w:rsid w:val="004D0327"/>
    <w:rsid w:val="004E342C"/>
    <w:rsid w:val="004E5F0F"/>
    <w:rsid w:val="00510663"/>
    <w:rsid w:val="0051455C"/>
    <w:rsid w:val="00514675"/>
    <w:rsid w:val="005157F1"/>
    <w:rsid w:val="00522364"/>
    <w:rsid w:val="00542BA1"/>
    <w:rsid w:val="005646A2"/>
    <w:rsid w:val="00572C63"/>
    <w:rsid w:val="005922D3"/>
    <w:rsid w:val="00594F2E"/>
    <w:rsid w:val="005A0FEA"/>
    <w:rsid w:val="005B5BF1"/>
    <w:rsid w:val="005C1786"/>
    <w:rsid w:val="005D24F3"/>
    <w:rsid w:val="005E023F"/>
    <w:rsid w:val="005E0C52"/>
    <w:rsid w:val="005E538A"/>
    <w:rsid w:val="00603FCB"/>
    <w:rsid w:val="00604F82"/>
    <w:rsid w:val="00605790"/>
    <w:rsid w:val="006174A1"/>
    <w:rsid w:val="006328B9"/>
    <w:rsid w:val="00635B3A"/>
    <w:rsid w:val="006406EB"/>
    <w:rsid w:val="0064676F"/>
    <w:rsid w:val="0066023A"/>
    <w:rsid w:val="006646A2"/>
    <w:rsid w:val="0067115D"/>
    <w:rsid w:val="006764C6"/>
    <w:rsid w:val="00682958"/>
    <w:rsid w:val="0068790E"/>
    <w:rsid w:val="0069019F"/>
    <w:rsid w:val="00697539"/>
    <w:rsid w:val="006A7290"/>
    <w:rsid w:val="006B48BD"/>
    <w:rsid w:val="006B7C9E"/>
    <w:rsid w:val="006C2DD2"/>
    <w:rsid w:val="006C3B15"/>
    <w:rsid w:val="006F556D"/>
    <w:rsid w:val="006F79A9"/>
    <w:rsid w:val="00706B18"/>
    <w:rsid w:val="007231B6"/>
    <w:rsid w:val="00725763"/>
    <w:rsid w:val="007367CF"/>
    <w:rsid w:val="00740F26"/>
    <w:rsid w:val="00747341"/>
    <w:rsid w:val="00771AAD"/>
    <w:rsid w:val="0077247F"/>
    <w:rsid w:val="007906D6"/>
    <w:rsid w:val="007919ED"/>
    <w:rsid w:val="007B650E"/>
    <w:rsid w:val="007C18AA"/>
    <w:rsid w:val="007C6474"/>
    <w:rsid w:val="007C6C4C"/>
    <w:rsid w:val="007C7B66"/>
    <w:rsid w:val="007D29F1"/>
    <w:rsid w:val="007E360A"/>
    <w:rsid w:val="007F1C55"/>
    <w:rsid w:val="00812A90"/>
    <w:rsid w:val="00822C16"/>
    <w:rsid w:val="00827F25"/>
    <w:rsid w:val="00831096"/>
    <w:rsid w:val="008314EA"/>
    <w:rsid w:val="008338DF"/>
    <w:rsid w:val="00840F93"/>
    <w:rsid w:val="00841430"/>
    <w:rsid w:val="00855C33"/>
    <w:rsid w:val="00872DA2"/>
    <w:rsid w:val="00876F0E"/>
    <w:rsid w:val="0088679D"/>
    <w:rsid w:val="008957C1"/>
    <w:rsid w:val="008B0595"/>
    <w:rsid w:val="008B62BC"/>
    <w:rsid w:val="008C7BA8"/>
    <w:rsid w:val="008D6BA4"/>
    <w:rsid w:val="008F18AF"/>
    <w:rsid w:val="008F6709"/>
    <w:rsid w:val="008F7C5C"/>
    <w:rsid w:val="009038EC"/>
    <w:rsid w:val="0090715A"/>
    <w:rsid w:val="009112F6"/>
    <w:rsid w:val="0091180E"/>
    <w:rsid w:val="00960E60"/>
    <w:rsid w:val="0097293F"/>
    <w:rsid w:val="00980D4F"/>
    <w:rsid w:val="00980D9C"/>
    <w:rsid w:val="009A3118"/>
    <w:rsid w:val="009A3123"/>
    <w:rsid w:val="009D3700"/>
    <w:rsid w:val="009D4F7C"/>
    <w:rsid w:val="009E3D17"/>
    <w:rsid w:val="009E540C"/>
    <w:rsid w:val="00A019D9"/>
    <w:rsid w:val="00A20376"/>
    <w:rsid w:val="00A20BC7"/>
    <w:rsid w:val="00A22512"/>
    <w:rsid w:val="00A3271E"/>
    <w:rsid w:val="00A441B5"/>
    <w:rsid w:val="00A46C9A"/>
    <w:rsid w:val="00A55020"/>
    <w:rsid w:val="00A567E8"/>
    <w:rsid w:val="00A6000B"/>
    <w:rsid w:val="00A61195"/>
    <w:rsid w:val="00A71890"/>
    <w:rsid w:val="00A7515E"/>
    <w:rsid w:val="00A85355"/>
    <w:rsid w:val="00A92892"/>
    <w:rsid w:val="00A975FB"/>
    <w:rsid w:val="00AC6D4B"/>
    <w:rsid w:val="00AD03A4"/>
    <w:rsid w:val="00AD182C"/>
    <w:rsid w:val="00AD43F0"/>
    <w:rsid w:val="00AE54B7"/>
    <w:rsid w:val="00B05733"/>
    <w:rsid w:val="00B3194C"/>
    <w:rsid w:val="00B41EBD"/>
    <w:rsid w:val="00B42E18"/>
    <w:rsid w:val="00B45562"/>
    <w:rsid w:val="00B46D0D"/>
    <w:rsid w:val="00B4745C"/>
    <w:rsid w:val="00B5165F"/>
    <w:rsid w:val="00B636EF"/>
    <w:rsid w:val="00B70353"/>
    <w:rsid w:val="00B744B4"/>
    <w:rsid w:val="00B92B43"/>
    <w:rsid w:val="00BB68BD"/>
    <w:rsid w:val="00BC20B4"/>
    <w:rsid w:val="00BC42D4"/>
    <w:rsid w:val="00BC651A"/>
    <w:rsid w:val="00BC69AE"/>
    <w:rsid w:val="00BC6C3B"/>
    <w:rsid w:val="00C00DA6"/>
    <w:rsid w:val="00C0645E"/>
    <w:rsid w:val="00C06527"/>
    <w:rsid w:val="00C10C3E"/>
    <w:rsid w:val="00C13F21"/>
    <w:rsid w:val="00C20FE9"/>
    <w:rsid w:val="00C32016"/>
    <w:rsid w:val="00C33C12"/>
    <w:rsid w:val="00C375AA"/>
    <w:rsid w:val="00C37E1F"/>
    <w:rsid w:val="00C41A81"/>
    <w:rsid w:val="00C466CC"/>
    <w:rsid w:val="00C6380B"/>
    <w:rsid w:val="00C65D54"/>
    <w:rsid w:val="00C87E61"/>
    <w:rsid w:val="00CB169F"/>
    <w:rsid w:val="00CB64FD"/>
    <w:rsid w:val="00CC7EFB"/>
    <w:rsid w:val="00CD132F"/>
    <w:rsid w:val="00CD2BC4"/>
    <w:rsid w:val="00CD544A"/>
    <w:rsid w:val="00CE78DC"/>
    <w:rsid w:val="00CF3433"/>
    <w:rsid w:val="00CF34A8"/>
    <w:rsid w:val="00CF4641"/>
    <w:rsid w:val="00D034C8"/>
    <w:rsid w:val="00D15A2E"/>
    <w:rsid w:val="00D17F5C"/>
    <w:rsid w:val="00D21AB5"/>
    <w:rsid w:val="00D243C2"/>
    <w:rsid w:val="00D422AB"/>
    <w:rsid w:val="00D570E4"/>
    <w:rsid w:val="00D60CC3"/>
    <w:rsid w:val="00D87288"/>
    <w:rsid w:val="00DA3B62"/>
    <w:rsid w:val="00DA4E41"/>
    <w:rsid w:val="00DA5ED7"/>
    <w:rsid w:val="00DB3F7D"/>
    <w:rsid w:val="00DB7194"/>
    <w:rsid w:val="00DB77EC"/>
    <w:rsid w:val="00DC1672"/>
    <w:rsid w:val="00DC2CE4"/>
    <w:rsid w:val="00DD0038"/>
    <w:rsid w:val="00DD1341"/>
    <w:rsid w:val="00DE2E44"/>
    <w:rsid w:val="00DE56D1"/>
    <w:rsid w:val="00DF283D"/>
    <w:rsid w:val="00DF3E17"/>
    <w:rsid w:val="00E22508"/>
    <w:rsid w:val="00E373E9"/>
    <w:rsid w:val="00E534A2"/>
    <w:rsid w:val="00E54971"/>
    <w:rsid w:val="00E65682"/>
    <w:rsid w:val="00E70BFF"/>
    <w:rsid w:val="00E76A70"/>
    <w:rsid w:val="00E76D1E"/>
    <w:rsid w:val="00EA03CE"/>
    <w:rsid w:val="00EC0F62"/>
    <w:rsid w:val="00EC1E22"/>
    <w:rsid w:val="00EC6DDF"/>
    <w:rsid w:val="00ED39FF"/>
    <w:rsid w:val="00F131D5"/>
    <w:rsid w:val="00F15EBD"/>
    <w:rsid w:val="00F167EB"/>
    <w:rsid w:val="00F20540"/>
    <w:rsid w:val="00F21834"/>
    <w:rsid w:val="00F5084B"/>
    <w:rsid w:val="00F55EA6"/>
    <w:rsid w:val="00F65557"/>
    <w:rsid w:val="00F669EA"/>
    <w:rsid w:val="00F75F25"/>
    <w:rsid w:val="00F83921"/>
    <w:rsid w:val="00F94485"/>
    <w:rsid w:val="00F95E6A"/>
    <w:rsid w:val="00FA503C"/>
    <w:rsid w:val="00FB2B33"/>
    <w:rsid w:val="00FC22D8"/>
    <w:rsid w:val="00FC4C8F"/>
    <w:rsid w:val="00FD0222"/>
    <w:rsid w:val="00FD2712"/>
    <w:rsid w:val="00FD742B"/>
    <w:rsid w:val="00FE0746"/>
    <w:rsid w:val="00FE7F77"/>
    <w:rsid w:val="00FF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6970E5"/>
  <w14:defaultImageDpi w14:val="32767"/>
  <w15:chartTrackingRefBased/>
  <w15:docId w15:val="{75B644CA-CDF9-3041-A177-849A2A50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2A90"/>
    <w:rPr>
      <w:rFonts w:ascii="Times New Roman" w:eastAsia="MS Mincho" w:hAnsi="Times New Roman" w:cs="Times New Roman"/>
      <w:lang w:val="en-AU"/>
    </w:rPr>
  </w:style>
  <w:style w:type="paragraph" w:styleId="Heading1">
    <w:name w:val="heading 1"/>
    <w:basedOn w:val="Normal"/>
    <w:next w:val="Normal"/>
    <w:link w:val="Heading1Char"/>
    <w:autoRedefine/>
    <w:uiPriority w:val="9"/>
    <w:qFormat/>
    <w:rsid w:val="00812A90"/>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812A90"/>
    <w:pPr>
      <w:keepNext/>
      <w:keepLines/>
      <w:spacing w:before="40"/>
      <w:outlineLvl w:val="1"/>
    </w:pPr>
    <w:rPr>
      <w:rFonts w:asciiTheme="majorHAnsi" w:eastAsiaTheme="majorEastAsia" w:hAnsiTheme="majorHAnsi" w:cstheme="majorBidi"/>
      <w:color w:val="000000" w:themeColor="text1"/>
      <w:szCs w:val="26"/>
    </w:rPr>
  </w:style>
  <w:style w:type="character" w:default="1" w:styleId="DefaultParagraphFont">
    <w:name w:val="Default Paragraph Font"/>
    <w:uiPriority w:val="1"/>
    <w:semiHidden/>
    <w:unhideWhenUsed/>
    <w:rsid w:val="00812A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2A90"/>
  </w:style>
  <w:style w:type="paragraph" w:styleId="TOC1">
    <w:name w:val="toc 1"/>
    <w:basedOn w:val="Normal"/>
    <w:next w:val="Normal"/>
    <w:autoRedefine/>
    <w:uiPriority w:val="39"/>
    <w:unhideWhenUsed/>
    <w:rsid w:val="00812A90"/>
    <w:pPr>
      <w:spacing w:before="120"/>
    </w:pPr>
    <w:rPr>
      <w:rFonts w:ascii="Calibri Light" w:eastAsia="Calibri" w:hAnsi="Calibri Light"/>
      <w:b/>
      <w:bCs/>
    </w:rPr>
  </w:style>
  <w:style w:type="character" w:customStyle="1" w:styleId="Heading1Char">
    <w:name w:val="Heading 1 Char"/>
    <w:basedOn w:val="DefaultParagraphFont"/>
    <w:link w:val="Heading1"/>
    <w:uiPriority w:val="9"/>
    <w:rsid w:val="00812A90"/>
    <w:rPr>
      <w:rFonts w:ascii="Times New Roman" w:eastAsiaTheme="majorEastAsia" w:hAnsi="Times New Roman" w:cstheme="majorBidi"/>
      <w:color w:val="000000" w:themeColor="text1"/>
      <w:sz w:val="32"/>
      <w:szCs w:val="32"/>
      <w:lang w:val="en-AU"/>
    </w:rPr>
  </w:style>
  <w:style w:type="character" w:customStyle="1" w:styleId="Heading2Char">
    <w:name w:val="Heading 2 Char"/>
    <w:basedOn w:val="DefaultParagraphFont"/>
    <w:link w:val="Heading2"/>
    <w:uiPriority w:val="9"/>
    <w:rsid w:val="00812A90"/>
    <w:rPr>
      <w:rFonts w:asciiTheme="majorHAnsi" w:eastAsiaTheme="majorEastAsia" w:hAnsiTheme="majorHAnsi" w:cstheme="majorBidi"/>
      <w:color w:val="000000" w:themeColor="text1"/>
      <w:szCs w:val="26"/>
      <w:lang w:val="en-AU"/>
    </w:rPr>
  </w:style>
  <w:style w:type="paragraph" w:styleId="TOCHeading">
    <w:name w:val="TOC Heading"/>
    <w:basedOn w:val="Heading1"/>
    <w:next w:val="Normal"/>
    <w:uiPriority w:val="39"/>
    <w:unhideWhenUsed/>
    <w:qFormat/>
    <w:rsid w:val="000E63B9"/>
    <w:pPr>
      <w:spacing w:before="480"/>
      <w:outlineLvl w:val="9"/>
    </w:pPr>
    <w:rPr>
      <w:b/>
      <w:bCs/>
      <w:szCs w:val="28"/>
    </w:rPr>
  </w:style>
  <w:style w:type="paragraph" w:styleId="ListParagraph">
    <w:name w:val="List Paragraph"/>
    <w:basedOn w:val="Normal"/>
    <w:uiPriority w:val="34"/>
    <w:qFormat/>
    <w:rsid w:val="00812A90"/>
    <w:pPr>
      <w:ind w:left="720"/>
      <w:contextualSpacing/>
    </w:pPr>
  </w:style>
  <w:style w:type="character" w:styleId="Hyperlink">
    <w:name w:val="Hyperlink"/>
    <w:basedOn w:val="DefaultParagraphFont"/>
    <w:uiPriority w:val="99"/>
    <w:unhideWhenUsed/>
    <w:rsid w:val="00812A90"/>
    <w:rPr>
      <w:color w:val="0563C1" w:themeColor="hyperlink"/>
      <w:u w:val="single"/>
    </w:rPr>
  </w:style>
  <w:style w:type="character" w:styleId="UnresolvedMention">
    <w:name w:val="Unresolved Mention"/>
    <w:basedOn w:val="DefaultParagraphFont"/>
    <w:uiPriority w:val="99"/>
    <w:rsid w:val="00812A90"/>
    <w:rPr>
      <w:color w:val="808080"/>
      <w:shd w:val="clear" w:color="auto" w:fill="E6E6E6"/>
    </w:rPr>
  </w:style>
  <w:style w:type="table" w:styleId="TableGrid">
    <w:name w:val="Table Grid"/>
    <w:basedOn w:val="TableNormal"/>
    <w:uiPriority w:val="39"/>
    <w:rsid w:val="00812A90"/>
    <w:rPr>
      <w:rFonts w:ascii="Cambria" w:eastAsia="MS Mincho"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2A90"/>
    <w:pPr>
      <w:tabs>
        <w:tab w:val="center" w:pos="4513"/>
        <w:tab w:val="right" w:pos="9026"/>
      </w:tabs>
    </w:pPr>
  </w:style>
  <w:style w:type="character" w:customStyle="1" w:styleId="FooterChar">
    <w:name w:val="Footer Char"/>
    <w:basedOn w:val="DefaultParagraphFont"/>
    <w:link w:val="Footer"/>
    <w:uiPriority w:val="99"/>
    <w:rsid w:val="00812A90"/>
    <w:rPr>
      <w:rFonts w:ascii="Times New Roman" w:eastAsia="MS Mincho" w:hAnsi="Times New Roman" w:cs="Times New Roman"/>
      <w:lang w:val="en-AU"/>
    </w:rPr>
  </w:style>
  <w:style w:type="character" w:styleId="PageNumber">
    <w:name w:val="page number"/>
    <w:basedOn w:val="DefaultParagraphFont"/>
    <w:uiPriority w:val="99"/>
    <w:semiHidden/>
    <w:unhideWhenUsed/>
    <w:rsid w:val="00812A90"/>
  </w:style>
  <w:style w:type="paragraph" w:customStyle="1" w:styleId="EndNoteBibliographyTitle">
    <w:name w:val="EndNote Bibliography Title"/>
    <w:basedOn w:val="Normal"/>
    <w:link w:val="EndNoteBibliographyTitleChar"/>
    <w:rsid w:val="00812A90"/>
    <w:pPr>
      <w:jc w:val="center"/>
    </w:pPr>
    <w:rPr>
      <w:lang w:val="en-US"/>
    </w:rPr>
  </w:style>
  <w:style w:type="character" w:customStyle="1" w:styleId="EndNoteBibliographyTitleChar">
    <w:name w:val="EndNote Bibliography Title Char"/>
    <w:basedOn w:val="DefaultParagraphFont"/>
    <w:link w:val="EndNoteBibliographyTitle"/>
    <w:rsid w:val="00812A90"/>
    <w:rPr>
      <w:rFonts w:ascii="Times New Roman" w:eastAsia="MS Mincho" w:hAnsi="Times New Roman" w:cs="Times New Roman"/>
      <w:lang w:val="en-US"/>
    </w:rPr>
  </w:style>
  <w:style w:type="paragraph" w:customStyle="1" w:styleId="EndNoteBibliography">
    <w:name w:val="EndNote Bibliography"/>
    <w:basedOn w:val="Normal"/>
    <w:link w:val="EndNoteBibliographyChar"/>
    <w:rsid w:val="00812A90"/>
    <w:pPr>
      <w:jc w:val="both"/>
    </w:pPr>
    <w:rPr>
      <w:lang w:val="en-US"/>
    </w:rPr>
  </w:style>
  <w:style w:type="character" w:customStyle="1" w:styleId="EndNoteBibliographyChar">
    <w:name w:val="EndNote Bibliography Char"/>
    <w:basedOn w:val="DefaultParagraphFont"/>
    <w:link w:val="EndNoteBibliography"/>
    <w:rsid w:val="00812A90"/>
    <w:rPr>
      <w:rFonts w:ascii="Times New Roman" w:eastAsia="MS Mincho" w:hAnsi="Times New Roman" w:cs="Times New Roman"/>
      <w:lang w:val="en-US"/>
    </w:rPr>
  </w:style>
  <w:style w:type="character" w:styleId="LineNumber">
    <w:name w:val="line number"/>
    <w:basedOn w:val="DefaultParagraphFont"/>
    <w:uiPriority w:val="99"/>
    <w:semiHidden/>
    <w:unhideWhenUsed/>
    <w:rsid w:val="00812A90"/>
  </w:style>
  <w:style w:type="character" w:styleId="PlaceholderText">
    <w:name w:val="Placeholder Text"/>
    <w:basedOn w:val="DefaultParagraphFont"/>
    <w:uiPriority w:val="99"/>
    <w:semiHidden/>
    <w:rsid w:val="00812A90"/>
    <w:rPr>
      <w:color w:val="808080"/>
    </w:rPr>
  </w:style>
  <w:style w:type="paragraph" w:styleId="Header">
    <w:name w:val="header"/>
    <w:basedOn w:val="Normal"/>
    <w:link w:val="HeaderChar"/>
    <w:uiPriority w:val="99"/>
    <w:unhideWhenUsed/>
    <w:rsid w:val="00812A90"/>
    <w:pPr>
      <w:tabs>
        <w:tab w:val="center" w:pos="4513"/>
        <w:tab w:val="right" w:pos="9026"/>
      </w:tabs>
    </w:pPr>
  </w:style>
  <w:style w:type="character" w:customStyle="1" w:styleId="HeaderChar">
    <w:name w:val="Header Char"/>
    <w:basedOn w:val="DefaultParagraphFont"/>
    <w:link w:val="Header"/>
    <w:uiPriority w:val="99"/>
    <w:rsid w:val="00812A90"/>
    <w:rPr>
      <w:rFonts w:ascii="Times New Roman" w:eastAsia="MS Mincho" w:hAnsi="Times New Roman" w:cs="Times New Roman"/>
      <w:lang w:val="en-AU"/>
    </w:rPr>
  </w:style>
  <w:style w:type="paragraph" w:styleId="BalloonText">
    <w:name w:val="Balloon Text"/>
    <w:basedOn w:val="Normal"/>
    <w:link w:val="BalloonTextChar"/>
    <w:uiPriority w:val="99"/>
    <w:semiHidden/>
    <w:unhideWhenUsed/>
    <w:rsid w:val="00812A90"/>
    <w:rPr>
      <w:sz w:val="18"/>
      <w:szCs w:val="18"/>
    </w:rPr>
  </w:style>
  <w:style w:type="character" w:customStyle="1" w:styleId="BalloonTextChar">
    <w:name w:val="Balloon Text Char"/>
    <w:basedOn w:val="DefaultParagraphFont"/>
    <w:link w:val="BalloonText"/>
    <w:uiPriority w:val="99"/>
    <w:semiHidden/>
    <w:rsid w:val="00812A90"/>
    <w:rPr>
      <w:rFonts w:ascii="Times New Roman" w:eastAsia="MS Mincho" w:hAnsi="Times New Roman" w:cs="Times New Roman"/>
      <w:sz w:val="18"/>
      <w:szCs w:val="18"/>
      <w:lang w:val="en-AU"/>
    </w:rPr>
  </w:style>
  <w:style w:type="paragraph" w:styleId="Revision">
    <w:name w:val="Revision"/>
    <w:hidden/>
    <w:uiPriority w:val="99"/>
    <w:semiHidden/>
    <w:rsid w:val="00812A90"/>
    <w:rPr>
      <w:rFonts w:ascii="Times New Roman" w:eastAsia="MS Mincho"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medicine.yale.edu/bioimaging/suite/"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Owens-Walton</dc:creator>
  <cp:keywords/>
  <dc:description/>
  <cp:lastModifiedBy>Conor Owens-Walton</cp:lastModifiedBy>
  <cp:revision>1</cp:revision>
  <dcterms:created xsi:type="dcterms:W3CDTF">2019-07-10T03:06:00Z</dcterms:created>
  <dcterms:modified xsi:type="dcterms:W3CDTF">2019-07-10T03:06:00Z</dcterms:modified>
</cp:coreProperties>
</file>