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7C85F" w14:textId="557905DD" w:rsidR="006F36CD" w:rsidRPr="008702B6" w:rsidRDefault="00551EA8" w:rsidP="008702B6">
      <w:pPr>
        <w:spacing w:line="360" w:lineRule="auto"/>
        <w:jc w:val="both"/>
        <w:rPr>
          <w:rFonts w:ascii="Arial" w:hAnsi="Arial" w:cs="Arial"/>
          <w:b/>
        </w:rPr>
      </w:pPr>
      <w:r w:rsidRPr="008702B6">
        <w:rPr>
          <w:rFonts w:ascii="Arial" w:hAnsi="Arial" w:cs="Arial"/>
          <w:b/>
        </w:rPr>
        <w:t>Appendices</w:t>
      </w:r>
    </w:p>
    <w:p w14:paraId="29BD126F" w14:textId="77777777" w:rsidR="00551EA8" w:rsidRPr="008702B6" w:rsidRDefault="00551EA8" w:rsidP="008702B6">
      <w:pPr>
        <w:spacing w:line="360" w:lineRule="auto"/>
        <w:jc w:val="both"/>
        <w:rPr>
          <w:rFonts w:ascii="Arial" w:hAnsi="Arial" w:cs="Arial"/>
        </w:rPr>
      </w:pPr>
    </w:p>
    <w:p w14:paraId="1EE2CB73" w14:textId="4EB6FB25" w:rsidR="00551EA8" w:rsidRPr="008702B6" w:rsidRDefault="00551EA8" w:rsidP="008702B6">
      <w:pPr>
        <w:spacing w:line="360" w:lineRule="auto"/>
        <w:jc w:val="both"/>
        <w:rPr>
          <w:rFonts w:ascii="Arial" w:hAnsi="Arial" w:cs="Arial"/>
          <w:b/>
        </w:rPr>
      </w:pPr>
      <w:r w:rsidRPr="008702B6">
        <w:rPr>
          <w:rFonts w:ascii="Arial" w:hAnsi="Arial" w:cs="Arial"/>
          <w:b/>
        </w:rPr>
        <w:t>Appendix 1. Case vignettes</w:t>
      </w:r>
      <w:r w:rsidR="002E1B01" w:rsidRPr="008702B6">
        <w:rPr>
          <w:rFonts w:ascii="Arial" w:hAnsi="Arial" w:cs="Arial"/>
          <w:b/>
        </w:rPr>
        <w:t>, expected medications and acceptable dose ranges</w:t>
      </w:r>
    </w:p>
    <w:p w14:paraId="3B235E2B" w14:textId="77777777" w:rsidR="005E1509" w:rsidRPr="008702B6" w:rsidRDefault="005E1509" w:rsidP="008702B6">
      <w:pPr>
        <w:spacing w:line="360" w:lineRule="auto"/>
        <w:jc w:val="both"/>
        <w:rPr>
          <w:rFonts w:ascii="Arial" w:hAnsi="Arial" w:cs="Arial"/>
        </w:rPr>
      </w:pPr>
    </w:p>
    <w:p w14:paraId="3F08322D" w14:textId="564BBFA8" w:rsidR="002E1B01" w:rsidRPr="008702B6" w:rsidRDefault="002E1B01" w:rsidP="008702B6">
      <w:pPr>
        <w:spacing w:line="360" w:lineRule="auto"/>
        <w:rPr>
          <w:rFonts w:ascii="Arial" w:hAnsi="Arial" w:cs="Arial"/>
          <w:b/>
        </w:rPr>
      </w:pPr>
      <w:r w:rsidRPr="008702B6">
        <w:rPr>
          <w:rFonts w:ascii="Arial" w:hAnsi="Arial" w:cs="Arial"/>
          <w:b/>
        </w:rPr>
        <w:t>Case 1: Fitting Child</w:t>
      </w:r>
    </w:p>
    <w:p w14:paraId="33048033" w14:textId="77777777" w:rsidR="002E1B01" w:rsidRPr="008702B6" w:rsidRDefault="002E1B01" w:rsidP="008702B6">
      <w:pPr>
        <w:spacing w:line="360" w:lineRule="auto"/>
      </w:pPr>
    </w:p>
    <w:p w14:paraId="16D94637" w14:textId="77777777" w:rsidR="00CF0ED3" w:rsidRPr="008702B6" w:rsidRDefault="002E1B01" w:rsidP="008702B6">
      <w:pPr>
        <w:spacing w:line="360" w:lineRule="auto"/>
        <w:rPr>
          <w:rFonts w:ascii="Arial" w:eastAsia="Times New Roman" w:hAnsi="Arial" w:cs="Arial"/>
          <w:color w:val="000000"/>
        </w:rPr>
      </w:pPr>
      <w:r w:rsidRPr="008702B6">
        <w:rPr>
          <w:rFonts w:ascii="Arial" w:hAnsi="Arial" w:cs="Arial"/>
        </w:rPr>
        <w:t>An 8-month-old, 8kg, previously well</w:t>
      </w:r>
      <w:r w:rsidR="00CF0ED3" w:rsidRPr="008702B6">
        <w:rPr>
          <w:rFonts w:ascii="Arial" w:hAnsi="Arial" w:cs="Arial"/>
        </w:rPr>
        <w:t xml:space="preserve"> </w:t>
      </w:r>
      <w:r w:rsidRPr="008702B6">
        <w:rPr>
          <w:rFonts w:ascii="Arial" w:hAnsi="Arial" w:cs="Arial"/>
        </w:rPr>
        <w:t xml:space="preserve">infant presents in prolonged </w:t>
      </w:r>
      <w:r w:rsidR="00CF0ED3" w:rsidRPr="008702B6">
        <w:rPr>
          <w:rFonts w:ascii="Arial" w:eastAsia="Times New Roman" w:hAnsi="Arial" w:cs="Arial"/>
          <w:color w:val="000000"/>
        </w:rPr>
        <w:t xml:space="preserve">status epilepticus with a two </w:t>
      </w:r>
      <w:r w:rsidRPr="008702B6">
        <w:rPr>
          <w:rFonts w:ascii="Arial" w:eastAsia="Times New Roman" w:hAnsi="Arial" w:cs="Arial"/>
          <w:color w:val="000000"/>
        </w:rPr>
        <w:t xml:space="preserve">day </w:t>
      </w:r>
      <w:r w:rsidR="00CF0ED3" w:rsidRPr="008702B6">
        <w:rPr>
          <w:rFonts w:ascii="Arial" w:eastAsia="Times New Roman" w:hAnsi="Arial" w:cs="Arial"/>
          <w:color w:val="000000"/>
        </w:rPr>
        <w:t xml:space="preserve">history of </w:t>
      </w:r>
      <w:proofErr w:type="spellStart"/>
      <w:r w:rsidR="00CF0ED3" w:rsidRPr="008702B6">
        <w:rPr>
          <w:rFonts w:ascii="Arial" w:eastAsia="Times New Roman" w:hAnsi="Arial" w:cs="Arial"/>
          <w:color w:val="000000"/>
        </w:rPr>
        <w:t>coryza</w:t>
      </w:r>
      <w:proofErr w:type="spellEnd"/>
      <w:r w:rsidR="00CF0ED3" w:rsidRPr="008702B6">
        <w:rPr>
          <w:rFonts w:ascii="Arial" w:eastAsia="Times New Roman" w:hAnsi="Arial" w:cs="Arial"/>
          <w:color w:val="000000"/>
        </w:rPr>
        <w:t xml:space="preserve"> and one</w:t>
      </w:r>
      <w:r w:rsidRPr="008702B6">
        <w:rPr>
          <w:rFonts w:ascii="Arial" w:eastAsia="Times New Roman" w:hAnsi="Arial" w:cs="Arial"/>
          <w:color w:val="000000"/>
        </w:rPr>
        <w:t xml:space="preserve"> day</w:t>
      </w:r>
      <w:r w:rsidR="00CF0ED3" w:rsidRPr="008702B6">
        <w:rPr>
          <w:rFonts w:ascii="Arial" w:eastAsia="Times New Roman" w:hAnsi="Arial" w:cs="Arial"/>
          <w:color w:val="000000"/>
        </w:rPr>
        <w:t xml:space="preserve"> history</w:t>
      </w:r>
      <w:r w:rsidRPr="008702B6">
        <w:rPr>
          <w:rFonts w:ascii="Arial" w:eastAsia="Times New Roman" w:hAnsi="Arial" w:cs="Arial"/>
          <w:color w:val="000000"/>
        </w:rPr>
        <w:t xml:space="preserve"> of lethargy and fever. On assessment the infant is having a generalised tonic </w:t>
      </w:r>
      <w:proofErr w:type="spellStart"/>
      <w:r w:rsidRPr="008702B6">
        <w:rPr>
          <w:rFonts w:ascii="Arial" w:eastAsia="Times New Roman" w:hAnsi="Arial" w:cs="Arial"/>
          <w:color w:val="000000"/>
        </w:rPr>
        <w:t>clonic</w:t>
      </w:r>
      <w:proofErr w:type="spellEnd"/>
      <w:r w:rsidRPr="008702B6">
        <w:rPr>
          <w:rFonts w:ascii="Arial" w:eastAsia="Times New Roman" w:hAnsi="Arial" w:cs="Arial"/>
          <w:color w:val="000000"/>
        </w:rPr>
        <w:t xml:space="preserve"> seizure and is febrile.</w:t>
      </w:r>
      <w:r w:rsidR="00CF0ED3" w:rsidRPr="008702B6">
        <w:rPr>
          <w:rFonts w:ascii="Arial" w:eastAsia="Times New Roman" w:hAnsi="Arial" w:cs="Arial"/>
          <w:color w:val="000000"/>
        </w:rPr>
        <w:t xml:space="preserve"> </w:t>
      </w:r>
    </w:p>
    <w:p w14:paraId="1FDFE786" w14:textId="77777777" w:rsidR="00CF0ED3" w:rsidRPr="008702B6" w:rsidRDefault="00CF0ED3" w:rsidP="008702B6">
      <w:pPr>
        <w:spacing w:line="360" w:lineRule="auto"/>
        <w:rPr>
          <w:rFonts w:ascii="Arial" w:eastAsia="Times New Roman" w:hAnsi="Arial" w:cs="Arial"/>
          <w:color w:val="000000"/>
        </w:rPr>
      </w:pPr>
    </w:p>
    <w:p w14:paraId="775B0BD7" w14:textId="60FF9547" w:rsidR="002E1B01" w:rsidRPr="008702B6" w:rsidRDefault="00CF0ED3" w:rsidP="008702B6">
      <w:pPr>
        <w:spacing w:line="360" w:lineRule="auto"/>
        <w:rPr>
          <w:rFonts w:ascii="Arial" w:eastAsia="Times New Roman" w:hAnsi="Arial" w:cs="Arial"/>
          <w:color w:val="000000"/>
        </w:rPr>
      </w:pPr>
      <w:r w:rsidRPr="008702B6">
        <w:rPr>
          <w:rFonts w:ascii="Arial" w:eastAsia="Times New Roman" w:hAnsi="Arial" w:cs="Arial"/>
          <w:color w:val="000000"/>
        </w:rPr>
        <w:t>Teams were expected to treat the child</w:t>
      </w:r>
      <w:r w:rsidR="002E1B01" w:rsidRPr="008702B6">
        <w:rPr>
          <w:rFonts w:ascii="Arial" w:eastAsia="Times New Roman" w:hAnsi="Arial" w:cs="Arial"/>
          <w:color w:val="000000"/>
        </w:rPr>
        <w:t xml:space="preserve"> for status epilepticus as per the standard paediatric guidelines</w:t>
      </w:r>
      <w:r w:rsidRPr="008702B6">
        <w:rPr>
          <w:rFonts w:ascii="Arial" w:eastAsia="Times New Roman" w:hAnsi="Arial" w:cs="Arial"/>
          <w:color w:val="000000"/>
        </w:rPr>
        <w:t>,</w:t>
      </w:r>
      <w:r w:rsidR="002E1B01" w:rsidRPr="008702B6">
        <w:rPr>
          <w:rFonts w:ascii="Arial" w:eastAsia="Times New Roman" w:hAnsi="Arial" w:cs="Arial"/>
          <w:color w:val="000000"/>
        </w:rPr>
        <w:t xml:space="preserve"> </w:t>
      </w:r>
      <w:r w:rsidRPr="008702B6">
        <w:rPr>
          <w:rFonts w:ascii="Arial" w:eastAsia="Times New Roman" w:hAnsi="Arial" w:cs="Arial"/>
          <w:color w:val="000000"/>
        </w:rPr>
        <w:t>as well as add appropriate antimicrobial cover</w:t>
      </w:r>
      <w:r w:rsidR="002E1B01" w:rsidRPr="008702B6">
        <w:rPr>
          <w:rFonts w:ascii="Arial" w:eastAsia="Times New Roman" w:hAnsi="Arial" w:cs="Arial"/>
          <w:color w:val="000000"/>
        </w:rPr>
        <w:t xml:space="preserve"> for presumed </w:t>
      </w:r>
      <w:proofErr w:type="spellStart"/>
      <w:r w:rsidR="002E1B01" w:rsidRPr="008702B6">
        <w:rPr>
          <w:rFonts w:ascii="Arial" w:eastAsia="Times New Roman" w:hAnsi="Arial" w:cs="Arial"/>
          <w:color w:val="000000"/>
        </w:rPr>
        <w:t>meningo</w:t>
      </w:r>
      <w:proofErr w:type="spellEnd"/>
      <w:r w:rsidR="002E1B01" w:rsidRPr="008702B6">
        <w:rPr>
          <w:rFonts w:ascii="Arial" w:eastAsia="Times New Roman" w:hAnsi="Arial" w:cs="Arial"/>
          <w:color w:val="000000"/>
        </w:rPr>
        <w:t xml:space="preserve">-encephalitis. </w:t>
      </w:r>
      <w:r w:rsidRPr="008702B6">
        <w:rPr>
          <w:rFonts w:ascii="Arial" w:eastAsia="Times New Roman" w:hAnsi="Arial" w:cs="Arial"/>
          <w:color w:val="000000"/>
        </w:rPr>
        <w:t>Additionally</w:t>
      </w:r>
      <w:r w:rsidR="002E1B01" w:rsidRPr="008702B6">
        <w:rPr>
          <w:rFonts w:ascii="Arial" w:eastAsia="Times New Roman" w:hAnsi="Arial" w:cs="Arial"/>
          <w:color w:val="000000"/>
        </w:rPr>
        <w:t>, all electrolyte abnormalities, including hypoglycaemia</w:t>
      </w:r>
      <w:r w:rsidRPr="008702B6">
        <w:rPr>
          <w:rFonts w:ascii="Arial" w:eastAsia="Times New Roman" w:hAnsi="Arial" w:cs="Arial"/>
          <w:color w:val="000000"/>
        </w:rPr>
        <w:t xml:space="preserve"> (glucose level initially 2.2)</w:t>
      </w:r>
      <w:r w:rsidR="002E1B01" w:rsidRPr="008702B6">
        <w:rPr>
          <w:rFonts w:ascii="Arial" w:eastAsia="Times New Roman" w:hAnsi="Arial" w:cs="Arial"/>
          <w:color w:val="000000"/>
        </w:rPr>
        <w:t>, should be corrected as they would contribute to seizure activity.</w:t>
      </w:r>
    </w:p>
    <w:p w14:paraId="7AE22074" w14:textId="77777777" w:rsidR="002E1B01" w:rsidRPr="008702B6" w:rsidRDefault="002E1B01" w:rsidP="008702B6">
      <w:pPr>
        <w:spacing w:line="360" w:lineRule="auto"/>
        <w:rPr>
          <w:rFonts w:ascii="Arial" w:hAnsi="Arial" w:cs="Arial"/>
        </w:rPr>
      </w:pPr>
    </w:p>
    <w:p w14:paraId="5003EAF7" w14:textId="6A2F3820" w:rsidR="002E1B01" w:rsidRPr="008702B6" w:rsidRDefault="002E1B01" w:rsidP="008702B6">
      <w:pPr>
        <w:spacing w:line="360" w:lineRule="auto"/>
        <w:rPr>
          <w:rFonts w:ascii="Arial" w:eastAsia="Times New Roman" w:hAnsi="Arial" w:cs="Arial"/>
          <w:color w:val="000000"/>
        </w:rPr>
      </w:pPr>
      <w:r w:rsidRPr="008702B6">
        <w:rPr>
          <w:rFonts w:ascii="Arial" w:eastAsia="Times New Roman" w:hAnsi="Arial" w:cs="Arial"/>
          <w:color w:val="000000"/>
        </w:rPr>
        <w:t xml:space="preserve">In this case the following drugs </w:t>
      </w:r>
      <w:r w:rsidR="00CF0ED3" w:rsidRPr="008702B6">
        <w:rPr>
          <w:rFonts w:ascii="Arial" w:eastAsia="Times New Roman" w:hAnsi="Arial" w:cs="Arial"/>
          <w:color w:val="000000"/>
        </w:rPr>
        <w:t>were expected to</w:t>
      </w:r>
      <w:r w:rsidRPr="008702B6">
        <w:rPr>
          <w:rFonts w:ascii="Arial" w:eastAsia="Times New Roman" w:hAnsi="Arial" w:cs="Arial"/>
          <w:color w:val="000000"/>
        </w:rPr>
        <w:t xml:space="preserve"> be administered </w:t>
      </w:r>
      <w:r w:rsidR="00FF012F">
        <w:rPr>
          <w:rFonts w:ascii="Arial" w:eastAsia="Times New Roman" w:hAnsi="Arial" w:cs="Arial"/>
          <w:color w:val="000000"/>
        </w:rPr>
        <w:t>intravenously</w:t>
      </w:r>
      <w:r w:rsidR="00FF012F" w:rsidRPr="008702B6">
        <w:rPr>
          <w:rFonts w:ascii="Arial" w:eastAsia="Times New Roman" w:hAnsi="Arial" w:cs="Arial"/>
          <w:color w:val="000000"/>
        </w:rPr>
        <w:t xml:space="preserve"> </w:t>
      </w:r>
      <w:r w:rsidRPr="008702B6">
        <w:rPr>
          <w:rFonts w:ascii="Arial" w:eastAsia="Times New Roman" w:hAnsi="Arial" w:cs="Arial"/>
          <w:color w:val="000000"/>
        </w:rPr>
        <w:t xml:space="preserve">(in </w:t>
      </w:r>
      <w:r w:rsidR="00507C05">
        <w:rPr>
          <w:rFonts w:ascii="Arial" w:eastAsia="Times New Roman" w:hAnsi="Arial" w:cs="Arial"/>
          <w:color w:val="000000"/>
        </w:rPr>
        <w:t>order of clinical priority).</w:t>
      </w:r>
    </w:p>
    <w:p w14:paraId="4159E411" w14:textId="798419E8" w:rsidR="002E1B01" w:rsidRPr="008702B6" w:rsidRDefault="00CF0ED3" w:rsidP="008702B6">
      <w:pPr>
        <w:pStyle w:val="ListParagraph"/>
        <w:numPr>
          <w:ilvl w:val="0"/>
          <w:numId w:val="2"/>
        </w:numPr>
        <w:spacing w:after="240" w:line="360" w:lineRule="auto"/>
        <w:rPr>
          <w:rFonts w:ascii="Arial" w:eastAsia="Times New Roman" w:hAnsi="Arial" w:cs="Arial"/>
        </w:rPr>
      </w:pPr>
      <w:r w:rsidRPr="008702B6">
        <w:rPr>
          <w:rFonts w:ascii="Arial" w:eastAsia="Times New Roman" w:hAnsi="Arial" w:cs="Arial"/>
        </w:rPr>
        <w:t>Lorazepam two doses (0.1mg/kg)</w:t>
      </w:r>
    </w:p>
    <w:p w14:paraId="308F2DF4" w14:textId="2AD285B7" w:rsidR="002E1B01" w:rsidRPr="008702B6" w:rsidRDefault="002E1B01" w:rsidP="008702B6">
      <w:pPr>
        <w:pStyle w:val="ListParagraph"/>
        <w:numPr>
          <w:ilvl w:val="0"/>
          <w:numId w:val="2"/>
        </w:numPr>
        <w:spacing w:after="240" w:line="360" w:lineRule="auto"/>
        <w:rPr>
          <w:rFonts w:ascii="Arial" w:eastAsia="Times New Roman" w:hAnsi="Arial" w:cs="Arial"/>
        </w:rPr>
      </w:pPr>
      <w:r w:rsidRPr="008702B6">
        <w:rPr>
          <w:rFonts w:ascii="Arial" w:eastAsia="Times New Roman" w:hAnsi="Arial" w:cs="Arial"/>
        </w:rPr>
        <w:t xml:space="preserve">10% </w:t>
      </w:r>
      <w:r w:rsidR="007115A1" w:rsidRPr="008702B6">
        <w:rPr>
          <w:rFonts w:ascii="Arial" w:eastAsia="Times New Roman" w:hAnsi="Arial" w:cs="Arial"/>
        </w:rPr>
        <w:t>d</w:t>
      </w:r>
      <w:r w:rsidRPr="008702B6">
        <w:rPr>
          <w:rFonts w:ascii="Arial" w:eastAsia="Times New Roman" w:hAnsi="Arial" w:cs="Arial"/>
        </w:rPr>
        <w:t>extrose for hypoglycaemia</w:t>
      </w:r>
      <w:r w:rsidR="00CF0ED3" w:rsidRPr="008702B6">
        <w:rPr>
          <w:rFonts w:ascii="Arial" w:eastAsia="Times New Roman" w:hAnsi="Arial" w:cs="Arial"/>
        </w:rPr>
        <w:t xml:space="preserve"> (2-5ml/kg) [higher dose accepted as per British National Formulary]</w:t>
      </w:r>
    </w:p>
    <w:p w14:paraId="7FE2B1F1" w14:textId="1B2BCF56" w:rsidR="002E1B01" w:rsidRPr="008702B6" w:rsidRDefault="002E1B01" w:rsidP="008702B6">
      <w:pPr>
        <w:pStyle w:val="ListParagraph"/>
        <w:numPr>
          <w:ilvl w:val="0"/>
          <w:numId w:val="2"/>
        </w:numPr>
        <w:spacing w:after="240" w:line="360" w:lineRule="auto"/>
        <w:rPr>
          <w:rFonts w:ascii="Arial" w:eastAsia="Times New Roman" w:hAnsi="Arial" w:cs="Arial"/>
        </w:rPr>
      </w:pPr>
      <w:r w:rsidRPr="008702B6">
        <w:rPr>
          <w:rFonts w:ascii="Arial" w:eastAsia="Times New Roman" w:hAnsi="Arial" w:cs="Arial"/>
        </w:rPr>
        <w:t>Phenytoin</w:t>
      </w:r>
      <w:r w:rsidR="00CF0ED3" w:rsidRPr="008702B6">
        <w:rPr>
          <w:rFonts w:ascii="Arial" w:eastAsia="Times New Roman" w:hAnsi="Arial" w:cs="Arial"/>
        </w:rPr>
        <w:t>, loading dose (20mg/kg)</w:t>
      </w:r>
    </w:p>
    <w:p w14:paraId="36D1759E" w14:textId="77777777" w:rsidR="002E1B01" w:rsidRPr="008702B6" w:rsidRDefault="002E1B01" w:rsidP="008702B6">
      <w:pPr>
        <w:pStyle w:val="ListParagraph"/>
        <w:numPr>
          <w:ilvl w:val="0"/>
          <w:numId w:val="2"/>
        </w:numPr>
        <w:spacing w:after="240" w:line="360" w:lineRule="auto"/>
        <w:rPr>
          <w:rFonts w:ascii="Arial" w:eastAsia="Times New Roman" w:hAnsi="Arial" w:cs="Arial"/>
        </w:rPr>
      </w:pPr>
      <w:r w:rsidRPr="008702B6">
        <w:rPr>
          <w:rFonts w:ascii="Arial" w:eastAsia="Times New Roman" w:hAnsi="Arial" w:cs="Arial"/>
        </w:rPr>
        <w:t>Rapid Sequence Induction</w:t>
      </w:r>
    </w:p>
    <w:p w14:paraId="1C9A0D09" w14:textId="7ABDE1D7" w:rsidR="002E1B01" w:rsidRPr="008702B6" w:rsidRDefault="002E1B01" w:rsidP="008702B6">
      <w:pPr>
        <w:pStyle w:val="ListParagraph"/>
        <w:numPr>
          <w:ilvl w:val="1"/>
          <w:numId w:val="2"/>
        </w:numPr>
        <w:spacing w:after="240" w:line="360" w:lineRule="auto"/>
        <w:rPr>
          <w:rFonts w:ascii="Arial" w:eastAsia="Times New Roman" w:hAnsi="Arial" w:cs="Arial"/>
        </w:rPr>
      </w:pPr>
      <w:proofErr w:type="spellStart"/>
      <w:r w:rsidRPr="008702B6">
        <w:rPr>
          <w:rFonts w:ascii="Arial" w:eastAsia="Times New Roman" w:hAnsi="Arial" w:cs="Arial"/>
        </w:rPr>
        <w:t>Thiopentone</w:t>
      </w:r>
      <w:proofErr w:type="spellEnd"/>
      <w:r w:rsidR="00CF0ED3" w:rsidRPr="008702B6">
        <w:rPr>
          <w:rFonts w:ascii="Arial" w:eastAsia="Times New Roman" w:hAnsi="Arial" w:cs="Arial"/>
        </w:rPr>
        <w:t xml:space="preserve"> (2-4mg/kg)</w:t>
      </w:r>
    </w:p>
    <w:p w14:paraId="5CF2D58E" w14:textId="618DFFDF" w:rsidR="002E1B01" w:rsidRPr="008702B6" w:rsidRDefault="002E1B01" w:rsidP="008702B6">
      <w:pPr>
        <w:pStyle w:val="ListParagraph"/>
        <w:numPr>
          <w:ilvl w:val="1"/>
          <w:numId w:val="2"/>
        </w:numPr>
        <w:spacing w:after="240" w:line="360" w:lineRule="auto"/>
        <w:rPr>
          <w:rFonts w:ascii="Arial" w:eastAsia="Times New Roman" w:hAnsi="Arial" w:cs="Arial"/>
        </w:rPr>
      </w:pPr>
      <w:proofErr w:type="spellStart"/>
      <w:r w:rsidRPr="008702B6">
        <w:rPr>
          <w:rFonts w:ascii="Arial" w:eastAsia="Times New Roman" w:hAnsi="Arial" w:cs="Arial"/>
        </w:rPr>
        <w:t>Suxamethonium</w:t>
      </w:r>
      <w:proofErr w:type="spellEnd"/>
      <w:r w:rsidR="00CF0ED3" w:rsidRPr="008702B6">
        <w:rPr>
          <w:rFonts w:ascii="Arial" w:eastAsia="Times New Roman" w:hAnsi="Arial" w:cs="Arial"/>
        </w:rPr>
        <w:t xml:space="preserve"> (2mg/kg)</w:t>
      </w:r>
    </w:p>
    <w:p w14:paraId="6AF786C5" w14:textId="1F9DF723" w:rsidR="002E1B01" w:rsidRPr="008702B6" w:rsidRDefault="002E1B01" w:rsidP="008702B6">
      <w:pPr>
        <w:pStyle w:val="ListParagraph"/>
        <w:numPr>
          <w:ilvl w:val="0"/>
          <w:numId w:val="2"/>
        </w:numPr>
        <w:spacing w:after="240" w:line="360" w:lineRule="auto"/>
        <w:rPr>
          <w:rFonts w:ascii="Arial" w:eastAsia="Times New Roman" w:hAnsi="Arial" w:cs="Arial"/>
        </w:rPr>
      </w:pPr>
      <w:r w:rsidRPr="008702B6">
        <w:rPr>
          <w:rFonts w:ascii="Arial" w:eastAsia="Times New Roman" w:hAnsi="Arial" w:cs="Arial"/>
        </w:rPr>
        <w:t>Ceftriaxone</w:t>
      </w:r>
      <w:r w:rsidR="00CF0ED3" w:rsidRPr="008702B6">
        <w:rPr>
          <w:rFonts w:ascii="Arial" w:eastAsia="Times New Roman" w:hAnsi="Arial" w:cs="Arial"/>
        </w:rPr>
        <w:t xml:space="preserve"> (80-100mg/kg)</w:t>
      </w:r>
    </w:p>
    <w:p w14:paraId="34FA19C5" w14:textId="42E2FC39" w:rsidR="002E1B01" w:rsidRPr="008702B6" w:rsidRDefault="002E1B01" w:rsidP="008702B6">
      <w:pPr>
        <w:pStyle w:val="ListParagraph"/>
        <w:numPr>
          <w:ilvl w:val="0"/>
          <w:numId w:val="2"/>
        </w:numPr>
        <w:spacing w:after="240" w:line="360" w:lineRule="auto"/>
        <w:rPr>
          <w:rFonts w:ascii="Arial" w:eastAsia="Times New Roman" w:hAnsi="Arial" w:cs="Arial"/>
        </w:rPr>
      </w:pPr>
      <w:proofErr w:type="spellStart"/>
      <w:r w:rsidRPr="008702B6">
        <w:rPr>
          <w:rFonts w:ascii="Arial" w:eastAsia="Times New Roman" w:hAnsi="Arial" w:cs="Arial"/>
        </w:rPr>
        <w:t>Aciclovir</w:t>
      </w:r>
      <w:proofErr w:type="spellEnd"/>
      <w:r w:rsidR="00CF0ED3" w:rsidRPr="008702B6">
        <w:rPr>
          <w:rFonts w:ascii="Arial" w:eastAsia="Times New Roman" w:hAnsi="Arial" w:cs="Arial"/>
        </w:rPr>
        <w:t xml:space="preserve"> (500mg/m</w:t>
      </w:r>
      <w:r w:rsidR="00CF0ED3" w:rsidRPr="008702B6">
        <w:rPr>
          <w:rFonts w:ascii="Arial" w:eastAsia="Times New Roman" w:hAnsi="Arial" w:cs="Arial"/>
          <w:vertAlign w:val="superscript"/>
        </w:rPr>
        <w:t>2</w:t>
      </w:r>
      <w:r w:rsidR="00CF0ED3" w:rsidRPr="008702B6">
        <w:rPr>
          <w:rFonts w:ascii="Arial" w:eastAsia="Times New Roman" w:hAnsi="Arial" w:cs="Arial"/>
        </w:rPr>
        <w:t xml:space="preserve"> = 26mg/kg in this case)</w:t>
      </w:r>
    </w:p>
    <w:p w14:paraId="79BB6B1C" w14:textId="18F2ECF4" w:rsidR="002E1B01" w:rsidRPr="008702B6" w:rsidRDefault="002E1B01" w:rsidP="008702B6">
      <w:pPr>
        <w:pStyle w:val="ListParagraph"/>
        <w:numPr>
          <w:ilvl w:val="0"/>
          <w:numId w:val="2"/>
        </w:numPr>
        <w:spacing w:after="240" w:line="360" w:lineRule="auto"/>
        <w:rPr>
          <w:rFonts w:ascii="Arial" w:eastAsia="Times New Roman" w:hAnsi="Arial" w:cs="Arial"/>
        </w:rPr>
      </w:pPr>
      <w:r w:rsidRPr="008702B6">
        <w:rPr>
          <w:rFonts w:ascii="Arial" w:eastAsia="Times New Roman" w:hAnsi="Arial" w:cs="Arial"/>
        </w:rPr>
        <w:t>Clarithromycin</w:t>
      </w:r>
      <w:r w:rsidR="00CF0ED3" w:rsidRPr="008702B6">
        <w:rPr>
          <w:rFonts w:ascii="Arial" w:eastAsia="Times New Roman" w:hAnsi="Arial" w:cs="Arial"/>
        </w:rPr>
        <w:t xml:space="preserve"> (7.5mg/kg)</w:t>
      </w:r>
    </w:p>
    <w:p w14:paraId="26091B7E" w14:textId="77777777" w:rsidR="002E1B01" w:rsidRPr="008702B6" w:rsidRDefault="002E1B01" w:rsidP="008702B6">
      <w:pPr>
        <w:pStyle w:val="ListParagraph"/>
        <w:numPr>
          <w:ilvl w:val="0"/>
          <w:numId w:val="2"/>
        </w:numPr>
        <w:spacing w:after="240" w:line="360" w:lineRule="auto"/>
        <w:rPr>
          <w:rFonts w:ascii="Arial" w:eastAsia="Times New Roman" w:hAnsi="Arial" w:cs="Arial"/>
        </w:rPr>
      </w:pPr>
      <w:r w:rsidRPr="008702B6">
        <w:rPr>
          <w:rFonts w:ascii="Arial" w:eastAsia="Times New Roman" w:hAnsi="Arial" w:cs="Arial"/>
        </w:rPr>
        <w:t>Sedation and paralysis post intubation</w:t>
      </w:r>
    </w:p>
    <w:p w14:paraId="4670703D" w14:textId="3A7902BD" w:rsidR="002E1B01" w:rsidRPr="008702B6" w:rsidRDefault="002E1B01" w:rsidP="008702B6">
      <w:pPr>
        <w:pStyle w:val="ListParagraph"/>
        <w:numPr>
          <w:ilvl w:val="1"/>
          <w:numId w:val="2"/>
        </w:numPr>
        <w:spacing w:after="240" w:line="360" w:lineRule="auto"/>
        <w:rPr>
          <w:rFonts w:ascii="Arial" w:eastAsia="Times New Roman" w:hAnsi="Arial" w:cs="Arial"/>
        </w:rPr>
      </w:pPr>
      <w:r w:rsidRPr="008702B6">
        <w:rPr>
          <w:rFonts w:ascii="Arial" w:eastAsia="Times New Roman" w:hAnsi="Arial" w:cs="Arial"/>
        </w:rPr>
        <w:t>Morphine infusion</w:t>
      </w:r>
      <w:r w:rsidR="00CF0ED3" w:rsidRPr="008702B6">
        <w:rPr>
          <w:rFonts w:ascii="Arial" w:eastAsia="Times New Roman" w:hAnsi="Arial" w:cs="Arial"/>
        </w:rPr>
        <w:t xml:space="preserve"> (10-40mcg/kg/hour)</w:t>
      </w:r>
    </w:p>
    <w:p w14:paraId="628EA83A" w14:textId="4F6AEC0B" w:rsidR="002E1B01" w:rsidRPr="008702B6" w:rsidRDefault="002E1B01" w:rsidP="008702B6">
      <w:pPr>
        <w:pStyle w:val="ListParagraph"/>
        <w:numPr>
          <w:ilvl w:val="1"/>
          <w:numId w:val="2"/>
        </w:numPr>
        <w:spacing w:after="240" w:line="360" w:lineRule="auto"/>
        <w:rPr>
          <w:rFonts w:ascii="Arial" w:eastAsia="Times New Roman" w:hAnsi="Arial" w:cs="Arial"/>
        </w:rPr>
      </w:pPr>
      <w:r w:rsidRPr="008702B6">
        <w:rPr>
          <w:rFonts w:ascii="Arial" w:eastAsia="Times New Roman" w:hAnsi="Arial" w:cs="Arial"/>
        </w:rPr>
        <w:t>Midazolam infusion</w:t>
      </w:r>
      <w:r w:rsidR="00CF0ED3" w:rsidRPr="008702B6">
        <w:rPr>
          <w:rFonts w:ascii="Arial" w:eastAsia="Times New Roman" w:hAnsi="Arial" w:cs="Arial"/>
        </w:rPr>
        <w:t xml:space="preserve"> (1-6mcg/kg/min)</w:t>
      </w:r>
    </w:p>
    <w:p w14:paraId="15D8B1A2" w14:textId="53EE449A" w:rsidR="002E1B01" w:rsidRPr="008702B6" w:rsidRDefault="002E1B01" w:rsidP="008702B6">
      <w:pPr>
        <w:pStyle w:val="ListParagraph"/>
        <w:numPr>
          <w:ilvl w:val="1"/>
          <w:numId w:val="2"/>
        </w:numPr>
        <w:spacing w:after="240" w:line="360" w:lineRule="auto"/>
        <w:rPr>
          <w:rFonts w:ascii="Arial" w:eastAsia="Times New Roman" w:hAnsi="Arial" w:cs="Arial"/>
        </w:rPr>
      </w:pPr>
      <w:proofErr w:type="spellStart"/>
      <w:r w:rsidRPr="008702B6">
        <w:rPr>
          <w:rFonts w:ascii="Arial" w:eastAsia="Times New Roman" w:hAnsi="Arial" w:cs="Arial"/>
        </w:rPr>
        <w:t>Vecuronium</w:t>
      </w:r>
      <w:proofErr w:type="spellEnd"/>
      <w:r w:rsidRPr="008702B6">
        <w:rPr>
          <w:rFonts w:ascii="Arial" w:eastAsia="Times New Roman" w:hAnsi="Arial" w:cs="Arial"/>
        </w:rPr>
        <w:t xml:space="preserve"> infusion</w:t>
      </w:r>
      <w:r w:rsidR="00CF0ED3" w:rsidRPr="008702B6">
        <w:rPr>
          <w:rFonts w:ascii="Arial" w:eastAsia="Times New Roman" w:hAnsi="Arial" w:cs="Arial"/>
        </w:rPr>
        <w:t xml:space="preserve"> (0.8-3mcg/kg/min)</w:t>
      </w:r>
    </w:p>
    <w:p w14:paraId="3523514B" w14:textId="77777777" w:rsidR="002E1B01" w:rsidRPr="008702B6" w:rsidRDefault="002E1B01" w:rsidP="008702B6">
      <w:pPr>
        <w:spacing w:line="360" w:lineRule="auto"/>
        <w:rPr>
          <w:rFonts w:ascii="Arial" w:eastAsia="Times New Roman" w:hAnsi="Arial" w:cs="Arial"/>
          <w:b/>
          <w:bCs/>
          <w:color w:val="000000"/>
        </w:rPr>
      </w:pPr>
    </w:p>
    <w:p w14:paraId="26F281FD" w14:textId="73D63EA7" w:rsidR="002E1B01" w:rsidRPr="008702B6" w:rsidRDefault="00CF0ED3" w:rsidP="008702B6">
      <w:pPr>
        <w:spacing w:line="360" w:lineRule="auto"/>
        <w:rPr>
          <w:rFonts w:ascii="Arial" w:eastAsia="Times New Roman" w:hAnsi="Arial" w:cs="Arial"/>
          <w:b/>
          <w:bCs/>
          <w:color w:val="000000"/>
        </w:rPr>
      </w:pPr>
      <w:r w:rsidRPr="008702B6">
        <w:rPr>
          <w:rFonts w:ascii="Arial" w:eastAsia="Times New Roman" w:hAnsi="Arial" w:cs="Arial"/>
          <w:b/>
          <w:bCs/>
          <w:color w:val="000000"/>
        </w:rPr>
        <w:lastRenderedPageBreak/>
        <w:t xml:space="preserve">Case: </w:t>
      </w:r>
      <w:r w:rsidR="002E1B01" w:rsidRPr="008702B6">
        <w:rPr>
          <w:rFonts w:ascii="Arial" w:eastAsia="Times New Roman" w:hAnsi="Arial" w:cs="Arial"/>
          <w:b/>
          <w:bCs/>
          <w:color w:val="000000"/>
        </w:rPr>
        <w:t>Sepsis</w:t>
      </w:r>
      <w:r w:rsidRPr="008702B6">
        <w:rPr>
          <w:rFonts w:ascii="Arial" w:eastAsia="Times New Roman" w:hAnsi="Arial" w:cs="Arial"/>
          <w:b/>
          <w:bCs/>
          <w:color w:val="000000"/>
        </w:rPr>
        <w:t xml:space="preserve"> with shock</w:t>
      </w:r>
    </w:p>
    <w:p w14:paraId="56E6EB1B" w14:textId="77777777" w:rsidR="00CF0ED3" w:rsidRPr="008702B6" w:rsidRDefault="00CF0ED3" w:rsidP="008702B6">
      <w:pPr>
        <w:spacing w:line="360" w:lineRule="auto"/>
        <w:rPr>
          <w:rFonts w:ascii="Arial" w:eastAsia="Times New Roman" w:hAnsi="Arial" w:cs="Arial"/>
          <w:b/>
          <w:bCs/>
          <w:color w:val="000000"/>
        </w:rPr>
      </w:pPr>
    </w:p>
    <w:p w14:paraId="6078EB35" w14:textId="482FDBE0" w:rsidR="002E1B01" w:rsidRPr="008702B6" w:rsidRDefault="002E1B01" w:rsidP="008702B6">
      <w:pPr>
        <w:spacing w:line="360" w:lineRule="auto"/>
        <w:rPr>
          <w:rFonts w:ascii="Arial" w:eastAsia="Times New Roman" w:hAnsi="Arial" w:cs="Arial"/>
          <w:color w:val="000000"/>
        </w:rPr>
      </w:pPr>
      <w:r w:rsidRPr="008702B6">
        <w:rPr>
          <w:rFonts w:ascii="Arial" w:eastAsia="Times New Roman" w:hAnsi="Arial" w:cs="Arial"/>
          <w:color w:val="000000"/>
        </w:rPr>
        <w:t>A 10-month-old, 9kg, prev</w:t>
      </w:r>
      <w:r w:rsidR="00FC29ED" w:rsidRPr="008702B6">
        <w:rPr>
          <w:rFonts w:ascii="Arial" w:eastAsia="Times New Roman" w:hAnsi="Arial" w:cs="Arial"/>
          <w:color w:val="000000"/>
        </w:rPr>
        <w:t>iously well and fully immunised</w:t>
      </w:r>
      <w:r w:rsidRPr="008702B6">
        <w:rPr>
          <w:rFonts w:ascii="Arial" w:eastAsia="Times New Roman" w:hAnsi="Arial" w:cs="Arial"/>
          <w:color w:val="000000"/>
        </w:rPr>
        <w:t xml:space="preserve"> infant </w:t>
      </w:r>
      <w:r w:rsidR="008702B6" w:rsidRPr="008702B6">
        <w:rPr>
          <w:rFonts w:ascii="Arial" w:eastAsia="Times New Roman" w:hAnsi="Arial" w:cs="Arial"/>
          <w:color w:val="000000"/>
        </w:rPr>
        <w:t>presents</w:t>
      </w:r>
      <w:r w:rsidRPr="008702B6">
        <w:rPr>
          <w:rFonts w:ascii="Arial" w:eastAsia="Times New Roman" w:hAnsi="Arial" w:cs="Arial"/>
          <w:color w:val="000000"/>
        </w:rPr>
        <w:t xml:space="preserve"> with shock and presumed meningococcal septicaemia. The infant has a</w:t>
      </w:r>
      <w:r w:rsidR="00FC29ED" w:rsidRPr="008702B6">
        <w:rPr>
          <w:rFonts w:ascii="Arial" w:eastAsia="Times New Roman" w:hAnsi="Arial" w:cs="Arial"/>
          <w:color w:val="000000"/>
        </w:rPr>
        <w:t xml:space="preserve"> two</w:t>
      </w:r>
      <w:r w:rsidR="008702B6" w:rsidRPr="008702B6">
        <w:rPr>
          <w:rFonts w:ascii="Arial" w:eastAsia="Times New Roman" w:hAnsi="Arial" w:cs="Arial"/>
          <w:color w:val="000000"/>
        </w:rPr>
        <w:t>-</w:t>
      </w:r>
      <w:r w:rsidRPr="008702B6">
        <w:rPr>
          <w:rFonts w:ascii="Arial" w:eastAsia="Times New Roman" w:hAnsi="Arial" w:cs="Arial"/>
          <w:color w:val="000000"/>
        </w:rPr>
        <w:t xml:space="preserve">day history of cough, </w:t>
      </w:r>
      <w:proofErr w:type="spellStart"/>
      <w:r w:rsidRPr="008702B6">
        <w:rPr>
          <w:rFonts w:ascii="Arial" w:eastAsia="Times New Roman" w:hAnsi="Arial" w:cs="Arial"/>
          <w:color w:val="000000"/>
        </w:rPr>
        <w:t>coryza</w:t>
      </w:r>
      <w:proofErr w:type="spellEnd"/>
      <w:r w:rsidRPr="008702B6">
        <w:rPr>
          <w:rFonts w:ascii="Arial" w:eastAsia="Times New Roman" w:hAnsi="Arial" w:cs="Arial"/>
          <w:color w:val="000000"/>
        </w:rPr>
        <w:t xml:space="preserve"> and fever, </w:t>
      </w:r>
      <w:r w:rsidR="00FC29ED" w:rsidRPr="008702B6">
        <w:rPr>
          <w:rFonts w:ascii="Arial" w:eastAsia="Times New Roman" w:hAnsi="Arial" w:cs="Arial"/>
          <w:color w:val="000000"/>
        </w:rPr>
        <w:t xml:space="preserve">and has developed a spreading </w:t>
      </w:r>
      <w:r w:rsidRPr="008702B6">
        <w:rPr>
          <w:rFonts w:ascii="Arial" w:eastAsia="Times New Roman" w:hAnsi="Arial" w:cs="Arial"/>
          <w:color w:val="000000"/>
        </w:rPr>
        <w:t>rash all over</w:t>
      </w:r>
      <w:r w:rsidR="00FC29ED" w:rsidRPr="008702B6">
        <w:rPr>
          <w:rFonts w:ascii="Arial" w:eastAsia="Times New Roman" w:hAnsi="Arial" w:cs="Arial"/>
          <w:color w:val="000000"/>
        </w:rPr>
        <w:t xml:space="preserve"> his body</w:t>
      </w:r>
      <w:r w:rsidRPr="008702B6">
        <w:rPr>
          <w:rFonts w:ascii="Arial" w:eastAsia="Times New Roman" w:hAnsi="Arial" w:cs="Arial"/>
          <w:color w:val="000000"/>
        </w:rPr>
        <w:t>.</w:t>
      </w:r>
      <w:r w:rsidR="00FC29ED" w:rsidRPr="008702B6">
        <w:rPr>
          <w:rFonts w:ascii="Arial" w:eastAsia="Times New Roman" w:hAnsi="Arial" w:cs="Arial"/>
          <w:color w:val="000000"/>
        </w:rPr>
        <w:t xml:space="preserve"> </w:t>
      </w:r>
      <w:r w:rsidRPr="008702B6">
        <w:rPr>
          <w:rFonts w:ascii="Arial" w:eastAsia="Times New Roman" w:hAnsi="Arial" w:cs="Arial"/>
          <w:color w:val="000000"/>
        </w:rPr>
        <w:t xml:space="preserve">On assessment the infant is floppy, only responsive to pain, </w:t>
      </w:r>
      <w:r w:rsidR="00FC29ED" w:rsidRPr="008702B6">
        <w:rPr>
          <w:rFonts w:ascii="Arial" w:eastAsia="Times New Roman" w:hAnsi="Arial" w:cs="Arial"/>
          <w:color w:val="000000"/>
        </w:rPr>
        <w:t xml:space="preserve">with a </w:t>
      </w:r>
      <w:r w:rsidRPr="008702B6">
        <w:rPr>
          <w:rFonts w:ascii="Arial" w:eastAsia="Times New Roman" w:hAnsi="Arial" w:cs="Arial"/>
          <w:color w:val="000000"/>
        </w:rPr>
        <w:t xml:space="preserve">spreading non-blanching purpuric rash all over </w:t>
      </w:r>
      <w:r w:rsidR="00FC29ED" w:rsidRPr="008702B6">
        <w:rPr>
          <w:rFonts w:ascii="Arial" w:eastAsia="Times New Roman" w:hAnsi="Arial" w:cs="Arial"/>
          <w:color w:val="000000"/>
        </w:rPr>
        <w:t xml:space="preserve">his </w:t>
      </w:r>
      <w:r w:rsidRPr="008702B6">
        <w:rPr>
          <w:rFonts w:ascii="Arial" w:eastAsia="Times New Roman" w:hAnsi="Arial" w:cs="Arial"/>
          <w:color w:val="000000"/>
        </w:rPr>
        <w:t>torso</w:t>
      </w:r>
      <w:r w:rsidR="00FC29ED" w:rsidRPr="008702B6">
        <w:rPr>
          <w:rFonts w:ascii="Arial" w:eastAsia="Times New Roman" w:hAnsi="Arial" w:cs="Arial"/>
          <w:color w:val="000000"/>
        </w:rPr>
        <w:t>. He is</w:t>
      </w:r>
      <w:r w:rsidRPr="008702B6">
        <w:rPr>
          <w:rFonts w:ascii="Arial" w:eastAsia="Times New Roman" w:hAnsi="Arial" w:cs="Arial"/>
          <w:color w:val="000000"/>
        </w:rPr>
        <w:t xml:space="preserve"> febrile</w:t>
      </w:r>
      <w:r w:rsidR="00FC29ED" w:rsidRPr="008702B6">
        <w:rPr>
          <w:rFonts w:ascii="Arial" w:eastAsia="Times New Roman" w:hAnsi="Arial" w:cs="Arial"/>
          <w:color w:val="000000"/>
        </w:rPr>
        <w:t xml:space="preserve"> (40</w:t>
      </w:r>
      <w:r w:rsidR="00FC29ED" w:rsidRPr="008702B6">
        <w:rPr>
          <w:rFonts w:ascii="Arial" w:eastAsia="Times New Roman" w:hAnsi="Arial" w:cs="Arial"/>
          <w:color w:val="000000"/>
        </w:rPr>
        <w:sym w:font="Symbol" w:char="F0B0"/>
      </w:r>
      <w:r w:rsidR="00FC29ED" w:rsidRPr="008702B6">
        <w:rPr>
          <w:rFonts w:ascii="Arial" w:eastAsia="Times New Roman" w:hAnsi="Arial" w:cs="Arial"/>
          <w:color w:val="000000"/>
        </w:rPr>
        <w:t>C)</w:t>
      </w:r>
      <w:r w:rsidRPr="008702B6">
        <w:rPr>
          <w:rFonts w:ascii="Arial" w:eastAsia="Times New Roman" w:hAnsi="Arial" w:cs="Arial"/>
          <w:color w:val="000000"/>
        </w:rPr>
        <w:t xml:space="preserve"> with cold extremities and extremely poor perfusion. </w:t>
      </w:r>
      <w:r w:rsidR="00FC29ED" w:rsidRPr="008702B6">
        <w:rPr>
          <w:rFonts w:ascii="Arial" w:eastAsia="Times New Roman" w:hAnsi="Arial" w:cs="Arial"/>
          <w:color w:val="000000"/>
        </w:rPr>
        <w:t>He has a s</w:t>
      </w:r>
      <w:r w:rsidRPr="008702B6">
        <w:rPr>
          <w:rFonts w:ascii="Arial" w:eastAsia="Times New Roman" w:hAnsi="Arial" w:cs="Arial"/>
          <w:color w:val="000000"/>
        </w:rPr>
        <w:t>inus tachycardia with</w:t>
      </w:r>
      <w:r w:rsidR="00FC29ED" w:rsidRPr="008702B6">
        <w:rPr>
          <w:rFonts w:ascii="Arial" w:eastAsia="Times New Roman" w:hAnsi="Arial" w:cs="Arial"/>
          <w:color w:val="000000"/>
        </w:rPr>
        <w:t xml:space="preserve"> an</w:t>
      </w:r>
      <w:r w:rsidRPr="008702B6">
        <w:rPr>
          <w:rFonts w:ascii="Arial" w:eastAsia="Times New Roman" w:hAnsi="Arial" w:cs="Arial"/>
          <w:color w:val="000000"/>
        </w:rPr>
        <w:t xml:space="preserve"> </w:t>
      </w:r>
      <w:proofErr w:type="spellStart"/>
      <w:r w:rsidRPr="008702B6">
        <w:rPr>
          <w:rFonts w:ascii="Arial" w:eastAsia="Times New Roman" w:hAnsi="Arial" w:cs="Arial"/>
          <w:color w:val="000000"/>
        </w:rPr>
        <w:t>unrecordable</w:t>
      </w:r>
      <w:proofErr w:type="spellEnd"/>
      <w:r w:rsidRPr="008702B6">
        <w:rPr>
          <w:rFonts w:ascii="Arial" w:eastAsia="Times New Roman" w:hAnsi="Arial" w:cs="Arial"/>
          <w:color w:val="000000"/>
        </w:rPr>
        <w:t xml:space="preserve"> non-invasive blood pressure.</w:t>
      </w:r>
    </w:p>
    <w:p w14:paraId="0CCC1938" w14:textId="77777777" w:rsidR="00FC29ED" w:rsidRPr="008702B6" w:rsidRDefault="00FC29ED" w:rsidP="008702B6">
      <w:pPr>
        <w:spacing w:line="360" w:lineRule="auto"/>
        <w:rPr>
          <w:rFonts w:ascii="Arial" w:eastAsia="Times New Roman" w:hAnsi="Arial" w:cs="Arial"/>
          <w:color w:val="000000"/>
        </w:rPr>
      </w:pPr>
    </w:p>
    <w:p w14:paraId="19E43A5B" w14:textId="4DA23217" w:rsidR="002E1B01" w:rsidRPr="008702B6" w:rsidRDefault="00FC29ED" w:rsidP="008702B6">
      <w:pPr>
        <w:spacing w:line="360" w:lineRule="auto"/>
        <w:rPr>
          <w:rFonts w:ascii="Arial" w:eastAsia="Times New Roman" w:hAnsi="Arial" w:cs="Arial"/>
          <w:color w:val="000000"/>
        </w:rPr>
      </w:pPr>
      <w:r w:rsidRPr="008702B6">
        <w:rPr>
          <w:rFonts w:ascii="Arial" w:eastAsia="Times New Roman" w:hAnsi="Arial" w:cs="Arial"/>
          <w:color w:val="000000"/>
        </w:rPr>
        <w:t>Teams were expected to initiate a</w:t>
      </w:r>
      <w:r w:rsidR="002E1B01" w:rsidRPr="008702B6">
        <w:rPr>
          <w:rFonts w:ascii="Arial" w:eastAsia="Times New Roman" w:hAnsi="Arial" w:cs="Arial"/>
          <w:color w:val="000000"/>
        </w:rPr>
        <w:t>ggressive management of shock with fluids and vasoactive drugs i</w:t>
      </w:r>
      <w:r w:rsidR="00443CF4" w:rsidRPr="008702B6">
        <w:rPr>
          <w:rFonts w:ascii="Arial" w:eastAsia="Times New Roman" w:hAnsi="Arial" w:cs="Arial"/>
          <w:color w:val="000000"/>
        </w:rPr>
        <w:t xml:space="preserve">n order </w:t>
      </w:r>
      <w:r w:rsidR="002E1B01" w:rsidRPr="008702B6">
        <w:rPr>
          <w:rFonts w:ascii="Arial" w:eastAsia="Times New Roman" w:hAnsi="Arial" w:cs="Arial"/>
          <w:color w:val="000000"/>
        </w:rPr>
        <w:t>to stabilise the infant. Early administration of appropriate antimicrobials</w:t>
      </w:r>
      <w:r w:rsidR="00443CF4" w:rsidRPr="008702B6">
        <w:rPr>
          <w:rFonts w:ascii="Arial" w:eastAsia="Times New Roman" w:hAnsi="Arial" w:cs="Arial"/>
          <w:color w:val="000000"/>
        </w:rPr>
        <w:t xml:space="preserve"> was expected, as was the</w:t>
      </w:r>
      <w:r w:rsidR="002E1B01" w:rsidRPr="008702B6">
        <w:rPr>
          <w:rFonts w:ascii="Arial" w:eastAsia="Times New Roman" w:hAnsi="Arial" w:cs="Arial"/>
          <w:color w:val="000000"/>
        </w:rPr>
        <w:t xml:space="preserve"> correction of metabolic derangements are also required.</w:t>
      </w:r>
    </w:p>
    <w:p w14:paraId="639F7053" w14:textId="77777777" w:rsidR="002E1B01" w:rsidRPr="008702B6" w:rsidRDefault="002E1B01" w:rsidP="008702B6">
      <w:pPr>
        <w:spacing w:line="360" w:lineRule="auto"/>
        <w:rPr>
          <w:rFonts w:ascii="-webkit-standard" w:eastAsia="Times New Roman" w:hAnsi="-webkit-standard"/>
          <w:color w:val="000000"/>
        </w:rPr>
      </w:pPr>
    </w:p>
    <w:p w14:paraId="76A513FD" w14:textId="3C99BECB" w:rsidR="002E1B01" w:rsidRPr="008702B6" w:rsidRDefault="002E1B01" w:rsidP="008702B6">
      <w:pPr>
        <w:spacing w:line="360" w:lineRule="auto"/>
        <w:rPr>
          <w:rFonts w:ascii="-webkit-standard" w:eastAsia="Times New Roman" w:hAnsi="-webkit-standard"/>
          <w:color w:val="000000"/>
        </w:rPr>
      </w:pPr>
      <w:r w:rsidRPr="008702B6">
        <w:rPr>
          <w:rFonts w:ascii="Arial" w:eastAsia="Times New Roman" w:hAnsi="Arial" w:cs="Arial"/>
          <w:color w:val="000000"/>
        </w:rPr>
        <w:t>In this case this would mean the following drugs should be administered (in order of clinical priority)</w:t>
      </w:r>
      <w:r w:rsidR="00507C05">
        <w:rPr>
          <w:rFonts w:ascii="Arial" w:eastAsia="Times New Roman" w:hAnsi="Arial" w:cs="Arial"/>
          <w:color w:val="000000"/>
        </w:rPr>
        <w:t>. Intraosseous access was expected to be established prior to successful intravenous cannulation.</w:t>
      </w:r>
    </w:p>
    <w:p w14:paraId="35FCCA12" w14:textId="7EB8B11A" w:rsidR="002E1B01" w:rsidRPr="008702B6" w:rsidRDefault="002E1B01" w:rsidP="008702B6">
      <w:pPr>
        <w:pStyle w:val="ListParagraph"/>
        <w:numPr>
          <w:ilvl w:val="0"/>
          <w:numId w:val="3"/>
        </w:numPr>
        <w:spacing w:after="240" w:line="360" w:lineRule="auto"/>
        <w:rPr>
          <w:rFonts w:ascii="Arial" w:eastAsia="Times New Roman" w:hAnsi="Arial" w:cs="Arial"/>
        </w:rPr>
      </w:pPr>
      <w:r w:rsidRPr="008702B6">
        <w:rPr>
          <w:rFonts w:ascii="Arial" w:eastAsia="Times New Roman" w:hAnsi="Arial" w:cs="Arial"/>
        </w:rPr>
        <w:t>Ceftriaxone</w:t>
      </w:r>
      <w:r w:rsidR="007115A1" w:rsidRPr="008702B6">
        <w:rPr>
          <w:rFonts w:ascii="Arial" w:eastAsia="Times New Roman" w:hAnsi="Arial" w:cs="Arial"/>
        </w:rPr>
        <w:t xml:space="preserve"> (80-100mg/kg)</w:t>
      </w:r>
    </w:p>
    <w:p w14:paraId="3DE0E370" w14:textId="7AB9D3ED" w:rsidR="002E1B01" w:rsidRPr="008702B6" w:rsidRDefault="002E1B01" w:rsidP="008702B6">
      <w:pPr>
        <w:pStyle w:val="ListParagraph"/>
        <w:numPr>
          <w:ilvl w:val="0"/>
          <w:numId w:val="3"/>
        </w:numPr>
        <w:spacing w:after="240" w:line="360" w:lineRule="auto"/>
        <w:rPr>
          <w:rFonts w:ascii="Arial" w:eastAsia="Times New Roman" w:hAnsi="Arial" w:cs="Arial"/>
        </w:rPr>
      </w:pPr>
      <w:r w:rsidRPr="008702B6">
        <w:rPr>
          <w:rFonts w:ascii="Arial" w:eastAsia="Times New Roman" w:hAnsi="Arial" w:cs="Arial"/>
        </w:rPr>
        <w:t xml:space="preserve">10% </w:t>
      </w:r>
      <w:r w:rsidR="007115A1" w:rsidRPr="008702B6">
        <w:rPr>
          <w:rFonts w:ascii="Arial" w:eastAsia="Times New Roman" w:hAnsi="Arial" w:cs="Arial"/>
        </w:rPr>
        <w:t>d</w:t>
      </w:r>
      <w:r w:rsidRPr="008702B6">
        <w:rPr>
          <w:rFonts w:ascii="Arial" w:eastAsia="Times New Roman" w:hAnsi="Arial" w:cs="Arial"/>
        </w:rPr>
        <w:t>extrose for hypoglycaemia</w:t>
      </w:r>
      <w:r w:rsidR="007115A1" w:rsidRPr="008702B6">
        <w:rPr>
          <w:rFonts w:ascii="Arial" w:eastAsia="Times New Roman" w:hAnsi="Arial" w:cs="Arial"/>
        </w:rPr>
        <w:t xml:space="preserve"> (2-5ml/kg) [higher dose accepted as per British National Formulary]</w:t>
      </w:r>
    </w:p>
    <w:p w14:paraId="778223CA" w14:textId="38B120F0" w:rsidR="002E1B01" w:rsidRPr="008702B6" w:rsidRDefault="002E1B01" w:rsidP="008702B6">
      <w:pPr>
        <w:pStyle w:val="ListParagraph"/>
        <w:numPr>
          <w:ilvl w:val="0"/>
          <w:numId w:val="3"/>
        </w:numPr>
        <w:spacing w:after="240" w:line="360" w:lineRule="auto"/>
        <w:rPr>
          <w:rFonts w:ascii="Arial" w:eastAsia="Times New Roman" w:hAnsi="Arial" w:cs="Arial"/>
        </w:rPr>
      </w:pPr>
      <w:r w:rsidRPr="008702B6">
        <w:rPr>
          <w:rFonts w:ascii="Arial" w:eastAsia="Times New Roman" w:hAnsi="Arial" w:cs="Arial"/>
        </w:rPr>
        <w:t>Fluid resuscitation (</w:t>
      </w:r>
      <w:r w:rsidR="007115A1" w:rsidRPr="008702B6">
        <w:rPr>
          <w:rFonts w:ascii="Arial" w:eastAsia="Times New Roman" w:hAnsi="Arial" w:cs="Arial"/>
        </w:rPr>
        <w:t xml:space="preserve">fluid boluses were </w:t>
      </w:r>
      <w:r w:rsidRPr="008702B6">
        <w:rPr>
          <w:rFonts w:ascii="Arial" w:eastAsia="Times New Roman" w:hAnsi="Arial" w:cs="Arial"/>
        </w:rPr>
        <w:t>not measured for th</w:t>
      </w:r>
      <w:r w:rsidR="007115A1" w:rsidRPr="008702B6">
        <w:rPr>
          <w:rFonts w:ascii="Arial" w:eastAsia="Times New Roman" w:hAnsi="Arial" w:cs="Arial"/>
        </w:rPr>
        <w:t xml:space="preserve">is </w:t>
      </w:r>
      <w:r w:rsidRPr="008702B6">
        <w:rPr>
          <w:rFonts w:ascii="Arial" w:eastAsia="Times New Roman" w:hAnsi="Arial" w:cs="Arial"/>
        </w:rPr>
        <w:t>study)</w:t>
      </w:r>
    </w:p>
    <w:p w14:paraId="2AAD0AAE" w14:textId="70B4BF60" w:rsidR="007115A1" w:rsidRPr="008702B6" w:rsidRDefault="002E1B01" w:rsidP="008702B6">
      <w:pPr>
        <w:pStyle w:val="ListParagraph"/>
        <w:numPr>
          <w:ilvl w:val="0"/>
          <w:numId w:val="3"/>
        </w:numPr>
        <w:spacing w:after="240" w:line="360" w:lineRule="auto"/>
        <w:rPr>
          <w:rFonts w:ascii="Arial" w:eastAsia="Times New Roman" w:hAnsi="Arial" w:cs="Arial"/>
        </w:rPr>
      </w:pPr>
      <w:r w:rsidRPr="008702B6">
        <w:rPr>
          <w:rFonts w:ascii="Arial" w:eastAsia="Times New Roman" w:hAnsi="Arial" w:cs="Arial"/>
        </w:rPr>
        <w:t xml:space="preserve">Adrenaline infusion </w:t>
      </w:r>
      <w:r w:rsidR="007115A1" w:rsidRPr="008702B6">
        <w:rPr>
          <w:rFonts w:ascii="Arial" w:eastAsia="Times New Roman" w:hAnsi="Arial" w:cs="Arial"/>
        </w:rPr>
        <w:t>(0.1-0.5mcg/kg/min)</w:t>
      </w:r>
    </w:p>
    <w:p w14:paraId="51597275" w14:textId="77777777" w:rsidR="007115A1" w:rsidRPr="008702B6" w:rsidRDefault="002E1B01" w:rsidP="008702B6">
      <w:pPr>
        <w:pStyle w:val="ListParagraph"/>
        <w:numPr>
          <w:ilvl w:val="1"/>
          <w:numId w:val="3"/>
        </w:numPr>
        <w:spacing w:after="240" w:line="360" w:lineRule="auto"/>
        <w:rPr>
          <w:rFonts w:ascii="Arial" w:eastAsia="Times New Roman" w:hAnsi="Arial" w:cs="Arial"/>
        </w:rPr>
      </w:pPr>
      <w:r w:rsidRPr="008702B6">
        <w:rPr>
          <w:rFonts w:ascii="Arial" w:eastAsia="Times New Roman" w:hAnsi="Arial" w:cs="Arial"/>
        </w:rPr>
        <w:t xml:space="preserve">or </w:t>
      </w:r>
    </w:p>
    <w:p w14:paraId="56A3EFFF" w14:textId="1E4BF85F" w:rsidR="002E1B01" w:rsidRPr="008702B6" w:rsidRDefault="002E1B01" w:rsidP="008702B6">
      <w:pPr>
        <w:pStyle w:val="ListParagraph"/>
        <w:numPr>
          <w:ilvl w:val="0"/>
          <w:numId w:val="3"/>
        </w:numPr>
        <w:spacing w:after="240" w:line="360" w:lineRule="auto"/>
        <w:rPr>
          <w:rFonts w:ascii="Arial" w:eastAsia="Times New Roman" w:hAnsi="Arial" w:cs="Arial"/>
        </w:rPr>
      </w:pPr>
      <w:r w:rsidRPr="008702B6">
        <w:rPr>
          <w:rFonts w:ascii="Arial" w:eastAsia="Times New Roman" w:hAnsi="Arial" w:cs="Arial"/>
        </w:rPr>
        <w:t>Dopamine</w:t>
      </w:r>
      <w:r w:rsidR="007115A1" w:rsidRPr="008702B6">
        <w:rPr>
          <w:rFonts w:ascii="Arial" w:eastAsia="Times New Roman" w:hAnsi="Arial" w:cs="Arial"/>
        </w:rPr>
        <w:t xml:space="preserve"> infusion (5-20mcg/kg/min) + adrenaline infusion</w:t>
      </w:r>
    </w:p>
    <w:p w14:paraId="6A3AEDF7" w14:textId="63840CA2" w:rsidR="002E1B01" w:rsidRPr="008702B6" w:rsidRDefault="002E1B01" w:rsidP="008702B6">
      <w:pPr>
        <w:pStyle w:val="ListParagraph"/>
        <w:numPr>
          <w:ilvl w:val="0"/>
          <w:numId w:val="3"/>
        </w:numPr>
        <w:spacing w:after="240" w:line="360" w:lineRule="auto"/>
        <w:rPr>
          <w:rFonts w:ascii="Arial" w:eastAsia="Times New Roman" w:hAnsi="Arial" w:cs="Arial"/>
        </w:rPr>
      </w:pPr>
      <w:r w:rsidRPr="008702B6">
        <w:rPr>
          <w:rFonts w:ascii="Arial" w:eastAsia="Times New Roman" w:hAnsi="Arial" w:cs="Arial"/>
        </w:rPr>
        <w:t>Calcium for hypocalcaemia</w:t>
      </w:r>
      <w:r w:rsidR="007115A1" w:rsidRPr="008702B6">
        <w:rPr>
          <w:rFonts w:ascii="Arial" w:eastAsia="Times New Roman" w:hAnsi="Arial" w:cs="Arial"/>
        </w:rPr>
        <w:t xml:space="preserve"> (0.11mmol/kg)</w:t>
      </w:r>
    </w:p>
    <w:p w14:paraId="71C7FEE2" w14:textId="5BE57E90" w:rsidR="002E1B01" w:rsidRPr="008702B6" w:rsidRDefault="002E1B01" w:rsidP="008702B6">
      <w:pPr>
        <w:pStyle w:val="ListParagraph"/>
        <w:numPr>
          <w:ilvl w:val="0"/>
          <w:numId w:val="3"/>
        </w:numPr>
        <w:spacing w:after="240" w:line="360" w:lineRule="auto"/>
        <w:rPr>
          <w:rFonts w:ascii="Arial" w:eastAsia="Times New Roman" w:hAnsi="Arial" w:cs="Arial"/>
        </w:rPr>
      </w:pPr>
      <w:r w:rsidRPr="008702B6">
        <w:rPr>
          <w:rFonts w:ascii="Arial" w:eastAsia="Times New Roman" w:hAnsi="Arial" w:cs="Arial"/>
        </w:rPr>
        <w:t>Sodium Bicarbonate for acute mixed metabolic/respiratory acidosis</w:t>
      </w:r>
      <w:r w:rsidR="007115A1" w:rsidRPr="008702B6">
        <w:rPr>
          <w:rFonts w:ascii="Arial" w:eastAsia="Times New Roman" w:hAnsi="Arial" w:cs="Arial"/>
        </w:rPr>
        <w:t xml:space="preserve"> (1ml/kg of 8.4%)</w:t>
      </w:r>
    </w:p>
    <w:p w14:paraId="208A225C" w14:textId="77777777" w:rsidR="002E1B01" w:rsidRPr="008702B6" w:rsidRDefault="002E1B01" w:rsidP="008702B6">
      <w:pPr>
        <w:pStyle w:val="ListParagraph"/>
        <w:numPr>
          <w:ilvl w:val="0"/>
          <w:numId w:val="3"/>
        </w:numPr>
        <w:spacing w:after="240" w:line="360" w:lineRule="auto"/>
        <w:rPr>
          <w:rFonts w:ascii="Arial" w:eastAsia="Times New Roman" w:hAnsi="Arial" w:cs="Arial"/>
        </w:rPr>
      </w:pPr>
      <w:r w:rsidRPr="008702B6">
        <w:rPr>
          <w:rFonts w:ascii="Arial" w:eastAsia="Times New Roman" w:hAnsi="Arial" w:cs="Arial"/>
        </w:rPr>
        <w:t>Rapid Sequence Intubation</w:t>
      </w:r>
    </w:p>
    <w:p w14:paraId="6E54D971" w14:textId="0E3540BE" w:rsidR="002E1B01" w:rsidRPr="008702B6" w:rsidRDefault="002E1B01" w:rsidP="008702B6">
      <w:pPr>
        <w:pStyle w:val="ListParagraph"/>
        <w:numPr>
          <w:ilvl w:val="1"/>
          <w:numId w:val="3"/>
        </w:numPr>
        <w:spacing w:after="240" w:line="360" w:lineRule="auto"/>
        <w:rPr>
          <w:rFonts w:ascii="Arial" w:eastAsia="Times New Roman" w:hAnsi="Arial" w:cs="Arial"/>
        </w:rPr>
      </w:pPr>
      <w:r w:rsidRPr="008702B6">
        <w:rPr>
          <w:rFonts w:ascii="Arial" w:eastAsia="Times New Roman" w:hAnsi="Arial" w:cs="Arial"/>
        </w:rPr>
        <w:t>Ketamine</w:t>
      </w:r>
      <w:r w:rsidR="007115A1" w:rsidRPr="008702B6">
        <w:rPr>
          <w:rFonts w:ascii="Arial" w:eastAsia="Times New Roman" w:hAnsi="Arial" w:cs="Arial"/>
        </w:rPr>
        <w:t xml:space="preserve"> (1-2mg/kg)</w:t>
      </w:r>
    </w:p>
    <w:p w14:paraId="4826C2D4" w14:textId="2C01781D" w:rsidR="002E1B01" w:rsidRPr="008702B6" w:rsidRDefault="002E1B01" w:rsidP="008702B6">
      <w:pPr>
        <w:pStyle w:val="ListParagraph"/>
        <w:numPr>
          <w:ilvl w:val="1"/>
          <w:numId w:val="3"/>
        </w:numPr>
        <w:spacing w:after="240" w:line="360" w:lineRule="auto"/>
        <w:rPr>
          <w:rFonts w:ascii="Arial" w:eastAsia="Times New Roman" w:hAnsi="Arial" w:cs="Arial"/>
        </w:rPr>
      </w:pPr>
      <w:proofErr w:type="spellStart"/>
      <w:r w:rsidRPr="008702B6">
        <w:rPr>
          <w:rFonts w:ascii="Arial" w:eastAsia="Times New Roman" w:hAnsi="Arial" w:cs="Arial"/>
        </w:rPr>
        <w:t>Suxamethonium</w:t>
      </w:r>
      <w:proofErr w:type="spellEnd"/>
      <w:r w:rsidR="007115A1" w:rsidRPr="008702B6">
        <w:rPr>
          <w:rFonts w:ascii="Arial" w:eastAsia="Times New Roman" w:hAnsi="Arial" w:cs="Arial"/>
        </w:rPr>
        <w:t xml:space="preserve"> (2mg/kg)</w:t>
      </w:r>
    </w:p>
    <w:p w14:paraId="120D25BF" w14:textId="77777777" w:rsidR="002E1B01" w:rsidRPr="008702B6" w:rsidRDefault="002E1B01" w:rsidP="008702B6">
      <w:pPr>
        <w:pStyle w:val="ListParagraph"/>
        <w:numPr>
          <w:ilvl w:val="0"/>
          <w:numId w:val="3"/>
        </w:numPr>
        <w:spacing w:after="240" w:line="360" w:lineRule="auto"/>
        <w:rPr>
          <w:rFonts w:ascii="Arial" w:eastAsia="Times New Roman" w:hAnsi="Arial" w:cs="Arial"/>
        </w:rPr>
      </w:pPr>
      <w:r w:rsidRPr="008702B6">
        <w:rPr>
          <w:rFonts w:ascii="Arial" w:eastAsia="Times New Roman" w:hAnsi="Arial" w:cs="Arial"/>
        </w:rPr>
        <w:t>Sedation and paralysis post intubation</w:t>
      </w:r>
    </w:p>
    <w:p w14:paraId="1D6DC4FD" w14:textId="4F69C820" w:rsidR="002E1B01" w:rsidRPr="008702B6" w:rsidRDefault="002E1B01" w:rsidP="008702B6">
      <w:pPr>
        <w:pStyle w:val="ListParagraph"/>
        <w:numPr>
          <w:ilvl w:val="1"/>
          <w:numId w:val="3"/>
        </w:numPr>
        <w:spacing w:after="240" w:line="360" w:lineRule="auto"/>
        <w:rPr>
          <w:rFonts w:ascii="Arial" w:eastAsia="Times New Roman" w:hAnsi="Arial" w:cs="Arial"/>
        </w:rPr>
      </w:pPr>
      <w:r w:rsidRPr="008702B6">
        <w:rPr>
          <w:rFonts w:ascii="Arial" w:eastAsia="Times New Roman" w:hAnsi="Arial" w:cs="Arial"/>
        </w:rPr>
        <w:t>Morphine infusion</w:t>
      </w:r>
      <w:r w:rsidR="007115A1" w:rsidRPr="008702B6">
        <w:rPr>
          <w:rFonts w:ascii="Arial" w:eastAsia="Times New Roman" w:hAnsi="Arial" w:cs="Arial"/>
        </w:rPr>
        <w:t xml:space="preserve"> (10-40mcg/kg/hour)</w:t>
      </w:r>
    </w:p>
    <w:p w14:paraId="172AE505" w14:textId="282F5A6E" w:rsidR="002E1B01" w:rsidRPr="008702B6" w:rsidRDefault="002E1B01" w:rsidP="008702B6">
      <w:pPr>
        <w:pStyle w:val="ListParagraph"/>
        <w:numPr>
          <w:ilvl w:val="1"/>
          <w:numId w:val="3"/>
        </w:numPr>
        <w:spacing w:after="240" w:line="360" w:lineRule="auto"/>
        <w:rPr>
          <w:rFonts w:ascii="Arial" w:eastAsia="Times New Roman" w:hAnsi="Arial" w:cs="Arial"/>
        </w:rPr>
      </w:pPr>
      <w:r w:rsidRPr="008702B6">
        <w:rPr>
          <w:rFonts w:ascii="Arial" w:eastAsia="Times New Roman" w:hAnsi="Arial" w:cs="Arial"/>
        </w:rPr>
        <w:lastRenderedPageBreak/>
        <w:t>Midazolam infusion</w:t>
      </w:r>
      <w:r w:rsidR="007115A1" w:rsidRPr="008702B6">
        <w:rPr>
          <w:rFonts w:ascii="Arial" w:eastAsia="Times New Roman" w:hAnsi="Arial" w:cs="Arial"/>
        </w:rPr>
        <w:t xml:space="preserve"> (1-6mcg/kg/min)</w:t>
      </w:r>
    </w:p>
    <w:p w14:paraId="63A0B2C0" w14:textId="3BACE988" w:rsidR="002E1B01" w:rsidRPr="008702B6" w:rsidRDefault="002E1B01" w:rsidP="008702B6">
      <w:pPr>
        <w:pStyle w:val="ListParagraph"/>
        <w:numPr>
          <w:ilvl w:val="1"/>
          <w:numId w:val="3"/>
        </w:numPr>
        <w:spacing w:after="240" w:line="360" w:lineRule="auto"/>
        <w:rPr>
          <w:rFonts w:ascii="Arial" w:eastAsia="Times New Roman" w:hAnsi="Arial" w:cs="Arial"/>
        </w:rPr>
      </w:pPr>
      <w:proofErr w:type="spellStart"/>
      <w:r w:rsidRPr="008702B6">
        <w:rPr>
          <w:rFonts w:ascii="Arial" w:eastAsia="Times New Roman" w:hAnsi="Arial" w:cs="Arial"/>
        </w:rPr>
        <w:t>Vecuronium</w:t>
      </w:r>
      <w:proofErr w:type="spellEnd"/>
      <w:r w:rsidRPr="008702B6">
        <w:rPr>
          <w:rFonts w:ascii="Arial" w:eastAsia="Times New Roman" w:hAnsi="Arial" w:cs="Arial"/>
        </w:rPr>
        <w:t xml:space="preserve"> infusion</w:t>
      </w:r>
      <w:r w:rsidR="007115A1" w:rsidRPr="008702B6">
        <w:rPr>
          <w:rFonts w:ascii="Arial" w:eastAsia="Times New Roman" w:hAnsi="Arial" w:cs="Arial"/>
        </w:rPr>
        <w:t xml:space="preserve"> (0.8-6mcg/kg/min)</w:t>
      </w:r>
    </w:p>
    <w:p w14:paraId="56E05E0D" w14:textId="77777777" w:rsidR="005E1509" w:rsidRPr="008702B6" w:rsidRDefault="005E1509" w:rsidP="008702B6">
      <w:pPr>
        <w:spacing w:line="360" w:lineRule="auto"/>
        <w:jc w:val="both"/>
        <w:rPr>
          <w:rFonts w:ascii="Arial" w:hAnsi="Arial" w:cs="Arial"/>
        </w:rPr>
      </w:pPr>
    </w:p>
    <w:p w14:paraId="56071D15" w14:textId="77777777" w:rsidR="00276678" w:rsidRPr="008702B6" w:rsidRDefault="00276678" w:rsidP="008702B6">
      <w:pPr>
        <w:spacing w:line="360" w:lineRule="auto"/>
        <w:jc w:val="both"/>
        <w:rPr>
          <w:rFonts w:ascii="Arial" w:hAnsi="Arial" w:cs="Arial"/>
        </w:rPr>
      </w:pPr>
    </w:p>
    <w:p w14:paraId="69F38252" w14:textId="77777777" w:rsidR="00276678" w:rsidRPr="008702B6" w:rsidRDefault="00276678" w:rsidP="008702B6">
      <w:pPr>
        <w:spacing w:line="360" w:lineRule="auto"/>
        <w:jc w:val="both"/>
        <w:rPr>
          <w:rFonts w:ascii="Arial" w:hAnsi="Arial" w:cs="Arial"/>
        </w:rPr>
      </w:pPr>
    </w:p>
    <w:p w14:paraId="3DDB7FDF" w14:textId="77777777" w:rsidR="00276678" w:rsidRPr="008702B6" w:rsidRDefault="00276678" w:rsidP="008702B6">
      <w:pPr>
        <w:spacing w:line="360" w:lineRule="auto"/>
        <w:jc w:val="both"/>
        <w:rPr>
          <w:rFonts w:ascii="Arial" w:hAnsi="Arial" w:cs="Arial"/>
        </w:rPr>
      </w:pPr>
    </w:p>
    <w:p w14:paraId="28C5600F" w14:textId="77777777" w:rsidR="00276678" w:rsidRPr="008702B6" w:rsidRDefault="00276678" w:rsidP="008702B6">
      <w:pPr>
        <w:spacing w:line="360" w:lineRule="auto"/>
        <w:jc w:val="both"/>
        <w:rPr>
          <w:rFonts w:ascii="Arial" w:hAnsi="Arial" w:cs="Arial"/>
        </w:rPr>
      </w:pPr>
    </w:p>
    <w:p w14:paraId="3702F551" w14:textId="77777777" w:rsidR="00276678" w:rsidRPr="008702B6" w:rsidRDefault="00276678" w:rsidP="008702B6">
      <w:pPr>
        <w:spacing w:line="360" w:lineRule="auto"/>
        <w:jc w:val="both"/>
        <w:rPr>
          <w:rFonts w:ascii="Arial" w:hAnsi="Arial" w:cs="Arial"/>
        </w:rPr>
      </w:pPr>
    </w:p>
    <w:p w14:paraId="78850F08" w14:textId="77777777" w:rsidR="005E1509" w:rsidRPr="008702B6" w:rsidRDefault="005E1509" w:rsidP="008702B6">
      <w:pPr>
        <w:spacing w:line="360" w:lineRule="auto"/>
        <w:jc w:val="both"/>
        <w:rPr>
          <w:rFonts w:ascii="Arial" w:hAnsi="Arial" w:cs="Arial"/>
        </w:rPr>
      </w:pPr>
    </w:p>
    <w:p w14:paraId="2FC24B5D" w14:textId="77777777" w:rsidR="00ED5381" w:rsidRPr="008702B6" w:rsidRDefault="00ED5381" w:rsidP="008702B6">
      <w:pPr>
        <w:spacing w:line="360" w:lineRule="auto"/>
        <w:rPr>
          <w:rFonts w:ascii="Arial" w:hAnsi="Arial" w:cs="Arial"/>
        </w:rPr>
      </w:pPr>
      <w:r w:rsidRPr="008702B6">
        <w:rPr>
          <w:rFonts w:ascii="Arial" w:hAnsi="Arial" w:cs="Arial"/>
        </w:rPr>
        <w:br w:type="page"/>
      </w:r>
    </w:p>
    <w:p w14:paraId="239E9ED8" w14:textId="4701EBDD" w:rsidR="005E1509" w:rsidRPr="00ED5381" w:rsidRDefault="005E1509" w:rsidP="006F36CD">
      <w:pPr>
        <w:jc w:val="both"/>
        <w:rPr>
          <w:rFonts w:ascii="Arial" w:hAnsi="Arial" w:cs="Arial"/>
          <w:b/>
        </w:rPr>
      </w:pPr>
      <w:r w:rsidRPr="00ED5381">
        <w:rPr>
          <w:rFonts w:ascii="Arial" w:hAnsi="Arial" w:cs="Arial"/>
          <w:b/>
        </w:rPr>
        <w:lastRenderedPageBreak/>
        <w:t>Appendix 2. Detailed operational definitions and explanation</w:t>
      </w:r>
    </w:p>
    <w:p w14:paraId="138E8F60" w14:textId="77777777" w:rsidR="00D64F1F" w:rsidRDefault="00D64F1F" w:rsidP="006F36CD">
      <w:pPr>
        <w:jc w:val="both"/>
        <w:rPr>
          <w:rFonts w:ascii="Arial" w:hAnsi="Arial" w:cs="Arial"/>
        </w:rPr>
      </w:pPr>
    </w:p>
    <w:p w14:paraId="5F1F07ED" w14:textId="77777777" w:rsidR="00D64F1F" w:rsidRDefault="00D64F1F" w:rsidP="006F36CD">
      <w:pPr>
        <w:jc w:val="both"/>
        <w:rPr>
          <w:rFonts w:ascii="Arial" w:hAnsi="Arial" w:cs="Arial"/>
        </w:rPr>
      </w:pPr>
    </w:p>
    <w:p w14:paraId="74C342A0" w14:textId="2C4D30B0" w:rsidR="00A62CB7" w:rsidRDefault="00A62CB7" w:rsidP="00A62CB7">
      <w:pPr>
        <w:spacing w:after="240" w:line="360" w:lineRule="auto"/>
        <w:jc w:val="both"/>
        <w:rPr>
          <w:rFonts w:ascii="Arial" w:hAnsi="Arial" w:cs="Arial"/>
          <w:color w:val="333333"/>
        </w:rPr>
      </w:pPr>
      <w:r w:rsidRPr="00C14C14">
        <w:rPr>
          <w:rFonts w:ascii="Arial" w:hAnsi="Arial" w:cs="Arial"/>
          <w:b/>
          <w:bCs/>
          <w:color w:val="333333"/>
        </w:rPr>
        <w:t>Main outcome measures and definitions of error</w:t>
      </w:r>
    </w:p>
    <w:p w14:paraId="28518C8E" w14:textId="77777777" w:rsidR="00A62CB7" w:rsidRPr="00A62CB7" w:rsidRDefault="00A62CB7" w:rsidP="00A62CB7">
      <w:pPr>
        <w:spacing w:after="240" w:line="360" w:lineRule="auto"/>
        <w:jc w:val="both"/>
        <w:rPr>
          <w:rFonts w:ascii="Arial" w:hAnsi="Arial" w:cs="Arial"/>
          <w:color w:val="333333"/>
        </w:rPr>
      </w:pPr>
    </w:p>
    <w:p w14:paraId="01DFE6D8" w14:textId="3089034F" w:rsidR="00A62CB7" w:rsidRDefault="00D65CE3" w:rsidP="00A62CB7">
      <w:pPr>
        <w:spacing w:after="240" w:line="360" w:lineRule="auto"/>
        <w:jc w:val="both"/>
        <w:rPr>
          <w:rFonts w:ascii="Arial" w:eastAsia="Times New Roman" w:hAnsi="Arial" w:cs="Arial"/>
          <w:b/>
          <w:i/>
        </w:rPr>
      </w:pPr>
      <w:r>
        <w:rPr>
          <w:rFonts w:ascii="Arial" w:eastAsia="Times New Roman" w:hAnsi="Arial" w:cs="Arial"/>
          <w:b/>
          <w:i/>
        </w:rPr>
        <w:t xml:space="preserve">Medication errors </w:t>
      </w:r>
    </w:p>
    <w:p w14:paraId="05A7A38C" w14:textId="77777777" w:rsidR="00A62CB7" w:rsidRPr="00655493" w:rsidRDefault="00A62CB7" w:rsidP="00A62CB7">
      <w:pPr>
        <w:pStyle w:val="ListParagraph"/>
        <w:numPr>
          <w:ilvl w:val="0"/>
          <w:numId w:val="5"/>
        </w:numPr>
        <w:spacing w:after="240" w:line="360" w:lineRule="auto"/>
        <w:jc w:val="both"/>
        <w:rPr>
          <w:rFonts w:ascii="Arial" w:eastAsia="Times New Roman" w:hAnsi="Arial" w:cs="Arial"/>
          <w:b/>
        </w:rPr>
      </w:pPr>
      <w:r>
        <w:rPr>
          <w:rFonts w:ascii="Arial" w:eastAsia="Times New Roman" w:hAnsi="Arial" w:cs="Arial"/>
          <w:b/>
        </w:rPr>
        <w:t>Administrations were classed</w:t>
      </w:r>
      <w:r w:rsidRPr="00BE58CC">
        <w:rPr>
          <w:rFonts w:ascii="Arial" w:eastAsia="Times New Roman" w:hAnsi="Arial" w:cs="Arial"/>
          <w:b/>
        </w:rPr>
        <w:t xml:space="preserve"> as </w:t>
      </w:r>
      <w:r w:rsidRPr="00263FEF">
        <w:rPr>
          <w:rFonts w:ascii="Arial" w:eastAsia="Times New Roman" w:hAnsi="Arial" w:cs="Arial"/>
          <w:b/>
          <w:u w:val="single"/>
        </w:rPr>
        <w:t>dosing errors</w:t>
      </w:r>
      <w:r w:rsidRPr="00BE58CC">
        <w:rPr>
          <w:rFonts w:ascii="Arial" w:eastAsia="Times New Roman" w:hAnsi="Arial" w:cs="Arial"/>
          <w:b/>
        </w:rPr>
        <w:t xml:space="preserve"> where: </w:t>
      </w:r>
    </w:p>
    <w:p w14:paraId="0B39D262" w14:textId="292BD569" w:rsidR="00A62CB7" w:rsidRPr="00A67CB3" w:rsidRDefault="00A62CB7" w:rsidP="00A62CB7">
      <w:pPr>
        <w:pStyle w:val="ListParagraph"/>
        <w:numPr>
          <w:ilvl w:val="1"/>
          <w:numId w:val="5"/>
        </w:numPr>
        <w:spacing w:after="240" w:line="360" w:lineRule="auto"/>
        <w:jc w:val="both"/>
        <w:rPr>
          <w:rFonts w:ascii="Arial" w:eastAsia="Times New Roman" w:hAnsi="Arial" w:cs="Arial"/>
        </w:rPr>
      </w:pPr>
      <w:r w:rsidRPr="00A67CB3">
        <w:rPr>
          <w:rFonts w:ascii="Arial" w:eastAsia="Times New Roman" w:hAnsi="Arial" w:cs="Arial"/>
        </w:rPr>
        <w:t>For drugs</w:t>
      </w:r>
      <w:r>
        <w:rPr>
          <w:rFonts w:ascii="Arial" w:eastAsia="Times New Roman" w:hAnsi="Arial" w:cs="Arial"/>
        </w:rPr>
        <w:t xml:space="preserve"> given by </w:t>
      </w:r>
      <w:r w:rsidRPr="004A02C4">
        <w:rPr>
          <w:rFonts w:ascii="Arial" w:eastAsia="Times New Roman" w:hAnsi="Arial" w:cs="Arial"/>
          <w:b/>
        </w:rPr>
        <w:t>injection</w:t>
      </w:r>
      <w:r>
        <w:rPr>
          <w:rFonts w:ascii="Arial" w:eastAsia="Times New Roman" w:hAnsi="Arial" w:cs="Arial"/>
        </w:rPr>
        <w:t xml:space="preserve"> (bolus), there was a 10% or greater</w:t>
      </w:r>
      <w:r w:rsidRPr="00A67CB3">
        <w:rPr>
          <w:rFonts w:ascii="Arial" w:eastAsia="Times New Roman" w:hAnsi="Arial" w:cs="Arial"/>
        </w:rPr>
        <w:t xml:space="preserve"> deviation from the recommended dosing range </w:t>
      </w:r>
      <w:r>
        <w:rPr>
          <w:rFonts w:ascii="Arial" w:eastAsia="Times New Roman" w:hAnsi="Arial" w:cs="Arial"/>
        </w:rPr>
        <w:t>(DRDR). The DRDR was calculated as the absolute value of the percentage deviation from the recommended dose or dose range.</w:t>
      </w:r>
    </w:p>
    <w:p w14:paraId="4448BDA1" w14:textId="77777777" w:rsidR="00A62CB7" w:rsidRPr="00A67CB3" w:rsidRDefault="00A62CB7" w:rsidP="00A62CB7">
      <w:pPr>
        <w:pStyle w:val="ListParagraph"/>
        <w:numPr>
          <w:ilvl w:val="1"/>
          <w:numId w:val="5"/>
        </w:numPr>
        <w:spacing w:after="240" w:line="360" w:lineRule="auto"/>
        <w:jc w:val="both"/>
        <w:rPr>
          <w:rFonts w:ascii="Arial" w:eastAsia="Times New Roman" w:hAnsi="Arial" w:cs="Arial"/>
        </w:rPr>
      </w:pPr>
      <w:r w:rsidRPr="00A67CB3">
        <w:rPr>
          <w:rFonts w:ascii="Arial" w:eastAsia="Times New Roman" w:hAnsi="Arial" w:cs="Arial"/>
        </w:rPr>
        <w:t xml:space="preserve">For medications administered as </w:t>
      </w:r>
      <w:r w:rsidRPr="004A02C4">
        <w:rPr>
          <w:rFonts w:ascii="Arial" w:eastAsia="Times New Roman" w:hAnsi="Arial" w:cs="Arial"/>
          <w:b/>
        </w:rPr>
        <w:t>infusions</w:t>
      </w:r>
      <w:r>
        <w:rPr>
          <w:rFonts w:ascii="Arial" w:eastAsia="Times New Roman" w:hAnsi="Arial" w:cs="Arial"/>
        </w:rPr>
        <w:t>, there was a 10% or greater</w:t>
      </w:r>
      <w:r w:rsidRPr="00A67CB3">
        <w:rPr>
          <w:rFonts w:ascii="Arial" w:eastAsia="Times New Roman" w:hAnsi="Arial" w:cs="Arial"/>
        </w:rPr>
        <w:t xml:space="preserve"> deviation </w:t>
      </w:r>
      <w:r>
        <w:rPr>
          <w:rFonts w:ascii="Arial" w:eastAsia="Times New Roman" w:hAnsi="Arial" w:cs="Arial"/>
        </w:rPr>
        <w:t xml:space="preserve">in either the </w:t>
      </w:r>
      <w:r w:rsidRPr="00A67CB3">
        <w:rPr>
          <w:rFonts w:ascii="Arial" w:eastAsia="Times New Roman" w:hAnsi="Arial" w:cs="Arial"/>
        </w:rPr>
        <w:t xml:space="preserve">DRDR </w:t>
      </w:r>
      <w:r>
        <w:rPr>
          <w:rFonts w:ascii="Arial" w:eastAsia="Times New Roman" w:hAnsi="Arial" w:cs="Arial"/>
        </w:rPr>
        <w:t>or</w:t>
      </w:r>
      <w:r w:rsidRPr="00A67CB3">
        <w:rPr>
          <w:rFonts w:ascii="Arial" w:eastAsia="Times New Roman" w:hAnsi="Arial" w:cs="Arial"/>
        </w:rPr>
        <w:t xml:space="preserve"> the deviation from the </w:t>
      </w:r>
      <w:r>
        <w:rPr>
          <w:rFonts w:ascii="Arial" w:eastAsia="Times New Roman" w:hAnsi="Arial" w:cs="Arial"/>
        </w:rPr>
        <w:t>recommended dosing</w:t>
      </w:r>
      <w:r w:rsidRPr="00A67CB3">
        <w:rPr>
          <w:rFonts w:ascii="Arial" w:eastAsia="Times New Roman" w:hAnsi="Arial" w:cs="Arial"/>
        </w:rPr>
        <w:t xml:space="preserve"> ra</w:t>
      </w:r>
      <w:r>
        <w:rPr>
          <w:rFonts w:ascii="Arial" w:eastAsia="Times New Roman" w:hAnsi="Arial" w:cs="Arial"/>
        </w:rPr>
        <w:t>te (</w:t>
      </w:r>
      <w:proofErr w:type="spellStart"/>
      <w:r>
        <w:rPr>
          <w:rFonts w:ascii="Arial" w:eastAsia="Times New Roman" w:hAnsi="Arial" w:cs="Arial"/>
        </w:rPr>
        <w:t>DRDRate</w:t>
      </w:r>
      <w:proofErr w:type="spellEnd"/>
      <w:r>
        <w:rPr>
          <w:rFonts w:ascii="Arial" w:eastAsia="Times New Roman" w:hAnsi="Arial" w:cs="Arial"/>
        </w:rPr>
        <w:t xml:space="preserve">). The </w:t>
      </w:r>
      <w:proofErr w:type="spellStart"/>
      <w:r>
        <w:rPr>
          <w:rFonts w:ascii="Arial" w:eastAsia="Times New Roman" w:hAnsi="Arial" w:cs="Arial"/>
        </w:rPr>
        <w:t>DRDRate</w:t>
      </w:r>
      <w:proofErr w:type="spellEnd"/>
      <w:r>
        <w:rPr>
          <w:rFonts w:ascii="Arial" w:eastAsia="Times New Roman" w:hAnsi="Arial" w:cs="Arial"/>
        </w:rPr>
        <w:t xml:space="preserve"> was calculated as the absolute value of the percentage deviation from the recommended rate of administration for each medication. </w:t>
      </w:r>
    </w:p>
    <w:p w14:paraId="359F9160" w14:textId="77777777" w:rsidR="00A62CB7" w:rsidRDefault="00A62CB7" w:rsidP="00A62CB7">
      <w:pPr>
        <w:pStyle w:val="ListParagraph"/>
        <w:numPr>
          <w:ilvl w:val="1"/>
          <w:numId w:val="5"/>
        </w:numPr>
        <w:spacing w:after="240" w:line="360" w:lineRule="auto"/>
        <w:jc w:val="both"/>
        <w:rPr>
          <w:rFonts w:ascii="Arial" w:eastAsia="Times New Roman" w:hAnsi="Arial" w:cs="Arial"/>
        </w:rPr>
      </w:pPr>
      <w:r w:rsidRPr="00A67CB3">
        <w:rPr>
          <w:rFonts w:ascii="Arial" w:eastAsia="Times New Roman" w:hAnsi="Arial" w:cs="Arial"/>
        </w:rPr>
        <w:t xml:space="preserve">For medications administered as </w:t>
      </w:r>
      <w:r w:rsidRPr="007E5A27">
        <w:rPr>
          <w:rFonts w:ascii="Arial" w:eastAsia="Times New Roman" w:hAnsi="Arial" w:cs="Arial"/>
          <w:b/>
        </w:rPr>
        <w:t>continuous infusions</w:t>
      </w:r>
      <w:r w:rsidRPr="00A67CB3">
        <w:rPr>
          <w:rFonts w:ascii="Arial" w:eastAsia="Times New Roman" w:hAnsi="Arial" w:cs="Arial"/>
        </w:rPr>
        <w:t>,</w:t>
      </w:r>
      <w:r>
        <w:rPr>
          <w:rFonts w:ascii="Arial" w:eastAsia="Times New Roman" w:hAnsi="Arial" w:cs="Arial"/>
        </w:rPr>
        <w:t xml:space="preserve"> there was a 10%</w:t>
      </w:r>
      <w:r w:rsidRPr="00A67CB3">
        <w:rPr>
          <w:rFonts w:ascii="Arial" w:eastAsia="Times New Roman" w:hAnsi="Arial" w:cs="Arial"/>
        </w:rPr>
        <w:t xml:space="preserve"> </w:t>
      </w:r>
      <w:r>
        <w:rPr>
          <w:rFonts w:ascii="Arial" w:eastAsia="Times New Roman" w:hAnsi="Arial" w:cs="Arial"/>
        </w:rPr>
        <w:t>or greater</w:t>
      </w:r>
      <w:r w:rsidRPr="00A67CB3">
        <w:rPr>
          <w:rFonts w:ascii="Arial" w:eastAsia="Times New Roman" w:hAnsi="Arial" w:cs="Arial"/>
        </w:rPr>
        <w:t xml:space="preserve"> </w:t>
      </w:r>
      <w:r>
        <w:rPr>
          <w:rFonts w:ascii="Arial" w:eastAsia="Times New Roman" w:hAnsi="Arial" w:cs="Arial"/>
        </w:rPr>
        <w:t xml:space="preserve">deviation from the </w:t>
      </w:r>
      <w:proofErr w:type="spellStart"/>
      <w:r>
        <w:rPr>
          <w:rFonts w:ascii="Arial" w:eastAsia="Times New Roman" w:hAnsi="Arial" w:cs="Arial"/>
        </w:rPr>
        <w:t>DRDRate</w:t>
      </w:r>
      <w:proofErr w:type="spellEnd"/>
      <w:r>
        <w:rPr>
          <w:rFonts w:ascii="Arial" w:eastAsia="Times New Roman" w:hAnsi="Arial" w:cs="Arial"/>
        </w:rPr>
        <w:t>.</w:t>
      </w:r>
    </w:p>
    <w:p w14:paraId="4598D230" w14:textId="77777777" w:rsidR="00A62CB7" w:rsidRDefault="00A62CB7" w:rsidP="00A62CB7">
      <w:pPr>
        <w:pStyle w:val="ListParagraph"/>
        <w:spacing w:after="240" w:line="360" w:lineRule="auto"/>
        <w:ind w:left="1080"/>
        <w:jc w:val="both"/>
        <w:rPr>
          <w:rFonts w:ascii="Arial" w:eastAsia="Times New Roman" w:hAnsi="Arial" w:cs="Arial"/>
          <w:b/>
        </w:rPr>
      </w:pPr>
    </w:p>
    <w:p w14:paraId="12C44BC4" w14:textId="11A6E142" w:rsidR="00A62CB7" w:rsidRPr="00263FEF" w:rsidRDefault="00A62CB7" w:rsidP="00A62CB7">
      <w:pPr>
        <w:pStyle w:val="ListParagraph"/>
        <w:numPr>
          <w:ilvl w:val="0"/>
          <w:numId w:val="6"/>
        </w:numPr>
        <w:spacing w:after="240" w:line="360" w:lineRule="auto"/>
        <w:jc w:val="both"/>
        <w:rPr>
          <w:rFonts w:ascii="Arial" w:eastAsia="Times New Roman" w:hAnsi="Arial" w:cs="Arial"/>
          <w:b/>
          <w:u w:val="single"/>
        </w:rPr>
      </w:pPr>
      <w:r w:rsidRPr="00263FEF">
        <w:rPr>
          <w:rFonts w:ascii="Arial" w:eastAsia="Times New Roman" w:hAnsi="Arial" w:cs="Arial"/>
          <w:b/>
          <w:u w:val="single"/>
        </w:rPr>
        <w:t>Timing errors</w:t>
      </w:r>
    </w:p>
    <w:p w14:paraId="0F9B46E4" w14:textId="5926A110" w:rsidR="00A62CB7" w:rsidRDefault="00A62CB7" w:rsidP="00A62CB7">
      <w:pPr>
        <w:pStyle w:val="ListParagraph"/>
        <w:numPr>
          <w:ilvl w:val="1"/>
          <w:numId w:val="5"/>
        </w:numPr>
        <w:spacing w:after="240" w:line="360" w:lineRule="auto"/>
        <w:jc w:val="both"/>
        <w:rPr>
          <w:rFonts w:ascii="Arial" w:eastAsia="Times New Roman" w:hAnsi="Arial" w:cs="Arial"/>
        </w:rPr>
      </w:pPr>
      <w:r>
        <w:rPr>
          <w:rFonts w:ascii="Arial" w:eastAsia="Times New Roman" w:hAnsi="Arial" w:cs="Arial"/>
        </w:rPr>
        <w:t>There is no study to describing acceptable times to medication administration for individual drugs in paediatric emergencies that it is possible to use as a performance benchmark. This lack of clarity is further complicated by the fact that after the successful preparation of a medication to be administered, it is regularly the case that practical issues such as line availability introduce delays. T</w:t>
      </w:r>
      <w:r w:rsidRPr="00382F23">
        <w:rPr>
          <w:rFonts w:ascii="Arial" w:eastAsia="Times New Roman" w:hAnsi="Arial" w:cs="Arial"/>
        </w:rPr>
        <w:t>o make an assessment of prolonged administrations,</w:t>
      </w:r>
      <w:r>
        <w:rPr>
          <w:rFonts w:ascii="Arial" w:eastAsia="Times New Roman" w:hAnsi="Arial" w:cs="Arial"/>
        </w:rPr>
        <w:t xml:space="preserve"> therefore, </w:t>
      </w:r>
      <w:r w:rsidRPr="00382F23">
        <w:rPr>
          <w:rFonts w:ascii="Arial" w:eastAsia="Times New Roman" w:hAnsi="Arial" w:cs="Arial"/>
        </w:rPr>
        <w:t>times to drug ‘</w:t>
      </w:r>
      <w:r>
        <w:rPr>
          <w:rFonts w:ascii="Arial" w:eastAsia="Times New Roman" w:hAnsi="Arial" w:cs="Arial"/>
        </w:rPr>
        <w:t>ready</w:t>
      </w:r>
      <w:r w:rsidRPr="00382F23">
        <w:rPr>
          <w:rFonts w:ascii="Arial" w:eastAsia="Times New Roman" w:hAnsi="Arial" w:cs="Arial"/>
        </w:rPr>
        <w:t xml:space="preserve"> for delivery</w:t>
      </w:r>
      <w:r>
        <w:rPr>
          <w:rFonts w:ascii="Arial" w:eastAsia="Times New Roman" w:hAnsi="Arial" w:cs="Arial"/>
        </w:rPr>
        <w:t>’</w:t>
      </w:r>
      <w:r w:rsidRPr="00382F23">
        <w:rPr>
          <w:rFonts w:ascii="Arial" w:eastAsia="Times New Roman" w:hAnsi="Arial" w:cs="Arial"/>
        </w:rPr>
        <w:t xml:space="preserve"> </w:t>
      </w:r>
      <w:r>
        <w:rPr>
          <w:rFonts w:ascii="Arial" w:eastAsia="Times New Roman" w:hAnsi="Arial" w:cs="Arial"/>
        </w:rPr>
        <w:t>(tDRD) were used as a point of reference</w:t>
      </w:r>
      <w:r w:rsidRPr="00382F23">
        <w:rPr>
          <w:rFonts w:ascii="Arial" w:eastAsia="Times New Roman" w:hAnsi="Arial" w:cs="Arial"/>
        </w:rPr>
        <w:t xml:space="preserve">. </w:t>
      </w:r>
      <w:r>
        <w:rPr>
          <w:rFonts w:ascii="Arial" w:eastAsia="Times New Roman" w:hAnsi="Arial" w:cs="Arial"/>
        </w:rPr>
        <w:t xml:space="preserve">The tDRD was calculated as the sum of the elapsed times during which the doctors were seeking medication information in resources with the total nurse-led preparation time. The timings used in this study are shown in more detail in the accompanying figure below. </w:t>
      </w:r>
    </w:p>
    <w:p w14:paraId="52FB6481" w14:textId="77777777" w:rsidR="00A62CB7" w:rsidRPr="00382F23" w:rsidRDefault="00A62CB7" w:rsidP="00A62CB7">
      <w:pPr>
        <w:pStyle w:val="ListParagraph"/>
        <w:numPr>
          <w:ilvl w:val="1"/>
          <w:numId w:val="5"/>
        </w:numPr>
        <w:spacing w:after="240" w:line="360" w:lineRule="auto"/>
        <w:jc w:val="both"/>
        <w:rPr>
          <w:rFonts w:ascii="Arial" w:eastAsia="Times New Roman" w:hAnsi="Arial" w:cs="Arial"/>
        </w:rPr>
      </w:pPr>
      <w:proofErr w:type="spellStart"/>
      <w:r>
        <w:rPr>
          <w:rFonts w:ascii="Arial" w:eastAsia="Times New Roman" w:hAnsi="Arial" w:cs="Arial"/>
        </w:rPr>
        <w:lastRenderedPageBreak/>
        <w:t>tDRD’s</w:t>
      </w:r>
      <w:proofErr w:type="spellEnd"/>
      <w:r>
        <w:rPr>
          <w:rFonts w:ascii="Arial" w:eastAsia="Times New Roman" w:hAnsi="Arial" w:cs="Arial"/>
        </w:rPr>
        <w:t xml:space="preserve"> </w:t>
      </w:r>
      <w:r w:rsidRPr="00382F23">
        <w:rPr>
          <w:rFonts w:ascii="Arial" w:eastAsia="Times New Roman" w:hAnsi="Arial" w:cs="Arial"/>
        </w:rPr>
        <w:t xml:space="preserve">were considered prolonged where a particular team took greater than 200% of the median </w:t>
      </w:r>
      <w:r>
        <w:rPr>
          <w:rFonts w:ascii="Arial" w:eastAsia="Times New Roman" w:hAnsi="Arial" w:cs="Arial"/>
        </w:rPr>
        <w:t>tDRD</w:t>
      </w:r>
      <w:r w:rsidRPr="00382F23">
        <w:rPr>
          <w:rFonts w:ascii="Arial" w:eastAsia="Times New Roman" w:hAnsi="Arial" w:cs="Arial"/>
        </w:rPr>
        <w:t xml:space="preserve"> for that</w:t>
      </w:r>
      <w:r>
        <w:rPr>
          <w:rFonts w:ascii="Arial" w:eastAsia="Times New Roman" w:hAnsi="Arial" w:cs="Arial"/>
        </w:rPr>
        <w:t xml:space="preserve"> specific</w:t>
      </w:r>
      <w:r w:rsidRPr="00382F23">
        <w:rPr>
          <w:rFonts w:ascii="Arial" w:eastAsia="Times New Roman" w:hAnsi="Arial" w:cs="Arial"/>
        </w:rPr>
        <w:t xml:space="preserve"> drug across the entire study sample. </w:t>
      </w:r>
    </w:p>
    <w:p w14:paraId="114B943D" w14:textId="54D13E21" w:rsidR="00A62CB7" w:rsidRDefault="00192820" w:rsidP="00A62CB7">
      <w:pPr>
        <w:pStyle w:val="ListParagraph"/>
        <w:numPr>
          <w:ilvl w:val="1"/>
          <w:numId w:val="5"/>
        </w:numPr>
        <w:spacing w:after="240" w:line="360" w:lineRule="auto"/>
        <w:jc w:val="both"/>
        <w:rPr>
          <w:rFonts w:ascii="Arial" w:eastAsia="Times New Roman" w:hAnsi="Arial" w:cs="Arial"/>
        </w:rPr>
      </w:pPr>
      <w:r w:rsidRPr="00192820">
        <w:rPr>
          <w:rFonts w:ascii="Arial" w:eastAsia="Times New Roman" w:hAnsi="Arial" w:cs="Arial"/>
        </w:rPr>
        <w:t>Drugs given at the wrong time were classed as</w:t>
      </w:r>
      <w:r>
        <w:rPr>
          <w:rFonts w:ascii="Arial" w:eastAsia="Times New Roman" w:hAnsi="Arial" w:cs="Arial"/>
          <w:i/>
        </w:rPr>
        <w:t xml:space="preserve"> ‘</w:t>
      </w:r>
      <w:r w:rsidR="00A62CB7">
        <w:rPr>
          <w:rFonts w:ascii="Arial" w:eastAsia="Times New Roman" w:hAnsi="Arial" w:cs="Arial"/>
          <w:i/>
        </w:rPr>
        <w:t>W</w:t>
      </w:r>
      <w:r w:rsidR="00A62CB7" w:rsidRPr="00E23746">
        <w:rPr>
          <w:rFonts w:ascii="Arial" w:eastAsia="Times New Roman" w:hAnsi="Arial" w:cs="Arial"/>
          <w:i/>
        </w:rPr>
        <w:t>rong time</w:t>
      </w:r>
      <w:r>
        <w:rPr>
          <w:rFonts w:ascii="Arial" w:eastAsia="Times New Roman" w:hAnsi="Arial" w:cs="Arial"/>
          <w:i/>
        </w:rPr>
        <w:t>’</w:t>
      </w:r>
      <w:r w:rsidR="00A62CB7">
        <w:rPr>
          <w:rFonts w:ascii="Arial" w:eastAsia="Times New Roman" w:hAnsi="Arial" w:cs="Arial"/>
        </w:rPr>
        <w:t xml:space="preserve"> errors </w:t>
      </w:r>
    </w:p>
    <w:p w14:paraId="1B82A6CE" w14:textId="77777777" w:rsidR="00A62CB7" w:rsidRDefault="00A62CB7" w:rsidP="00A62CB7">
      <w:pPr>
        <w:pStyle w:val="ListParagraph"/>
        <w:numPr>
          <w:ilvl w:val="1"/>
          <w:numId w:val="5"/>
        </w:numPr>
        <w:spacing w:after="240" w:line="360" w:lineRule="auto"/>
        <w:jc w:val="both"/>
        <w:rPr>
          <w:rFonts w:ascii="Arial" w:eastAsia="Times New Roman" w:hAnsi="Arial" w:cs="Arial"/>
        </w:rPr>
      </w:pPr>
      <w:r>
        <w:rPr>
          <w:rFonts w:ascii="Arial" w:eastAsia="Times New Roman" w:hAnsi="Arial" w:cs="Arial"/>
        </w:rPr>
        <w:t>Overall delays in tDRD due to clinical reasons as determined by observation, for example interruptions in order to perform critical tasks or give more important medications, were excluded as errors.</w:t>
      </w:r>
    </w:p>
    <w:p w14:paraId="7E45DA9D" w14:textId="7C6A6F40" w:rsidR="00A62CB7" w:rsidRPr="009154FE" w:rsidRDefault="00D65CE3" w:rsidP="00D65CE3">
      <w:pPr>
        <w:spacing w:after="240" w:line="360" w:lineRule="auto"/>
        <w:ind w:left="720"/>
        <w:jc w:val="both"/>
        <w:rPr>
          <w:rFonts w:ascii="Arial" w:eastAsia="Times New Roman" w:hAnsi="Arial" w:cs="Arial"/>
          <w:b/>
        </w:rPr>
      </w:pPr>
      <w:r w:rsidRPr="009154FE">
        <w:rPr>
          <w:rFonts w:ascii="Arial" w:eastAsia="Times New Roman" w:hAnsi="Arial" w:cs="Arial"/>
          <w:b/>
        </w:rPr>
        <w:t xml:space="preserve">Figure 1. Timing </w:t>
      </w:r>
      <w:r w:rsidR="009154FE" w:rsidRPr="009154FE">
        <w:rPr>
          <w:rFonts w:ascii="Arial" w:eastAsia="Times New Roman" w:hAnsi="Arial" w:cs="Arial"/>
          <w:b/>
        </w:rPr>
        <w:t>definitions used for overall medication errors and individual process steps</w:t>
      </w:r>
    </w:p>
    <w:p w14:paraId="58DBC614" w14:textId="37A088ED" w:rsidR="00A62CB7" w:rsidRPr="008702B6" w:rsidRDefault="000E4874" w:rsidP="008702B6">
      <w:pPr>
        <w:pStyle w:val="ListParagraph"/>
        <w:spacing w:after="240" w:line="360" w:lineRule="auto"/>
        <w:ind w:left="0"/>
        <w:jc w:val="both"/>
        <w:rPr>
          <w:rFonts w:ascii="Arial" w:eastAsia="Times New Roman" w:hAnsi="Arial" w:cs="Arial"/>
        </w:rPr>
      </w:pPr>
      <w:r>
        <w:rPr>
          <w:rFonts w:ascii="Arial" w:eastAsia="Times New Roman" w:hAnsi="Arial" w:cs="Arial"/>
          <w:noProof/>
        </w:rPr>
        <w:drawing>
          <wp:inline distT="0" distB="0" distL="0" distR="0" wp14:anchorId="17D436E4" wp14:editId="10D6F523">
            <wp:extent cx="6358623" cy="2894129"/>
            <wp:effectExtent l="0" t="0" r="0" b="0"/>
            <wp:docPr id="5" name="Picture 5" descr="timing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mings-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6494" cy="2897712"/>
                    </a:xfrm>
                    <a:prstGeom prst="rect">
                      <a:avLst/>
                    </a:prstGeom>
                    <a:noFill/>
                    <a:ln>
                      <a:noFill/>
                    </a:ln>
                  </pic:spPr>
                </pic:pic>
              </a:graphicData>
            </a:graphic>
          </wp:inline>
        </w:drawing>
      </w:r>
    </w:p>
    <w:p w14:paraId="024AC16A" w14:textId="77777777" w:rsidR="00A62CB7" w:rsidRDefault="00A62CB7" w:rsidP="00A62CB7">
      <w:pPr>
        <w:pStyle w:val="ListParagraph"/>
        <w:spacing w:after="240" w:line="360" w:lineRule="auto"/>
        <w:ind w:left="1800"/>
        <w:jc w:val="both"/>
        <w:rPr>
          <w:rFonts w:ascii="Arial" w:eastAsia="Times New Roman" w:hAnsi="Arial" w:cs="Arial"/>
        </w:rPr>
      </w:pPr>
    </w:p>
    <w:p w14:paraId="58E0B890" w14:textId="77777777" w:rsidR="00A62CB7" w:rsidRPr="00263FEF" w:rsidRDefault="00A62CB7" w:rsidP="00A62CB7">
      <w:pPr>
        <w:pStyle w:val="ListParagraph"/>
        <w:numPr>
          <w:ilvl w:val="0"/>
          <w:numId w:val="5"/>
        </w:numPr>
        <w:spacing w:after="240" w:line="360" w:lineRule="auto"/>
        <w:jc w:val="both"/>
        <w:rPr>
          <w:rFonts w:ascii="Arial" w:eastAsia="Times New Roman" w:hAnsi="Arial" w:cs="Arial"/>
          <w:b/>
        </w:rPr>
      </w:pPr>
      <w:r w:rsidRPr="00263FEF">
        <w:rPr>
          <w:rFonts w:ascii="Arial" w:eastAsia="Times New Roman" w:hAnsi="Arial" w:cs="Arial"/>
          <w:b/>
        </w:rPr>
        <w:t>Other errors</w:t>
      </w:r>
    </w:p>
    <w:p w14:paraId="40154C25" w14:textId="77777777" w:rsidR="00A62CB7" w:rsidRDefault="00A62CB7" w:rsidP="00A62CB7">
      <w:pPr>
        <w:pStyle w:val="ListParagraph"/>
        <w:numPr>
          <w:ilvl w:val="1"/>
          <w:numId w:val="5"/>
        </w:numPr>
        <w:spacing w:after="240" w:line="360" w:lineRule="auto"/>
        <w:jc w:val="both"/>
        <w:rPr>
          <w:rFonts w:ascii="Arial" w:eastAsia="Times New Roman" w:hAnsi="Arial" w:cs="Arial"/>
        </w:rPr>
      </w:pPr>
      <w:r>
        <w:rPr>
          <w:rFonts w:ascii="Arial" w:eastAsia="Times New Roman" w:hAnsi="Arial" w:cs="Arial"/>
        </w:rPr>
        <w:t xml:space="preserve">In addition, medication administrations were considered erroneous overall where </w:t>
      </w:r>
    </w:p>
    <w:p w14:paraId="532B980C" w14:textId="764BEEC5" w:rsidR="008702B6" w:rsidRPr="008702B6" w:rsidRDefault="008702B6" w:rsidP="008702B6">
      <w:pPr>
        <w:pStyle w:val="ListParagraph"/>
        <w:numPr>
          <w:ilvl w:val="1"/>
          <w:numId w:val="5"/>
        </w:numPr>
        <w:spacing w:after="240" w:line="360" w:lineRule="auto"/>
        <w:jc w:val="both"/>
        <w:rPr>
          <w:rFonts w:ascii="Arial" w:eastAsia="Times New Roman" w:hAnsi="Arial" w:cs="Arial"/>
        </w:rPr>
      </w:pPr>
      <w:r>
        <w:rPr>
          <w:rFonts w:ascii="Arial" w:eastAsia="Times New Roman" w:hAnsi="Arial" w:cs="Arial"/>
        </w:rPr>
        <w:t>T</w:t>
      </w:r>
      <w:r w:rsidRPr="008702B6">
        <w:rPr>
          <w:rFonts w:ascii="Arial" w:eastAsia="Times New Roman" w:hAnsi="Arial" w:cs="Arial"/>
        </w:rPr>
        <w:t xml:space="preserve">here was deviation from the recommended concentration (DRC) of greater than 10% from the suggested concentration in the IV medicines guidance. </w:t>
      </w:r>
    </w:p>
    <w:p w14:paraId="6B6D83BF" w14:textId="77777777" w:rsidR="00A62CB7" w:rsidRDefault="00A62CB7" w:rsidP="00A62CB7">
      <w:pPr>
        <w:pStyle w:val="ListParagraph"/>
        <w:numPr>
          <w:ilvl w:val="1"/>
          <w:numId w:val="5"/>
        </w:numPr>
        <w:spacing w:after="240" w:line="360" w:lineRule="auto"/>
        <w:jc w:val="both"/>
        <w:rPr>
          <w:rFonts w:ascii="Arial" w:eastAsia="Times New Roman" w:hAnsi="Arial" w:cs="Arial"/>
        </w:rPr>
      </w:pPr>
      <w:r>
        <w:rPr>
          <w:rFonts w:ascii="Arial" w:eastAsia="Times New Roman" w:hAnsi="Arial" w:cs="Arial"/>
        </w:rPr>
        <w:t>There was a wrong drug error, a deviation from the suggested route or</w:t>
      </w:r>
      <w:r w:rsidRPr="00F2458F">
        <w:rPr>
          <w:rFonts w:ascii="Arial" w:eastAsia="Times New Roman" w:hAnsi="Arial" w:cs="Arial"/>
        </w:rPr>
        <w:t xml:space="preserve"> method of adminis</w:t>
      </w:r>
      <w:r>
        <w:rPr>
          <w:rFonts w:ascii="Arial" w:eastAsia="Times New Roman" w:hAnsi="Arial" w:cs="Arial"/>
        </w:rPr>
        <w:t>tration.</w:t>
      </w:r>
    </w:p>
    <w:p w14:paraId="63642295" w14:textId="77777777" w:rsidR="00A62CB7" w:rsidRDefault="00A62CB7" w:rsidP="00A62CB7">
      <w:pPr>
        <w:pStyle w:val="ListParagraph"/>
        <w:spacing w:after="240" w:line="360" w:lineRule="auto"/>
        <w:ind w:left="1800"/>
        <w:jc w:val="both"/>
        <w:rPr>
          <w:rFonts w:ascii="Arial" w:eastAsia="Times New Roman" w:hAnsi="Arial" w:cs="Arial"/>
        </w:rPr>
      </w:pPr>
    </w:p>
    <w:p w14:paraId="33A59E69" w14:textId="0ECF3A20" w:rsidR="00A62CB7" w:rsidRPr="00F2458F" w:rsidRDefault="00A62CB7" w:rsidP="00A62CB7">
      <w:pPr>
        <w:pStyle w:val="ListParagraph"/>
        <w:spacing w:line="360" w:lineRule="auto"/>
        <w:ind w:left="1800"/>
        <w:jc w:val="both"/>
        <w:rPr>
          <w:rFonts w:ascii="Arial" w:eastAsia="Times New Roman" w:hAnsi="Arial" w:cs="Arial"/>
        </w:rPr>
      </w:pPr>
    </w:p>
    <w:p w14:paraId="73BB0173" w14:textId="77777777" w:rsidR="00A62CB7" w:rsidRPr="00F1174D" w:rsidRDefault="00A62CB7" w:rsidP="00A62CB7">
      <w:pPr>
        <w:pStyle w:val="ListParagraph"/>
        <w:numPr>
          <w:ilvl w:val="1"/>
          <w:numId w:val="5"/>
        </w:numPr>
        <w:spacing w:line="360" w:lineRule="auto"/>
        <w:jc w:val="both"/>
        <w:rPr>
          <w:rFonts w:ascii="Arial" w:eastAsia="Times New Roman" w:hAnsi="Arial" w:cs="Arial"/>
        </w:rPr>
      </w:pPr>
      <w:r>
        <w:rPr>
          <w:rFonts w:ascii="Arial" w:eastAsia="Times New Roman" w:hAnsi="Arial" w:cs="Arial"/>
        </w:rPr>
        <w:lastRenderedPageBreak/>
        <w:t xml:space="preserve">All administrations </w:t>
      </w:r>
      <w:r w:rsidRPr="00DE3777">
        <w:rPr>
          <w:rFonts w:ascii="Arial" w:eastAsia="Times New Roman" w:hAnsi="Arial" w:cs="Arial"/>
          <w:b/>
        </w:rPr>
        <w:t>considered erroneous overall</w:t>
      </w:r>
      <w:r>
        <w:rPr>
          <w:rFonts w:ascii="Arial" w:eastAsia="Times New Roman" w:hAnsi="Arial" w:cs="Arial"/>
        </w:rPr>
        <w:t xml:space="preserve"> were presented for severity assessment.</w:t>
      </w:r>
    </w:p>
    <w:p w14:paraId="68339AC7" w14:textId="77777777" w:rsidR="00A62CB7" w:rsidRDefault="00A62CB7" w:rsidP="00A62CB7">
      <w:pPr>
        <w:spacing w:after="220" w:line="360" w:lineRule="auto"/>
        <w:jc w:val="both"/>
        <w:rPr>
          <w:rFonts w:ascii="Arial" w:hAnsi="Arial" w:cs="Arial"/>
          <w:b/>
          <w:bCs/>
          <w:color w:val="333333"/>
        </w:rPr>
      </w:pPr>
    </w:p>
    <w:p w14:paraId="1EC5A3D4" w14:textId="77777777" w:rsidR="00A62CB7" w:rsidRPr="00F96428" w:rsidRDefault="00A62CB7" w:rsidP="00A62CB7">
      <w:pPr>
        <w:spacing w:after="220" w:line="360" w:lineRule="auto"/>
        <w:jc w:val="both"/>
        <w:rPr>
          <w:rFonts w:ascii="Arial" w:hAnsi="Arial" w:cs="Arial"/>
          <w:i/>
        </w:rPr>
      </w:pPr>
      <w:r w:rsidRPr="00F96428">
        <w:rPr>
          <w:rFonts w:ascii="Arial" w:hAnsi="Arial" w:cs="Arial"/>
          <w:b/>
          <w:bCs/>
          <w:i/>
          <w:color w:val="333333"/>
        </w:rPr>
        <w:t>At the level of the task: t</w:t>
      </w:r>
      <w:r>
        <w:rPr>
          <w:rFonts w:ascii="Arial" w:hAnsi="Arial" w:cs="Arial"/>
          <w:b/>
          <w:bCs/>
          <w:i/>
          <w:color w:val="333333"/>
        </w:rPr>
        <w:t>he HR</w:t>
      </w:r>
      <w:r w:rsidRPr="00F96428">
        <w:rPr>
          <w:rFonts w:ascii="Arial" w:hAnsi="Arial" w:cs="Arial"/>
          <w:b/>
          <w:bCs/>
          <w:i/>
          <w:color w:val="333333"/>
        </w:rPr>
        <w:t xml:space="preserve">A </w:t>
      </w:r>
      <w:r>
        <w:rPr>
          <w:rFonts w:ascii="Arial" w:hAnsi="Arial" w:cs="Arial"/>
          <w:b/>
          <w:bCs/>
          <w:i/>
          <w:color w:val="333333"/>
        </w:rPr>
        <w:t>/</w:t>
      </w:r>
      <w:r w:rsidRPr="00F96428">
        <w:rPr>
          <w:rFonts w:ascii="Arial" w:hAnsi="Arial" w:cs="Arial"/>
          <w:b/>
          <w:bCs/>
          <w:i/>
          <w:color w:val="333333"/>
        </w:rPr>
        <w:t xml:space="preserve"> SHERPA framework </w:t>
      </w:r>
    </w:p>
    <w:p w14:paraId="1F2AC632" w14:textId="77777777" w:rsidR="00A62CB7" w:rsidRPr="0020216B" w:rsidRDefault="00A62CB7" w:rsidP="00A62CB7">
      <w:pPr>
        <w:pStyle w:val="ListParagraph"/>
        <w:numPr>
          <w:ilvl w:val="0"/>
          <w:numId w:val="4"/>
        </w:numPr>
        <w:spacing w:after="220" w:line="360" w:lineRule="auto"/>
        <w:jc w:val="both"/>
        <w:rPr>
          <w:rFonts w:ascii="Arial" w:hAnsi="Arial" w:cs="Arial"/>
          <w:b/>
          <w:color w:val="333333"/>
        </w:rPr>
      </w:pPr>
      <w:r w:rsidRPr="0020216B">
        <w:rPr>
          <w:rFonts w:ascii="Arial" w:hAnsi="Arial" w:cs="Arial"/>
          <w:b/>
          <w:color w:val="333333"/>
        </w:rPr>
        <w:t>Task analysis</w:t>
      </w:r>
    </w:p>
    <w:p w14:paraId="47023F42" w14:textId="53030F91" w:rsidR="00A62CB7" w:rsidRPr="00ED4945" w:rsidRDefault="00A62CB7" w:rsidP="00A62CB7">
      <w:pPr>
        <w:spacing w:after="220" w:line="360" w:lineRule="auto"/>
        <w:ind w:left="360"/>
        <w:jc w:val="both"/>
        <w:rPr>
          <w:rFonts w:ascii="Arial" w:hAnsi="Arial" w:cs="Arial"/>
          <w:color w:val="333333"/>
        </w:rPr>
      </w:pPr>
      <w:r w:rsidRPr="00ED4945">
        <w:rPr>
          <w:rFonts w:ascii="Arial" w:hAnsi="Arial" w:cs="Arial"/>
          <w:color w:val="333333"/>
        </w:rPr>
        <w:t>A</w:t>
      </w:r>
      <w:r w:rsidR="00FF012F">
        <w:rPr>
          <w:rFonts w:ascii="Arial" w:hAnsi="Arial" w:cs="Arial"/>
          <w:color w:val="333333"/>
        </w:rPr>
        <w:t xml:space="preserve"> h</w:t>
      </w:r>
      <w:r w:rsidRPr="00ED4945">
        <w:rPr>
          <w:rFonts w:ascii="Arial" w:hAnsi="Arial" w:cs="Arial"/>
          <w:color w:val="333333"/>
        </w:rPr>
        <w:t xml:space="preserve">ierarchical </w:t>
      </w:r>
      <w:r w:rsidR="00FF012F">
        <w:rPr>
          <w:rFonts w:ascii="Arial" w:hAnsi="Arial" w:cs="Arial"/>
          <w:color w:val="333333"/>
        </w:rPr>
        <w:t>t</w:t>
      </w:r>
      <w:r w:rsidR="00FF012F" w:rsidRPr="00ED4945">
        <w:rPr>
          <w:rFonts w:ascii="Arial" w:hAnsi="Arial" w:cs="Arial"/>
          <w:color w:val="333333"/>
        </w:rPr>
        <w:t xml:space="preserve">ask </w:t>
      </w:r>
      <w:r w:rsidR="00FF012F">
        <w:rPr>
          <w:rFonts w:ascii="Arial" w:hAnsi="Arial" w:cs="Arial"/>
          <w:color w:val="333333"/>
        </w:rPr>
        <w:t>a</w:t>
      </w:r>
      <w:r w:rsidRPr="00ED4945">
        <w:rPr>
          <w:rFonts w:ascii="Arial" w:hAnsi="Arial" w:cs="Arial"/>
          <w:color w:val="333333"/>
        </w:rPr>
        <w:t>nalysis</w:t>
      </w:r>
      <w:r>
        <w:rPr>
          <w:rFonts w:ascii="Arial" w:hAnsi="Arial" w:cs="Arial"/>
          <w:color w:val="333333"/>
        </w:rPr>
        <w:t xml:space="preserve"> </w:t>
      </w:r>
      <w:r w:rsidR="00FF012F">
        <w:rPr>
          <w:rFonts w:ascii="Arial" w:hAnsi="Arial" w:cs="Arial"/>
          <w:color w:val="333333"/>
        </w:rPr>
        <w:t xml:space="preserve">(HTA) </w:t>
      </w:r>
      <w:r w:rsidRPr="00ED4945">
        <w:rPr>
          <w:rFonts w:ascii="Arial" w:hAnsi="Arial" w:cs="Arial"/>
          <w:color w:val="333333"/>
        </w:rPr>
        <w:t xml:space="preserve">of the procedure for the administration of bolus as well as medications administered by infusion was undertaken, </w:t>
      </w:r>
      <w:r>
        <w:rPr>
          <w:rFonts w:ascii="Arial" w:hAnsi="Arial" w:cs="Arial"/>
          <w:color w:val="333333"/>
        </w:rPr>
        <w:t xml:space="preserve">adapting the Lane framework </w:t>
      </w:r>
      <w:r>
        <w:rPr>
          <w:rFonts w:ascii="Arial" w:hAnsi="Arial" w:cs="Arial"/>
          <w:color w:val="333333"/>
        </w:rPr>
        <w:fldChar w:fldCharType="begin"/>
      </w:r>
      <w:r w:rsidR="002D26A1">
        <w:rPr>
          <w:rFonts w:ascii="Arial" w:hAnsi="Arial" w:cs="Arial"/>
          <w:color w:val="333333"/>
        </w:rPr>
        <w:instrText xml:space="preserve"> ADDIN EN.CITE &lt;EndNote&gt;&lt;Cite&gt;&lt;Author&gt;Lane&lt;/Author&gt;&lt;Year&gt;2006&lt;/Year&gt;&lt;RecNum&gt;679&lt;/RecNum&gt;&lt;DisplayText&gt;[3]&lt;/DisplayText&gt;&lt;record&gt;&lt;rec-number&gt;679&lt;/rec-number&gt;&lt;foreign-keys&gt;&lt;key app="EN" db-id="fv02t0a0pv5027eat27v2ewn55ae0t9eapsx" timestamp="1518541778"&gt;679&lt;/key&gt;&lt;/foreign-keys&gt;&lt;ref-type name="Journal Article"&gt;17&lt;/ref-type&gt;&lt;contributors&gt;&lt;authors&gt;&lt;author&gt;Lane, Rhonda&lt;/author&gt;&lt;author&gt;Stanton, Neville A.&lt;/author&gt;&lt;author&gt;Harrison, David&lt;/author&gt;&lt;/authors&gt;&lt;/contributors&gt;&lt;auth-address&gt;Brunel University, UK. rlane_98@yahoo.com&lt;/auth-address&gt;&lt;titles&gt;&lt;title&gt;Applying hierarchical task analysis to medication administration errors&lt;/title&gt;&lt;secondary-title&gt;Applied ergonomics&lt;/secondary-title&gt;&lt;alt-title&gt;Appl Ergon&lt;/alt-title&gt;&lt;/titles&gt;&lt;alt-periodical&gt;&lt;full-title&gt;Appl Ergon&lt;/full-title&gt;&lt;/alt-periodical&gt;&lt;pages&gt;669-79&lt;/pages&gt;&lt;volume&gt;37&lt;/volume&gt;&lt;number&gt;5&lt;/number&gt;&lt;keywords&gt;&lt;keyword&gt;Great Britain&lt;/keyword&gt;&lt;keyword&gt;Humans&lt;/keyword&gt;&lt;keyword&gt;Medication Errors&lt;/keyword&gt;&lt;keyword&gt;Medication Systems, Hospital&lt;/keyword&gt;&lt;keyword&gt;State Medicine&lt;/keyword&gt;&lt;keyword&gt;Task Performance and Analysis&lt;/keyword&gt;&lt;keyword&gt;prevention &amp;amp; control&lt;/keyword&gt;&lt;keyword&gt;organization &amp;amp; administration&lt;/keyword&gt;&lt;/keywords&gt;&lt;dates&gt;&lt;year&gt;2006&lt;/year&gt;&lt;/dates&gt;&lt;isbn&gt;0003-6870&lt;/isbn&gt;&lt;accession-num&gt;Medline:16182230&lt;/accession-num&gt;&lt;urls&gt;&lt;related-urls&gt;&lt;url&gt;&amp;lt;Go to ISI&amp;gt;://MEDLINE:16182230&lt;/url&gt;&lt;/related-urls&gt;&lt;/urls&gt;&lt;language&gt;English&lt;/language&gt;&lt;/record&gt;&lt;/Cite&gt;&lt;/EndNote&gt;</w:instrText>
      </w:r>
      <w:r>
        <w:rPr>
          <w:rFonts w:ascii="Arial" w:hAnsi="Arial" w:cs="Arial"/>
          <w:color w:val="333333"/>
        </w:rPr>
        <w:fldChar w:fldCharType="separate"/>
      </w:r>
      <w:r w:rsidR="002D26A1">
        <w:rPr>
          <w:rFonts w:ascii="Arial" w:hAnsi="Arial" w:cs="Arial"/>
          <w:noProof/>
          <w:color w:val="333333"/>
        </w:rPr>
        <w:t>[3]</w:t>
      </w:r>
      <w:r>
        <w:rPr>
          <w:rFonts w:ascii="Arial" w:hAnsi="Arial" w:cs="Arial"/>
          <w:color w:val="333333"/>
        </w:rPr>
        <w:fldChar w:fldCharType="end"/>
      </w:r>
      <w:r>
        <w:rPr>
          <w:rFonts w:ascii="Arial" w:hAnsi="Arial" w:cs="Arial"/>
          <w:color w:val="333333"/>
        </w:rPr>
        <w:t xml:space="preserve"> </w:t>
      </w:r>
      <w:r w:rsidRPr="00ED4945">
        <w:rPr>
          <w:rFonts w:ascii="Arial" w:hAnsi="Arial" w:cs="Arial"/>
          <w:color w:val="333333"/>
        </w:rPr>
        <w:t xml:space="preserve">for local </w:t>
      </w:r>
      <w:r>
        <w:rPr>
          <w:rFonts w:ascii="Arial" w:hAnsi="Arial" w:cs="Arial"/>
          <w:color w:val="333333"/>
        </w:rPr>
        <w:t xml:space="preserve">emergency practice. </w:t>
      </w:r>
      <w:r w:rsidRPr="00ED4945">
        <w:rPr>
          <w:rFonts w:ascii="Arial" w:hAnsi="Arial" w:cs="Arial"/>
          <w:color w:val="333333"/>
        </w:rPr>
        <w:t>The task analysis divided the procedure into three ‘doctor-led’ and five ‘nurse-led’ parent tasks, and each of these was broken down hierarchically into exhaustive sub-tasks. The HTA was</w:t>
      </w:r>
      <w:r>
        <w:rPr>
          <w:rFonts w:ascii="Arial" w:hAnsi="Arial" w:cs="Arial"/>
          <w:color w:val="333333"/>
        </w:rPr>
        <w:t xml:space="preserve"> assessed for face validity by five senior nurses in the study hospital. </w:t>
      </w:r>
    </w:p>
    <w:p w14:paraId="3C41B1AD" w14:textId="77777777" w:rsidR="00A62CB7" w:rsidRDefault="00A62CB7" w:rsidP="00A62CB7">
      <w:pPr>
        <w:pStyle w:val="ListParagraph"/>
        <w:numPr>
          <w:ilvl w:val="0"/>
          <w:numId w:val="4"/>
        </w:numPr>
        <w:spacing w:after="220" w:line="360" w:lineRule="auto"/>
        <w:jc w:val="both"/>
        <w:rPr>
          <w:rFonts w:ascii="Arial" w:hAnsi="Arial" w:cs="Arial"/>
          <w:b/>
          <w:color w:val="333333"/>
        </w:rPr>
      </w:pPr>
      <w:r w:rsidRPr="00986B16">
        <w:rPr>
          <w:rFonts w:ascii="Arial" w:hAnsi="Arial" w:cs="Arial"/>
          <w:b/>
          <w:color w:val="333333"/>
        </w:rPr>
        <w:t xml:space="preserve">Error </w:t>
      </w:r>
      <w:r>
        <w:rPr>
          <w:rFonts w:ascii="Arial" w:hAnsi="Arial" w:cs="Arial"/>
          <w:b/>
          <w:color w:val="333333"/>
        </w:rPr>
        <w:t xml:space="preserve">mode </w:t>
      </w:r>
      <w:r w:rsidRPr="00986B16">
        <w:rPr>
          <w:rFonts w:ascii="Arial" w:hAnsi="Arial" w:cs="Arial"/>
          <w:b/>
          <w:color w:val="333333"/>
        </w:rPr>
        <w:t>categorisation</w:t>
      </w:r>
      <w:r>
        <w:rPr>
          <w:rFonts w:ascii="Arial" w:hAnsi="Arial" w:cs="Arial"/>
          <w:b/>
          <w:color w:val="333333"/>
        </w:rPr>
        <w:t xml:space="preserve"> and assessment</w:t>
      </w:r>
    </w:p>
    <w:p w14:paraId="3F4A0680" w14:textId="02CE94D2" w:rsidR="00A62CB7" w:rsidRDefault="00A62CB7" w:rsidP="00A62CB7">
      <w:pPr>
        <w:spacing w:after="220" w:line="360" w:lineRule="auto"/>
        <w:ind w:left="360"/>
        <w:jc w:val="both"/>
        <w:rPr>
          <w:rFonts w:ascii="Arial" w:hAnsi="Arial" w:cs="Arial"/>
          <w:color w:val="333333"/>
        </w:rPr>
      </w:pPr>
      <w:r>
        <w:rPr>
          <w:rFonts w:ascii="Arial" w:hAnsi="Arial" w:cs="Arial"/>
          <w:color w:val="333333"/>
        </w:rPr>
        <w:t xml:space="preserve"> To understand the steps that were prone to introducing error, we used a</w:t>
      </w:r>
      <w:r w:rsidRPr="00305406">
        <w:rPr>
          <w:rFonts w:ascii="Arial" w:hAnsi="Arial" w:cs="Arial"/>
          <w:color w:val="333333"/>
        </w:rPr>
        <w:t xml:space="preserve"> </w:t>
      </w:r>
      <w:r>
        <w:rPr>
          <w:rFonts w:ascii="Arial" w:hAnsi="Arial" w:cs="Arial"/>
          <w:color w:val="333333"/>
        </w:rPr>
        <w:t xml:space="preserve">generic </w:t>
      </w:r>
      <w:r w:rsidRPr="00305406">
        <w:rPr>
          <w:rFonts w:ascii="Arial" w:hAnsi="Arial" w:cs="Arial"/>
          <w:color w:val="333333"/>
        </w:rPr>
        <w:t xml:space="preserve">human error </w:t>
      </w:r>
      <w:r>
        <w:rPr>
          <w:rFonts w:ascii="Arial" w:hAnsi="Arial" w:cs="Arial"/>
          <w:color w:val="333333"/>
        </w:rPr>
        <w:t>taxonomy</w:t>
      </w:r>
      <w:r w:rsidRPr="00305406">
        <w:rPr>
          <w:rFonts w:ascii="Arial" w:hAnsi="Arial" w:cs="Arial"/>
          <w:color w:val="333333"/>
        </w:rPr>
        <w:t xml:space="preserve"> based on the SHERPA External Error M</w:t>
      </w:r>
      <w:r>
        <w:rPr>
          <w:rFonts w:ascii="Arial" w:hAnsi="Arial" w:cs="Arial"/>
          <w:color w:val="333333"/>
        </w:rPr>
        <w:t xml:space="preserve">odes </w:t>
      </w:r>
      <w:r>
        <w:rPr>
          <w:rFonts w:ascii="Arial" w:hAnsi="Arial" w:cs="Arial"/>
          <w:color w:val="333333"/>
        </w:rPr>
        <w:fldChar w:fldCharType="begin"/>
      </w:r>
      <w:r w:rsidR="002D26A1">
        <w:rPr>
          <w:rFonts w:ascii="Arial" w:hAnsi="Arial" w:cs="Arial"/>
          <w:color w:val="333333"/>
        </w:rPr>
        <w:instrText xml:space="preserve"> ADDIN EN.CITE &lt;EndNote&gt;&lt;Cite&gt;&lt;Author&gt;Embrey&lt;/Author&gt;&lt;Year&gt;1986&lt;/Year&gt;&lt;RecNum&gt;682&lt;/RecNum&gt;&lt;DisplayText&gt;[4]&lt;/DisplayText&gt;&lt;record&gt;&lt;rec-number&gt;682&lt;/rec-number&gt;&lt;foreign-keys&gt;&lt;key app="EN" db-id="fv02t0a0pv5027eat27v2ewn55ae0t9eapsx" timestamp="1518542225"&gt;682&lt;/key&gt;&lt;/foreign-keys&gt;&lt;ref-type name="Conference Proceedings"&gt;10&lt;/ref-type&gt;&lt;contributors&gt;&lt;authors&gt;&lt;author&gt;Embrey, DE&lt;/author&gt;&lt;/authors&gt;&lt;/contributors&gt;&lt;titles&gt;&lt;title&gt;SHERPA: A systematic human error reduction and prediction approach&lt;/title&gt;&lt;secondary-title&gt;International Topical Meeting Advances in Human Factors in Nuclear Power Systems&lt;/secondary-title&gt;&lt;/titles&gt;&lt;dates&gt;&lt;year&gt;1986&lt;/year&gt;&lt;/dates&gt;&lt;pub-location&gt;American Nuclear Society, La Grange Park, Knoxville Tennessee, IL&lt;/pub-location&gt;&lt;urls&gt;&lt;/urls&gt;&lt;/record&gt;&lt;/Cite&gt;&lt;/EndNote&gt;</w:instrText>
      </w:r>
      <w:r>
        <w:rPr>
          <w:rFonts w:ascii="Arial" w:hAnsi="Arial" w:cs="Arial"/>
          <w:color w:val="333333"/>
        </w:rPr>
        <w:fldChar w:fldCharType="separate"/>
      </w:r>
      <w:r w:rsidR="002D26A1">
        <w:rPr>
          <w:rFonts w:ascii="Arial" w:hAnsi="Arial" w:cs="Arial"/>
          <w:noProof/>
          <w:color w:val="333333"/>
        </w:rPr>
        <w:t>[4]</w:t>
      </w:r>
      <w:r>
        <w:rPr>
          <w:rFonts w:ascii="Arial" w:hAnsi="Arial" w:cs="Arial"/>
          <w:color w:val="333333"/>
        </w:rPr>
        <w:fldChar w:fldCharType="end"/>
      </w:r>
      <w:r>
        <w:rPr>
          <w:rFonts w:ascii="Arial" w:hAnsi="Arial" w:cs="Arial"/>
          <w:color w:val="333333"/>
        </w:rPr>
        <w:t xml:space="preserve">, </w:t>
      </w:r>
      <w:r w:rsidRPr="00305406">
        <w:rPr>
          <w:rFonts w:ascii="Arial" w:hAnsi="Arial" w:cs="Arial"/>
          <w:color w:val="333333"/>
        </w:rPr>
        <w:t xml:space="preserve">with </w:t>
      </w:r>
      <w:r>
        <w:rPr>
          <w:rFonts w:ascii="Arial" w:hAnsi="Arial" w:cs="Arial"/>
          <w:color w:val="333333"/>
        </w:rPr>
        <w:t>the addition of one additional error mode</w:t>
      </w:r>
      <w:r w:rsidR="008702B6">
        <w:rPr>
          <w:rFonts w:ascii="Arial" w:hAnsi="Arial" w:cs="Arial"/>
          <w:color w:val="333333"/>
        </w:rPr>
        <w:t xml:space="preserve">. </w:t>
      </w:r>
      <w:r w:rsidR="00494A58">
        <w:rPr>
          <w:rFonts w:ascii="Arial" w:hAnsi="Arial" w:cs="Arial"/>
          <w:color w:val="333333"/>
        </w:rPr>
        <w:t xml:space="preserve">Each </w:t>
      </w:r>
      <w:r>
        <w:rPr>
          <w:rFonts w:ascii="Arial" w:hAnsi="Arial" w:cs="Arial"/>
          <w:color w:val="333333"/>
        </w:rPr>
        <w:t xml:space="preserve">step discrepancy was coded against this framework. </w:t>
      </w:r>
    </w:p>
    <w:p w14:paraId="15E82F60" w14:textId="77777777" w:rsidR="00A62CB7" w:rsidRPr="007E5A27" w:rsidRDefault="00A62CB7" w:rsidP="00A62CB7">
      <w:pPr>
        <w:pStyle w:val="ListParagraph"/>
        <w:numPr>
          <w:ilvl w:val="0"/>
          <w:numId w:val="7"/>
        </w:numPr>
        <w:spacing w:after="220" w:line="360" w:lineRule="auto"/>
        <w:jc w:val="both"/>
        <w:rPr>
          <w:rFonts w:ascii="Arial" w:hAnsi="Arial" w:cs="Arial"/>
          <w:b/>
          <w:color w:val="333333"/>
        </w:rPr>
      </w:pPr>
      <w:r w:rsidRPr="007F76B7">
        <w:rPr>
          <w:rFonts w:ascii="Arial" w:hAnsi="Arial" w:cs="Arial"/>
          <w:b/>
          <w:color w:val="333333"/>
        </w:rPr>
        <w:t>Coding thresholds</w:t>
      </w:r>
      <w:r>
        <w:rPr>
          <w:rFonts w:ascii="Arial" w:hAnsi="Arial" w:cs="Arial"/>
          <w:b/>
          <w:color w:val="333333"/>
        </w:rPr>
        <w:t xml:space="preserve"> for specific steps</w:t>
      </w:r>
    </w:p>
    <w:p w14:paraId="076E254F" w14:textId="756F801B" w:rsidR="00A62CB7" w:rsidRPr="0006103E" w:rsidRDefault="00494A58" w:rsidP="0006103E">
      <w:pPr>
        <w:pStyle w:val="ListParagraph"/>
        <w:numPr>
          <w:ilvl w:val="1"/>
          <w:numId w:val="7"/>
        </w:numPr>
        <w:spacing w:after="220" w:line="360" w:lineRule="auto"/>
        <w:jc w:val="both"/>
        <w:rPr>
          <w:rFonts w:ascii="Arial" w:hAnsi="Arial" w:cs="Arial"/>
          <w:color w:val="333333"/>
        </w:rPr>
      </w:pPr>
      <w:r>
        <w:rPr>
          <w:rFonts w:ascii="Arial" w:hAnsi="Arial" w:cs="Arial"/>
          <w:color w:val="333333"/>
        </w:rPr>
        <w:t>S</w:t>
      </w:r>
      <w:r w:rsidR="00A62CB7">
        <w:rPr>
          <w:rFonts w:ascii="Arial" w:hAnsi="Arial" w:cs="Arial"/>
          <w:color w:val="333333"/>
        </w:rPr>
        <w:t xml:space="preserve">tep </w:t>
      </w:r>
      <w:r w:rsidR="0006103E">
        <w:rPr>
          <w:rFonts w:ascii="Arial" w:hAnsi="Arial" w:cs="Arial"/>
          <w:color w:val="333333"/>
        </w:rPr>
        <w:t>discrepancies</w:t>
      </w:r>
      <w:r w:rsidR="00A62CB7">
        <w:rPr>
          <w:rFonts w:ascii="Arial" w:hAnsi="Arial" w:cs="Arial"/>
          <w:color w:val="333333"/>
        </w:rPr>
        <w:t xml:space="preserve"> that </w:t>
      </w:r>
      <w:r w:rsidR="00A62CB7">
        <w:rPr>
          <w:rFonts w:ascii="Arial" w:hAnsi="Arial" w:cs="Arial"/>
          <w:b/>
          <w:color w:val="333333"/>
        </w:rPr>
        <w:t xml:space="preserve">made a contribution of more than </w:t>
      </w:r>
      <w:r w:rsidR="00A62CB7" w:rsidRPr="004B3D79">
        <w:rPr>
          <w:rFonts w:ascii="Arial" w:hAnsi="Arial" w:cs="Arial"/>
          <w:b/>
          <w:color w:val="333333"/>
        </w:rPr>
        <w:t xml:space="preserve">5% </w:t>
      </w:r>
      <w:r w:rsidR="00A62CB7">
        <w:rPr>
          <w:rFonts w:ascii="Arial" w:hAnsi="Arial" w:cs="Arial"/>
          <w:b/>
          <w:color w:val="333333"/>
        </w:rPr>
        <w:t xml:space="preserve">DRDR or </w:t>
      </w:r>
      <w:proofErr w:type="spellStart"/>
      <w:r w:rsidR="00A62CB7" w:rsidRPr="004B3D79">
        <w:rPr>
          <w:rFonts w:ascii="Arial" w:hAnsi="Arial" w:cs="Arial"/>
          <w:b/>
          <w:color w:val="333333"/>
        </w:rPr>
        <w:t>DRDRate</w:t>
      </w:r>
      <w:proofErr w:type="spellEnd"/>
      <w:r w:rsidR="00A62CB7">
        <w:rPr>
          <w:rFonts w:ascii="Arial" w:hAnsi="Arial" w:cs="Arial"/>
          <w:b/>
          <w:color w:val="333333"/>
        </w:rPr>
        <w:t xml:space="preserve"> </w:t>
      </w:r>
      <w:r w:rsidR="00A62CB7" w:rsidRPr="004B3D79">
        <w:rPr>
          <w:rFonts w:ascii="Arial" w:hAnsi="Arial" w:cs="Arial"/>
          <w:b/>
          <w:color w:val="333333"/>
        </w:rPr>
        <w:t xml:space="preserve">to </w:t>
      </w:r>
      <w:r w:rsidR="00A62CB7">
        <w:rPr>
          <w:rFonts w:ascii="Arial" w:hAnsi="Arial" w:cs="Arial"/>
          <w:b/>
          <w:color w:val="333333"/>
        </w:rPr>
        <w:t>an</w:t>
      </w:r>
      <w:r w:rsidR="00A62CB7" w:rsidRPr="004B3D79">
        <w:rPr>
          <w:rFonts w:ascii="Arial" w:hAnsi="Arial" w:cs="Arial"/>
          <w:b/>
          <w:color w:val="333333"/>
        </w:rPr>
        <w:t xml:space="preserve"> overall administration </w:t>
      </w:r>
      <w:r w:rsidR="00A62CB7">
        <w:rPr>
          <w:rFonts w:ascii="Arial" w:hAnsi="Arial" w:cs="Arial"/>
          <w:b/>
          <w:color w:val="333333"/>
        </w:rPr>
        <w:t>were coded as erroneous</w:t>
      </w:r>
      <w:r w:rsidR="00A62CB7" w:rsidRPr="007F76B7">
        <w:rPr>
          <w:rFonts w:ascii="Arial" w:hAnsi="Arial" w:cs="Arial"/>
          <w:color w:val="333333"/>
        </w:rPr>
        <w:t xml:space="preserve">. </w:t>
      </w:r>
      <w:r w:rsidR="00A62CB7">
        <w:rPr>
          <w:rFonts w:ascii="Arial" w:hAnsi="Arial" w:cs="Arial"/>
          <w:color w:val="333333"/>
        </w:rPr>
        <w:t>The lower threshold was chosen to identify causes for errors that were the result of cumulative s</w:t>
      </w:r>
      <w:r w:rsidR="0006103E">
        <w:rPr>
          <w:rFonts w:ascii="Arial" w:hAnsi="Arial" w:cs="Arial"/>
          <w:color w:val="333333"/>
        </w:rPr>
        <w:t>tep discrepancies</w:t>
      </w:r>
      <w:r w:rsidR="00A62CB7" w:rsidRPr="0006103E">
        <w:rPr>
          <w:rFonts w:ascii="Arial" w:hAnsi="Arial" w:cs="Arial"/>
          <w:color w:val="333333"/>
        </w:rPr>
        <w:t>.</w:t>
      </w:r>
    </w:p>
    <w:p w14:paraId="2799FA5A" w14:textId="7E799C2D" w:rsidR="00A62CB7" w:rsidRPr="007F76B7" w:rsidRDefault="00A62CB7" w:rsidP="00A62CB7">
      <w:pPr>
        <w:pStyle w:val="ListParagraph"/>
        <w:numPr>
          <w:ilvl w:val="1"/>
          <w:numId w:val="7"/>
        </w:numPr>
        <w:spacing w:after="220" w:line="360" w:lineRule="auto"/>
        <w:jc w:val="both"/>
        <w:rPr>
          <w:rFonts w:ascii="Arial" w:hAnsi="Arial" w:cs="Arial"/>
          <w:color w:val="333333"/>
        </w:rPr>
      </w:pPr>
      <w:r w:rsidRPr="007F76B7">
        <w:rPr>
          <w:rFonts w:ascii="Arial" w:eastAsia="Times New Roman" w:hAnsi="Arial" w:cs="Arial"/>
        </w:rPr>
        <w:t xml:space="preserve">There is no guidance with respect to acceptable times for retrieval of medication information from print or electronic resources. Guided by </w:t>
      </w:r>
      <w:r>
        <w:rPr>
          <w:rFonts w:ascii="Arial" w:eastAsia="Times New Roman" w:hAnsi="Arial" w:cs="Arial"/>
        </w:rPr>
        <w:t xml:space="preserve">the </w:t>
      </w:r>
      <w:r w:rsidRPr="007F76B7">
        <w:rPr>
          <w:rFonts w:ascii="Arial" w:eastAsia="Times New Roman" w:hAnsi="Arial" w:cs="Arial"/>
        </w:rPr>
        <w:t xml:space="preserve">expert panel, </w:t>
      </w:r>
      <w:r>
        <w:rPr>
          <w:rFonts w:ascii="Arial" w:eastAsia="Times New Roman" w:hAnsi="Arial" w:cs="Arial"/>
        </w:rPr>
        <w:t>it was decided to</w:t>
      </w:r>
      <w:r w:rsidRPr="007F76B7">
        <w:rPr>
          <w:rFonts w:ascii="Arial" w:eastAsia="Times New Roman" w:hAnsi="Arial" w:cs="Arial"/>
        </w:rPr>
        <w:t xml:space="preserve"> consider times for either doctors or the nursing team to retrieve the appropriate information prolonged where they took </w:t>
      </w:r>
      <w:r>
        <w:rPr>
          <w:rFonts w:ascii="Arial" w:eastAsia="Times New Roman" w:hAnsi="Arial" w:cs="Arial"/>
        </w:rPr>
        <w:t>more than</w:t>
      </w:r>
      <w:r w:rsidRPr="007F76B7">
        <w:rPr>
          <w:rFonts w:ascii="Arial" w:eastAsia="Times New Roman" w:hAnsi="Arial" w:cs="Arial"/>
        </w:rPr>
        <w:t xml:space="preserve"> 3</w:t>
      </w:r>
      <w:r>
        <w:rPr>
          <w:rFonts w:ascii="Arial" w:eastAsia="Times New Roman" w:hAnsi="Arial" w:cs="Arial"/>
        </w:rPr>
        <w:t xml:space="preserve"> </w:t>
      </w:r>
      <w:r w:rsidRPr="007F76B7">
        <w:rPr>
          <w:rFonts w:ascii="Arial" w:eastAsia="Times New Roman" w:hAnsi="Arial" w:cs="Arial"/>
        </w:rPr>
        <w:t>mins</w:t>
      </w:r>
      <w:r>
        <w:rPr>
          <w:rFonts w:ascii="Arial" w:eastAsia="Times New Roman" w:hAnsi="Arial" w:cs="Arial"/>
        </w:rPr>
        <w:t xml:space="preserve"> at any individual resource</w:t>
      </w:r>
      <w:r w:rsidRPr="007F76B7">
        <w:rPr>
          <w:rFonts w:ascii="Arial" w:eastAsia="Times New Roman" w:hAnsi="Arial" w:cs="Arial"/>
        </w:rPr>
        <w:t xml:space="preserve">. </w:t>
      </w:r>
    </w:p>
    <w:p w14:paraId="59262071" w14:textId="708F844D" w:rsidR="00A62CB7" w:rsidRPr="007F76B7" w:rsidRDefault="00A62CB7" w:rsidP="00A62CB7">
      <w:pPr>
        <w:pStyle w:val="ListParagraph"/>
        <w:numPr>
          <w:ilvl w:val="1"/>
          <w:numId w:val="7"/>
        </w:numPr>
        <w:spacing w:after="240" w:line="360" w:lineRule="auto"/>
        <w:jc w:val="both"/>
        <w:rPr>
          <w:rFonts w:ascii="Arial" w:eastAsia="Times New Roman" w:hAnsi="Arial" w:cs="Arial"/>
        </w:rPr>
      </w:pPr>
      <w:r>
        <w:rPr>
          <w:rFonts w:ascii="Arial" w:eastAsia="Times New Roman" w:hAnsi="Arial" w:cs="Arial"/>
        </w:rPr>
        <w:t>The following were</w:t>
      </w:r>
      <w:r w:rsidRPr="007F76B7">
        <w:rPr>
          <w:rFonts w:ascii="Arial" w:eastAsia="Times New Roman" w:hAnsi="Arial" w:cs="Arial"/>
        </w:rPr>
        <w:t xml:space="preserve"> considered the minimum requirements for safe labelling practice: </w:t>
      </w:r>
    </w:p>
    <w:p w14:paraId="26B76F69" w14:textId="77777777" w:rsidR="00A62CB7" w:rsidRPr="008F0314" w:rsidRDefault="00A62CB7" w:rsidP="00A62CB7">
      <w:pPr>
        <w:pStyle w:val="ListParagraph"/>
        <w:numPr>
          <w:ilvl w:val="2"/>
          <w:numId w:val="7"/>
        </w:numPr>
        <w:spacing w:after="240" w:line="360" w:lineRule="auto"/>
        <w:jc w:val="both"/>
        <w:rPr>
          <w:rFonts w:ascii="Arial" w:eastAsia="Times New Roman" w:hAnsi="Arial" w:cs="Arial"/>
        </w:rPr>
      </w:pPr>
      <w:r w:rsidRPr="008F0314">
        <w:rPr>
          <w:rFonts w:ascii="Arial" w:eastAsia="Times New Roman" w:hAnsi="Arial" w:cs="Arial"/>
        </w:rPr>
        <w:t xml:space="preserve">For IV injections: drug name </w:t>
      </w:r>
      <w:r>
        <w:rPr>
          <w:rFonts w:ascii="Arial" w:eastAsia="Times New Roman" w:hAnsi="Arial" w:cs="Arial"/>
        </w:rPr>
        <w:t xml:space="preserve">and </w:t>
      </w:r>
      <w:r w:rsidRPr="008F0314">
        <w:rPr>
          <w:rFonts w:ascii="Arial" w:eastAsia="Times New Roman" w:hAnsi="Arial" w:cs="Arial"/>
        </w:rPr>
        <w:t xml:space="preserve">dose </w:t>
      </w:r>
    </w:p>
    <w:p w14:paraId="6639D93F" w14:textId="0C076B94" w:rsidR="00A62CB7" w:rsidRPr="003F4474" w:rsidRDefault="00A62CB7" w:rsidP="00A62CB7">
      <w:pPr>
        <w:pStyle w:val="ListParagraph"/>
        <w:numPr>
          <w:ilvl w:val="2"/>
          <w:numId w:val="7"/>
        </w:numPr>
        <w:spacing w:after="240" w:line="360" w:lineRule="auto"/>
        <w:jc w:val="both"/>
        <w:rPr>
          <w:rFonts w:ascii="Arial" w:eastAsia="Times New Roman" w:hAnsi="Arial" w:cs="Arial"/>
        </w:rPr>
      </w:pPr>
      <w:r w:rsidRPr="008F0314">
        <w:rPr>
          <w:rFonts w:ascii="Arial" w:eastAsia="Times New Roman" w:hAnsi="Arial" w:cs="Arial"/>
        </w:rPr>
        <w:lastRenderedPageBreak/>
        <w:t>For IV infu</w:t>
      </w:r>
      <w:r>
        <w:rPr>
          <w:rFonts w:ascii="Arial" w:eastAsia="Times New Roman" w:hAnsi="Arial" w:cs="Arial"/>
        </w:rPr>
        <w:t>sions and continuous infusions:</w:t>
      </w:r>
      <w:r w:rsidRPr="008F0314">
        <w:rPr>
          <w:rFonts w:ascii="Arial" w:eastAsia="Times New Roman" w:hAnsi="Arial" w:cs="Arial"/>
        </w:rPr>
        <w:t xml:space="preserve"> drug name, dose and strength</w:t>
      </w:r>
      <w:r>
        <w:rPr>
          <w:rFonts w:ascii="Arial" w:eastAsia="Times New Roman" w:hAnsi="Arial" w:cs="Arial"/>
        </w:rPr>
        <w:t xml:space="preserve"> of prepared mixture after dilution</w:t>
      </w:r>
      <w:r w:rsidRPr="008F0314">
        <w:rPr>
          <w:rFonts w:ascii="Arial" w:eastAsia="Times New Roman" w:hAnsi="Arial" w:cs="Arial"/>
        </w:rPr>
        <w:t>.</w:t>
      </w:r>
    </w:p>
    <w:p w14:paraId="54503860" w14:textId="77777777" w:rsidR="00A62CB7" w:rsidRDefault="00A62CB7" w:rsidP="00A62CB7">
      <w:pPr>
        <w:spacing w:line="360" w:lineRule="auto"/>
        <w:ind w:left="360"/>
        <w:jc w:val="both"/>
        <w:rPr>
          <w:rFonts w:ascii="Arial" w:eastAsia="Times New Roman" w:hAnsi="Arial" w:cs="Arial"/>
        </w:rPr>
      </w:pPr>
      <w:r>
        <w:rPr>
          <w:rFonts w:ascii="Arial" w:eastAsia="Times New Roman" w:hAnsi="Arial" w:cs="Arial"/>
        </w:rPr>
        <w:t>Where there were more than two discrepancies at a single step for a specific administration, the nurse evaluator made a subjective assessment of which error had the greater overall consequence and assigned an error mode to that discrepancy only.</w:t>
      </w:r>
    </w:p>
    <w:p w14:paraId="248FA9B2" w14:textId="77777777" w:rsidR="00A62CB7" w:rsidRPr="00E37B89" w:rsidRDefault="00A62CB7" w:rsidP="00A62CB7">
      <w:pPr>
        <w:spacing w:line="360" w:lineRule="auto"/>
        <w:ind w:left="360"/>
        <w:jc w:val="both"/>
        <w:rPr>
          <w:rFonts w:ascii="Arial" w:eastAsia="Times New Roman" w:hAnsi="Arial" w:cs="Arial"/>
        </w:rPr>
      </w:pPr>
    </w:p>
    <w:p w14:paraId="366DDDF1" w14:textId="77777777" w:rsidR="00A62CB7" w:rsidRPr="00670FE1" w:rsidRDefault="00A62CB7" w:rsidP="00A62CB7">
      <w:pPr>
        <w:pStyle w:val="ListParagraph"/>
        <w:numPr>
          <w:ilvl w:val="0"/>
          <w:numId w:val="4"/>
        </w:numPr>
        <w:spacing w:after="220" w:line="360" w:lineRule="auto"/>
        <w:jc w:val="both"/>
        <w:rPr>
          <w:rFonts w:ascii="Arial" w:hAnsi="Arial" w:cs="Arial"/>
          <w:b/>
          <w:color w:val="333333"/>
        </w:rPr>
      </w:pPr>
      <w:r w:rsidRPr="00670FE1">
        <w:rPr>
          <w:rFonts w:ascii="Arial" w:hAnsi="Arial" w:cs="Arial"/>
          <w:b/>
          <w:color w:val="333333"/>
        </w:rPr>
        <w:t>Downstream or dependent errors</w:t>
      </w:r>
    </w:p>
    <w:p w14:paraId="2FE83CF2" w14:textId="6B1E2B5F" w:rsidR="00A62CB7" w:rsidRPr="00305406" w:rsidRDefault="00A62CB7" w:rsidP="00A62CB7">
      <w:pPr>
        <w:spacing w:after="220" w:line="360" w:lineRule="auto"/>
        <w:ind w:left="360"/>
        <w:jc w:val="both"/>
        <w:rPr>
          <w:rFonts w:ascii="Arial" w:hAnsi="Arial" w:cs="Arial"/>
          <w:color w:val="333333"/>
        </w:rPr>
      </w:pPr>
      <w:r>
        <w:rPr>
          <w:rFonts w:ascii="Arial" w:hAnsi="Arial" w:cs="Arial"/>
          <w:color w:val="333333"/>
        </w:rPr>
        <w:t xml:space="preserve">Root cause analysis (RCA) is a technique used to attempt to establish how and why an incident occurred </w:t>
      </w:r>
      <w:r>
        <w:rPr>
          <w:rFonts w:ascii="Arial" w:hAnsi="Arial" w:cs="Arial"/>
          <w:color w:val="333333"/>
        </w:rPr>
        <w:fldChar w:fldCharType="begin"/>
      </w:r>
      <w:r w:rsidR="002D26A1">
        <w:rPr>
          <w:rFonts w:ascii="Arial" w:hAnsi="Arial" w:cs="Arial"/>
          <w:color w:val="333333"/>
        </w:rPr>
        <w:instrText xml:space="preserve"> ADDIN EN.CITE &lt;EndNote&gt;&lt;Cite&gt;&lt;Author&gt;Affairs&lt;/Author&gt;&lt;Year&gt;2015&lt;/Year&gt;&lt;RecNum&gt;713&lt;/RecNum&gt;&lt;DisplayText&gt;[5]&lt;/DisplayText&gt;&lt;record&gt;&lt;rec-number&gt;713&lt;/rec-number&gt;&lt;foreign-keys&gt;&lt;key app="EN" db-id="fv02t0a0pv5027eat27v2ewn55ae0t9eapsx" timestamp="1526895425"&gt;713&lt;/key&gt;&lt;/foreign-keys&gt;&lt;ref-type name="Report"&gt;27&lt;/ref-type&gt;&lt;contributors&gt;&lt;authors&gt;&lt;author&gt;‘US Department of Veteran Affairs’&lt;/author&gt;&lt;/authors&gt;&lt;tertiary-authors&gt;&lt;author&gt;VA National Center for Patient Safety&lt;/author&gt;&lt;/tertiary-authors&gt;&lt;/contributors&gt;&lt;titles&gt;&lt;title&gt;Root cause analysis&lt;/title&gt;&lt;/titles&gt;&lt;dates&gt;&lt;year&gt;2015&lt;/year&gt;&lt;/dates&gt;&lt;urls&gt;&lt;related-urls&gt;&lt;url&gt;http://www.patientsafety.va.gov/professionals/onthejob/rca.asp&lt;/url&gt;&lt;/related-urls&gt;&lt;/urls&gt;&lt;access-date&gt;21/05/2018&lt;/access-date&gt;&lt;/record&gt;&lt;/Cite&gt;&lt;/EndNote&gt;</w:instrText>
      </w:r>
      <w:r>
        <w:rPr>
          <w:rFonts w:ascii="Arial" w:hAnsi="Arial" w:cs="Arial"/>
          <w:color w:val="333333"/>
        </w:rPr>
        <w:fldChar w:fldCharType="separate"/>
      </w:r>
      <w:r w:rsidR="002D26A1">
        <w:rPr>
          <w:rFonts w:ascii="Arial" w:hAnsi="Arial" w:cs="Arial"/>
          <w:noProof/>
          <w:color w:val="333333"/>
        </w:rPr>
        <w:t>[5]</w:t>
      </w:r>
      <w:r>
        <w:rPr>
          <w:rFonts w:ascii="Arial" w:hAnsi="Arial" w:cs="Arial"/>
          <w:color w:val="333333"/>
        </w:rPr>
        <w:fldChar w:fldCharType="end"/>
      </w:r>
      <w:r>
        <w:rPr>
          <w:rFonts w:ascii="Arial" w:hAnsi="Arial" w:cs="Arial"/>
          <w:color w:val="333333"/>
        </w:rPr>
        <w:t xml:space="preserve">. While this study was not a typical RCA, to capture only ‘root-cause’ system vulnerabilities, steps where an action was performed correctly, but which perpetuated a previous error were not classed as erroneous. For example, a drug may be prescribed incorrectly, but then drawn up correctly with respect to the prescription. In this case, a prescription error would be recorded, while the drawing up step would not be classed as erroneous. Other errors which are independent of the prescription error, for example failure to double check the medication, were coded as </w:t>
      </w:r>
      <w:r w:rsidR="0006103E">
        <w:rPr>
          <w:rFonts w:ascii="Arial" w:hAnsi="Arial" w:cs="Arial"/>
          <w:color w:val="333333"/>
        </w:rPr>
        <w:t>discrepancies</w:t>
      </w:r>
      <w:r>
        <w:rPr>
          <w:rFonts w:ascii="Arial" w:hAnsi="Arial" w:cs="Arial"/>
          <w:color w:val="333333"/>
        </w:rPr>
        <w:t xml:space="preserve"> if present. </w:t>
      </w:r>
    </w:p>
    <w:p w14:paraId="7B76D3F2" w14:textId="377916F3" w:rsidR="00A62CB7" w:rsidRPr="00340134" w:rsidRDefault="00A62CB7" w:rsidP="00A62CB7">
      <w:pPr>
        <w:pStyle w:val="ListParagraph"/>
        <w:numPr>
          <w:ilvl w:val="0"/>
          <w:numId w:val="4"/>
        </w:numPr>
        <w:spacing w:after="220" w:line="360" w:lineRule="auto"/>
        <w:jc w:val="both"/>
        <w:rPr>
          <w:rFonts w:ascii="Arial" w:hAnsi="Arial" w:cs="Arial"/>
          <w:b/>
          <w:color w:val="333333"/>
        </w:rPr>
      </w:pPr>
      <w:r w:rsidRPr="00340134">
        <w:rPr>
          <w:rFonts w:ascii="Arial" w:hAnsi="Arial" w:cs="Arial"/>
          <w:b/>
          <w:color w:val="333333"/>
        </w:rPr>
        <w:t>Significance assessment</w:t>
      </w:r>
      <w:r w:rsidR="004E3819">
        <w:rPr>
          <w:rFonts w:ascii="Arial" w:hAnsi="Arial" w:cs="Arial"/>
          <w:b/>
          <w:color w:val="333333"/>
        </w:rPr>
        <w:t xml:space="preserve"> for individual step discrepancies</w:t>
      </w:r>
    </w:p>
    <w:p w14:paraId="18ADE86C" w14:textId="2A8D1CFE" w:rsidR="00A62CB7" w:rsidRDefault="00A62CB7" w:rsidP="00A62CB7">
      <w:pPr>
        <w:spacing w:after="220" w:line="360" w:lineRule="auto"/>
        <w:ind w:left="360"/>
        <w:jc w:val="both"/>
        <w:rPr>
          <w:rFonts w:ascii="Arial" w:hAnsi="Arial" w:cs="Arial"/>
          <w:color w:val="333333"/>
        </w:rPr>
      </w:pPr>
      <w:r w:rsidRPr="00340134">
        <w:rPr>
          <w:rFonts w:ascii="Arial" w:hAnsi="Arial" w:cs="Arial"/>
          <w:color w:val="333333"/>
        </w:rPr>
        <w:t>Medication preparation and administration is regularly subject to many minor sub-</w:t>
      </w:r>
      <w:r w:rsidR="004E3819">
        <w:rPr>
          <w:rFonts w:ascii="Arial" w:hAnsi="Arial" w:cs="Arial"/>
          <w:color w:val="333333"/>
        </w:rPr>
        <w:t>step discrepancies</w:t>
      </w:r>
      <w:r w:rsidRPr="00340134">
        <w:rPr>
          <w:rFonts w:ascii="Arial" w:hAnsi="Arial" w:cs="Arial"/>
          <w:color w:val="333333"/>
        </w:rPr>
        <w:t xml:space="preserve"> which may not individually, or even in combination, result in clinically significant error reaching the patient. In order to understand those </w:t>
      </w:r>
      <w:r>
        <w:rPr>
          <w:rFonts w:ascii="Arial" w:hAnsi="Arial" w:cs="Arial"/>
          <w:color w:val="333333"/>
        </w:rPr>
        <w:t>sub-</w:t>
      </w:r>
      <w:r w:rsidRPr="00340134">
        <w:rPr>
          <w:rFonts w:ascii="Arial" w:hAnsi="Arial" w:cs="Arial"/>
          <w:color w:val="333333"/>
        </w:rPr>
        <w:t>task errors which contributed to errors</w:t>
      </w:r>
      <w:r>
        <w:rPr>
          <w:rFonts w:ascii="Arial" w:hAnsi="Arial" w:cs="Arial"/>
          <w:color w:val="333333"/>
        </w:rPr>
        <w:t xml:space="preserve"> overall</w:t>
      </w:r>
      <w:r w:rsidRPr="00340134">
        <w:rPr>
          <w:rFonts w:ascii="Arial" w:hAnsi="Arial" w:cs="Arial"/>
          <w:color w:val="333333"/>
        </w:rPr>
        <w:t>, significance scores</w:t>
      </w:r>
      <w:r>
        <w:rPr>
          <w:rFonts w:ascii="Arial" w:hAnsi="Arial" w:cs="Arial"/>
          <w:color w:val="333333"/>
        </w:rPr>
        <w:t xml:space="preserve"> were attributed</w:t>
      </w:r>
      <w:r w:rsidRPr="00340134">
        <w:rPr>
          <w:rFonts w:ascii="Arial" w:hAnsi="Arial" w:cs="Arial"/>
          <w:color w:val="333333"/>
        </w:rPr>
        <w:t xml:space="preserve"> </w:t>
      </w:r>
      <w:r>
        <w:rPr>
          <w:rFonts w:ascii="Arial" w:hAnsi="Arial" w:cs="Arial"/>
          <w:color w:val="333333"/>
        </w:rPr>
        <w:t>to each coded sub-step error as follows:</w:t>
      </w:r>
    </w:p>
    <w:p w14:paraId="78F8AE73" w14:textId="77777777" w:rsidR="008702B6" w:rsidRDefault="008702B6" w:rsidP="008702B6">
      <w:pPr>
        <w:pStyle w:val="ListParagraph"/>
        <w:numPr>
          <w:ilvl w:val="0"/>
          <w:numId w:val="5"/>
        </w:numPr>
        <w:spacing w:after="240" w:line="360" w:lineRule="auto"/>
        <w:ind w:left="1800"/>
        <w:jc w:val="both"/>
        <w:rPr>
          <w:rFonts w:ascii="Arial" w:eastAsia="Times New Roman" w:hAnsi="Arial" w:cs="Arial"/>
        </w:rPr>
      </w:pPr>
      <w:r w:rsidRPr="005D0049">
        <w:rPr>
          <w:rFonts w:ascii="Arial" w:eastAsia="Times New Roman" w:hAnsi="Arial" w:cs="Arial"/>
          <w:b/>
        </w:rPr>
        <w:t xml:space="preserve">No </w:t>
      </w:r>
      <w:r>
        <w:rPr>
          <w:rFonts w:ascii="Arial" w:eastAsia="Times New Roman" w:hAnsi="Arial" w:cs="Arial"/>
          <w:b/>
        </w:rPr>
        <w:t>contribution</w:t>
      </w:r>
      <w:r w:rsidRPr="005D0049">
        <w:rPr>
          <w:rFonts w:ascii="Arial" w:eastAsia="Times New Roman" w:hAnsi="Arial" w:cs="Arial"/>
        </w:rPr>
        <w:t xml:space="preserve">: discrepancy made no contribution to overall error </w:t>
      </w:r>
    </w:p>
    <w:p w14:paraId="7749646A" w14:textId="77777777" w:rsidR="008702B6" w:rsidRPr="005D0049" w:rsidRDefault="008702B6" w:rsidP="008702B6">
      <w:pPr>
        <w:pStyle w:val="ListParagraph"/>
        <w:numPr>
          <w:ilvl w:val="0"/>
          <w:numId w:val="7"/>
        </w:numPr>
        <w:spacing w:after="220" w:line="360" w:lineRule="auto"/>
        <w:ind w:left="1800"/>
        <w:jc w:val="both"/>
        <w:rPr>
          <w:rFonts w:ascii="Arial" w:eastAsia="Times New Roman" w:hAnsi="Arial" w:cs="Arial"/>
        </w:rPr>
      </w:pPr>
      <w:r w:rsidRPr="005D0049">
        <w:rPr>
          <w:rFonts w:ascii="Arial" w:eastAsia="Times New Roman" w:hAnsi="Arial" w:cs="Arial"/>
          <w:b/>
        </w:rPr>
        <w:t xml:space="preserve">Minor </w:t>
      </w:r>
      <w:r>
        <w:rPr>
          <w:rFonts w:ascii="Arial" w:eastAsia="Times New Roman" w:hAnsi="Arial" w:cs="Arial"/>
          <w:b/>
        </w:rPr>
        <w:t>contribution</w:t>
      </w:r>
      <w:r w:rsidRPr="005D0049">
        <w:rPr>
          <w:rFonts w:ascii="Arial" w:eastAsia="Times New Roman" w:hAnsi="Arial" w:cs="Arial"/>
        </w:rPr>
        <w:t>: some contribution to overall error</w:t>
      </w:r>
      <w:r>
        <w:rPr>
          <w:rFonts w:ascii="Arial" w:eastAsia="Times New Roman" w:hAnsi="Arial" w:cs="Arial"/>
        </w:rPr>
        <w:t xml:space="preserve">. A 5% threshold (for DRDR, </w:t>
      </w:r>
      <w:proofErr w:type="spellStart"/>
      <w:r>
        <w:rPr>
          <w:rFonts w:ascii="Arial" w:eastAsia="Times New Roman" w:hAnsi="Arial" w:cs="Arial"/>
        </w:rPr>
        <w:t>DRDRate</w:t>
      </w:r>
      <w:proofErr w:type="spellEnd"/>
      <w:r>
        <w:rPr>
          <w:rFonts w:ascii="Arial" w:eastAsia="Times New Roman" w:hAnsi="Arial" w:cs="Arial"/>
        </w:rPr>
        <w:t>, DRC) was used to detect task discrepancies contributing in combination to significant errors.</w:t>
      </w:r>
    </w:p>
    <w:p w14:paraId="559E336A" w14:textId="77777777" w:rsidR="008702B6" w:rsidRPr="003775E7" w:rsidRDefault="008702B6" w:rsidP="008702B6">
      <w:pPr>
        <w:pStyle w:val="ListParagraph"/>
        <w:numPr>
          <w:ilvl w:val="0"/>
          <w:numId w:val="5"/>
        </w:numPr>
        <w:spacing w:after="240" w:line="360" w:lineRule="auto"/>
        <w:ind w:left="1800"/>
        <w:jc w:val="both"/>
        <w:rPr>
          <w:rFonts w:ascii="Arial" w:eastAsia="Times New Roman" w:hAnsi="Arial" w:cs="Arial"/>
        </w:rPr>
      </w:pPr>
      <w:r w:rsidRPr="00D90DB1">
        <w:rPr>
          <w:rFonts w:ascii="Arial" w:eastAsia="Times New Roman" w:hAnsi="Arial" w:cs="Arial"/>
          <w:b/>
        </w:rPr>
        <w:t xml:space="preserve">Major </w:t>
      </w:r>
      <w:r>
        <w:rPr>
          <w:rFonts w:ascii="Arial" w:eastAsia="Times New Roman" w:hAnsi="Arial" w:cs="Arial"/>
          <w:b/>
        </w:rPr>
        <w:t>contribution</w:t>
      </w:r>
      <w:r w:rsidRPr="00D90DB1">
        <w:rPr>
          <w:rFonts w:ascii="Arial" w:eastAsia="Times New Roman" w:hAnsi="Arial" w:cs="Arial"/>
        </w:rPr>
        <w:t>: a principal</w:t>
      </w:r>
      <w:r>
        <w:rPr>
          <w:rFonts w:ascii="Arial" w:eastAsia="Times New Roman" w:hAnsi="Arial" w:cs="Arial"/>
        </w:rPr>
        <w:t>ly</w:t>
      </w:r>
      <w:r w:rsidRPr="00D90DB1">
        <w:rPr>
          <w:rFonts w:ascii="Arial" w:eastAsia="Times New Roman" w:hAnsi="Arial" w:cs="Arial"/>
        </w:rPr>
        <w:t xml:space="preserve"> contributory sub-task </w:t>
      </w:r>
      <w:r>
        <w:rPr>
          <w:rFonts w:ascii="Arial" w:eastAsia="Times New Roman" w:hAnsi="Arial" w:cs="Arial"/>
        </w:rPr>
        <w:t>discrepancy</w:t>
      </w:r>
      <w:r w:rsidRPr="00D90DB1">
        <w:rPr>
          <w:rFonts w:ascii="Arial" w:eastAsia="Times New Roman" w:hAnsi="Arial" w:cs="Arial"/>
        </w:rPr>
        <w:t xml:space="preserve"> that led directly to the medication error</w:t>
      </w:r>
    </w:p>
    <w:p w14:paraId="4BD1EC9A" w14:textId="77777777" w:rsidR="00ED5381" w:rsidRDefault="00ED5381" w:rsidP="006F36CD">
      <w:pPr>
        <w:jc w:val="both"/>
        <w:rPr>
          <w:rFonts w:ascii="Arial" w:hAnsi="Arial" w:cs="Arial"/>
        </w:rPr>
      </w:pPr>
    </w:p>
    <w:p w14:paraId="4F6EA42A" w14:textId="77777777" w:rsidR="00ED5381" w:rsidRDefault="00ED5381" w:rsidP="006F36CD">
      <w:pPr>
        <w:jc w:val="both"/>
        <w:rPr>
          <w:rFonts w:ascii="Arial" w:hAnsi="Arial" w:cs="Arial"/>
        </w:rPr>
      </w:pPr>
    </w:p>
    <w:p w14:paraId="49248C74" w14:textId="5095B995" w:rsidR="008702B6" w:rsidRPr="001209E5" w:rsidRDefault="001F1558" w:rsidP="006F36CD">
      <w:pPr>
        <w:jc w:val="both"/>
        <w:rPr>
          <w:rFonts w:ascii="Arial" w:hAnsi="Arial" w:cs="Arial"/>
          <w:b/>
        </w:rPr>
      </w:pPr>
      <w:r w:rsidRPr="001209E5">
        <w:rPr>
          <w:rFonts w:ascii="Arial" w:hAnsi="Arial" w:cs="Arial"/>
          <w:b/>
        </w:rPr>
        <w:t>References</w:t>
      </w:r>
    </w:p>
    <w:p w14:paraId="3FCDADEA" w14:textId="77777777" w:rsidR="001F1558" w:rsidRPr="00A92181" w:rsidRDefault="001F1558" w:rsidP="006F36CD">
      <w:pPr>
        <w:jc w:val="both"/>
        <w:rPr>
          <w:rFonts w:ascii="Arial" w:hAnsi="Arial" w:cs="Arial"/>
        </w:rPr>
      </w:pPr>
    </w:p>
    <w:p w14:paraId="6074FDDF" w14:textId="77777777" w:rsidR="002D26A1" w:rsidRPr="00A92181" w:rsidRDefault="001F1558" w:rsidP="002D26A1">
      <w:pPr>
        <w:pStyle w:val="EndNoteBibliography"/>
        <w:ind w:left="720" w:hanging="720"/>
        <w:rPr>
          <w:rFonts w:ascii="Arial" w:hAnsi="Arial" w:cs="Arial"/>
          <w:noProof/>
        </w:rPr>
      </w:pPr>
      <w:r w:rsidRPr="00A92181">
        <w:rPr>
          <w:rFonts w:ascii="Arial" w:hAnsi="Arial" w:cs="Arial"/>
        </w:rPr>
        <w:fldChar w:fldCharType="begin"/>
      </w:r>
      <w:r w:rsidRPr="00A92181">
        <w:rPr>
          <w:rFonts w:ascii="Arial" w:hAnsi="Arial" w:cs="Arial"/>
        </w:rPr>
        <w:instrText xml:space="preserve"> ADDIN EN.REFLIST </w:instrText>
      </w:r>
      <w:r w:rsidRPr="00A92181">
        <w:rPr>
          <w:rFonts w:ascii="Arial" w:hAnsi="Arial" w:cs="Arial"/>
        </w:rPr>
        <w:fldChar w:fldCharType="separate"/>
      </w:r>
      <w:r w:rsidR="002D26A1" w:rsidRPr="00A92181">
        <w:rPr>
          <w:rFonts w:ascii="Arial" w:hAnsi="Arial" w:cs="Arial"/>
          <w:noProof/>
        </w:rPr>
        <w:t>1.</w:t>
      </w:r>
      <w:r w:rsidR="002D26A1" w:rsidRPr="00A92181">
        <w:rPr>
          <w:rFonts w:ascii="Arial" w:hAnsi="Arial" w:cs="Arial"/>
          <w:noProof/>
        </w:rPr>
        <w:tab/>
        <w:t xml:space="preserve">Garfield, S., et al., </w:t>
      </w:r>
      <w:r w:rsidR="002D26A1" w:rsidRPr="00A92181">
        <w:rPr>
          <w:rFonts w:ascii="Arial" w:hAnsi="Arial" w:cs="Arial"/>
          <w:i/>
          <w:noProof/>
        </w:rPr>
        <w:t>Measuring the severity of prescribing errors: a systematic review.</w:t>
      </w:r>
      <w:r w:rsidR="002D26A1" w:rsidRPr="00A92181">
        <w:rPr>
          <w:rFonts w:ascii="Arial" w:hAnsi="Arial" w:cs="Arial"/>
          <w:noProof/>
        </w:rPr>
        <w:t xml:space="preserve"> Drug Saf, 2013. </w:t>
      </w:r>
      <w:r w:rsidR="002D26A1" w:rsidRPr="00A92181">
        <w:rPr>
          <w:rFonts w:ascii="Arial" w:hAnsi="Arial" w:cs="Arial"/>
          <w:b/>
          <w:noProof/>
        </w:rPr>
        <w:t>36</w:t>
      </w:r>
      <w:r w:rsidR="002D26A1" w:rsidRPr="00A92181">
        <w:rPr>
          <w:rFonts w:ascii="Arial" w:hAnsi="Arial" w:cs="Arial"/>
          <w:noProof/>
        </w:rPr>
        <w:t>(12): p. 1151-7.</w:t>
      </w:r>
    </w:p>
    <w:p w14:paraId="3B575C15" w14:textId="77777777" w:rsidR="002D26A1" w:rsidRPr="00A92181" w:rsidRDefault="002D26A1" w:rsidP="002D26A1">
      <w:pPr>
        <w:pStyle w:val="EndNoteBibliography"/>
        <w:ind w:left="720" w:hanging="720"/>
        <w:rPr>
          <w:rFonts w:ascii="Arial" w:hAnsi="Arial" w:cs="Arial"/>
          <w:noProof/>
        </w:rPr>
      </w:pPr>
      <w:r w:rsidRPr="00A92181">
        <w:rPr>
          <w:rFonts w:ascii="Arial" w:hAnsi="Arial" w:cs="Arial"/>
          <w:noProof/>
        </w:rPr>
        <w:t>2.</w:t>
      </w:r>
      <w:r w:rsidRPr="00A92181">
        <w:rPr>
          <w:rFonts w:ascii="Arial" w:hAnsi="Arial" w:cs="Arial"/>
          <w:noProof/>
        </w:rPr>
        <w:tab/>
        <w:t xml:space="preserve">Dean, B.S. and N.D. Barber, </w:t>
      </w:r>
      <w:r w:rsidRPr="00A92181">
        <w:rPr>
          <w:rFonts w:ascii="Arial" w:hAnsi="Arial" w:cs="Arial"/>
          <w:i/>
          <w:noProof/>
        </w:rPr>
        <w:t>A validated, reliable method of scoring the severity of medication errors.</w:t>
      </w:r>
      <w:r w:rsidRPr="00A92181">
        <w:rPr>
          <w:rFonts w:ascii="Arial" w:hAnsi="Arial" w:cs="Arial"/>
          <w:noProof/>
        </w:rPr>
        <w:t xml:space="preserve"> Am J Health Syst Pharm, 1999. </w:t>
      </w:r>
      <w:r w:rsidRPr="00A92181">
        <w:rPr>
          <w:rFonts w:ascii="Arial" w:hAnsi="Arial" w:cs="Arial"/>
          <w:b/>
          <w:noProof/>
        </w:rPr>
        <w:t>56</w:t>
      </w:r>
      <w:r w:rsidRPr="00A92181">
        <w:rPr>
          <w:rFonts w:ascii="Arial" w:hAnsi="Arial" w:cs="Arial"/>
          <w:noProof/>
        </w:rPr>
        <w:t>(1): p. 57-62.</w:t>
      </w:r>
    </w:p>
    <w:p w14:paraId="068B9777" w14:textId="77777777" w:rsidR="002D26A1" w:rsidRPr="00A92181" w:rsidRDefault="002D26A1" w:rsidP="002D26A1">
      <w:pPr>
        <w:pStyle w:val="EndNoteBibliography"/>
        <w:ind w:left="720" w:hanging="720"/>
        <w:rPr>
          <w:rFonts w:ascii="Arial" w:hAnsi="Arial" w:cs="Arial"/>
          <w:noProof/>
        </w:rPr>
      </w:pPr>
      <w:r w:rsidRPr="00A92181">
        <w:rPr>
          <w:rFonts w:ascii="Arial" w:hAnsi="Arial" w:cs="Arial"/>
          <w:noProof/>
        </w:rPr>
        <w:t>3.</w:t>
      </w:r>
      <w:r w:rsidRPr="00A92181">
        <w:rPr>
          <w:rFonts w:ascii="Arial" w:hAnsi="Arial" w:cs="Arial"/>
          <w:noProof/>
        </w:rPr>
        <w:tab/>
        <w:t xml:space="preserve">Lane, R., N.A. Stanton, and D. Harrison, </w:t>
      </w:r>
      <w:r w:rsidRPr="00A92181">
        <w:rPr>
          <w:rFonts w:ascii="Arial" w:hAnsi="Arial" w:cs="Arial"/>
          <w:i/>
          <w:noProof/>
        </w:rPr>
        <w:t>Applying hierarchical task analysis to medication administration errors.</w:t>
      </w:r>
      <w:r w:rsidRPr="00A92181">
        <w:rPr>
          <w:rFonts w:ascii="Arial" w:hAnsi="Arial" w:cs="Arial"/>
          <w:noProof/>
        </w:rPr>
        <w:t xml:space="preserve"> Applied ergonomics, 2006. </w:t>
      </w:r>
      <w:r w:rsidRPr="00A92181">
        <w:rPr>
          <w:rFonts w:ascii="Arial" w:hAnsi="Arial" w:cs="Arial"/>
          <w:b/>
          <w:noProof/>
        </w:rPr>
        <w:t>37</w:t>
      </w:r>
      <w:r w:rsidRPr="00A92181">
        <w:rPr>
          <w:rFonts w:ascii="Arial" w:hAnsi="Arial" w:cs="Arial"/>
          <w:noProof/>
        </w:rPr>
        <w:t>(5): p. 669-79.</w:t>
      </w:r>
    </w:p>
    <w:p w14:paraId="0CC4566D" w14:textId="77777777" w:rsidR="002D26A1" w:rsidRPr="00A92181" w:rsidRDefault="002D26A1" w:rsidP="002D26A1">
      <w:pPr>
        <w:pStyle w:val="EndNoteBibliography"/>
        <w:ind w:left="720" w:hanging="720"/>
        <w:rPr>
          <w:rFonts w:ascii="Arial" w:hAnsi="Arial" w:cs="Arial"/>
          <w:noProof/>
        </w:rPr>
      </w:pPr>
      <w:r w:rsidRPr="00A92181">
        <w:rPr>
          <w:rFonts w:ascii="Arial" w:hAnsi="Arial" w:cs="Arial"/>
          <w:noProof/>
        </w:rPr>
        <w:t>4.</w:t>
      </w:r>
      <w:r w:rsidRPr="00A92181">
        <w:rPr>
          <w:rFonts w:ascii="Arial" w:hAnsi="Arial" w:cs="Arial"/>
          <w:noProof/>
        </w:rPr>
        <w:tab/>
        <w:t xml:space="preserve">Embrey, D. </w:t>
      </w:r>
      <w:r w:rsidRPr="00A92181">
        <w:rPr>
          <w:rFonts w:ascii="Arial" w:hAnsi="Arial" w:cs="Arial"/>
          <w:i/>
          <w:noProof/>
        </w:rPr>
        <w:t>SHERPA: A systematic human error reduction and prediction approach</w:t>
      </w:r>
      <w:r w:rsidRPr="00A92181">
        <w:rPr>
          <w:rFonts w:ascii="Arial" w:hAnsi="Arial" w:cs="Arial"/>
          <w:noProof/>
        </w:rPr>
        <w:t xml:space="preserve">. in </w:t>
      </w:r>
      <w:r w:rsidRPr="00A92181">
        <w:rPr>
          <w:rFonts w:ascii="Arial" w:hAnsi="Arial" w:cs="Arial"/>
          <w:i/>
          <w:noProof/>
        </w:rPr>
        <w:t>International Topical Meeting Advances in Human Factors in Nuclear Power Systems</w:t>
      </w:r>
      <w:r w:rsidRPr="00A92181">
        <w:rPr>
          <w:rFonts w:ascii="Arial" w:hAnsi="Arial" w:cs="Arial"/>
          <w:noProof/>
        </w:rPr>
        <w:t>. 1986. American Nuclear Society, La Grange Park, Knoxville Tennessee, IL.</w:t>
      </w:r>
    </w:p>
    <w:p w14:paraId="05A3A38D" w14:textId="4BE3F999" w:rsidR="00A92181" w:rsidRPr="00A92181" w:rsidRDefault="002D26A1" w:rsidP="00A92181">
      <w:pPr>
        <w:pStyle w:val="EndNoteBibliography"/>
        <w:ind w:left="720" w:hanging="720"/>
        <w:rPr>
          <w:rFonts w:ascii="Arial" w:hAnsi="Arial" w:cs="Arial"/>
          <w:noProof/>
        </w:rPr>
      </w:pPr>
      <w:r w:rsidRPr="00A92181">
        <w:rPr>
          <w:rFonts w:ascii="Arial" w:hAnsi="Arial" w:cs="Arial"/>
          <w:noProof/>
        </w:rPr>
        <w:t>5.</w:t>
      </w:r>
      <w:r w:rsidRPr="00A92181">
        <w:rPr>
          <w:rFonts w:ascii="Arial" w:hAnsi="Arial" w:cs="Arial"/>
          <w:noProof/>
        </w:rPr>
        <w:tab/>
      </w:r>
      <w:r w:rsidR="00A92181" w:rsidRPr="00A92181">
        <w:rPr>
          <w:rFonts w:ascii="Arial" w:hAnsi="Arial" w:cs="Arial"/>
          <w:noProof/>
        </w:rPr>
        <w:t>United States Department of Veteran Affairs</w:t>
      </w:r>
      <w:r w:rsidRPr="00A92181">
        <w:rPr>
          <w:rFonts w:ascii="Arial" w:hAnsi="Arial" w:cs="Arial"/>
          <w:noProof/>
        </w:rPr>
        <w:t xml:space="preserve">., </w:t>
      </w:r>
      <w:r w:rsidRPr="00A92181">
        <w:rPr>
          <w:rFonts w:ascii="Arial" w:hAnsi="Arial" w:cs="Arial"/>
          <w:i/>
          <w:noProof/>
        </w:rPr>
        <w:t>Root cause analysis</w:t>
      </w:r>
      <w:r w:rsidRPr="00A92181">
        <w:rPr>
          <w:rFonts w:ascii="Arial" w:hAnsi="Arial" w:cs="Arial"/>
          <w:noProof/>
        </w:rPr>
        <w:t xml:space="preserve">. </w:t>
      </w:r>
      <w:r w:rsidR="00A92181" w:rsidRPr="00A92181">
        <w:rPr>
          <w:rFonts w:ascii="Arial" w:hAnsi="Arial" w:cs="Arial"/>
          <w:noProof/>
        </w:rPr>
        <w:t xml:space="preserve">VA National Center for Patient Safey, </w:t>
      </w:r>
      <w:r w:rsidRPr="00A92181">
        <w:rPr>
          <w:rFonts w:ascii="Arial" w:hAnsi="Arial" w:cs="Arial"/>
          <w:noProof/>
        </w:rPr>
        <w:t>2015.</w:t>
      </w:r>
      <w:r w:rsidR="00A92181" w:rsidRPr="00A92181">
        <w:rPr>
          <w:rFonts w:ascii="Arial" w:hAnsi="Arial" w:cs="Arial"/>
          <w:noProof/>
        </w:rPr>
        <w:t xml:space="preserve"> http://www.patientsafety.va.gov/professionals/onthejob/rca.asp</w:t>
      </w:r>
    </w:p>
    <w:p w14:paraId="0ABF8748" w14:textId="4C2037BE" w:rsidR="00791617" w:rsidRPr="0097052C" w:rsidRDefault="001F1558" w:rsidP="00A51478">
      <w:pPr>
        <w:jc w:val="both"/>
        <w:rPr>
          <w:rFonts w:ascii="Arial" w:hAnsi="Arial" w:cs="Arial"/>
        </w:rPr>
      </w:pPr>
      <w:r w:rsidRPr="00A92181">
        <w:rPr>
          <w:rFonts w:ascii="Arial" w:hAnsi="Arial" w:cs="Arial"/>
        </w:rPr>
        <w:fldChar w:fldCharType="end"/>
      </w:r>
      <w:bookmarkStart w:id="0" w:name="_GoBack"/>
      <w:bookmarkEnd w:id="0"/>
    </w:p>
    <w:sectPr w:rsidR="00791617" w:rsidRPr="0097052C" w:rsidSect="0022385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543BE"/>
    <w:multiLevelType w:val="hybridMultilevel"/>
    <w:tmpl w:val="EDA679E8"/>
    <w:lvl w:ilvl="0" w:tplc="3E9EBCA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886738"/>
    <w:multiLevelType w:val="hybridMultilevel"/>
    <w:tmpl w:val="E7AC5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F540D2"/>
    <w:multiLevelType w:val="hybridMultilevel"/>
    <w:tmpl w:val="E5B013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2584CED"/>
    <w:multiLevelType w:val="hybridMultilevel"/>
    <w:tmpl w:val="E7AC5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5F3669"/>
    <w:multiLevelType w:val="hybridMultilevel"/>
    <w:tmpl w:val="E9AAB432"/>
    <w:lvl w:ilvl="0" w:tplc="4A2CC840">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716D24"/>
    <w:multiLevelType w:val="hybridMultilevel"/>
    <w:tmpl w:val="E674700E"/>
    <w:lvl w:ilvl="0" w:tplc="C652D4CA">
      <w:start w:val="4"/>
      <w:numFmt w:val="bullet"/>
      <w:lvlText w:val=""/>
      <w:lvlJc w:val="left"/>
      <w:pPr>
        <w:ind w:left="720" w:hanging="360"/>
      </w:pPr>
      <w:rPr>
        <w:rFonts w:ascii="Symbol" w:eastAsiaTheme="minorHAnsi" w:hAnsi="Symbo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7A60EE"/>
    <w:multiLevelType w:val="hybridMultilevel"/>
    <w:tmpl w:val="A5506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8D6762A"/>
    <w:multiLevelType w:val="hybridMultilevel"/>
    <w:tmpl w:val="72780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43074C3"/>
    <w:multiLevelType w:val="hybridMultilevel"/>
    <w:tmpl w:val="9FE45F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7062BE2"/>
    <w:multiLevelType w:val="hybridMultilevel"/>
    <w:tmpl w:val="58344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7F2EC6"/>
    <w:multiLevelType w:val="hybridMultilevel"/>
    <w:tmpl w:val="24DC9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7"/>
  </w:num>
  <w:num w:numId="5">
    <w:abstractNumId w:val="2"/>
  </w:num>
  <w:num w:numId="6">
    <w:abstractNumId w:val="6"/>
  </w:num>
  <w:num w:numId="7">
    <w:abstractNumId w:val="8"/>
  </w:num>
  <w:num w:numId="8">
    <w:abstractNumId w:val="0"/>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v02t0a0pv5027eat27v2ewn55ae0t9eapsx&quot;&gt;My EndNote Library&lt;record-ids&gt;&lt;item&gt;679&lt;/item&gt;&lt;item&gt;682&lt;/item&gt;&lt;item&gt;689&lt;/item&gt;&lt;item&gt;692&lt;/item&gt;&lt;item&gt;713&lt;/item&gt;&lt;/record-ids&gt;&lt;/item&gt;&lt;/Libraries&gt;"/>
  </w:docVars>
  <w:rsids>
    <w:rsidRoot w:val="003F53A3"/>
    <w:rsid w:val="000100ED"/>
    <w:rsid w:val="00012CAB"/>
    <w:rsid w:val="0001530F"/>
    <w:rsid w:val="00015B5C"/>
    <w:rsid w:val="000178DE"/>
    <w:rsid w:val="00021084"/>
    <w:rsid w:val="00032D6F"/>
    <w:rsid w:val="00047ABD"/>
    <w:rsid w:val="0006103E"/>
    <w:rsid w:val="0008149C"/>
    <w:rsid w:val="000827CC"/>
    <w:rsid w:val="0008379F"/>
    <w:rsid w:val="000A1399"/>
    <w:rsid w:val="000A3EBB"/>
    <w:rsid w:val="000C0109"/>
    <w:rsid w:val="000E23FA"/>
    <w:rsid w:val="000E4874"/>
    <w:rsid w:val="000F7407"/>
    <w:rsid w:val="0010030A"/>
    <w:rsid w:val="001033A4"/>
    <w:rsid w:val="001036F2"/>
    <w:rsid w:val="00117FD5"/>
    <w:rsid w:val="001209E5"/>
    <w:rsid w:val="0014089A"/>
    <w:rsid w:val="0016496F"/>
    <w:rsid w:val="00171514"/>
    <w:rsid w:val="00185AE9"/>
    <w:rsid w:val="00192820"/>
    <w:rsid w:val="001A259E"/>
    <w:rsid w:val="001A2881"/>
    <w:rsid w:val="001C2A4A"/>
    <w:rsid w:val="001E7E86"/>
    <w:rsid w:val="001F1558"/>
    <w:rsid w:val="001F5FF1"/>
    <w:rsid w:val="00206D0B"/>
    <w:rsid w:val="00211AFD"/>
    <w:rsid w:val="00223853"/>
    <w:rsid w:val="00224111"/>
    <w:rsid w:val="0023200C"/>
    <w:rsid w:val="00235C93"/>
    <w:rsid w:val="0023601A"/>
    <w:rsid w:val="0024663E"/>
    <w:rsid w:val="00247670"/>
    <w:rsid w:val="00254B32"/>
    <w:rsid w:val="00257A77"/>
    <w:rsid w:val="002642D4"/>
    <w:rsid w:val="002726F0"/>
    <w:rsid w:val="00276678"/>
    <w:rsid w:val="00284E67"/>
    <w:rsid w:val="002A6198"/>
    <w:rsid w:val="002D26A1"/>
    <w:rsid w:val="002D628B"/>
    <w:rsid w:val="002E1B01"/>
    <w:rsid w:val="002F3955"/>
    <w:rsid w:val="00310A59"/>
    <w:rsid w:val="00314396"/>
    <w:rsid w:val="003368D3"/>
    <w:rsid w:val="0033720C"/>
    <w:rsid w:val="00340A3C"/>
    <w:rsid w:val="00344943"/>
    <w:rsid w:val="00347F98"/>
    <w:rsid w:val="00363CB0"/>
    <w:rsid w:val="00364514"/>
    <w:rsid w:val="0037219E"/>
    <w:rsid w:val="00392310"/>
    <w:rsid w:val="003A2C1D"/>
    <w:rsid w:val="003D13F4"/>
    <w:rsid w:val="003D3469"/>
    <w:rsid w:val="003D6339"/>
    <w:rsid w:val="003E1E2C"/>
    <w:rsid w:val="003E79E7"/>
    <w:rsid w:val="003F53A3"/>
    <w:rsid w:val="003F7EC0"/>
    <w:rsid w:val="00410210"/>
    <w:rsid w:val="00412CA5"/>
    <w:rsid w:val="0042264C"/>
    <w:rsid w:val="00443CF4"/>
    <w:rsid w:val="00446F86"/>
    <w:rsid w:val="00447F32"/>
    <w:rsid w:val="004614C4"/>
    <w:rsid w:val="00462FA9"/>
    <w:rsid w:val="004708BF"/>
    <w:rsid w:val="004708F3"/>
    <w:rsid w:val="00473F2F"/>
    <w:rsid w:val="00477D7B"/>
    <w:rsid w:val="00483B66"/>
    <w:rsid w:val="00491491"/>
    <w:rsid w:val="004914A9"/>
    <w:rsid w:val="00494A58"/>
    <w:rsid w:val="004951F6"/>
    <w:rsid w:val="004A5FE1"/>
    <w:rsid w:val="004C02C1"/>
    <w:rsid w:val="004C2400"/>
    <w:rsid w:val="004E168B"/>
    <w:rsid w:val="004E3819"/>
    <w:rsid w:val="004F0FF4"/>
    <w:rsid w:val="004F441F"/>
    <w:rsid w:val="004F609C"/>
    <w:rsid w:val="00507C05"/>
    <w:rsid w:val="005215EA"/>
    <w:rsid w:val="005421C4"/>
    <w:rsid w:val="005435A1"/>
    <w:rsid w:val="00551EA8"/>
    <w:rsid w:val="00553FD3"/>
    <w:rsid w:val="00567451"/>
    <w:rsid w:val="00583D43"/>
    <w:rsid w:val="005A14EB"/>
    <w:rsid w:val="005A6518"/>
    <w:rsid w:val="005B01AC"/>
    <w:rsid w:val="005B6EF3"/>
    <w:rsid w:val="005C30B2"/>
    <w:rsid w:val="005C3D36"/>
    <w:rsid w:val="005E04DA"/>
    <w:rsid w:val="005E1509"/>
    <w:rsid w:val="005F2CCB"/>
    <w:rsid w:val="005F45DC"/>
    <w:rsid w:val="00602F7E"/>
    <w:rsid w:val="00622A23"/>
    <w:rsid w:val="00631665"/>
    <w:rsid w:val="00632A79"/>
    <w:rsid w:val="00633DD8"/>
    <w:rsid w:val="00644A44"/>
    <w:rsid w:val="00657B5A"/>
    <w:rsid w:val="00664EE1"/>
    <w:rsid w:val="00664F3E"/>
    <w:rsid w:val="00665903"/>
    <w:rsid w:val="00666BC2"/>
    <w:rsid w:val="00686160"/>
    <w:rsid w:val="00687C8B"/>
    <w:rsid w:val="006B7D99"/>
    <w:rsid w:val="006C099E"/>
    <w:rsid w:val="006D0726"/>
    <w:rsid w:val="006E246F"/>
    <w:rsid w:val="006E26A9"/>
    <w:rsid w:val="006F36CD"/>
    <w:rsid w:val="006F37E7"/>
    <w:rsid w:val="006F3E44"/>
    <w:rsid w:val="00701832"/>
    <w:rsid w:val="007115A1"/>
    <w:rsid w:val="007122AF"/>
    <w:rsid w:val="0071410E"/>
    <w:rsid w:val="00736E52"/>
    <w:rsid w:val="00766915"/>
    <w:rsid w:val="00766BA8"/>
    <w:rsid w:val="007701E2"/>
    <w:rsid w:val="00780F79"/>
    <w:rsid w:val="00791617"/>
    <w:rsid w:val="007937EE"/>
    <w:rsid w:val="007C4CF9"/>
    <w:rsid w:val="007D59AD"/>
    <w:rsid w:val="007F6F3A"/>
    <w:rsid w:val="00806DE7"/>
    <w:rsid w:val="0082185F"/>
    <w:rsid w:val="00845237"/>
    <w:rsid w:val="008702B6"/>
    <w:rsid w:val="00896BD8"/>
    <w:rsid w:val="008B2070"/>
    <w:rsid w:val="008B61B4"/>
    <w:rsid w:val="008D3543"/>
    <w:rsid w:val="008E059E"/>
    <w:rsid w:val="008E27D7"/>
    <w:rsid w:val="008E7174"/>
    <w:rsid w:val="008F1614"/>
    <w:rsid w:val="009154FE"/>
    <w:rsid w:val="00920E69"/>
    <w:rsid w:val="00922302"/>
    <w:rsid w:val="0093791B"/>
    <w:rsid w:val="00953EB3"/>
    <w:rsid w:val="00957CB0"/>
    <w:rsid w:val="00961F87"/>
    <w:rsid w:val="00963F20"/>
    <w:rsid w:val="0097052C"/>
    <w:rsid w:val="009A6527"/>
    <w:rsid w:val="009A7BCF"/>
    <w:rsid w:val="009B060C"/>
    <w:rsid w:val="009C1503"/>
    <w:rsid w:val="009C4468"/>
    <w:rsid w:val="009D7C8C"/>
    <w:rsid w:val="009E5527"/>
    <w:rsid w:val="00A002F1"/>
    <w:rsid w:val="00A1374C"/>
    <w:rsid w:val="00A24F17"/>
    <w:rsid w:val="00A32B87"/>
    <w:rsid w:val="00A44F10"/>
    <w:rsid w:val="00A51478"/>
    <w:rsid w:val="00A62CB7"/>
    <w:rsid w:val="00A92181"/>
    <w:rsid w:val="00A9377D"/>
    <w:rsid w:val="00AB76CB"/>
    <w:rsid w:val="00AD6006"/>
    <w:rsid w:val="00B216EF"/>
    <w:rsid w:val="00B31852"/>
    <w:rsid w:val="00B32B07"/>
    <w:rsid w:val="00B33A33"/>
    <w:rsid w:val="00B37155"/>
    <w:rsid w:val="00B54228"/>
    <w:rsid w:val="00B637B9"/>
    <w:rsid w:val="00B8421C"/>
    <w:rsid w:val="00B90CDA"/>
    <w:rsid w:val="00B91C06"/>
    <w:rsid w:val="00B92CE5"/>
    <w:rsid w:val="00B96DF6"/>
    <w:rsid w:val="00BB2DB0"/>
    <w:rsid w:val="00BD6C62"/>
    <w:rsid w:val="00C11F4C"/>
    <w:rsid w:val="00C12775"/>
    <w:rsid w:val="00C16283"/>
    <w:rsid w:val="00C23D98"/>
    <w:rsid w:val="00C5645E"/>
    <w:rsid w:val="00C65EB9"/>
    <w:rsid w:val="00C72ADA"/>
    <w:rsid w:val="00C76D02"/>
    <w:rsid w:val="00C87F04"/>
    <w:rsid w:val="00CA2CD7"/>
    <w:rsid w:val="00CB3915"/>
    <w:rsid w:val="00CC7BF6"/>
    <w:rsid w:val="00CE3603"/>
    <w:rsid w:val="00CF0ED3"/>
    <w:rsid w:val="00D032DE"/>
    <w:rsid w:val="00D103B3"/>
    <w:rsid w:val="00D116F1"/>
    <w:rsid w:val="00D64F1F"/>
    <w:rsid w:val="00D65CE3"/>
    <w:rsid w:val="00D74DB1"/>
    <w:rsid w:val="00DA168B"/>
    <w:rsid w:val="00DA439F"/>
    <w:rsid w:val="00DA5F02"/>
    <w:rsid w:val="00DC2DF4"/>
    <w:rsid w:val="00DE36F3"/>
    <w:rsid w:val="00E050B3"/>
    <w:rsid w:val="00E173B1"/>
    <w:rsid w:val="00E40AED"/>
    <w:rsid w:val="00E420A8"/>
    <w:rsid w:val="00E57666"/>
    <w:rsid w:val="00E7396A"/>
    <w:rsid w:val="00EA4880"/>
    <w:rsid w:val="00ED42D9"/>
    <w:rsid w:val="00ED467D"/>
    <w:rsid w:val="00ED5381"/>
    <w:rsid w:val="00EF1A4A"/>
    <w:rsid w:val="00F006EB"/>
    <w:rsid w:val="00F051AC"/>
    <w:rsid w:val="00F05546"/>
    <w:rsid w:val="00F37FD7"/>
    <w:rsid w:val="00F44F39"/>
    <w:rsid w:val="00F76B83"/>
    <w:rsid w:val="00F8047F"/>
    <w:rsid w:val="00FC29ED"/>
    <w:rsid w:val="00FD3BBA"/>
    <w:rsid w:val="00FE4F4F"/>
    <w:rsid w:val="00FF0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DB7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36CD"/>
    <w:rPr>
      <w:rFonts w:ascii="Times New Roman" w:hAnsi="Times New Roman" w:cs="Times New Roman"/>
      <w:lang w:eastAsia="en-GB"/>
    </w:rPr>
  </w:style>
  <w:style w:type="paragraph" w:styleId="Heading1">
    <w:name w:val="heading 1"/>
    <w:basedOn w:val="Normal"/>
    <w:next w:val="Normal"/>
    <w:link w:val="Heading1Char"/>
    <w:uiPriority w:val="9"/>
    <w:qFormat/>
    <w:rsid w:val="00E173B1"/>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B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4C4"/>
    <w:pPr>
      <w:ind w:left="720"/>
      <w:contextualSpacing/>
    </w:pPr>
  </w:style>
  <w:style w:type="character" w:customStyle="1" w:styleId="Heading1Char">
    <w:name w:val="Heading 1 Char"/>
    <w:basedOn w:val="DefaultParagraphFont"/>
    <w:link w:val="Heading1"/>
    <w:uiPriority w:val="9"/>
    <w:rsid w:val="00E173B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62CB7"/>
    <w:rPr>
      <w:sz w:val="18"/>
      <w:szCs w:val="18"/>
    </w:rPr>
  </w:style>
  <w:style w:type="paragraph" w:styleId="CommentText">
    <w:name w:val="annotation text"/>
    <w:basedOn w:val="Normal"/>
    <w:link w:val="CommentTextChar"/>
    <w:uiPriority w:val="99"/>
    <w:unhideWhenUsed/>
    <w:rsid w:val="00A62CB7"/>
    <w:rPr>
      <w:rFonts w:asciiTheme="minorHAnsi" w:hAnsiTheme="minorHAnsi" w:cstheme="minorBidi"/>
      <w:lang w:eastAsia="en-US"/>
    </w:rPr>
  </w:style>
  <w:style w:type="character" w:customStyle="1" w:styleId="CommentTextChar">
    <w:name w:val="Comment Text Char"/>
    <w:basedOn w:val="DefaultParagraphFont"/>
    <w:link w:val="CommentText"/>
    <w:uiPriority w:val="99"/>
    <w:rsid w:val="00A62CB7"/>
  </w:style>
  <w:style w:type="paragraph" w:customStyle="1" w:styleId="EndNoteBibliographyTitle">
    <w:name w:val="EndNote Bibliography Title"/>
    <w:basedOn w:val="Normal"/>
    <w:rsid w:val="001F1558"/>
    <w:pPr>
      <w:jc w:val="center"/>
    </w:pPr>
  </w:style>
  <w:style w:type="paragraph" w:customStyle="1" w:styleId="EndNoteBibliography">
    <w:name w:val="EndNote Bibliography"/>
    <w:basedOn w:val="Normal"/>
    <w:rsid w:val="001F1558"/>
    <w:pPr>
      <w:jc w:val="both"/>
    </w:pPr>
  </w:style>
  <w:style w:type="character" w:styleId="Hyperlink">
    <w:name w:val="Hyperlink"/>
    <w:basedOn w:val="DefaultParagraphFont"/>
    <w:uiPriority w:val="99"/>
    <w:unhideWhenUsed/>
    <w:rsid w:val="002D26A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9377D"/>
    <w:rPr>
      <w:rFonts w:ascii="Times New Roman" w:hAnsi="Times New Roman" w:cs="Times New Roman"/>
      <w:b/>
      <w:bCs/>
      <w:sz w:val="20"/>
      <w:szCs w:val="20"/>
      <w:lang w:eastAsia="en-GB"/>
    </w:rPr>
  </w:style>
  <w:style w:type="character" w:customStyle="1" w:styleId="CommentSubjectChar">
    <w:name w:val="Comment Subject Char"/>
    <w:basedOn w:val="CommentTextChar"/>
    <w:link w:val="CommentSubject"/>
    <w:uiPriority w:val="99"/>
    <w:semiHidden/>
    <w:rsid w:val="00A9377D"/>
    <w:rPr>
      <w:rFonts w:ascii="Times New Roman" w:hAnsi="Times New Roman" w:cs="Times New Roman"/>
      <w:b/>
      <w:bCs/>
      <w:sz w:val="20"/>
      <w:szCs w:val="20"/>
      <w:lang w:eastAsia="en-GB"/>
    </w:rPr>
  </w:style>
  <w:style w:type="paragraph" w:styleId="Revision">
    <w:name w:val="Revision"/>
    <w:hidden/>
    <w:uiPriority w:val="99"/>
    <w:semiHidden/>
    <w:rsid w:val="00A9377D"/>
    <w:rPr>
      <w:rFonts w:ascii="Times New Roman" w:hAnsi="Times New Roman" w:cs="Times New Roman"/>
      <w:lang w:eastAsia="en-GB"/>
    </w:rPr>
  </w:style>
  <w:style w:type="paragraph" w:styleId="BalloonText">
    <w:name w:val="Balloon Text"/>
    <w:basedOn w:val="Normal"/>
    <w:link w:val="BalloonTextChar"/>
    <w:uiPriority w:val="99"/>
    <w:semiHidden/>
    <w:unhideWhenUsed/>
    <w:rsid w:val="00A9377D"/>
    <w:rPr>
      <w:rFonts w:ascii="Tahoma" w:hAnsi="Tahoma" w:cs="Tahoma"/>
      <w:sz w:val="16"/>
      <w:szCs w:val="16"/>
    </w:rPr>
  </w:style>
  <w:style w:type="character" w:customStyle="1" w:styleId="BalloonTextChar">
    <w:name w:val="Balloon Text Char"/>
    <w:basedOn w:val="DefaultParagraphFont"/>
    <w:link w:val="BalloonText"/>
    <w:uiPriority w:val="99"/>
    <w:semiHidden/>
    <w:rsid w:val="00A9377D"/>
    <w:rPr>
      <w:rFonts w:ascii="Tahoma" w:hAnsi="Tahoma" w:cs="Tahoma"/>
      <w:sz w:val="16"/>
      <w:szCs w:val="16"/>
      <w:lang w:eastAsia="en-GB"/>
    </w:rPr>
  </w:style>
  <w:style w:type="character" w:styleId="Emphasis">
    <w:name w:val="Emphasis"/>
    <w:basedOn w:val="DefaultParagraphFont"/>
    <w:uiPriority w:val="20"/>
    <w:qFormat/>
    <w:rsid w:val="006E26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400737">
      <w:bodyDiv w:val="1"/>
      <w:marLeft w:val="0"/>
      <w:marRight w:val="0"/>
      <w:marTop w:val="0"/>
      <w:marBottom w:val="0"/>
      <w:divBdr>
        <w:top w:val="none" w:sz="0" w:space="0" w:color="auto"/>
        <w:left w:val="none" w:sz="0" w:space="0" w:color="auto"/>
        <w:bottom w:val="none" w:sz="0" w:space="0" w:color="auto"/>
        <w:right w:val="none" w:sz="0" w:space="0" w:color="auto"/>
      </w:divBdr>
    </w:div>
    <w:div w:id="657197633">
      <w:bodyDiv w:val="1"/>
      <w:marLeft w:val="0"/>
      <w:marRight w:val="0"/>
      <w:marTop w:val="0"/>
      <w:marBottom w:val="0"/>
      <w:divBdr>
        <w:top w:val="none" w:sz="0" w:space="0" w:color="auto"/>
        <w:left w:val="none" w:sz="0" w:space="0" w:color="auto"/>
        <w:bottom w:val="none" w:sz="0" w:space="0" w:color="auto"/>
        <w:right w:val="none" w:sz="0" w:space="0" w:color="auto"/>
      </w:divBdr>
    </w:div>
    <w:div w:id="2013874913">
      <w:bodyDiv w:val="1"/>
      <w:marLeft w:val="0"/>
      <w:marRight w:val="0"/>
      <w:marTop w:val="0"/>
      <w:marBottom w:val="0"/>
      <w:divBdr>
        <w:top w:val="none" w:sz="0" w:space="0" w:color="auto"/>
        <w:left w:val="none" w:sz="0" w:space="0" w:color="auto"/>
        <w:bottom w:val="none" w:sz="0" w:space="0" w:color="auto"/>
        <w:right w:val="none" w:sz="0" w:space="0" w:color="auto"/>
      </w:divBdr>
    </w:div>
    <w:div w:id="2034528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EF7E7-3691-2843-97AC-5CBD1122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1924</Words>
  <Characters>10969</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12868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Appelbaum, Nicholas J</dc:creator>
  <cp:lastModifiedBy>Appelbaum, Nicholas J</cp:lastModifiedBy>
  <cp:revision>2</cp:revision>
  <dcterms:created xsi:type="dcterms:W3CDTF">2019-03-11T16:22:00Z</dcterms:created>
  <dcterms:modified xsi:type="dcterms:W3CDTF">2019-03-11T16:22:00Z</dcterms:modified>
</cp:coreProperties>
</file>