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7A9A3" w14:textId="77777777" w:rsidR="00226308" w:rsidRPr="00FD4D8F" w:rsidRDefault="00226308" w:rsidP="00226308">
      <w:pPr>
        <w:pStyle w:val="Heading1"/>
        <w:jc w:val="left"/>
      </w:pPr>
      <w:r>
        <w:t>Have there been sustained i</w:t>
      </w:r>
      <w:r w:rsidRPr="00FD4D8F">
        <w:t>mpact</w:t>
      </w:r>
      <w:r>
        <w:t>s</w:t>
      </w:r>
      <w:r w:rsidRPr="00FD4D8F">
        <w:t xml:space="preserve"> of the Covid-19 pandemic on trends in smoking prevalence, uptake, quitting, use of treatment</w:t>
      </w:r>
      <w:r>
        <w:t>, and relapse?</w:t>
      </w:r>
      <w:r w:rsidRPr="00FD4D8F">
        <w:t xml:space="preserve"> </w:t>
      </w:r>
      <w:r>
        <w:t>A</w:t>
      </w:r>
      <w:r w:rsidRPr="00FD4D8F">
        <w:t xml:space="preserve"> </w:t>
      </w:r>
      <w:r>
        <w:t>monthly</w:t>
      </w:r>
      <w:r w:rsidRPr="00FD4D8F">
        <w:t xml:space="preserve"> population study</w:t>
      </w:r>
      <w:r>
        <w:t xml:space="preserve"> in England, 2017-2022</w:t>
      </w:r>
    </w:p>
    <w:p w14:paraId="46637BBA" w14:textId="77777777" w:rsidR="00CC3ADC" w:rsidRDefault="00CC3ADC"/>
    <w:p w14:paraId="718E5A2C" w14:textId="16022699" w:rsidR="00226308" w:rsidRPr="00556749" w:rsidRDefault="00226308" w:rsidP="003A0E0F">
      <w:pPr>
        <w:pStyle w:val="Heading3"/>
      </w:pPr>
      <w:r w:rsidRPr="00556749">
        <w:t>Supplementary material</w:t>
      </w:r>
    </w:p>
    <w:p w14:paraId="6B8F8ADB" w14:textId="7CCED423" w:rsidR="00556749" w:rsidRDefault="00556749">
      <w:pPr>
        <w:rPr>
          <w:b/>
          <w:u w:val="single"/>
        </w:rPr>
      </w:pPr>
    </w:p>
    <w:p w14:paraId="4C0164CB" w14:textId="0F32E4AB" w:rsidR="00870EAE" w:rsidRDefault="00870EAE" w:rsidP="00464506">
      <w:pPr>
        <w:spacing w:line="276" w:lineRule="auto"/>
        <w:rPr>
          <w:b/>
          <w:u w:val="single"/>
        </w:rPr>
      </w:pPr>
      <w:r>
        <w:rPr>
          <w:b/>
          <w:u w:val="single"/>
        </w:rPr>
        <w:t>Part 1: Detailed literature review</w:t>
      </w:r>
    </w:p>
    <w:p w14:paraId="68FF5C49" w14:textId="445D7941" w:rsidR="00464506" w:rsidRPr="00464506" w:rsidRDefault="00464506" w:rsidP="00464506">
      <w:pPr>
        <w:spacing w:line="276" w:lineRule="auto"/>
        <w:rPr>
          <w:b/>
          <w:u w:val="single"/>
        </w:rPr>
      </w:pPr>
      <w:r w:rsidRPr="00464506">
        <w:rPr>
          <w:b/>
          <w:u w:val="single"/>
        </w:rPr>
        <w:t xml:space="preserve">Part </w:t>
      </w:r>
      <w:r w:rsidR="00870EAE">
        <w:rPr>
          <w:b/>
          <w:u w:val="single"/>
        </w:rPr>
        <w:t>2</w:t>
      </w:r>
      <w:r w:rsidRPr="00464506">
        <w:rPr>
          <w:b/>
          <w:u w:val="single"/>
        </w:rPr>
        <w:t xml:space="preserve">: </w:t>
      </w:r>
      <w:r w:rsidR="00870EAE">
        <w:rPr>
          <w:b/>
          <w:u w:val="single"/>
        </w:rPr>
        <w:t>F</w:t>
      </w:r>
      <w:r w:rsidRPr="00464506">
        <w:rPr>
          <w:b/>
          <w:u w:val="single"/>
        </w:rPr>
        <w:t>ull details of measures used</w:t>
      </w:r>
    </w:p>
    <w:p w14:paraId="25AD482A" w14:textId="0100E88E" w:rsidR="00556749" w:rsidRPr="00556749" w:rsidRDefault="00556749" w:rsidP="001056DF">
      <w:pPr>
        <w:spacing w:line="276" w:lineRule="auto"/>
        <w:rPr>
          <w:b/>
          <w:u w:val="single"/>
        </w:rPr>
      </w:pPr>
      <w:r w:rsidRPr="00556749">
        <w:rPr>
          <w:b/>
          <w:u w:val="single"/>
        </w:rPr>
        <w:t xml:space="preserve">Part </w:t>
      </w:r>
      <w:r w:rsidR="00870EAE">
        <w:rPr>
          <w:b/>
          <w:u w:val="single"/>
        </w:rPr>
        <w:t>3</w:t>
      </w:r>
      <w:r w:rsidRPr="00556749">
        <w:rPr>
          <w:b/>
          <w:u w:val="single"/>
        </w:rPr>
        <w:t xml:space="preserve">: </w:t>
      </w:r>
      <w:r w:rsidR="00FF377D">
        <w:rPr>
          <w:b/>
          <w:u w:val="single"/>
        </w:rPr>
        <w:t>U</w:t>
      </w:r>
      <w:r w:rsidRPr="00556749">
        <w:rPr>
          <w:b/>
          <w:u w:val="single"/>
        </w:rPr>
        <w:t xml:space="preserve">nweighted </w:t>
      </w:r>
      <w:r w:rsidR="007664E9">
        <w:rPr>
          <w:b/>
          <w:u w:val="single"/>
        </w:rPr>
        <w:t>descriptive statistics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29"/>
      </w:tblGrid>
      <w:tr w:rsidR="00935274" w14:paraId="43D83356" w14:textId="77777777" w:rsidTr="004248BD">
        <w:tc>
          <w:tcPr>
            <w:tcW w:w="2552" w:type="dxa"/>
          </w:tcPr>
          <w:p w14:paraId="2FF190B3" w14:textId="3326DF17" w:rsidR="00935274" w:rsidRDefault="00935274" w:rsidP="00935274">
            <w:pPr>
              <w:spacing w:line="276" w:lineRule="auto"/>
            </w:pPr>
            <w:r>
              <w:rPr>
                <w:b/>
              </w:rPr>
              <w:t>Supplementary Table 1</w:t>
            </w:r>
            <w:r>
              <w:t>.</w:t>
            </w:r>
          </w:p>
        </w:tc>
        <w:tc>
          <w:tcPr>
            <w:tcW w:w="7229" w:type="dxa"/>
          </w:tcPr>
          <w:p w14:paraId="6148E078" w14:textId="09059F77" w:rsidR="00935274" w:rsidRDefault="00935274" w:rsidP="004248BD">
            <w:pPr>
              <w:spacing w:line="276" w:lineRule="auto"/>
            </w:pPr>
            <w:r>
              <w:t>Unweighted descriptive statistics</w:t>
            </w:r>
          </w:p>
        </w:tc>
      </w:tr>
    </w:tbl>
    <w:p w14:paraId="218EADCD" w14:textId="79AE5F78" w:rsidR="00556749" w:rsidRDefault="00556749" w:rsidP="001056DF">
      <w:pPr>
        <w:spacing w:after="0" w:line="276" w:lineRule="auto"/>
      </w:pPr>
    </w:p>
    <w:p w14:paraId="7D3BE204" w14:textId="4B1BA880" w:rsidR="003224BF" w:rsidRDefault="003224BF" w:rsidP="003224BF">
      <w:pPr>
        <w:spacing w:line="276" w:lineRule="auto"/>
        <w:rPr>
          <w:b/>
          <w:u w:val="single"/>
        </w:rPr>
      </w:pPr>
      <w:r w:rsidRPr="00556749">
        <w:rPr>
          <w:b/>
          <w:u w:val="single"/>
        </w:rPr>
        <w:t xml:space="preserve">Part </w:t>
      </w:r>
      <w:r w:rsidR="00870EAE">
        <w:rPr>
          <w:b/>
          <w:u w:val="single"/>
        </w:rPr>
        <w:t>4</w:t>
      </w:r>
      <w:r w:rsidRPr="00556749">
        <w:rPr>
          <w:b/>
          <w:u w:val="single"/>
        </w:rPr>
        <w:t xml:space="preserve">: </w:t>
      </w:r>
      <w:r w:rsidR="00870EAE">
        <w:rPr>
          <w:b/>
          <w:u w:val="single"/>
        </w:rPr>
        <w:t>S</w:t>
      </w:r>
      <w:r>
        <w:rPr>
          <w:b/>
          <w:u w:val="single"/>
        </w:rPr>
        <w:t>ensitivity analyses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29"/>
      </w:tblGrid>
      <w:tr w:rsidR="00C90F62" w14:paraId="7FC08934" w14:textId="77777777" w:rsidTr="004248BD">
        <w:tc>
          <w:tcPr>
            <w:tcW w:w="9781" w:type="dxa"/>
            <w:gridSpan w:val="2"/>
          </w:tcPr>
          <w:p w14:paraId="3B99362F" w14:textId="69ECEEB5" w:rsidR="00C90F62" w:rsidRDefault="00C90F62" w:rsidP="00C90F62">
            <w:pPr>
              <w:spacing w:line="276" w:lineRule="auto"/>
            </w:pPr>
            <w:r>
              <w:rPr>
                <w:i/>
              </w:rPr>
              <w:t>1. Pulse effects</w:t>
            </w:r>
          </w:p>
        </w:tc>
      </w:tr>
      <w:tr w:rsidR="00935274" w14:paraId="5339EF5E" w14:textId="77777777" w:rsidTr="00935274">
        <w:tc>
          <w:tcPr>
            <w:tcW w:w="2552" w:type="dxa"/>
          </w:tcPr>
          <w:p w14:paraId="106720CD" w14:textId="22A8920D" w:rsidR="00935274" w:rsidRDefault="00935274" w:rsidP="003224BF">
            <w:pPr>
              <w:spacing w:line="276" w:lineRule="auto"/>
            </w:pPr>
            <w:r>
              <w:rPr>
                <w:b/>
              </w:rPr>
              <w:t>Supplementary Table 2</w:t>
            </w:r>
            <w:r>
              <w:t>.</w:t>
            </w:r>
          </w:p>
        </w:tc>
        <w:tc>
          <w:tcPr>
            <w:tcW w:w="7229" w:type="dxa"/>
          </w:tcPr>
          <w:p w14:paraId="5F622533" w14:textId="38BD8463" w:rsidR="00935274" w:rsidRDefault="00935274" w:rsidP="003224BF">
            <w:pPr>
              <w:spacing w:line="276" w:lineRule="auto"/>
            </w:pPr>
            <w:r>
              <w:t>Sensitivity analysis: pulse effects</w:t>
            </w:r>
          </w:p>
        </w:tc>
      </w:tr>
      <w:tr w:rsidR="00935274" w:rsidRPr="00AA2980" w14:paraId="6BCA5882" w14:textId="77777777" w:rsidTr="00935274">
        <w:tc>
          <w:tcPr>
            <w:tcW w:w="2552" w:type="dxa"/>
          </w:tcPr>
          <w:p w14:paraId="70A0BAD1" w14:textId="77777777" w:rsidR="00935274" w:rsidRPr="00AA2980" w:rsidRDefault="00935274" w:rsidP="003224BF">
            <w:pPr>
              <w:spacing w:line="276" w:lineRule="auto"/>
              <w:rPr>
                <w:sz w:val="16"/>
                <w:szCs w:val="16"/>
              </w:rPr>
            </w:pPr>
          </w:p>
        </w:tc>
        <w:tc>
          <w:tcPr>
            <w:tcW w:w="7229" w:type="dxa"/>
          </w:tcPr>
          <w:p w14:paraId="612BE3AD" w14:textId="77777777" w:rsidR="00935274" w:rsidRPr="00AA2980" w:rsidRDefault="00935274" w:rsidP="003224BF">
            <w:pPr>
              <w:spacing w:line="276" w:lineRule="auto"/>
              <w:rPr>
                <w:sz w:val="16"/>
                <w:szCs w:val="16"/>
              </w:rPr>
            </w:pPr>
          </w:p>
        </w:tc>
      </w:tr>
      <w:tr w:rsidR="00C90F62" w14:paraId="72A2E30B" w14:textId="77777777" w:rsidTr="006E2D42">
        <w:tc>
          <w:tcPr>
            <w:tcW w:w="9781" w:type="dxa"/>
            <w:gridSpan w:val="2"/>
          </w:tcPr>
          <w:p w14:paraId="4857FD72" w14:textId="760D42B7" w:rsidR="00C90F62" w:rsidRDefault="00C90F62" w:rsidP="003224BF">
            <w:pPr>
              <w:spacing w:line="276" w:lineRule="auto"/>
            </w:pPr>
            <w:r>
              <w:rPr>
                <w:i/>
              </w:rPr>
              <w:t>2. Excluding dependence as a covariate</w:t>
            </w:r>
          </w:p>
        </w:tc>
      </w:tr>
      <w:tr w:rsidR="00935274" w14:paraId="261A18A1" w14:textId="77777777" w:rsidTr="00935274">
        <w:tc>
          <w:tcPr>
            <w:tcW w:w="2552" w:type="dxa"/>
          </w:tcPr>
          <w:p w14:paraId="4CB26C4F" w14:textId="01287DDF" w:rsidR="00935274" w:rsidRDefault="00935274" w:rsidP="003224BF">
            <w:pPr>
              <w:spacing w:line="276" w:lineRule="auto"/>
            </w:pPr>
            <w:r>
              <w:rPr>
                <w:b/>
              </w:rPr>
              <w:t>Supplementary Table 3</w:t>
            </w:r>
            <w:r>
              <w:t>.</w:t>
            </w:r>
          </w:p>
        </w:tc>
        <w:tc>
          <w:tcPr>
            <w:tcW w:w="7229" w:type="dxa"/>
          </w:tcPr>
          <w:p w14:paraId="73F200EA" w14:textId="2EE9580B" w:rsidR="00935274" w:rsidRDefault="00935274" w:rsidP="003224BF">
            <w:pPr>
              <w:spacing w:line="276" w:lineRule="auto"/>
            </w:pPr>
            <w:r>
              <w:t>Sensitivity analysis: excluding cigarette dependence as a covariate</w:t>
            </w:r>
          </w:p>
        </w:tc>
      </w:tr>
      <w:tr w:rsidR="00935274" w14:paraId="4CB39982" w14:textId="77777777" w:rsidTr="00935274">
        <w:tc>
          <w:tcPr>
            <w:tcW w:w="2552" w:type="dxa"/>
          </w:tcPr>
          <w:p w14:paraId="522FA9A3" w14:textId="33BC872A" w:rsidR="00935274" w:rsidRDefault="00935274" w:rsidP="003224BF">
            <w:pPr>
              <w:spacing w:line="276" w:lineRule="auto"/>
            </w:pPr>
            <w:r>
              <w:rPr>
                <w:b/>
              </w:rPr>
              <w:t xml:space="preserve">Supplementary </w:t>
            </w:r>
            <w:r w:rsidRPr="00930571">
              <w:rPr>
                <w:b/>
              </w:rPr>
              <w:t xml:space="preserve">Figure </w:t>
            </w:r>
            <w:r>
              <w:rPr>
                <w:b/>
              </w:rPr>
              <w:t>1</w:t>
            </w:r>
            <w:r w:rsidRPr="00930571">
              <w:rPr>
                <w:b/>
              </w:rPr>
              <w:t xml:space="preserve">.  </w:t>
            </w:r>
          </w:p>
        </w:tc>
        <w:tc>
          <w:tcPr>
            <w:tcW w:w="7229" w:type="dxa"/>
          </w:tcPr>
          <w:p w14:paraId="098BA131" w14:textId="1D3E36F2" w:rsidR="00935274" w:rsidRDefault="00935274" w:rsidP="003224BF">
            <w:pPr>
              <w:spacing w:line="276" w:lineRule="auto"/>
            </w:pPr>
            <w:r w:rsidRPr="00930571">
              <w:t>Quitting activity, with and without adjustment for dependence</w:t>
            </w:r>
          </w:p>
        </w:tc>
      </w:tr>
      <w:tr w:rsidR="00935274" w14:paraId="353B6BA0" w14:textId="77777777" w:rsidTr="00935274">
        <w:tc>
          <w:tcPr>
            <w:tcW w:w="2552" w:type="dxa"/>
          </w:tcPr>
          <w:p w14:paraId="2114FFB9" w14:textId="2D9DE053" w:rsidR="00935274" w:rsidRDefault="00935274" w:rsidP="003224BF">
            <w:pPr>
              <w:spacing w:line="276" w:lineRule="auto"/>
            </w:pPr>
            <w:r>
              <w:rPr>
                <w:b/>
              </w:rPr>
              <w:t xml:space="preserve">Supplementary </w:t>
            </w:r>
            <w:r w:rsidRPr="00930571">
              <w:rPr>
                <w:b/>
              </w:rPr>
              <w:t xml:space="preserve">Figure </w:t>
            </w:r>
            <w:r>
              <w:rPr>
                <w:b/>
              </w:rPr>
              <w:t>2</w:t>
            </w:r>
            <w:r w:rsidRPr="00930571">
              <w:rPr>
                <w:b/>
              </w:rPr>
              <w:t xml:space="preserve">.  </w:t>
            </w:r>
          </w:p>
        </w:tc>
        <w:tc>
          <w:tcPr>
            <w:tcW w:w="7229" w:type="dxa"/>
          </w:tcPr>
          <w:p w14:paraId="3DA31A79" w14:textId="50333C74" w:rsidR="00935274" w:rsidRDefault="00935274" w:rsidP="003224BF">
            <w:pPr>
              <w:spacing w:line="276" w:lineRule="auto"/>
            </w:pPr>
            <w:r>
              <w:t>Use of support by smokers in quit attempts</w:t>
            </w:r>
            <w:r w:rsidRPr="00930571">
              <w:t>, with and without adjustment for dependence</w:t>
            </w:r>
          </w:p>
        </w:tc>
      </w:tr>
      <w:tr w:rsidR="00935274" w:rsidRPr="00AA2980" w14:paraId="7D9CAAB3" w14:textId="77777777" w:rsidTr="00935274">
        <w:tc>
          <w:tcPr>
            <w:tcW w:w="2552" w:type="dxa"/>
          </w:tcPr>
          <w:p w14:paraId="439CA088" w14:textId="77777777" w:rsidR="00935274" w:rsidRPr="00AA2980" w:rsidRDefault="00935274" w:rsidP="003224BF">
            <w:pPr>
              <w:spacing w:line="276" w:lineRule="auto"/>
              <w:rPr>
                <w:sz w:val="8"/>
                <w:szCs w:val="8"/>
              </w:rPr>
            </w:pPr>
          </w:p>
        </w:tc>
        <w:tc>
          <w:tcPr>
            <w:tcW w:w="7229" w:type="dxa"/>
          </w:tcPr>
          <w:p w14:paraId="6AC75F37" w14:textId="77777777" w:rsidR="00935274" w:rsidRPr="00AA2980" w:rsidRDefault="00935274" w:rsidP="003224BF">
            <w:pPr>
              <w:spacing w:line="276" w:lineRule="auto"/>
              <w:rPr>
                <w:sz w:val="8"/>
                <w:szCs w:val="8"/>
              </w:rPr>
            </w:pPr>
          </w:p>
        </w:tc>
      </w:tr>
      <w:tr w:rsidR="00C90F62" w14:paraId="46367497" w14:textId="77777777" w:rsidTr="004248BD">
        <w:tc>
          <w:tcPr>
            <w:tcW w:w="9781" w:type="dxa"/>
            <w:gridSpan w:val="2"/>
          </w:tcPr>
          <w:p w14:paraId="38B9AD34" w14:textId="783CCA20" w:rsidR="00C90F62" w:rsidRDefault="00C90F62" w:rsidP="00C90F62">
            <w:pPr>
              <w:spacing w:line="276" w:lineRule="auto"/>
            </w:pPr>
            <w:r>
              <w:rPr>
                <w:i/>
              </w:rPr>
              <w:t>3. Changes in dependence</w:t>
            </w:r>
          </w:p>
        </w:tc>
      </w:tr>
      <w:tr w:rsidR="00935274" w14:paraId="7571AB8B" w14:textId="77777777" w:rsidTr="00935274">
        <w:tc>
          <w:tcPr>
            <w:tcW w:w="2552" w:type="dxa"/>
          </w:tcPr>
          <w:p w14:paraId="25F44DC9" w14:textId="71FBDD66" w:rsidR="00935274" w:rsidRDefault="00935274" w:rsidP="003224BF">
            <w:pPr>
              <w:spacing w:line="276" w:lineRule="auto"/>
            </w:pPr>
            <w:r>
              <w:rPr>
                <w:b/>
              </w:rPr>
              <w:t>Supplementary Table 4.</w:t>
            </w:r>
          </w:p>
        </w:tc>
        <w:tc>
          <w:tcPr>
            <w:tcW w:w="7229" w:type="dxa"/>
          </w:tcPr>
          <w:p w14:paraId="2858E5B9" w14:textId="1EE11D0D" w:rsidR="00935274" w:rsidRDefault="00935274" w:rsidP="003224BF">
            <w:pPr>
              <w:spacing w:line="276" w:lineRule="auto"/>
            </w:pPr>
            <w:r w:rsidRPr="001812F3">
              <w:rPr>
                <w:bCs/>
              </w:rPr>
              <w:t xml:space="preserve">Associations between the Covid-19 pandemic and </w:t>
            </w:r>
            <w:r>
              <w:rPr>
                <w:bCs/>
              </w:rPr>
              <w:t>cigarette dependence</w:t>
            </w:r>
          </w:p>
        </w:tc>
      </w:tr>
      <w:tr w:rsidR="00935274" w14:paraId="1873E2A2" w14:textId="77777777" w:rsidTr="00935274">
        <w:tc>
          <w:tcPr>
            <w:tcW w:w="2552" w:type="dxa"/>
          </w:tcPr>
          <w:p w14:paraId="5538FBDF" w14:textId="4C973226" w:rsidR="00935274" w:rsidRDefault="00935274" w:rsidP="003224BF">
            <w:pPr>
              <w:spacing w:line="276" w:lineRule="auto"/>
            </w:pPr>
            <w:r>
              <w:rPr>
                <w:b/>
              </w:rPr>
              <w:t xml:space="preserve">Supplementary Figure 3.  </w:t>
            </w:r>
          </w:p>
        </w:tc>
        <w:tc>
          <w:tcPr>
            <w:tcW w:w="7229" w:type="dxa"/>
          </w:tcPr>
          <w:p w14:paraId="06236F5C" w14:textId="184A71C5" w:rsidR="00935274" w:rsidRDefault="00935274" w:rsidP="003224BF">
            <w:pPr>
              <w:spacing w:line="276" w:lineRule="auto"/>
            </w:pPr>
            <w:r>
              <w:rPr>
                <w:bCs/>
              </w:rPr>
              <w:t>Cigarette dependence</w:t>
            </w:r>
          </w:p>
        </w:tc>
      </w:tr>
      <w:tr w:rsidR="00935274" w:rsidRPr="00AA2980" w14:paraId="3FC20686" w14:textId="77777777" w:rsidTr="00935274">
        <w:tc>
          <w:tcPr>
            <w:tcW w:w="2552" w:type="dxa"/>
          </w:tcPr>
          <w:p w14:paraId="7E4DA09E" w14:textId="77777777" w:rsidR="00935274" w:rsidRPr="00AA2980" w:rsidRDefault="00935274" w:rsidP="003224BF">
            <w:pPr>
              <w:spacing w:line="276" w:lineRule="auto"/>
              <w:rPr>
                <w:sz w:val="16"/>
                <w:szCs w:val="16"/>
              </w:rPr>
            </w:pPr>
          </w:p>
        </w:tc>
        <w:tc>
          <w:tcPr>
            <w:tcW w:w="7229" w:type="dxa"/>
          </w:tcPr>
          <w:p w14:paraId="0317B687" w14:textId="77777777" w:rsidR="00935274" w:rsidRPr="00AA2980" w:rsidRDefault="00935274" w:rsidP="003224BF">
            <w:pPr>
              <w:spacing w:line="276" w:lineRule="auto"/>
              <w:rPr>
                <w:sz w:val="16"/>
                <w:szCs w:val="16"/>
              </w:rPr>
            </w:pPr>
          </w:p>
        </w:tc>
      </w:tr>
      <w:tr w:rsidR="00C90F62" w14:paraId="1F94DFCA" w14:textId="77777777" w:rsidTr="004248BD">
        <w:tc>
          <w:tcPr>
            <w:tcW w:w="9781" w:type="dxa"/>
            <w:gridSpan w:val="2"/>
          </w:tcPr>
          <w:p w14:paraId="176F3019" w14:textId="0602FC64" w:rsidR="00C90F62" w:rsidRDefault="00C90F62" w:rsidP="00C90F62">
            <w:pPr>
              <w:spacing w:line="276" w:lineRule="auto"/>
            </w:pPr>
            <w:r>
              <w:rPr>
                <w:i/>
              </w:rPr>
              <w:t>4. Excluding varenicline from prescription medication</w:t>
            </w:r>
          </w:p>
        </w:tc>
      </w:tr>
      <w:tr w:rsidR="00935274" w14:paraId="667C3AF7" w14:textId="77777777" w:rsidTr="00935274">
        <w:tc>
          <w:tcPr>
            <w:tcW w:w="2552" w:type="dxa"/>
          </w:tcPr>
          <w:p w14:paraId="3884835E" w14:textId="4C0441A8" w:rsidR="00935274" w:rsidRDefault="00935274" w:rsidP="003224BF">
            <w:pPr>
              <w:spacing w:line="276" w:lineRule="auto"/>
            </w:pPr>
            <w:r>
              <w:rPr>
                <w:b/>
              </w:rPr>
              <w:t>Supplementary Table 5.</w:t>
            </w:r>
          </w:p>
        </w:tc>
        <w:tc>
          <w:tcPr>
            <w:tcW w:w="7229" w:type="dxa"/>
          </w:tcPr>
          <w:p w14:paraId="4EB08F74" w14:textId="2EEB90B2" w:rsidR="00935274" w:rsidRDefault="00935274" w:rsidP="003224BF">
            <w:pPr>
              <w:spacing w:line="276" w:lineRule="auto"/>
            </w:pPr>
            <w:r>
              <w:t>Sensitivity analysis: excluding varenicline from analysis of use of prescription medication</w:t>
            </w:r>
          </w:p>
        </w:tc>
      </w:tr>
    </w:tbl>
    <w:p w14:paraId="5A978171" w14:textId="77777777" w:rsidR="00D548B6" w:rsidRDefault="00D548B6" w:rsidP="00EA2034">
      <w:pPr>
        <w:spacing w:after="0" w:line="276" w:lineRule="auto"/>
        <w:rPr>
          <w:b/>
        </w:rPr>
      </w:pPr>
    </w:p>
    <w:p w14:paraId="7247F9A9" w14:textId="77777777" w:rsidR="003224BF" w:rsidRDefault="003224BF" w:rsidP="003224BF">
      <w:pPr>
        <w:spacing w:after="0" w:line="276" w:lineRule="auto"/>
        <w:rPr>
          <w:b/>
          <w:u w:val="single"/>
        </w:rPr>
      </w:pPr>
    </w:p>
    <w:p w14:paraId="0A1B5431" w14:textId="77777777" w:rsidR="003224BF" w:rsidRDefault="003224BF" w:rsidP="00556749">
      <w:pPr>
        <w:pStyle w:val="Heading3"/>
        <w:sectPr w:rsidR="003224BF" w:rsidSect="00847850">
          <w:footerReference w:type="default" r:id="rId7"/>
          <w:pgSz w:w="12240" w:h="15840" w:code="1"/>
          <w:pgMar w:top="851" w:right="1440" w:bottom="1440" w:left="1440" w:header="720" w:footer="720" w:gutter="0"/>
          <w:cols w:space="720"/>
          <w:noEndnote/>
          <w:docGrid w:linePitch="299"/>
        </w:sectPr>
      </w:pPr>
    </w:p>
    <w:p w14:paraId="4B90A751" w14:textId="3D04BEE2" w:rsidR="00870EAE" w:rsidRDefault="00870EAE" w:rsidP="00870EAE">
      <w:pPr>
        <w:pStyle w:val="Heading3"/>
        <w:tabs>
          <w:tab w:val="left" w:pos="5100"/>
        </w:tabs>
      </w:pPr>
      <w:r w:rsidRPr="00556749">
        <w:lastRenderedPageBreak/>
        <w:t xml:space="preserve">Part </w:t>
      </w:r>
      <w:r>
        <w:t>1</w:t>
      </w:r>
      <w:r w:rsidRPr="00556749">
        <w:t xml:space="preserve">: </w:t>
      </w:r>
      <w:r>
        <w:t>Detailed literature review</w:t>
      </w:r>
    </w:p>
    <w:p w14:paraId="1E8C15BE" w14:textId="77777777" w:rsidR="003C4A0E" w:rsidRPr="00F04A24" w:rsidRDefault="003C4A0E" w:rsidP="003C4A0E">
      <w:pPr>
        <w:spacing w:line="276" w:lineRule="auto"/>
        <w:rPr>
          <w:rFonts w:cstheme="minorHAnsi"/>
          <w:bCs/>
        </w:rPr>
      </w:pPr>
      <w:r w:rsidRPr="00F04A24">
        <w:rPr>
          <w:rFonts w:cs="Calibri"/>
        </w:rPr>
        <w:t xml:space="preserve">The extent to which the Covid-19 pandemic has affected </w:t>
      </w:r>
      <w:r w:rsidRPr="003C4A0E">
        <w:rPr>
          <w:rFonts w:cs="Calibri"/>
          <w:b/>
          <w:i/>
        </w:rPr>
        <w:t>smoking prevalence</w:t>
      </w:r>
      <w:r w:rsidRPr="00F04A24">
        <w:rPr>
          <w:rFonts w:cs="Calibri"/>
        </w:rPr>
        <w:t xml:space="preserve"> remains unclear. A meta-analysis of international studies up to November 2020 reporting on changes in smoking behaviour after the onset of the pandemic indicated there had been a significant decline in smoking prevalence (12 studies; prevalence ratio</w:t>
      </w:r>
      <w:r>
        <w:rPr>
          <w:rFonts w:cs="Calibri"/>
        </w:rPr>
        <w:t>=</w:t>
      </w:r>
      <w:r w:rsidRPr="00F04A24">
        <w:rPr>
          <w:rFonts w:cs="Calibri"/>
        </w:rPr>
        <w:t>0.87, 95%CI</w:t>
      </w:r>
      <w:r>
        <w:rPr>
          <w:rFonts w:cs="Calibri"/>
        </w:rPr>
        <w:t xml:space="preserve"> [confidence interval]=</w:t>
      </w:r>
      <w:r w:rsidRPr="00F04A24">
        <w:rPr>
          <w:rFonts w:cs="Calibri"/>
        </w:rPr>
        <w:t>0.79-0.97)</w:t>
      </w:r>
      <w:r>
        <w:rPr>
          <w:rFonts w:cs="Calibri"/>
        </w:rPr>
        <w:t>.</w:t>
      </w:r>
      <w:r w:rsidRPr="00F04A24">
        <w:rPr>
          <w:rFonts w:cs="Calibri"/>
        </w:rPr>
        <w:fldChar w:fldCharType="begin"/>
      </w:r>
      <w:r>
        <w:rPr>
          <w:rFonts w:cs="Calibri"/>
        </w:rPr>
        <w:instrText xml:space="preserve"> ADDIN ZOTERO_ITEM CSL_CITATION {"citationID":"jRwTbO9W","properties":{"formattedCitation":"\\super 2\\nosupersub{}","plainCitation":"2","noteIndex":0},"citationItems":[{"id":9740,"uris":["http://zotero.org/users/446899/items/WPHGKGTA"],"itemData":{"id":9740,"type":"article-journal","container-title":"eClinicalMedicine","DOI":"10.1016/j.eclinm.2022.101375","ISSN":"25895370","journalAbbreviation":"eClinicalMedicine","language":"en","page":"101375","source":"DOI.org (Crossref)","title":"Tobacco smoking changes during the first pre-vaccination phases of the COVID-19 pandemic: A systematic review and meta-analysis","title-short":"Tobacco smoking changes during the first pre-vaccination phases of the COVID-19 pandemic","volume":"47","author":[{"family":"Sarich","given":"Peter"},{"family":"Cabasag","given":"Citadel J"},{"family":"Liebermann","given":"Erica"},{"family":"Vaneckova","given":"Pavla"},{"family":"Carle","given":"Chelsea"},{"family":"Hughes","given":"Suzanne"},{"family":"Egger","given":"Sam"},{"family":"O'Connell","given":"Dianne L"},{"family":"Weber","given":"Marianne F"},{"family":"Costa","given":"Allini Mafra","non-dropping-particle":"da"},{"family":"Caruana","given":"Michael"},{"family":"Bray","given":"Freddie"},{"family":"Canfell","given":"Karen"},{"family":"Ginsburg","given":"Ophira"},{"family":"Steinberg","given":"Julia"},{"family":"Soerjomataram","given":"Isabelle"}],"issued":{"date-parts":[["2022",5]]}}}],"schema":"https://github.com/citation-style-language/schema/raw/master/csl-citation.json"} </w:instrText>
      </w:r>
      <w:r w:rsidRPr="00F04A24">
        <w:rPr>
          <w:rFonts w:cs="Calibri"/>
        </w:rPr>
        <w:fldChar w:fldCharType="separate"/>
      </w:r>
      <w:r w:rsidRPr="007B7018">
        <w:rPr>
          <w:rFonts w:ascii="Calibri" w:hAnsi="Calibri" w:cs="Calibri"/>
          <w:szCs w:val="24"/>
          <w:vertAlign w:val="superscript"/>
        </w:rPr>
        <w:t>2</w:t>
      </w:r>
      <w:r w:rsidRPr="00F04A24">
        <w:rPr>
          <w:rFonts w:cs="Calibri"/>
        </w:rPr>
        <w:fldChar w:fldCharType="end"/>
      </w:r>
      <w:r w:rsidRPr="00F04A24">
        <w:rPr>
          <w:rFonts w:cs="Calibri"/>
        </w:rPr>
        <w:t xml:space="preserve"> However, there was a very high degree of heterogeneity across studies (I</w:t>
      </w:r>
      <w:r w:rsidRPr="00F04A24">
        <w:rPr>
          <w:rFonts w:cs="Calibri"/>
          <w:vertAlign w:val="superscript"/>
        </w:rPr>
        <w:t>2</w:t>
      </w:r>
      <w:r>
        <w:rPr>
          <w:rFonts w:cs="Calibri"/>
        </w:rPr>
        <w:t>=</w:t>
      </w:r>
      <w:r w:rsidRPr="00F04A24">
        <w:rPr>
          <w:rFonts w:cs="Calibri"/>
        </w:rPr>
        <w:t>99.3%), with some reporting a significant increase in prevalence, some a significant decrease, and others no change. In addition, just two studies were representative, with the majority using convenience samples recruited via social media or other online platforms, and almost all were judged to be at high risk of bias. Further data on changes in smoking prevalence were published in 2021. In the UK, the Annual Population Survey (a large, representative household survey) showed a large but implausible decline in the proportion of adults who smoked cigarettes, from 13.8% in the first quarter of 2020 to 12.3% in April to December of 2020. The magnitude of the decline may have been partially attributable to the change in mode of data collection from predominantly face-to-face interviews to telephone-only</w:t>
      </w:r>
      <w:r>
        <w:rPr>
          <w:rFonts w:cs="Calibri"/>
        </w:rPr>
        <w:t>.</w:t>
      </w:r>
      <w:r w:rsidRPr="00F04A24">
        <w:rPr>
          <w:rFonts w:cs="Calibri"/>
        </w:rPr>
        <w:fldChar w:fldCharType="begin"/>
      </w:r>
      <w:r>
        <w:rPr>
          <w:rFonts w:cs="Calibri"/>
        </w:rPr>
        <w:instrText xml:space="preserve"> ADDIN ZOTERO_ITEM CSL_CITATION {"citationID":"tWOddG1Q","properties":{"formattedCitation":"\\super 4\\nosupersub{}","plainCitation":"4","noteIndex":0},"citationItems":[{"id":9744,"uris":["http://zotero.org/users/446899/items/TEH97CBN"],"itemData":{"id":9744,"type":"document","title":"Smoking prevalence in the UK and the impact of data collection changes: 2020","URL":"https://www.ons.gov.uk/peoplepopulationandcommunity/healthandsocialcare/drugusealcoholandsmoking/bulletins/smokingprevalenceintheukandtheimpactofdatacollectionchanges/2020#smoking-prevalence-based-on-data-from-the-annual-population-survey","author":[{"family":"Office for National Statistics","given":""}],"accessed":{"date-parts":[["2022",6,23]]},"issued":{"date-parts":[["2021"]]}}}],"schema":"https://github.com/citation-style-language/schema/raw/master/csl-citation.json"} </w:instrText>
      </w:r>
      <w:r w:rsidRPr="00F04A24">
        <w:rPr>
          <w:rFonts w:cs="Calibri"/>
        </w:rPr>
        <w:fldChar w:fldCharType="separate"/>
      </w:r>
      <w:r w:rsidRPr="007B7018">
        <w:rPr>
          <w:rFonts w:ascii="Calibri" w:hAnsi="Calibri" w:cs="Calibri"/>
          <w:szCs w:val="24"/>
          <w:vertAlign w:val="superscript"/>
        </w:rPr>
        <w:t>4</w:t>
      </w:r>
      <w:r w:rsidRPr="00F04A24">
        <w:rPr>
          <w:rFonts w:cs="Calibri"/>
        </w:rPr>
        <w:fldChar w:fldCharType="end"/>
      </w:r>
      <w:r w:rsidRPr="00F04A24">
        <w:rPr>
          <w:rFonts w:cs="Calibri"/>
        </w:rPr>
        <w:t xml:space="preserve"> The Opinions and Lifestyle Survey, another representative survey which was already remote at the start of the pandemic (telephone/online), suggested smoking prevalence increased at the start of the pandemic, from 15.3% in April 2020 to a peak of 16.3% in August 2020 (although this change was not statistically significant), before falling significantly to 12.5% in December 2020</w:t>
      </w:r>
      <w:r>
        <w:rPr>
          <w:rFonts w:cs="Calibri"/>
        </w:rPr>
        <w:t>.</w:t>
      </w:r>
      <w:r w:rsidRPr="00F04A24">
        <w:rPr>
          <w:rFonts w:cs="Calibri"/>
        </w:rPr>
        <w:fldChar w:fldCharType="begin"/>
      </w:r>
      <w:r>
        <w:rPr>
          <w:rFonts w:cs="Calibri"/>
        </w:rPr>
        <w:instrText xml:space="preserve"> ADDIN ZOTERO_ITEM CSL_CITATION {"citationID":"pEXdC64q","properties":{"formattedCitation":"\\super 4\\nosupersub{}","plainCitation":"4","noteIndex":0},"citationItems":[{"id":9744,"uris":["http://zotero.org/users/446899/items/TEH97CBN"],"itemData":{"id":9744,"type":"document","title":"Smoking prevalence in the UK and the impact of data collection changes: 2020","URL":"https://www.ons.gov.uk/peoplepopulationandcommunity/healthandsocialcare/drugusealcoholandsmoking/bulletins/smokingprevalenceintheukandtheimpactofdatacollectionchanges/2020#smoking-prevalence-based-on-data-from-the-annual-population-survey","author":[{"family":"Office for National Statistics","given":""}],"accessed":{"date-parts":[["2022",6,23]]},"issued":{"date-parts":[["2021"]]}}}],"schema":"https://github.com/citation-style-language/schema/raw/master/csl-citation.json"} </w:instrText>
      </w:r>
      <w:r w:rsidRPr="00F04A24">
        <w:rPr>
          <w:rFonts w:cs="Calibri"/>
        </w:rPr>
        <w:fldChar w:fldCharType="separate"/>
      </w:r>
      <w:r w:rsidRPr="007B7018">
        <w:rPr>
          <w:rFonts w:ascii="Calibri" w:hAnsi="Calibri" w:cs="Calibri"/>
          <w:szCs w:val="24"/>
          <w:vertAlign w:val="superscript"/>
        </w:rPr>
        <w:t>4</w:t>
      </w:r>
      <w:r w:rsidRPr="00F04A24">
        <w:rPr>
          <w:rFonts w:cs="Calibri"/>
        </w:rPr>
        <w:fldChar w:fldCharType="end"/>
      </w:r>
      <w:r w:rsidRPr="00F04A24">
        <w:rPr>
          <w:rFonts w:cs="Calibri"/>
        </w:rPr>
        <w:t xml:space="preserve"> The Smoking Toolkit Study (a representative monthly survey) showed no overall change in smoking prevalence among adults in England during the first Covid-19 lockdown in England (despite a change from face-to-face to telephone interviews), but detected a large</w:t>
      </w:r>
      <w:r w:rsidRPr="00F04A24" w:rsidDel="00986CF1">
        <w:rPr>
          <w:rFonts w:cstheme="minorHAnsi"/>
          <w:bCs/>
        </w:rPr>
        <w:t xml:space="preserve"> </w:t>
      </w:r>
      <w:r w:rsidRPr="00F04A24">
        <w:rPr>
          <w:rFonts w:cstheme="minorHAnsi"/>
          <w:bCs/>
        </w:rPr>
        <w:t>increase in smoking prevalence among young adults (18-34 years; from 21.5% between August 2019 and February 2020 to 26.8% between April and July 2020)</w:t>
      </w:r>
      <w:r>
        <w:rPr>
          <w:rFonts w:cstheme="minorHAnsi"/>
          <w:bCs/>
        </w:rPr>
        <w:t>.</w:t>
      </w:r>
      <w:r w:rsidRPr="00F04A24">
        <w:rPr>
          <w:rFonts w:cstheme="minorHAnsi"/>
          <w:bCs/>
        </w:rPr>
        <w:fldChar w:fldCharType="begin"/>
      </w:r>
      <w:r>
        <w:rPr>
          <w:rFonts w:cstheme="minorHAnsi"/>
          <w:bCs/>
        </w:rPr>
        <w:instrText xml:space="preserve"> ADDIN ZOTERO_ITEM CSL_CITATION {"citationID":"yuwU9zmi","properties":{"formattedCitation":"\\super 1\\nosupersub{}","plainCitation":"1","noteIndex":0},"citationItems":[{"id":9425,"uris":["http://zotero.org/users/446899/items/GD8K8W5V"],"itemData":{"id":9425,"type":"article-journal","abstract":"Aim To estimate changes in smoking, drinking and quitting behaviour from before to during the first COVID-19 lockdown in England, and whether changes differed by age, sex or social grade. Design Representative cross-sectional surveys of adults, collected monthly between August 2018 and July 2020. Setting England. Participants A total of 36 980 adults (≥ 18 years). Measurements Independent variables were survey month (pre-lockdown: August–February versus lockdown months: April–July) and year (pandemic: 2019/20 versus comparator: 2018/19). Smoking outcomes were smoking prevalence, cessation, quit attempts, quit success and use of evidence-based or remote cessation support. Drinking outcomes were high-risk drinking prevalence, alcohol reduction attempts and use of evidence-based or remote support. Moderators were age, sex and occupational social grade (ABC1 = more advantaged/C2DE = less advantaged). Findings Relative to changes during the same time period in 2018/19, lockdown was associated with significant increases in smoking prevalence [+24.7% in 2019/20 versus 0.0% in 2018/19, adjusted odds ratio (aOR) = 1.35, 95% confidence interval (CI) = 1.12–1.63] and quit attempts (+39.9 versus –22.2%, aOR = 2.48, 95% CI = 1.76–3.50) among 18–34-year-olds, but not older groups. Increases in cessation (+156.4 versus –12.5%, aOR = 3.08, 95% CI = 1.86–5.09) and the success rate of quit attempts (+99.2 versus +0.8%, aOR = 2.29, 95% CI = 1.31–3.98) were also observed, and did not differ significantly by age, sex or social grade. Lockdown was associated with a significant increase in high-risk drinking prevalence among all socio-demographic groups (+39.5 versus –7.8%, aOR = 1.80, 95% CI = 1.64–1.98), with particularly high increases among women (aOR = 2.17, 95% CI = 1.87–2.53) and social grades C2DE (aOR = 2.34, 95% CI = 2.00–2.74). Alcohol reduction attempts increased significantly among high-risk drinkers from social grades ABC1 (aOR = 2.31, 95% CI = 1.78–3.00) but not C2DE (aOR = 1.25, 95% CI = 0.83–1.88). There were few significant changes in use of support for smoking cessation or alcohol reduction, although samples were small. Conclusions In England, the first COVID-19 lockdown was associated with increased smoking prevalence among younger adults and increased high-risk drinking prevalence among all adults. Smoking cessation activity also increased: more younger smokers made quit attempts during lockdown and more smokers quit successfully. Socio-economic disparities in drinking behaviour were evident: high-risk drinking increased by more among women and those from less advantaged social grades (C2DE), but the rate of reduction attempts increased only among the more advantaged social grades (ABC1).","container-title":"Addiction","DOI":"10.1111/add.15656","ISSN":"1360-0443","issue":"3","language":"en","note":"_eprint: https://onlinelibrary.wiley.com/doi/pdf/10.1111/add.15656","page":"772-783","source":"Wiley Online Library","title":"Moderators of changes in smoking, drinking and quitting behaviour associated with the first COVID-19 lockdown in England","volume":"117","author":[{"family":"Jackson","given":"Sarah E."},{"family":"Beard","given":"Emma"},{"family":"Angus","given":"Colin"},{"family":"Field","given":"Matt"},{"family":"Brown","given":"Jamie"}],"issued":{"date-parts":[["2022"]]}}}],"schema":"https://github.com/citation-style-language/schema/raw/master/csl-citation.json"} </w:instrText>
      </w:r>
      <w:r w:rsidRPr="00F04A24">
        <w:rPr>
          <w:rFonts w:cstheme="minorHAnsi"/>
          <w:bCs/>
        </w:rPr>
        <w:fldChar w:fldCharType="separate"/>
      </w:r>
      <w:r w:rsidRPr="007B7018">
        <w:rPr>
          <w:rFonts w:ascii="Calibri" w:hAnsi="Calibri" w:cs="Calibri"/>
          <w:szCs w:val="24"/>
          <w:vertAlign w:val="superscript"/>
        </w:rPr>
        <w:t>1</w:t>
      </w:r>
      <w:r w:rsidRPr="00F04A24">
        <w:rPr>
          <w:rFonts w:cstheme="minorHAnsi"/>
          <w:bCs/>
        </w:rPr>
        <w:fldChar w:fldCharType="end"/>
      </w:r>
    </w:p>
    <w:p w14:paraId="22F96DE3" w14:textId="77777777" w:rsidR="00870EAE" w:rsidRPr="00F04A24" w:rsidRDefault="00870EAE" w:rsidP="00870EAE">
      <w:pPr>
        <w:spacing w:line="276" w:lineRule="auto"/>
      </w:pPr>
      <w:r w:rsidRPr="00F04A24">
        <w:rPr>
          <w:rFonts w:cs="Calibri"/>
        </w:rPr>
        <w:t xml:space="preserve">Data on changes in </w:t>
      </w:r>
      <w:r w:rsidRPr="00870EAE">
        <w:rPr>
          <w:rFonts w:cs="Calibri"/>
          <w:b/>
          <w:i/>
        </w:rPr>
        <w:t>uptake</w:t>
      </w:r>
      <w:r w:rsidRPr="00F04A24">
        <w:rPr>
          <w:rFonts w:cs="Calibri"/>
        </w:rPr>
        <w:t xml:space="preserve"> of smoking during the Covid-19 pandemic are scarce</w:t>
      </w:r>
      <w:r>
        <w:rPr>
          <w:rFonts w:cs="Calibri"/>
        </w:rPr>
        <w:t>. Sarich et al.’s meta-analysis</w:t>
      </w:r>
      <w:r w:rsidRPr="00F04A24">
        <w:rPr>
          <w:rFonts w:cs="Calibri"/>
        </w:rPr>
        <w:fldChar w:fldCharType="begin"/>
      </w:r>
      <w:r>
        <w:rPr>
          <w:rFonts w:cs="Calibri"/>
        </w:rPr>
        <w:instrText xml:space="preserve"> ADDIN ZOTERO_ITEM CSL_CITATION {"citationID":"3Wiu4ZjL","properties":{"formattedCitation":"\\super 2\\nosupersub{}","plainCitation":"2","noteIndex":0},"citationItems":[{"id":9740,"uris":["http://zotero.org/users/446899/items/WPHGKGTA"],"itemData":{"id":9740,"type":"article-journal","container-title":"eClinicalMedicine","DOI":"10.1016/j.eclinm.2022.101375","ISSN":"25895370","journalAbbreviation":"eClinicalMedicine","language":"en","page":"101375","source":"DOI.org (Crossref)","title":"Tobacco smoking changes during the first pre-vaccination phases of the COVID-19 pandemic: A systematic review and meta-analysis","title-short":"Tobacco smoking changes during the first pre-vaccination phases of the COVID-19 pandemic","volume":"47","author":[{"family":"Sarich","given":"Peter"},{"family":"Cabasag","given":"Citadel J"},{"family":"Liebermann","given":"Erica"},{"family":"Vaneckova","given":"Pavla"},{"family":"Carle","given":"Chelsea"},{"family":"Hughes","given":"Suzanne"},{"family":"Egger","given":"Sam"},{"family":"O'Connell","given":"Dianne L"},{"family":"Weber","given":"Marianne F"},{"family":"Costa","given":"Allini Mafra","non-dropping-particle":"da"},{"family":"Caruana","given":"Michael"},{"family":"Bray","given":"Freddie"},{"family":"Canfell","given":"Karen"},{"family":"Ginsburg","given":"Ophira"},{"family":"Steinberg","given":"Julia"},{"family":"Soerjomataram","given":"Isabelle"}],"issued":{"date-parts":[["2022",5]]}}}],"schema":"https://github.com/citation-style-language/schema/raw/master/csl-citation.json"} </w:instrText>
      </w:r>
      <w:r w:rsidRPr="00F04A24">
        <w:rPr>
          <w:rFonts w:cs="Calibri"/>
        </w:rPr>
        <w:fldChar w:fldCharType="separate"/>
      </w:r>
      <w:r w:rsidRPr="007B7018">
        <w:rPr>
          <w:rFonts w:ascii="Calibri" w:hAnsi="Calibri" w:cs="Calibri"/>
          <w:szCs w:val="24"/>
          <w:vertAlign w:val="superscript"/>
        </w:rPr>
        <w:t>2</w:t>
      </w:r>
      <w:r w:rsidRPr="00F04A24">
        <w:rPr>
          <w:rFonts w:cs="Calibri"/>
        </w:rPr>
        <w:fldChar w:fldCharType="end"/>
      </w:r>
      <w:r w:rsidRPr="00F04A24">
        <w:rPr>
          <w:rFonts w:cs="Calibri"/>
        </w:rPr>
        <w:t xml:space="preserve"> identified four studies that provided data on the proportion of smokers who started or restarted smoking during the pandemic; the pooled estimate was 2%, with a high degree of heterogeneity between studies (I</w:t>
      </w:r>
      <w:r w:rsidRPr="00F04A24">
        <w:rPr>
          <w:rFonts w:cs="Calibri"/>
          <w:vertAlign w:val="superscript"/>
        </w:rPr>
        <w:t>2</w:t>
      </w:r>
      <w:r>
        <w:rPr>
          <w:rFonts w:cs="Calibri"/>
        </w:rPr>
        <w:t>=</w:t>
      </w:r>
      <w:r w:rsidRPr="00F04A24">
        <w:rPr>
          <w:rFonts w:cs="Calibri"/>
        </w:rPr>
        <w:t>91.7%). All the studies used convenience sampling and were judged at high risk of bias. A survey of young people in Great Britain by Action on Smoking and Health showed no evidence of an incr</w:t>
      </w:r>
      <w:r>
        <w:rPr>
          <w:rFonts w:cs="Calibri"/>
        </w:rPr>
        <w:t>ease in uptake (indexed by ever-</w:t>
      </w:r>
      <w:r w:rsidRPr="00F04A24">
        <w:rPr>
          <w:rFonts w:cs="Calibri"/>
        </w:rPr>
        <w:t>use of cigarettes) among 11-17 year-olds</w:t>
      </w:r>
      <w:r>
        <w:rPr>
          <w:rFonts w:cs="Calibri"/>
        </w:rPr>
        <w:t>.</w:t>
      </w:r>
      <w:r w:rsidRPr="00F04A24">
        <w:rPr>
          <w:rFonts w:cs="Calibri"/>
        </w:rPr>
        <w:fldChar w:fldCharType="begin"/>
      </w:r>
      <w:r>
        <w:rPr>
          <w:rFonts w:cs="Calibri"/>
        </w:rPr>
        <w:instrText xml:space="preserve"> ADDIN ZOTERO_ITEM CSL_CITATION {"citationID":"Ac79YIMC","properties":{"formattedCitation":"\\super 5\\nosupersub{}","plainCitation":"5","noteIndex":0},"citationItems":[{"id":9926,"uris":["http://zotero.org/users/446899/items/8ZRT9UNT"],"itemData":{"id":9926,"type":"webpage","abstract":"This fact sheet examines evolving youth use of e-cigarettes in Great Britain in the context of changes in the regulation of e-cigarettes, and use of tobacco among adults and children.","container-title":"ASH","language":"en","title":"Use of e-cigarettes among young people in Great Britain","URL":"https://ash.org.uk/resources/view/use-of-e-cigarettes-among-young-people-in-great-britain","author":[{"family":"Action on Smoking and Health","given":""}],"accessed":{"date-parts":[["2022",9,1]]},"issued":{"date-parts":[["2022"]]}}}],"schema":"https://github.com/citation-style-language/schema/raw/master/csl-citation.json"} </w:instrText>
      </w:r>
      <w:r w:rsidRPr="00F04A24">
        <w:rPr>
          <w:rFonts w:cs="Calibri"/>
        </w:rPr>
        <w:fldChar w:fldCharType="separate"/>
      </w:r>
      <w:r w:rsidRPr="007B7018">
        <w:rPr>
          <w:rFonts w:ascii="Calibri" w:hAnsi="Calibri" w:cs="Calibri"/>
          <w:szCs w:val="24"/>
          <w:vertAlign w:val="superscript"/>
        </w:rPr>
        <w:t>5</w:t>
      </w:r>
      <w:r w:rsidRPr="00F04A24">
        <w:rPr>
          <w:rFonts w:cs="Calibri"/>
        </w:rPr>
        <w:fldChar w:fldCharType="end"/>
      </w:r>
      <w:r>
        <w:rPr>
          <w:rFonts w:cs="Calibri"/>
        </w:rPr>
        <w:t xml:space="preserve"> </w:t>
      </w:r>
      <w:r w:rsidRPr="00F04A24">
        <w:rPr>
          <w:rFonts w:cs="Calibri"/>
        </w:rPr>
        <w:t>Analysing changes in smoking prevalence among young adults could offer insight into any impact of the pandemic on uptake, as increases in prevalence in this age group would likely be largely driven by uptake rather than relapse.</w:t>
      </w:r>
    </w:p>
    <w:p w14:paraId="55F96279" w14:textId="77777777" w:rsidR="00870EAE" w:rsidRPr="00F04A24" w:rsidRDefault="00870EAE" w:rsidP="00870EAE">
      <w:pPr>
        <w:spacing w:line="276" w:lineRule="auto"/>
        <w:rPr>
          <w:rFonts w:cstheme="minorHAnsi"/>
          <w:bCs/>
        </w:rPr>
      </w:pPr>
      <w:r w:rsidRPr="00F04A24">
        <w:rPr>
          <w:rFonts w:cstheme="minorHAnsi"/>
          <w:bCs/>
        </w:rPr>
        <w:t xml:space="preserve">More data are available on </w:t>
      </w:r>
      <w:r w:rsidRPr="00870EAE">
        <w:rPr>
          <w:rFonts w:cstheme="minorHAnsi"/>
          <w:b/>
          <w:bCs/>
          <w:i/>
        </w:rPr>
        <w:t>quitting</w:t>
      </w:r>
      <w:r w:rsidRPr="00F04A24">
        <w:rPr>
          <w:rFonts w:cstheme="minorHAnsi"/>
          <w:bCs/>
        </w:rPr>
        <w:t>, with studies indicating the pandemic may have prompted many smokers to stop. The Smoking Toolkit Study showed substantial increases in the overall rate of cessation among smokers (from 3.9% in August 2019 to February 2020 to 10.0% in April to July 2020) and the success rate of quit</w:t>
      </w:r>
      <w:r>
        <w:rPr>
          <w:rFonts w:cstheme="minorHAnsi"/>
          <w:bCs/>
        </w:rPr>
        <w:t xml:space="preserve"> attempts (from 12.7% to 25.3%).</w:t>
      </w:r>
      <w:r w:rsidRPr="00F04A24">
        <w:rPr>
          <w:rFonts w:cstheme="minorHAnsi"/>
          <w:bCs/>
        </w:rPr>
        <w:fldChar w:fldCharType="begin"/>
      </w:r>
      <w:r>
        <w:rPr>
          <w:rFonts w:cstheme="minorHAnsi"/>
          <w:bCs/>
        </w:rPr>
        <w:instrText xml:space="preserve"> ADDIN ZOTERO_ITEM CSL_CITATION {"citationID":"nNvQTusp","properties":{"formattedCitation":"\\super 1\\nosupersub{}","plainCitation":"1","noteIndex":0},"citationItems":[{"id":9425,"uris":["http://zotero.org/users/446899/items/GD8K8W5V"],"itemData":{"id":9425,"type":"article-journal","abstract":"Aim To estimate changes in smoking, drinking and quitting behaviour from before to during the first COVID-19 lockdown in England, and whether changes differed by age, sex or social grade. Design Representative cross-sectional surveys of adults, collected monthly between August 2018 and July 2020. Setting England. Participants A total of 36 980 adults (≥ 18 years). Measurements Independent variables were survey month (pre-lockdown: August–February versus lockdown months: April–July) and year (pandemic: 2019/20 versus comparator: 2018/19). Smoking outcomes were smoking prevalence, cessation, quit attempts, quit success and use of evidence-based or remote cessation support. Drinking outcomes were high-risk drinking prevalence, alcohol reduction attempts and use of evidence-based or remote support. Moderators were age, sex and occupational social grade (ABC1 = more advantaged/C2DE = less advantaged). Findings Relative to changes during the same time period in 2018/19, lockdown was associated with significant increases in smoking prevalence [+24.7% in 2019/20 versus 0.0% in 2018/19, adjusted odds ratio (aOR) = 1.35, 95% confidence interval (CI) = 1.12–1.63] and quit attempts (+39.9 versus –22.2%, aOR = 2.48, 95% CI = 1.76–3.50) among 18–34-year-olds, but not older groups. Increases in cessation (+156.4 versus –12.5%, aOR = 3.08, 95% CI = 1.86–5.09) and the success rate of quit attempts (+99.2 versus +0.8%, aOR = 2.29, 95% CI = 1.31–3.98) were also observed, and did not differ significantly by age, sex or social grade. Lockdown was associated with a significant increase in high-risk drinking prevalence among all socio-demographic groups (+39.5 versus –7.8%, aOR = 1.80, 95% CI = 1.64–1.98), with particularly high increases among women (aOR = 2.17, 95% CI = 1.87–2.53) and social grades C2DE (aOR = 2.34, 95% CI = 2.00–2.74). Alcohol reduction attempts increased significantly among high-risk drinkers from social grades ABC1 (aOR = 2.31, 95% CI = 1.78–3.00) but not C2DE (aOR = 1.25, 95% CI = 0.83–1.88). There were few significant changes in use of support for smoking cessation or alcohol reduction, although samples were small. Conclusions In England, the first COVID-19 lockdown was associated with increased smoking prevalence among younger adults and increased high-risk drinking prevalence among all adults. Smoking cessation activity also increased: more younger smokers made quit attempts during lockdown and more smokers quit successfully. Socio-economic disparities in drinking behaviour were evident: high-risk drinking increased by more among women and those from less advantaged social grades (C2DE), but the rate of reduction attempts increased only among the more advantaged social grades (ABC1).","container-title":"Addiction","DOI":"10.1111/add.15656","ISSN":"1360-0443","issue":"3","language":"en","note":"_eprint: https://onlinelibrary.wiley.com/doi/pdf/10.1111/add.15656","page":"772-783","source":"Wiley Online Library","title":"Moderators of changes in smoking, drinking and quitting behaviour associated with the first COVID-19 lockdown in England","volume":"117","author":[{"family":"Jackson","given":"Sarah E."},{"family":"Beard","given":"Emma"},{"family":"Angus","given":"Colin"},{"family":"Field","given":"Matt"},{"family":"Brown","given":"Jamie"}],"issued":{"date-parts":[["2022"]]}}}],"schema":"https://github.com/citation-style-language/schema/raw/master/csl-citation.json"} </w:instrText>
      </w:r>
      <w:r w:rsidRPr="00F04A24">
        <w:rPr>
          <w:rFonts w:cstheme="minorHAnsi"/>
          <w:bCs/>
        </w:rPr>
        <w:fldChar w:fldCharType="separate"/>
      </w:r>
      <w:r w:rsidRPr="007B7018">
        <w:rPr>
          <w:rFonts w:ascii="Calibri" w:hAnsi="Calibri" w:cs="Calibri"/>
          <w:szCs w:val="24"/>
          <w:vertAlign w:val="superscript"/>
        </w:rPr>
        <w:t>1</w:t>
      </w:r>
      <w:r w:rsidRPr="00F04A24">
        <w:rPr>
          <w:rFonts w:cstheme="minorHAnsi"/>
          <w:bCs/>
        </w:rPr>
        <w:fldChar w:fldCharType="end"/>
      </w:r>
      <w:r w:rsidRPr="00F04A24">
        <w:rPr>
          <w:rFonts w:cstheme="minorHAnsi"/>
          <w:bCs/>
        </w:rPr>
        <w:t xml:space="preserve"> </w:t>
      </w:r>
      <w:r>
        <w:rPr>
          <w:rFonts w:cstheme="minorHAnsi"/>
          <w:bCs/>
        </w:rPr>
        <w:t>T</w:t>
      </w:r>
      <w:r w:rsidRPr="00F04A24">
        <w:rPr>
          <w:rFonts w:cstheme="minorHAnsi"/>
          <w:bCs/>
        </w:rPr>
        <w:t>he proportion of younger smokers (18-34 years) who reported making a serious attempt to quit increased by 39.9% (from 32.1% to 44.9%)</w:t>
      </w:r>
      <w:r>
        <w:rPr>
          <w:rFonts w:cstheme="minorHAnsi"/>
          <w:bCs/>
        </w:rPr>
        <w:t>.</w:t>
      </w:r>
      <w:r w:rsidRPr="00F04A24">
        <w:rPr>
          <w:rFonts w:cstheme="minorHAnsi"/>
          <w:bCs/>
        </w:rPr>
        <w:fldChar w:fldCharType="begin"/>
      </w:r>
      <w:r>
        <w:rPr>
          <w:rFonts w:cstheme="minorHAnsi"/>
          <w:bCs/>
        </w:rPr>
        <w:instrText xml:space="preserve"> ADDIN ZOTERO_ITEM CSL_CITATION {"citationID":"dhGMMf6x","properties":{"formattedCitation":"\\super 1\\nosupersub{}","plainCitation":"1","noteIndex":0},"citationItems":[{"id":9425,"uris":["http://zotero.org/users/446899/items/GD8K8W5V"],"itemData":{"id":9425,"type":"article-journal","abstract":"Aim To estimate changes in smoking, drinking and quitting behaviour from before to during the first COVID-19 lockdown in England, and whether changes differed by age, sex or social grade. Design Representative cross-sectional surveys of adults, collected monthly between August 2018 and July 2020. Setting England. Participants A total of 36 980 adults (≥ 18 years). Measurements Independent variables were survey month (pre-lockdown: August–February versus lockdown months: April–July) and year (pandemic: 2019/20 versus comparator: 2018/19). Smoking outcomes were smoking prevalence, cessation, quit attempts, quit success and use of evidence-based or remote cessation support. Drinking outcomes were high-risk drinking prevalence, alcohol reduction attempts and use of evidence-based or remote support. Moderators were age, sex and occupational social grade (ABC1 = more advantaged/C2DE = less advantaged). Findings Relative to changes during the same time period in 2018/19, lockdown was associated with significant increases in smoking prevalence [+24.7% in 2019/20 versus 0.0% in 2018/19, adjusted odds ratio (aOR) = 1.35, 95% confidence interval (CI) = 1.12–1.63] and quit attempts (+39.9 versus –22.2%, aOR = 2.48, 95% CI = 1.76–3.50) among 18–34-year-olds, but not older groups. Increases in cessation (+156.4 versus –12.5%, aOR = 3.08, 95% CI = 1.86–5.09) and the success rate of quit attempts (+99.2 versus +0.8%, aOR = 2.29, 95% CI = 1.31–3.98) were also observed, and did not differ significantly by age, sex or social grade. Lockdown was associated with a significant increase in high-risk drinking prevalence among all socio-demographic groups (+39.5 versus –7.8%, aOR = 1.80, 95% CI = 1.64–1.98), with particularly high increases among women (aOR = 2.17, 95% CI = 1.87–2.53) and social grades C2DE (aOR = 2.34, 95% CI = 2.00–2.74). Alcohol reduction attempts increased significantly among high-risk drinkers from social grades ABC1 (aOR = 2.31, 95% CI = 1.78–3.00) but not C2DE (aOR = 1.25, 95% CI = 0.83–1.88). There were few significant changes in use of support for smoking cessation or alcohol reduction, although samples were small. Conclusions In England, the first COVID-19 lockdown was associated with increased smoking prevalence among younger adults and increased high-risk drinking prevalence among all adults. Smoking cessation activity also increased: more younger smokers made quit attempts during lockdown and more smokers quit successfully. Socio-economic disparities in drinking behaviour were evident: high-risk drinking increased by more among women and those from less advantaged social grades (C2DE), but the rate of reduction attempts increased only among the more advantaged social grades (ABC1).","container-title":"Addiction","DOI":"10.1111/add.15656","ISSN":"1360-0443","issue":"3","language":"en","note":"_eprint: https://onlinelibrary.wiley.com/doi/pdf/10.1111/add.15656","page":"772-783","source":"Wiley Online Library","title":"Moderators of changes in smoking, drinking and quitting behaviour associated with the first COVID-19 lockdown in England","volume":"117","author":[{"family":"Jackson","given":"Sarah E."},{"family":"Beard","given":"Emma"},{"family":"Angus","given":"Colin"},{"family":"Field","given":"Matt"},{"family":"Brown","given":"Jamie"}],"issued":{"date-parts":[["2022"]]}}}],"schema":"https://github.com/citation-style-language/schema/raw/master/csl-citation.json"} </w:instrText>
      </w:r>
      <w:r w:rsidRPr="00F04A24">
        <w:rPr>
          <w:rFonts w:cstheme="minorHAnsi"/>
          <w:bCs/>
        </w:rPr>
        <w:fldChar w:fldCharType="separate"/>
      </w:r>
      <w:r w:rsidRPr="007B7018">
        <w:rPr>
          <w:rFonts w:ascii="Calibri" w:hAnsi="Calibri" w:cs="Calibri"/>
          <w:szCs w:val="24"/>
          <w:vertAlign w:val="superscript"/>
        </w:rPr>
        <w:t>1</w:t>
      </w:r>
      <w:r w:rsidRPr="00F04A24">
        <w:rPr>
          <w:rFonts w:cstheme="minorHAnsi"/>
          <w:bCs/>
        </w:rPr>
        <w:fldChar w:fldCharType="end"/>
      </w:r>
      <w:r w:rsidRPr="00F04A24">
        <w:rPr>
          <w:rFonts w:cstheme="minorHAnsi"/>
          <w:bCs/>
        </w:rPr>
        <w:t xml:space="preserve"> The ITC Four Country survey conducted in April-June 2020 found almost half (46.7%) of current smokers had thought about quitting because of Covid-19</w:t>
      </w:r>
      <w:r>
        <w:rPr>
          <w:rFonts w:cstheme="minorHAnsi"/>
          <w:bCs/>
        </w:rPr>
        <w:t>.</w:t>
      </w:r>
      <w:r w:rsidRPr="00F04A24">
        <w:rPr>
          <w:rFonts w:cstheme="minorHAnsi"/>
          <w:bCs/>
        </w:rPr>
        <w:fldChar w:fldCharType="begin"/>
      </w:r>
      <w:r>
        <w:rPr>
          <w:rFonts w:cstheme="minorHAnsi"/>
          <w:bCs/>
        </w:rPr>
        <w:instrText xml:space="preserve"> ADDIN ZOTERO_ITEM CSL_CITATION {"citationID":"yiUXYD9f","properties":{"formattedCitation":"\\super 3\\nosupersub{}","plainCitation":"3","noteIndex":0},"citationItems":[{"id":9639,"uris":["http://zotero.org/users/446899/items/WBCJQP8V"],"itemData":{"id":9639,"type":"article-journal","abstract":"Introduction COVID-19 is primarily a respiratory illness, and smoking adversely impacts the respiratory and immune systems; this confluence may therefore incentivize smokers to quit. The present study, conducted in four high-income countries during the first global wave of COVID-19, examined the association between COVID-19 and: (1) thoughts about quitting smoking; (2) changes in smoking (quit attempt, reduced or increased smoking, or no change); and (3) factors related to a positive change (making a quit attempt or reducing smoking) based on an adapted framework of the Health Belief Model. Methods This cross-sectional study included 6870 adult smokers participating in the Wave 3 (2020) ITC Four Country Smoking and Vaping Survey conducted in Australia, Canada, England, and United States (US). These four countries had varying responses to the pandemic by governments and public health, ranging from advising voluntary social distancing to implementing national and subnational staged lockdowns. Considering these varying responses, and the differences in the number of confirmed cases and deaths (greatest in England and the US and lowest in Australia), smoking behaviours related to COVID-19 may have differed between countries. Other factors that may be related to changes in smoking because of COVID-19 were also explored (e.g., sociodemographics, nicotine dependence, perceptions about personal and general risks of smoking on COVID-19). Regression analyses were conducted on weighted data. Results Overall, 46.7% of smokers reported thinking about quitting because of COVID-19, which differed by country (p&lt;0.001): England highest (50.9%) and Australia lowest (37.6%). Thinking about quitting smoking because of COVID-19 was more frequent among: females, ethnic minorities, those with financial stress, current vapers, less dependent smokers (non-daily and fewer cigarettes smoked/day), those with greater concern about personal susceptibility of infection, and those who believe COVID-19 is more severe for smokers. Smoking behaviour changes due to COVID-19 were: 1.1% attempted to quit, 14.2% reduced smoking, and 14.6% increased smoking (70.2% reported no change). Positive behaviour change (tried to quit/reduced smoking) was reported by 15.5% of smokers, which differed by country (p = 0.02), where Australia had significantly lower rates than the other three countries. A positive behavioural smoking change was more likely among smokers with: lower dependence, greater concern about personal susceptibility to infection, and believing that COVID-19 is more severe for smokers. Conclusions Though nearly half of smokers reported thinking about quitting because of COVID-19, the vast majority did not change their smoking behaviour. Smokers were more likely to try and quit or reduce their smoking if they had greater concern about susceptibility and severity of COVID-19 related to smoking. Smokers in Australia were least likely to reduce or try to quit smoking, which could be related to the significantly lower impact of COVID-19 during the early phase of the pandemic relative to the other countries.","container-title":"PLOS ONE","DOI":"10.1371/journal.pone.0252427","ISSN":"1932-6203","issue":"6","journalAbbreviation":"PLOS ONE","language":"en","note":"publisher: Public Library of Science","page":"e0252427","source":"PLoS Journals","title":"Smokers’ cognitive and behavioural reactions during the early phase of the COVID-19 pandemic: Findings from the 2020 ITC Four Country Smoking and Vaping Survey","title-short":"Smokers’ cognitive and behavioural reactions during the early phase of the COVID-19 pandemic","volume":"16","author":[{"family":"Gravely","given":"Shannon"},{"family":"Craig","given":"Lorraine V."},{"family":"Cummings","given":"K. Michael"},{"family":"Ouimet","given":"Janine"},{"family":"Loewen","given":"Ruth"},{"family":"Martin","given":"Nadia"},{"family":"Chung-Hall","given":"Janet"},{"family":"Driezen","given":"Pete"},{"family":"Hitchman","given":"Sara C."},{"family":"McNeill","given":"Ann"},{"family":"Hyland","given":"Andrew"},{"family":"Quah","given":"Anne C. K."},{"family":"O’Connor","given":"Richard J."},{"family":"Borland","given":"Ron"},{"family":"Thompson","given":"Mary E."},{"family":"Boudreau","given":"Christian"},{"family":"Fong","given":"Geoffrey T."}],"issued":{"date-parts":[["2021",6,4]]}}}],"schema":"https://github.com/citation-style-language/schema/raw/master/csl-citation.json"} </w:instrText>
      </w:r>
      <w:r w:rsidRPr="00F04A24">
        <w:rPr>
          <w:rFonts w:cstheme="minorHAnsi"/>
          <w:bCs/>
        </w:rPr>
        <w:fldChar w:fldCharType="separate"/>
      </w:r>
      <w:r w:rsidRPr="007B7018">
        <w:rPr>
          <w:rFonts w:ascii="Calibri" w:hAnsi="Calibri" w:cs="Calibri"/>
          <w:szCs w:val="24"/>
          <w:vertAlign w:val="superscript"/>
        </w:rPr>
        <w:t>3</w:t>
      </w:r>
      <w:r w:rsidRPr="00F04A24">
        <w:rPr>
          <w:rFonts w:cstheme="minorHAnsi"/>
          <w:bCs/>
        </w:rPr>
        <w:fldChar w:fldCharType="end"/>
      </w:r>
      <w:r w:rsidRPr="00F04A24">
        <w:rPr>
          <w:rFonts w:cstheme="minorHAnsi"/>
          <w:bCs/>
        </w:rPr>
        <w:t xml:space="preserve"> Roughly equal proportions reported having reduced (14.2%) or increased (14.6%) the amount they smoked since the coronavirus outbreak. Smokers who reported positive behaviour change (quit attempt/reduction) tended to be less dependent, more concerned about personal susceptibility to infection, and were more likely to believe that Covid-19 is more severe for smokers. There was substantial between-country variation: smokers in Australia were less likely than </w:t>
      </w:r>
      <w:r w:rsidRPr="00F04A24">
        <w:rPr>
          <w:rFonts w:cstheme="minorHAnsi"/>
          <w:bCs/>
        </w:rPr>
        <w:lastRenderedPageBreak/>
        <w:t>those in England, Canada, or the United States to have tried to quit or reduced their smoking, which may be attributable to the significantly lower impact of Covid-19 on Australia during the early stages of the pandemic. It is not clear whether the pandemic has had an influence on the frequency of quit attempts.</w:t>
      </w:r>
    </w:p>
    <w:p w14:paraId="5B43A0F6" w14:textId="77777777" w:rsidR="00870EAE" w:rsidRPr="00F04A24" w:rsidRDefault="00870EAE" w:rsidP="00870EAE">
      <w:pPr>
        <w:tabs>
          <w:tab w:val="left" w:pos="5235"/>
        </w:tabs>
        <w:spacing w:line="276" w:lineRule="auto"/>
        <w:rPr>
          <w:rFonts w:cstheme="minorHAnsi"/>
          <w:bCs/>
        </w:rPr>
      </w:pPr>
      <w:r w:rsidRPr="00F04A24">
        <w:rPr>
          <w:rFonts w:cstheme="minorHAnsi"/>
          <w:bCs/>
        </w:rPr>
        <w:t xml:space="preserve">There is limited evidence on changes in </w:t>
      </w:r>
      <w:r w:rsidRPr="00870EAE">
        <w:rPr>
          <w:rFonts w:cstheme="minorHAnsi"/>
          <w:b/>
          <w:bCs/>
          <w:i/>
        </w:rPr>
        <w:t>use of cessation support</w:t>
      </w:r>
      <w:r w:rsidRPr="00F04A24">
        <w:rPr>
          <w:rFonts w:cstheme="minorHAnsi"/>
          <w:bCs/>
        </w:rPr>
        <w:t xml:space="preserve"> since the start of the pandemic among smokers who have tried to quit. The Smoking Toolkit Study showed an increase in the proportion of smokers </w:t>
      </w:r>
      <w:r>
        <w:rPr>
          <w:rFonts w:cstheme="minorHAnsi"/>
          <w:bCs/>
        </w:rPr>
        <w:t>making</w:t>
      </w:r>
      <w:r w:rsidRPr="00F04A24">
        <w:rPr>
          <w:rFonts w:cstheme="minorHAnsi"/>
          <w:bCs/>
        </w:rPr>
        <w:t xml:space="preserve"> a quit attempt using remote support (telephone support</w:t>
      </w:r>
      <w:r>
        <w:rPr>
          <w:rFonts w:cstheme="minorHAnsi"/>
          <w:bCs/>
        </w:rPr>
        <w:t>/</w:t>
      </w:r>
      <w:r w:rsidRPr="00F04A24">
        <w:rPr>
          <w:rFonts w:cstheme="minorHAnsi"/>
          <w:bCs/>
        </w:rPr>
        <w:t>websites</w:t>
      </w:r>
      <w:r>
        <w:rPr>
          <w:rFonts w:cstheme="minorHAnsi"/>
          <w:bCs/>
        </w:rPr>
        <w:t>/</w:t>
      </w:r>
      <w:r w:rsidRPr="00F04A24">
        <w:rPr>
          <w:rFonts w:cstheme="minorHAnsi"/>
          <w:bCs/>
        </w:rPr>
        <w:t>apps; from 2.4% in August 2019 to February 2020 to 6.8% in April to July 2020) and a decline in the proportion using evidence-based support (defined as face-to-face behavioural support, prescription medication [varenicline, bupropion, or nicotine replacement therapy (NRT)], e-cigarettes, or over</w:t>
      </w:r>
      <w:r>
        <w:rPr>
          <w:rFonts w:cstheme="minorHAnsi"/>
          <w:bCs/>
        </w:rPr>
        <w:t>-</w:t>
      </w:r>
      <w:r w:rsidRPr="00F04A24">
        <w:rPr>
          <w:rFonts w:cstheme="minorHAnsi"/>
          <w:bCs/>
        </w:rPr>
        <w:t>the</w:t>
      </w:r>
      <w:r>
        <w:rPr>
          <w:rFonts w:cstheme="minorHAnsi"/>
          <w:bCs/>
        </w:rPr>
        <w:t>-</w:t>
      </w:r>
      <w:r w:rsidRPr="00F04A24">
        <w:rPr>
          <w:rFonts w:cstheme="minorHAnsi"/>
          <w:bCs/>
        </w:rPr>
        <w:t>counter</w:t>
      </w:r>
      <w:r>
        <w:rPr>
          <w:rFonts w:cstheme="minorHAnsi"/>
          <w:bCs/>
        </w:rPr>
        <w:t xml:space="preserve"> NRT</w:t>
      </w:r>
      <w:r w:rsidRPr="00F04A24">
        <w:rPr>
          <w:rFonts w:cstheme="minorHAnsi"/>
          <w:bCs/>
        </w:rPr>
        <w:t>; from 53.8% to 44.8%), but these changes were not statistically significant over and above changes over the same period a year earlier</w:t>
      </w:r>
      <w:r>
        <w:rPr>
          <w:rFonts w:cstheme="minorHAnsi"/>
          <w:bCs/>
        </w:rPr>
        <w:t>.</w:t>
      </w:r>
      <w:r w:rsidRPr="00F04A24">
        <w:rPr>
          <w:rFonts w:cstheme="minorHAnsi"/>
          <w:bCs/>
        </w:rPr>
        <w:fldChar w:fldCharType="begin"/>
      </w:r>
      <w:r>
        <w:rPr>
          <w:rFonts w:cstheme="minorHAnsi"/>
          <w:bCs/>
        </w:rPr>
        <w:instrText xml:space="preserve"> ADDIN ZOTERO_ITEM CSL_CITATION {"citationID":"bktfkxa6","properties":{"formattedCitation":"\\super 1\\nosupersub{}","plainCitation":"1","noteIndex":0},"citationItems":[{"id":9425,"uris":["http://zotero.org/users/446899/items/GD8K8W5V"],"itemData":{"id":9425,"type":"article-journal","abstract":"Aim To estimate changes in smoking, drinking and quitting behaviour from before to during the first COVID-19 lockdown in England, and whether changes differed by age, sex or social grade. Design Representative cross-sectional surveys of adults, collected monthly between August 2018 and July 2020. Setting England. Participants A total of 36 980 adults (≥ 18 years). Measurements Independent variables were survey month (pre-lockdown: August–February versus lockdown months: April–July) and year (pandemic: 2019/20 versus comparator: 2018/19). Smoking outcomes were smoking prevalence, cessation, quit attempts, quit success and use of evidence-based or remote cessation support. Drinking outcomes were high-risk drinking prevalence, alcohol reduction attempts and use of evidence-based or remote support. Moderators were age, sex and occupational social grade (ABC1 = more advantaged/C2DE = less advantaged). Findings Relative to changes during the same time period in 2018/19, lockdown was associated with significant increases in smoking prevalence [+24.7% in 2019/20 versus 0.0% in 2018/19, adjusted odds ratio (aOR) = 1.35, 95% confidence interval (CI) = 1.12–1.63] and quit attempts (+39.9 versus –22.2%, aOR = 2.48, 95% CI = 1.76–3.50) among 18–34-year-olds, but not older groups. Increases in cessation (+156.4 versus –12.5%, aOR = 3.08, 95% CI = 1.86–5.09) and the success rate of quit attempts (+99.2 versus +0.8%, aOR = 2.29, 95% CI = 1.31–3.98) were also observed, and did not differ significantly by age, sex or social grade. Lockdown was associated with a significant increase in high-risk drinking prevalence among all socio-demographic groups (+39.5 versus –7.8%, aOR = 1.80, 95% CI = 1.64–1.98), with particularly high increases among women (aOR = 2.17, 95% CI = 1.87–2.53) and social grades C2DE (aOR = 2.34, 95% CI = 2.00–2.74). Alcohol reduction attempts increased significantly among high-risk drinkers from social grades ABC1 (aOR = 2.31, 95% CI = 1.78–3.00) but not C2DE (aOR = 1.25, 95% CI = 0.83–1.88). There were few significant changes in use of support for smoking cessation or alcohol reduction, although samples were small. Conclusions In England, the first COVID-19 lockdown was associated with increased smoking prevalence among younger adults and increased high-risk drinking prevalence among all adults. Smoking cessation activity also increased: more younger smokers made quit attempts during lockdown and more smokers quit successfully. Socio-economic disparities in drinking behaviour were evident: high-risk drinking increased by more among women and those from less advantaged social grades (C2DE), but the rate of reduction attempts increased only among the more advantaged social grades (ABC1).","container-title":"Addiction","DOI":"10.1111/add.15656","ISSN":"1360-0443","issue":"3","language":"en","note":"_eprint: https://onlinelibrary.wiley.com/doi/pdf/10.1111/add.15656","page":"772-783","source":"Wiley Online Library","title":"Moderators of changes in smoking, drinking and quitting behaviour associated with the first COVID-19 lockdown in England","volume":"117","author":[{"family":"Jackson","given":"Sarah E."},{"family":"Beard","given":"Emma"},{"family":"Angus","given":"Colin"},{"family":"Field","given":"Matt"},{"family":"Brown","given":"Jamie"}],"issued":{"date-parts":[["2022"]]}}}],"schema":"https://github.com/citation-style-language/schema/raw/master/csl-citation.json"} </w:instrText>
      </w:r>
      <w:r w:rsidRPr="00F04A24">
        <w:rPr>
          <w:rFonts w:cstheme="minorHAnsi"/>
          <w:bCs/>
        </w:rPr>
        <w:fldChar w:fldCharType="separate"/>
      </w:r>
      <w:r w:rsidRPr="007B7018">
        <w:rPr>
          <w:rFonts w:ascii="Calibri" w:hAnsi="Calibri" w:cs="Calibri"/>
          <w:szCs w:val="24"/>
          <w:vertAlign w:val="superscript"/>
        </w:rPr>
        <w:t>1</w:t>
      </w:r>
      <w:r w:rsidRPr="00F04A24">
        <w:rPr>
          <w:rFonts w:cstheme="minorHAnsi"/>
          <w:bCs/>
        </w:rPr>
        <w:fldChar w:fldCharType="end"/>
      </w:r>
      <w:r w:rsidRPr="00F04A24">
        <w:rPr>
          <w:rFonts w:cstheme="minorHAnsi"/>
          <w:bCs/>
        </w:rPr>
        <w:t xml:space="preserve"> These analyses were limited by the small number of smokers rep</w:t>
      </w:r>
      <w:r>
        <w:rPr>
          <w:rFonts w:cstheme="minorHAnsi"/>
          <w:bCs/>
        </w:rPr>
        <w:t>orting a past-year quit attempt,</w:t>
      </w:r>
      <w:r w:rsidRPr="00F04A24">
        <w:rPr>
          <w:rFonts w:cstheme="minorHAnsi"/>
          <w:bCs/>
        </w:rPr>
        <w:fldChar w:fldCharType="begin"/>
      </w:r>
      <w:r>
        <w:rPr>
          <w:rFonts w:cstheme="minorHAnsi"/>
          <w:bCs/>
        </w:rPr>
        <w:instrText xml:space="preserve"> ADDIN ZOTERO_ITEM CSL_CITATION {"citationID":"HEwO3lsX","properties":{"formattedCitation":"\\super 1\\nosupersub{}","plainCitation":"1","noteIndex":0},"citationItems":[{"id":9425,"uris":["http://zotero.org/users/446899/items/GD8K8W5V"],"itemData":{"id":9425,"type":"article-journal","abstract":"Aim To estimate changes in smoking, drinking and quitting behaviour from before to during the first COVID-19 lockdown in England, and whether changes differed by age, sex or social grade. Design Representative cross-sectional surveys of adults, collected monthly between August 2018 and July 2020. Setting England. Participants A total of 36 980 adults (≥ 18 years). Measurements Independent variables were survey month (pre-lockdown: August–February versus lockdown months: April–July) and year (pandemic: 2019/20 versus comparator: 2018/19). Smoking outcomes were smoking prevalence, cessation, quit attempts, quit success and use of evidence-based or remote cessation support. Drinking outcomes were high-risk drinking prevalence, alcohol reduction attempts and use of evidence-based or remote support. Moderators were age, sex and occupational social grade (ABC1 = more advantaged/C2DE = less advantaged). Findings Relative to changes during the same time period in 2018/19, lockdown was associated with significant increases in smoking prevalence [+24.7% in 2019/20 versus 0.0% in 2018/19, adjusted odds ratio (aOR) = 1.35, 95% confidence interval (CI) = 1.12–1.63] and quit attempts (+39.9 versus –22.2%, aOR = 2.48, 95% CI = 1.76–3.50) among 18–34-year-olds, but not older groups. Increases in cessation (+156.4 versus –12.5%, aOR = 3.08, 95% CI = 1.86–5.09) and the success rate of quit attempts (+99.2 versus +0.8%, aOR = 2.29, 95% CI = 1.31–3.98) were also observed, and did not differ significantly by age, sex or social grade. Lockdown was associated with a significant increase in high-risk drinking prevalence among all socio-demographic groups (+39.5 versus –7.8%, aOR = 1.80, 95% CI = 1.64–1.98), with particularly high increases among women (aOR = 2.17, 95% CI = 1.87–2.53) and social grades C2DE (aOR = 2.34, 95% CI = 2.00–2.74). Alcohol reduction attempts increased significantly among high-risk drinkers from social grades ABC1 (aOR = 2.31, 95% CI = 1.78–3.00) but not C2DE (aOR = 1.25, 95% CI = 0.83–1.88). There were few significant changes in use of support for smoking cessation or alcohol reduction, although samples were small. Conclusions In England, the first COVID-19 lockdown was associated with increased smoking prevalence among younger adults and increased high-risk drinking prevalence among all adults. Smoking cessation activity also increased: more younger smokers made quit attempts during lockdown and more smokers quit successfully. Socio-economic disparities in drinking behaviour were evident: high-risk drinking increased by more among women and those from less advantaged social grades (C2DE), but the rate of reduction attempts increased only among the more advantaged social grades (ABC1).","container-title":"Addiction","DOI":"10.1111/add.15656","ISSN":"1360-0443","issue":"3","language":"en","note":"_eprint: https://onlinelibrary.wiley.com/doi/pdf/10.1111/add.15656","page":"772-783","source":"Wiley Online Library","title":"Moderators of changes in smoking, drinking and quitting behaviour associated with the first COVID-19 lockdown in England","volume":"117","author":[{"family":"Jackson","given":"Sarah E."},{"family":"Beard","given":"Emma"},{"family":"Angus","given":"Colin"},{"family":"Field","given":"Matt"},{"family":"Brown","given":"Jamie"}],"issued":{"date-parts":[["2022"]]}}}],"schema":"https://github.com/citation-style-language/schema/raw/master/csl-citation.json"} </w:instrText>
      </w:r>
      <w:r w:rsidRPr="00F04A24">
        <w:rPr>
          <w:rFonts w:cstheme="minorHAnsi"/>
          <w:bCs/>
        </w:rPr>
        <w:fldChar w:fldCharType="separate"/>
      </w:r>
      <w:r w:rsidRPr="007B7018">
        <w:rPr>
          <w:rFonts w:ascii="Calibri" w:hAnsi="Calibri" w:cs="Calibri"/>
          <w:szCs w:val="24"/>
          <w:vertAlign w:val="superscript"/>
        </w:rPr>
        <w:t>1</w:t>
      </w:r>
      <w:r w:rsidRPr="00F04A24">
        <w:rPr>
          <w:rFonts w:cstheme="minorHAnsi"/>
          <w:bCs/>
        </w:rPr>
        <w:fldChar w:fldCharType="end"/>
      </w:r>
      <w:r w:rsidRPr="00F04A24">
        <w:rPr>
          <w:rFonts w:cstheme="minorHAnsi"/>
          <w:bCs/>
        </w:rPr>
        <w:t xml:space="preserve"> so cannot be considered conclusive.</w:t>
      </w:r>
    </w:p>
    <w:p w14:paraId="4C82D183" w14:textId="77777777" w:rsidR="00870EAE" w:rsidRPr="00F04A24" w:rsidRDefault="00870EAE" w:rsidP="00870EAE">
      <w:pPr>
        <w:tabs>
          <w:tab w:val="left" w:pos="5235"/>
        </w:tabs>
        <w:spacing w:line="276" w:lineRule="auto"/>
        <w:rPr>
          <w:rFonts w:cstheme="minorHAnsi"/>
          <w:bCs/>
        </w:rPr>
      </w:pPr>
      <w:r w:rsidRPr="00F04A24">
        <w:rPr>
          <w:rFonts w:cstheme="minorHAnsi"/>
          <w:bCs/>
        </w:rPr>
        <w:t xml:space="preserve">Finally, relatively little is known about what impact the pandemic has had on </w:t>
      </w:r>
      <w:r w:rsidRPr="00870EAE">
        <w:rPr>
          <w:rFonts w:cstheme="minorHAnsi"/>
          <w:b/>
          <w:bCs/>
          <w:i/>
        </w:rPr>
        <w:t>relapse</w:t>
      </w:r>
      <w:r w:rsidRPr="00F04A24">
        <w:rPr>
          <w:rFonts w:cstheme="minorHAnsi"/>
          <w:bCs/>
        </w:rPr>
        <w:t xml:space="preserve"> to smoking among ex-smokers. Given studies have generally observed large increases in quitting </w:t>
      </w:r>
      <w:r>
        <w:rPr>
          <w:rFonts w:cstheme="minorHAnsi"/>
          <w:bCs/>
        </w:rPr>
        <w:t>activity</w:t>
      </w:r>
      <w:r w:rsidRPr="00F04A24">
        <w:rPr>
          <w:rFonts w:cstheme="minorHAnsi"/>
          <w:bCs/>
        </w:rPr>
        <w:fldChar w:fldCharType="begin"/>
      </w:r>
      <w:r>
        <w:rPr>
          <w:rFonts w:cstheme="minorHAnsi"/>
          <w:bCs/>
        </w:rPr>
        <w:instrText xml:space="preserve"> ADDIN ZOTERO_ITEM CSL_CITATION {"citationID":"eStdrrth","properties":{"formattedCitation":"\\super 1,3\\nosupersub{}","plainCitation":"1,3","noteIndex":0},"citationItems":[{"id":9425,"uris":["http://zotero.org/users/446899/items/GD8K8W5V"],"itemData":{"id":9425,"type":"article-journal","abstract":"Aim To estimate changes in smoking, drinking and quitting behaviour from before to during the first COVID-19 lockdown in England, and whether changes differed by age, sex or social grade. Design Representative cross-sectional surveys of adults, collected monthly between August 2018 and July 2020. Setting England. Participants A total of 36 980 adults (≥ 18 years). Measurements Independent variables were survey month (pre-lockdown: August–February versus lockdown months: April–July) and year (pandemic: 2019/20 versus comparator: 2018/19). Smoking outcomes were smoking prevalence, cessation, quit attempts, quit success and use of evidence-based or remote cessation support. Drinking outcomes were high-risk drinking prevalence, alcohol reduction attempts and use of evidence-based or remote support. Moderators were age, sex and occupational social grade (ABC1 = more advantaged/C2DE = less advantaged). Findings Relative to changes during the same time period in 2018/19, lockdown was associated with significant increases in smoking prevalence [+24.7% in 2019/20 versus 0.0% in 2018/19, adjusted odds ratio (aOR) = 1.35, 95% confidence interval (CI) = 1.12–1.63] and quit attempts (+39.9 versus –22.2%, aOR = 2.48, 95% CI = 1.76–3.50) among 18–34-year-olds, but not older groups. Increases in cessation (+156.4 versus –12.5%, aOR = 3.08, 95% CI = 1.86–5.09) and the success rate of quit attempts (+99.2 versus +0.8%, aOR = 2.29, 95% CI = 1.31–3.98) were also observed, and did not differ significantly by age, sex or social grade. Lockdown was associated with a significant increase in high-risk drinking prevalence among all socio-demographic groups (+39.5 versus –7.8%, aOR = 1.80, 95% CI = 1.64–1.98), with particularly high increases among women (aOR = 2.17, 95% CI = 1.87–2.53) and social grades C2DE (aOR = 2.34, 95% CI = 2.00–2.74). Alcohol reduction attempts increased significantly among high-risk drinkers from social grades ABC1 (aOR = 2.31, 95% CI = 1.78–3.00) but not C2DE (aOR = 1.25, 95% CI = 0.83–1.88). There were few significant changes in use of support for smoking cessation or alcohol reduction, although samples were small. Conclusions In England, the first COVID-19 lockdown was associated with increased smoking prevalence among younger adults and increased high-risk drinking prevalence among all adults. Smoking cessation activity also increased: more younger smokers made quit attempts during lockdown and more smokers quit successfully. Socio-economic disparities in drinking behaviour were evident: high-risk drinking increased by more among women and those from less advantaged social grades (C2DE), but the rate of reduction attempts increased only among the more advantaged social grades (ABC1).","container-title":"Addiction","DOI":"10.1111/add.15656","ISSN":"1360-0443","issue":"3","language":"en","note":"_eprint: https://onlinelibrary.wiley.com/doi/pdf/10.1111/add.15656","page":"772-783","source":"Wiley Online Library","title":"Moderators of changes in smoking, drinking and quitting behaviour associated with the first COVID-19 lockdown in England","volume":"117","author":[{"family":"Jackson","given":"Sarah E."},{"family":"Beard","given":"Emma"},{"family":"Angus","given":"Colin"},{"family":"Field","given":"Matt"},{"family":"Brown","given":"Jamie"}],"issued":{"date-parts":[["2022"]]}}},{"id":9639,"uris":["http://zotero.org/users/446899/items/WBCJQP8V"],"itemData":{"id":9639,"type":"article-journal","abstract":"Introduction COVID-19 is primarily a respiratory illness, and smoking adversely impacts the respiratory and immune systems; this confluence may therefore incentivize smokers to quit. The present study, conducted in four high-income countries during the first global wave of COVID-19, examined the association between COVID-19 and: (1) thoughts about quitting smoking; (2) changes in smoking (quit attempt, reduced or increased smoking, or no change); and (3) factors related to a positive change (making a quit attempt or reducing smoking) based on an adapted framework of the Health Belief Model. Methods This cross-sectional study included 6870 adult smokers participating in the Wave 3 (2020) ITC Four Country Smoking and Vaping Survey conducted in Australia, Canada, England, and United States (US). These four countries had varying responses to the pandemic by governments and public health, ranging from advising voluntary social distancing to implementing national and subnational staged lockdowns. Considering these varying responses, and the differences in the number of confirmed cases and deaths (greatest in England and the US and lowest in Australia), smoking behaviours related to COVID-19 may have differed between countries. Other factors that may be related to changes in smoking because of COVID-19 were also explored (e.g., sociodemographics, nicotine dependence, perceptions about personal and general risks of smoking on COVID-19). Regression analyses were conducted on weighted data. Results Overall, 46.7% of smokers reported thinking about quitting because of COVID-19, which differed by country (p&lt;0.001): England highest (50.9%) and Australia lowest (37.6%). Thinking about quitting smoking because of COVID-19 was more frequent among: females, ethnic minorities, those with financial stress, current vapers, less dependent smokers (non-daily and fewer cigarettes smoked/day), those with greater concern about personal susceptibility of infection, and those who believe COVID-19 is more severe for smokers. Smoking behaviour changes due to COVID-19 were: 1.1% attempted to quit, 14.2% reduced smoking, and 14.6% increased smoking (70.2% reported no change). Positive behaviour change (tried to quit/reduced smoking) was reported by 15.5% of smokers, which differed by country (p = 0.02), where Australia had significantly lower rates than the other three countries. A positive behavioural smoking change was more likely among smokers with: lower dependence, greater concern about personal susceptibility to infection, and believing that COVID-19 is more severe for smokers. Conclusions Though nearly half of smokers reported thinking about quitting because of COVID-19, the vast majority did not change their smoking behaviour. Smokers were more likely to try and quit or reduce their smoking if they had greater concern about susceptibility and severity of COVID-19 related to smoking. Smokers in Australia were least likely to reduce or try to quit smoking, which could be related to the significantly lower impact of COVID-19 during the early phase of the pandemic relative to the other countries.","container-title":"PLOS ONE","DOI":"10.1371/journal.pone.0252427","ISSN":"1932-6203","issue":"6","journalAbbreviation":"PLOS ONE","language":"en","note":"publisher: Public Library of Science","page":"e0252427","source":"PLoS Journals","title":"Smokers’ cognitive and behavioural reactions during the early phase of the COVID-19 pandemic: Findings from the 2020 ITC Four Country Smoking and Vaping Survey","title-short":"Smokers’ cognitive and behavioural reactions during the early phase of the COVID-19 pandemic","volume":"16","author":[{"family":"Gravely","given":"Shannon"},{"family":"Craig","given":"Lorraine V."},{"family":"Cummings","given":"K. Michael"},{"family":"Ouimet","given":"Janine"},{"family":"Loewen","given":"Ruth"},{"family":"Martin","given":"Nadia"},{"family":"Chung-Hall","given":"Janet"},{"family":"Driezen","given":"Pete"},{"family":"Hitchman","given":"Sara C."},{"family":"McNeill","given":"Ann"},{"family":"Hyland","given":"Andrew"},{"family":"Quah","given":"Anne C. K."},{"family":"O’Connor","given":"Richard J."},{"family":"Borland","given":"Ron"},{"family":"Thompson","given":"Mary E."},{"family":"Boudreau","given":"Christian"},{"family":"Fong","given":"Geoffrey T."}],"issued":{"date-parts":[["2021",6,4]]}}}],"schema":"https://github.com/citation-style-language/schema/raw/master/csl-citation.json"} </w:instrText>
      </w:r>
      <w:r w:rsidRPr="00F04A24">
        <w:rPr>
          <w:rFonts w:cstheme="minorHAnsi"/>
          <w:bCs/>
        </w:rPr>
        <w:fldChar w:fldCharType="separate"/>
      </w:r>
      <w:r w:rsidRPr="007B7018">
        <w:rPr>
          <w:rFonts w:ascii="Calibri" w:hAnsi="Calibri" w:cs="Calibri"/>
          <w:szCs w:val="24"/>
          <w:vertAlign w:val="superscript"/>
        </w:rPr>
        <w:t>1,3</w:t>
      </w:r>
      <w:r w:rsidRPr="00F04A24">
        <w:rPr>
          <w:rFonts w:cstheme="minorHAnsi"/>
          <w:bCs/>
        </w:rPr>
        <w:fldChar w:fldCharType="end"/>
      </w:r>
      <w:r w:rsidRPr="00F04A24">
        <w:rPr>
          <w:rFonts w:cstheme="minorHAnsi"/>
          <w:bCs/>
        </w:rPr>
        <w:t xml:space="preserve"> but little or no reduction in smoking prevalence</w:t>
      </w:r>
      <w:r>
        <w:rPr>
          <w:rFonts w:cstheme="minorHAnsi"/>
          <w:bCs/>
        </w:rPr>
        <w:t>,</w:t>
      </w:r>
      <w:r w:rsidRPr="00F04A24">
        <w:rPr>
          <w:rFonts w:cs="Calibri"/>
        </w:rPr>
        <w:fldChar w:fldCharType="begin"/>
      </w:r>
      <w:r>
        <w:rPr>
          <w:rFonts w:cs="Calibri"/>
        </w:rPr>
        <w:instrText xml:space="preserve"> ADDIN ZOTERO_ITEM CSL_CITATION {"citationID":"35Qpv74B","properties":{"formattedCitation":"\\super 1,2,4\\nosupersub{}","plainCitation":"1,2,4","noteIndex":0},"citationItems":[{"id":9425,"uris":["http://zotero.org/users/446899/items/GD8K8W5V"],"itemData":{"id":9425,"type":"article-journal","abstract":"Aim To estimate changes in smoking, drinking and quitting behaviour from before to during the first COVID-19 lockdown in England, and whether changes differed by age, sex or social grade. Design Representative cross-sectional surveys of adults, collected monthly between August 2018 and July 2020. Setting England. Participants A total of 36 980 adults (≥ 18 years). Measurements Independent variables were survey month (pre-lockdown: August–February versus lockdown months: April–July) and year (pandemic: 2019/20 versus comparator: 2018/19). Smoking outcomes were smoking prevalence, cessation, quit attempts, quit success and use of evidence-based or remote cessation support. Drinking outcomes were high-risk drinking prevalence, alcohol reduction attempts and use of evidence-based or remote support. Moderators were age, sex and occupational social grade (ABC1 = more advantaged/C2DE = less advantaged). Findings Relative to changes during the same time period in 2018/19, lockdown was associated with significant increases in smoking prevalence [+24.7% in 2019/20 versus 0.0% in 2018/19, adjusted odds ratio (aOR) = 1.35, 95% confidence interval (CI) = 1.12–1.63] and quit attempts (+39.9 versus –22.2%, aOR = 2.48, 95% CI = 1.76–3.50) among 18–34-year-olds, but not older groups. Increases in cessation (+156.4 versus –12.5%, aOR = 3.08, 95% CI = 1.86–5.09) and the success rate of quit attempts (+99.2 versus +0.8%, aOR = 2.29, 95% CI = 1.31–3.98) were also observed, and did not differ significantly by age, sex or social grade. Lockdown was associated with a significant increase in high-risk drinking prevalence among all socio-demographic groups (+39.5 versus –7.8%, aOR = 1.80, 95% CI = 1.64–1.98), with particularly high increases among women (aOR = 2.17, 95% CI = 1.87–2.53) and social grades C2DE (aOR = 2.34, 95% CI = 2.00–2.74). Alcohol reduction attempts increased significantly among high-risk drinkers from social grades ABC1 (aOR = 2.31, 95% CI = 1.78–3.00) but not C2DE (aOR = 1.25, 95% CI = 0.83–1.88). There were few significant changes in use of support for smoking cessation or alcohol reduction, although samples were small. Conclusions In England, the first COVID-19 lockdown was associated with increased smoking prevalence among younger adults and increased high-risk drinking prevalence among all adults. Smoking cessation activity also increased: more younger smokers made quit attempts during lockdown and more smokers quit successfully. Socio-economic disparities in drinking behaviour were evident: high-risk drinking increased by more among women and those from less advantaged social grades (C2DE), but the rate of reduction attempts increased only among the more advantaged social grades (ABC1).","container-title":"Addiction","DOI":"10.1111/add.15656","ISSN":"1360-0443","issue":"3","language":"en","note":"_eprint: https://onlinelibrary.wiley.com/doi/pdf/10.1111/add.15656","page":"772-783","source":"Wiley Online Library","title":"Moderators of changes in smoking, drinking and quitting behaviour associated with the first COVID-19 lockdown in England","volume":"117","author":[{"family":"Jackson","given":"Sarah E."},{"family":"Beard","given":"Emma"},{"family":"Angus","given":"Colin"},{"family":"Field","given":"Matt"},{"family":"Brown","given":"Jamie"}],"issued":{"date-parts":[["2022"]]}}},{"id":9740,"uris":["http://zotero.org/users/446899/items/WPHGKGTA"],"itemData":{"id":9740,"type":"article-journal","container-title":"eClinicalMedicine","DOI":"10.1016/j.eclinm.2022.101375","ISSN":"25895370","journalAbbreviation":"eClinicalMedicine","language":"en","page":"101375","source":"DOI.org (Crossref)","title":"Tobacco smoking changes during the first pre-vaccination phases of the COVID-19 pandemic: A systematic review and meta-analysis","title-short":"Tobacco smoking changes during the first pre-vaccination phases of the COVID-19 pandemic","volume":"47","author":[{"family":"Sarich","given":"Peter"},{"family":"Cabasag","given":"Citadel J"},{"family":"Liebermann","given":"Erica"},{"family":"Vaneckova","given":"Pavla"},{"family":"Carle","given":"Chelsea"},{"family":"Hughes","given":"Suzanne"},{"family":"Egger","given":"Sam"},{"family":"O'Connell","given":"Dianne L"},{"family":"Weber","given":"Marianne F"},{"family":"Costa","given":"Allini Mafra","non-dropping-particle":"da"},{"family":"Caruana","given":"Michael"},{"family":"Bray","given":"Freddie"},{"family":"Canfell","given":"Karen"},{"family":"Ginsburg","given":"Ophira"},{"family":"Steinberg","given":"Julia"},{"family":"Soerjomataram","given":"Isabelle"}],"issued":{"date-parts":[["2022",5]]}}},{"id":9744,"uris":["http://zotero.org/users/446899/items/TEH97CBN"],"itemData":{"id":9744,"type":"document","title":"Smoking prevalence in the UK and the impact of data collection changes: 2020","URL":"https://www.ons.gov.uk/peoplepopulationandcommunity/healthandsocialcare/drugusealcoholandsmoking/bulletins/smokingprevalenceintheukandtheimpactofdatacollectionchanges/2020#smoking-prevalence-based-on-data-from-the-annual-population-survey","author":[{"family":"Office for National Statistics","given":""}],"accessed":{"date-parts":[["2022",6,23]]},"issued":{"date-parts":[["2021"]]}}}],"schema":"https://github.com/citation-style-language/schema/raw/master/csl-citation.json"} </w:instrText>
      </w:r>
      <w:r w:rsidRPr="00F04A24">
        <w:rPr>
          <w:rFonts w:cs="Calibri"/>
        </w:rPr>
        <w:fldChar w:fldCharType="separate"/>
      </w:r>
      <w:r w:rsidRPr="007B7018">
        <w:rPr>
          <w:rFonts w:ascii="Calibri" w:hAnsi="Calibri" w:cs="Calibri"/>
          <w:szCs w:val="24"/>
          <w:vertAlign w:val="superscript"/>
        </w:rPr>
        <w:t>1,2,4</w:t>
      </w:r>
      <w:r w:rsidRPr="00F04A24">
        <w:rPr>
          <w:rFonts w:cs="Calibri"/>
        </w:rPr>
        <w:fldChar w:fldCharType="end"/>
      </w:r>
      <w:r w:rsidRPr="00F04A24">
        <w:rPr>
          <w:rFonts w:cstheme="minorHAnsi"/>
          <w:bCs/>
        </w:rPr>
        <w:t xml:space="preserve"> it is possible that increased rates of cessation are being offset by increased rates of relapse. </w:t>
      </w:r>
      <w:r w:rsidRPr="00F04A24">
        <w:rPr>
          <w:rFonts w:cs="Calibri"/>
        </w:rPr>
        <w:t>Examining changes in smoking prevalence among middle-aged and older adults could offer insight into the impact of the pandemic on late relapse, as any increases in smoking prevalence in this age group would likely be largely driven by relapse rather than uptake (as few people take up smoking after the age of 25</w:t>
      </w:r>
      <w:r w:rsidRPr="00F04A24">
        <w:rPr>
          <w:rFonts w:cs="Calibri"/>
        </w:rPr>
        <w:fldChar w:fldCharType="begin"/>
      </w:r>
      <w:r>
        <w:rPr>
          <w:rFonts w:cs="Calibri"/>
        </w:rPr>
        <w:instrText xml:space="preserve"> ADDIN ZOTERO_ITEM CSL_CITATION {"citationID":"J9ZvImkf","properties":{"formattedCitation":"\\super 6\\nosupersub{}","plainCitation":"6","noteIndex":0},"citationItems":[{"id":9921,"uris":["http://zotero.org/users/446899/items/WXLUZBHR"],"itemData":{"id":9921,"type":"article-journal","abstract":"Objective: Investigations of smoking initiation often focus on the experiences of children and youth. However, prevalence data from the Tobacco Use Surveys (TUS) and the New Zealand (NZ) census suggest substantial uptake of smoking occurs after 15 years of age, including among young adults aged 18–24 years. Identifying initiation rates is difficult using cross-sectional prevalence data, particularly among older age groups, which are subject to cohort effects and where quitting and premature mortality reduce prevalence. We aimed to identify initiation rates using a prospective study design. Methods: The SoFIE-Health longitudinal survey included 15,095 subjects aged 15 years or older who responded in the three years that include the health module: 2004/05, 2006/07 and 2008/09. We calculated the proportion of ‘never smokers’ who became regular smokers (initiation) by age at baseline. Results: Initiation between 2004/05 and 2008/09 was 14.2% for 15–17 year olds, 7.0% for 18–19 years, 3.1% for 20–24 years and 1.4% for 25–34 years, with low levels of initiation (&lt;1.0%) among older age groups. Conclusions: There were strong age-related gradients in smoking initiation. Substantial initiation occurs among older youth and young adults, but is rare after age 24. Implications: Efforts to prevent initiation of smoking should focus not only on adolescents but also on older youth and young adults.","container-title":"Australian and New Zealand Journal of Public Health","DOI":"10.1111/1753-6405.12105","ISSN":"1753-6405","issue":"6","language":"en","note":"_eprint: https://onlinelibrary.wiley.com/doi/pdf/10.1111/1753-6405.12105","page":"516-519","source":"Wiley Online Library","title":"An examination of smoking initiation rates by age: results from a large longitudinal study in New Zealand","title-short":"An examination of smoking initiation rates by age","volume":"37","author":[{"family":"Edwards","given":"Richard"},{"family":"Carter","given":"Kristie"},{"family":"Peace","given":"Jo"},{"family":"Blakely","given":"Tony"}],"issued":{"date-parts":[["2013"]]}}}],"schema":"https://github.com/citation-style-language/schema/raw/master/csl-citation.json"} </w:instrText>
      </w:r>
      <w:r w:rsidRPr="00F04A24">
        <w:rPr>
          <w:rFonts w:cs="Calibri"/>
        </w:rPr>
        <w:fldChar w:fldCharType="separate"/>
      </w:r>
      <w:r w:rsidRPr="007B7018">
        <w:rPr>
          <w:rFonts w:ascii="Calibri" w:hAnsi="Calibri" w:cs="Calibri"/>
          <w:szCs w:val="24"/>
          <w:vertAlign w:val="superscript"/>
        </w:rPr>
        <w:t>6</w:t>
      </w:r>
      <w:r w:rsidRPr="00F04A24">
        <w:rPr>
          <w:rFonts w:cs="Calibri"/>
        </w:rPr>
        <w:fldChar w:fldCharType="end"/>
      </w:r>
      <w:r w:rsidRPr="00F04A24">
        <w:rPr>
          <w:rFonts w:cs="Calibri"/>
        </w:rPr>
        <w:t>).</w:t>
      </w:r>
    </w:p>
    <w:p w14:paraId="099D47AB" w14:textId="076FB1DC" w:rsidR="00870EAE" w:rsidRPr="00556749" w:rsidRDefault="00870EAE" w:rsidP="00870EAE">
      <w:r>
        <w:tab/>
      </w:r>
    </w:p>
    <w:p w14:paraId="4D99CA9D" w14:textId="77777777" w:rsidR="00870EAE" w:rsidRDefault="00870EAE">
      <w:pPr>
        <w:rPr>
          <w:b/>
          <w:sz w:val="28"/>
          <w:szCs w:val="28"/>
        </w:rPr>
      </w:pPr>
      <w:r>
        <w:br w:type="page"/>
      </w:r>
    </w:p>
    <w:p w14:paraId="2DCB0DE2" w14:textId="71D32E08" w:rsidR="00464506" w:rsidRPr="00556749" w:rsidRDefault="00464506" w:rsidP="00464506">
      <w:pPr>
        <w:pStyle w:val="Heading3"/>
      </w:pPr>
      <w:r w:rsidRPr="00556749">
        <w:lastRenderedPageBreak/>
        <w:t xml:space="preserve">Part </w:t>
      </w:r>
      <w:r w:rsidR="00870EAE">
        <w:t>2</w:t>
      </w:r>
      <w:r w:rsidRPr="00556749">
        <w:t xml:space="preserve">: </w:t>
      </w:r>
      <w:r w:rsidR="00870EAE">
        <w:t>F</w:t>
      </w:r>
      <w:r>
        <w:t xml:space="preserve">ull details of </w:t>
      </w:r>
      <w:r w:rsidR="00870EAE">
        <w:t xml:space="preserve">all </w:t>
      </w:r>
      <w:r>
        <w:t>measures used</w:t>
      </w:r>
    </w:p>
    <w:p w14:paraId="636499B3" w14:textId="77777777" w:rsidR="00FA7479" w:rsidRPr="00FA7479" w:rsidRDefault="00FA7479" w:rsidP="00870EAE">
      <w:pPr>
        <w:pStyle w:val="Heading4"/>
        <w:spacing w:line="276" w:lineRule="auto"/>
      </w:pPr>
      <w:r w:rsidRPr="00FA7479">
        <w:t>Outcome variables</w:t>
      </w:r>
    </w:p>
    <w:p w14:paraId="25695F04" w14:textId="77777777" w:rsidR="00FA7479" w:rsidRPr="00F04A24" w:rsidRDefault="00FA7479" w:rsidP="00870EAE">
      <w:pPr>
        <w:spacing w:after="0" w:line="276" w:lineRule="auto"/>
      </w:pPr>
      <w:r w:rsidRPr="00F04A24">
        <w:t xml:space="preserve">We assessed the following smoking outcomes: </w:t>
      </w:r>
    </w:p>
    <w:p w14:paraId="566EE103" w14:textId="77777777" w:rsidR="00FA7479" w:rsidRPr="00F04A24" w:rsidRDefault="00FA7479" w:rsidP="00870EAE">
      <w:pPr>
        <w:pStyle w:val="ListParagraph"/>
        <w:numPr>
          <w:ilvl w:val="0"/>
          <w:numId w:val="2"/>
        </w:numPr>
        <w:spacing w:line="276" w:lineRule="auto"/>
      </w:pPr>
      <w:r w:rsidRPr="00F04A24">
        <w:t>Among all adults: current smoking;</w:t>
      </w:r>
    </w:p>
    <w:p w14:paraId="76BB11A5" w14:textId="77777777" w:rsidR="00FA7479" w:rsidRPr="00F04A24" w:rsidRDefault="00FA7479" w:rsidP="00870EAE">
      <w:pPr>
        <w:pStyle w:val="ListParagraph"/>
        <w:numPr>
          <w:ilvl w:val="0"/>
          <w:numId w:val="2"/>
        </w:numPr>
        <w:spacing w:line="276" w:lineRule="auto"/>
      </w:pPr>
      <w:r w:rsidRPr="00F04A24">
        <w:t xml:space="preserve">Among 18-24 year-olds: uptake of smoking (indexed by current smoking); </w:t>
      </w:r>
    </w:p>
    <w:p w14:paraId="01A0D3D1" w14:textId="77777777" w:rsidR="00FA7479" w:rsidRPr="00F04A24" w:rsidRDefault="00FA7479" w:rsidP="00870EAE">
      <w:pPr>
        <w:pStyle w:val="ListParagraph"/>
        <w:numPr>
          <w:ilvl w:val="0"/>
          <w:numId w:val="2"/>
        </w:numPr>
        <w:spacing w:line="276" w:lineRule="auto"/>
      </w:pPr>
      <w:r w:rsidRPr="00F04A24">
        <w:t>Among 45-65 year-olds: late relapse (indexed by current smoking);</w:t>
      </w:r>
    </w:p>
    <w:p w14:paraId="11EAA98F" w14:textId="77777777" w:rsidR="00FA7479" w:rsidRPr="00F04A24" w:rsidRDefault="00FA7479" w:rsidP="00870EAE">
      <w:pPr>
        <w:pStyle w:val="ListParagraph"/>
        <w:numPr>
          <w:ilvl w:val="0"/>
          <w:numId w:val="2"/>
        </w:numPr>
        <w:spacing w:line="276" w:lineRule="auto"/>
      </w:pPr>
      <w:r w:rsidRPr="00F04A24">
        <w:t>Among past-year smokers: cessation, quit attempts;</w:t>
      </w:r>
    </w:p>
    <w:p w14:paraId="72778201" w14:textId="77777777" w:rsidR="00FA7479" w:rsidRPr="00F04A24" w:rsidRDefault="00FA7479" w:rsidP="00870EAE">
      <w:pPr>
        <w:pStyle w:val="ListParagraph"/>
        <w:numPr>
          <w:ilvl w:val="0"/>
          <w:numId w:val="2"/>
        </w:numPr>
        <w:spacing w:line="276" w:lineRule="auto"/>
      </w:pPr>
      <w:r w:rsidRPr="00F04A24">
        <w:t xml:space="preserve">Among past-year smokers who made </w:t>
      </w:r>
      <w:r w:rsidRPr="00F04A24">
        <w:rPr>
          <w:rFonts w:cs="Calibri"/>
        </w:rPr>
        <w:t>≥</w:t>
      </w:r>
      <w:r w:rsidRPr="00F04A24">
        <w:t>1 quit attempt in the past 12 months: number of quit attempts made, use of prescription medication, use of behavioural support, use of e-cigarettes;</w:t>
      </w:r>
    </w:p>
    <w:p w14:paraId="6DC34866" w14:textId="69768517" w:rsidR="00FA7479" w:rsidRPr="00F04A24" w:rsidRDefault="00FA7479" w:rsidP="00870EAE">
      <w:pPr>
        <w:pStyle w:val="ListParagraph"/>
        <w:numPr>
          <w:ilvl w:val="0"/>
          <w:numId w:val="2"/>
        </w:numPr>
        <w:spacing w:line="276" w:lineRule="auto"/>
      </w:pPr>
      <w:r w:rsidRPr="00F04A24">
        <w:t xml:space="preserve">Among past-year smokers who made </w:t>
      </w:r>
      <w:r w:rsidRPr="00F04A24">
        <w:rPr>
          <w:rFonts w:cs="Calibri"/>
        </w:rPr>
        <w:t>≥</w:t>
      </w:r>
      <w:r w:rsidRPr="00F04A24">
        <w:t xml:space="preserve">1 quit attempt 6-12 months before completing the survey: </w:t>
      </w:r>
      <w:r>
        <w:t>medium</w:t>
      </w:r>
      <w:r w:rsidRPr="00F04A24">
        <w:t>-term abstinence.</w:t>
      </w:r>
    </w:p>
    <w:p w14:paraId="77BD662A" w14:textId="77777777" w:rsidR="00FA7479" w:rsidRPr="00F04A24" w:rsidRDefault="00FA7479" w:rsidP="00870EAE">
      <w:pPr>
        <w:spacing w:line="276" w:lineRule="auto"/>
      </w:pPr>
      <w:r w:rsidRPr="00F04A24">
        <w:t xml:space="preserve">Smoking status was assessed with the question: ‘Which of the following best applies to you? (a) I smoke cigarettes (including hand-rolled) every day; (b) I smoke cigarettes (including hand-rolled), but not every day; (c) I do not smoke cigarettes at all, but I do smoke tobacco of some kind (e.g. pipe, cigar or shisha); (d) I have stopped smoking completely in the last year; (e) I stopped smoking completely more than a year ago; (f) I have never been a smoker (i.e. smoked for a year or more)’. </w:t>
      </w:r>
      <w:r w:rsidRPr="00F04A24">
        <w:rPr>
          <w:b/>
          <w:i/>
        </w:rPr>
        <w:t>Current smoking</w:t>
      </w:r>
      <w:r w:rsidRPr="00F04A24">
        <w:t xml:space="preserve"> was coded 1 for those who reported smoking any type of tobacco [i.e. responses (a–c)] and 0 for those who reported being a former or never smoker [responses (d–f)]. Past-year smoking was coded 1 for those who reported current smoking or having stopped in the past year [responses (a–d)] and 0 for those who reported stopping more than a year ago or never smoking [responses (e–f)]. </w:t>
      </w:r>
    </w:p>
    <w:p w14:paraId="380555DD" w14:textId="77777777" w:rsidR="00FA7479" w:rsidRPr="00F04A24" w:rsidRDefault="00FA7479" w:rsidP="00870EAE">
      <w:pPr>
        <w:spacing w:line="276" w:lineRule="auto"/>
      </w:pPr>
      <w:r w:rsidRPr="00F04A24">
        <w:rPr>
          <w:b/>
          <w:bCs/>
          <w:i/>
          <w:iCs/>
        </w:rPr>
        <w:t>Uptake</w:t>
      </w:r>
      <w:r w:rsidRPr="00F04A24">
        <w:t xml:space="preserve"> was assessed by current smoking prevalence among 18-24 year olds (because any increases in this age group would largely be driven by uptake rather than relapse). </w:t>
      </w:r>
    </w:p>
    <w:p w14:paraId="3FBBDBD2" w14:textId="77777777" w:rsidR="00FA7479" w:rsidRPr="00F04A24" w:rsidRDefault="00FA7479" w:rsidP="00870EAE">
      <w:pPr>
        <w:spacing w:line="276" w:lineRule="auto"/>
      </w:pPr>
      <w:r w:rsidRPr="00F04A24">
        <w:rPr>
          <w:b/>
          <w:bCs/>
          <w:i/>
          <w:iCs/>
        </w:rPr>
        <w:t>Late relapse</w:t>
      </w:r>
      <w:r w:rsidRPr="00F04A24">
        <w:t xml:space="preserve"> was assessed by current smoking prevalence among 45-65 year olds (because an increase in this age group would largely be driven by relapse rather than uptake). The upper</w:t>
      </w:r>
      <w:r>
        <w:t xml:space="preserve"> age</w:t>
      </w:r>
      <w:r w:rsidRPr="00F04A24">
        <w:t xml:space="preserve"> limit for </w:t>
      </w:r>
      <w:r>
        <w:t>this</w:t>
      </w:r>
      <w:r w:rsidRPr="00F04A24">
        <w:t xml:space="preserve"> group was selected to minimise any impact of increased mortality at older ages during the pandemic on smoking prevalence.</w:t>
      </w:r>
    </w:p>
    <w:p w14:paraId="24ECEDA5" w14:textId="77777777" w:rsidR="00FA7479" w:rsidRPr="00F04A24" w:rsidRDefault="00FA7479" w:rsidP="00870EAE">
      <w:pPr>
        <w:spacing w:line="276" w:lineRule="auto"/>
      </w:pPr>
      <w:r w:rsidRPr="00F04A24">
        <w:t xml:space="preserve">Among past-year smokers, </w:t>
      </w:r>
      <w:r w:rsidRPr="00F04A24">
        <w:rPr>
          <w:b/>
          <w:i/>
        </w:rPr>
        <w:t>cessation</w:t>
      </w:r>
      <w:r w:rsidRPr="00F04A24">
        <w:t xml:space="preserve"> was coded 1 for those who reported having stopped smoking completely in the last year [response (d) to the measure of smoking status described above] and 0 for those who reported being a current smoker [responses (a–c)].</w:t>
      </w:r>
    </w:p>
    <w:p w14:paraId="30658B10" w14:textId="752E83EF" w:rsidR="00FA7479" w:rsidRDefault="00FA7479" w:rsidP="00870EAE">
      <w:pPr>
        <w:spacing w:line="276" w:lineRule="auto"/>
      </w:pPr>
      <w:r w:rsidRPr="00F04A24">
        <w:t xml:space="preserve">Among past-year smokers, quit attempts were assessed with the question: ‘How many serious attempts to stop smoking have you made in the last 12 months? By serious attempt I mean you decided that you would try to make sure you never smoked again. Please include any attempt that you are currently making and please include any successful attempt made within the last year’. Those who reported </w:t>
      </w:r>
      <w:r w:rsidRPr="00F04A24">
        <w:rPr>
          <w:b/>
          <w:i/>
        </w:rPr>
        <w:t xml:space="preserve">making </w:t>
      </w:r>
      <w:r w:rsidRPr="00F04A24">
        <w:rPr>
          <w:rFonts w:cs="Calibri"/>
          <w:b/>
          <w:i/>
        </w:rPr>
        <w:t>≥</w:t>
      </w:r>
      <w:r w:rsidRPr="00F04A24">
        <w:rPr>
          <w:b/>
          <w:i/>
        </w:rPr>
        <w:t>1 serious quit attempt</w:t>
      </w:r>
      <w:r w:rsidRPr="00F04A24">
        <w:t xml:space="preserve"> in the past year </w:t>
      </w:r>
      <w:r w:rsidR="00532AB5">
        <w:t>were</w:t>
      </w:r>
      <w:r w:rsidRPr="00F04A24">
        <w:t xml:space="preserve"> coded 1; otherwise they were coded 0. </w:t>
      </w:r>
    </w:p>
    <w:p w14:paraId="4294C086" w14:textId="77777777" w:rsidR="00FA7479" w:rsidRPr="00F04A24" w:rsidRDefault="00FA7479" w:rsidP="00870EAE">
      <w:pPr>
        <w:spacing w:line="276" w:lineRule="auto"/>
      </w:pPr>
      <w:r w:rsidRPr="00F04A24">
        <w:t xml:space="preserve">Among those who reported making </w:t>
      </w:r>
      <w:r w:rsidRPr="00F04A24">
        <w:rPr>
          <w:rFonts w:cs="Calibri"/>
        </w:rPr>
        <w:t>≥</w:t>
      </w:r>
      <w:r w:rsidRPr="00F04A24">
        <w:t xml:space="preserve">1 quit attempt, </w:t>
      </w:r>
      <w:r w:rsidRPr="00F04A24">
        <w:rPr>
          <w:b/>
          <w:i/>
        </w:rPr>
        <w:t>number of past-year quit attempts</w:t>
      </w:r>
      <w:r w:rsidRPr="00F04A24">
        <w:t xml:space="preserve"> was analysed as a continuous variable. </w:t>
      </w:r>
      <w:r w:rsidRPr="00F04A24">
        <w:rPr>
          <w:rStyle w:val="normaltextrun"/>
          <w:rFonts w:cstheme="minorHAnsi"/>
        </w:rPr>
        <w:t xml:space="preserve">We log-transformed the number of past-year quit attempts variable for analysis </w:t>
      </w:r>
      <w:r w:rsidRPr="00F04A24">
        <w:t>to normalise the skewed distribution and reported results as geometric means for ease of interpretation.</w:t>
      </w:r>
    </w:p>
    <w:p w14:paraId="5FAABB1B" w14:textId="77777777" w:rsidR="00FA7479" w:rsidRPr="00F04A24" w:rsidRDefault="00FA7479" w:rsidP="00870EAE">
      <w:pPr>
        <w:spacing w:after="0" w:line="276" w:lineRule="auto"/>
      </w:pPr>
      <w:r w:rsidRPr="00F04A24">
        <w:lastRenderedPageBreak/>
        <w:t xml:space="preserve">Among </w:t>
      </w:r>
      <w:r w:rsidRPr="00405725">
        <w:t>those who reported making ≥1 quit attempt</w:t>
      </w:r>
      <w:r w:rsidRPr="00F04A24">
        <w:t>, use of cessation support in the most recent quit attempt was</w:t>
      </w:r>
      <w:r>
        <w:t xml:space="preserve"> also</w:t>
      </w:r>
      <w:r w:rsidRPr="00F04A24">
        <w:t xml:space="preserve"> assessed with the question: ‘Which, if any, of the following did you try to help you stop smoking during the most recent serious quit attempt?’. Participants were asked to indicate all that apply.</w:t>
      </w:r>
    </w:p>
    <w:p w14:paraId="33D8E043" w14:textId="77777777" w:rsidR="00FA7479" w:rsidRPr="00F04A24" w:rsidRDefault="00FA7479" w:rsidP="00870EAE">
      <w:pPr>
        <w:pStyle w:val="ListParagraph"/>
        <w:numPr>
          <w:ilvl w:val="0"/>
          <w:numId w:val="1"/>
        </w:numPr>
        <w:spacing w:line="276" w:lineRule="auto"/>
      </w:pPr>
      <w:r w:rsidRPr="00F04A24">
        <w:rPr>
          <w:b/>
          <w:i/>
        </w:rPr>
        <w:t>Use of prescription medication</w:t>
      </w:r>
      <w:r w:rsidRPr="00F04A24">
        <w:t xml:space="preserve"> was coded 1 for those who reported using varenicline, bupropion, or NRT on prescription, and 0 for those who did not report using any of these. Because varenicline was recalled in 2021 by its manufacturer, Pfizer Ltd, we ran a sensitivity analysis excluding varenicline to check that any apparent impact of the pandemic on use of prescription medication was not driven by an artefactual decline in use of varenicline due to unavailability.</w:t>
      </w:r>
    </w:p>
    <w:p w14:paraId="222041EF" w14:textId="77777777" w:rsidR="00FA7479" w:rsidRPr="00F04A24" w:rsidRDefault="00FA7479" w:rsidP="00870EAE">
      <w:pPr>
        <w:pStyle w:val="ListParagraph"/>
        <w:numPr>
          <w:ilvl w:val="0"/>
          <w:numId w:val="1"/>
        </w:numPr>
        <w:spacing w:line="276" w:lineRule="auto"/>
      </w:pPr>
      <w:r w:rsidRPr="00F04A24">
        <w:rPr>
          <w:b/>
          <w:i/>
        </w:rPr>
        <w:t>Use of behavioural support</w:t>
      </w:r>
      <w:r w:rsidRPr="00F04A24">
        <w:t xml:space="preserve"> was coded 1 for those who reported attending a stop smoking group or one or more stop smoking one-to-one counselling/advice/support session(s) (either in person or remotely) or using telephone support, a website, an app, or written self-help materials, and 0 for those who did not report using any of these. </w:t>
      </w:r>
    </w:p>
    <w:p w14:paraId="4A8E2E43" w14:textId="77777777" w:rsidR="00FA7479" w:rsidRPr="00F04A24" w:rsidRDefault="00FA7479" w:rsidP="00870EAE">
      <w:pPr>
        <w:pStyle w:val="ListParagraph"/>
        <w:numPr>
          <w:ilvl w:val="0"/>
          <w:numId w:val="1"/>
        </w:numPr>
        <w:spacing w:line="276" w:lineRule="auto"/>
      </w:pPr>
      <w:r w:rsidRPr="00F04A24">
        <w:rPr>
          <w:b/>
          <w:i/>
        </w:rPr>
        <w:t>Use of e-cigarettes</w:t>
      </w:r>
      <w:r w:rsidRPr="00F04A24">
        <w:t xml:space="preserve"> was coded 1 for those who reported using e-cigarettes, and 0 for those who did not.</w:t>
      </w:r>
    </w:p>
    <w:p w14:paraId="4B91A245" w14:textId="65844D74" w:rsidR="00FA7479" w:rsidRPr="00F04A24" w:rsidRDefault="00FA7479" w:rsidP="00870EAE">
      <w:pPr>
        <w:spacing w:line="276" w:lineRule="auto"/>
      </w:pPr>
      <w:r w:rsidRPr="00F04A24">
        <w:t xml:space="preserve">Among past-year smokers who reported making </w:t>
      </w:r>
      <w:r w:rsidRPr="00405725">
        <w:t>≥1 quit attempt</w:t>
      </w:r>
      <w:r w:rsidRPr="00405725" w:rsidDel="00405725">
        <w:t xml:space="preserve"> </w:t>
      </w:r>
      <w:r w:rsidRPr="00F04A24">
        <w:t xml:space="preserve">in the 6-12 months before completing the survey, </w:t>
      </w:r>
      <w:r>
        <w:rPr>
          <w:b/>
          <w:i/>
        </w:rPr>
        <w:t>medium</w:t>
      </w:r>
      <w:r w:rsidRPr="00F04A24">
        <w:rPr>
          <w:b/>
          <w:i/>
        </w:rPr>
        <w:t>-term abstinence</w:t>
      </w:r>
      <w:r w:rsidRPr="00F04A24">
        <w:t xml:space="preserve"> following the most recent quit attempt in this period was coded 1 for those who did not report a subsequent quit attempt and responded that they were ‘still not smoking’ to the question ‘How long did your most recent serious quit attempt last before you went back to smoking?’. </w:t>
      </w:r>
      <w:r>
        <w:t>Medium</w:t>
      </w:r>
      <w:r w:rsidRPr="00F04A24">
        <w:t xml:space="preserve">-term abstinence was coded 0 for participants who reported a making a subsequent quit attempt (i.e., any quit attempt in the 0-6 months prior to the survey) or reported being a current smoker. </w:t>
      </w:r>
    </w:p>
    <w:p w14:paraId="2D0B1A6B" w14:textId="77777777" w:rsidR="00FA7479" w:rsidRPr="00F04A24" w:rsidRDefault="00FA7479" w:rsidP="00870EAE">
      <w:pPr>
        <w:pStyle w:val="Heading4"/>
        <w:spacing w:line="276" w:lineRule="auto"/>
      </w:pPr>
      <w:r w:rsidRPr="00F04A24">
        <w:t xml:space="preserve">Trends, </w:t>
      </w:r>
      <w:r w:rsidRPr="00F04A24">
        <w:rPr>
          <w:rFonts w:cs="Calibri"/>
        </w:rPr>
        <w:t>pandemic</w:t>
      </w:r>
      <w:r w:rsidRPr="00F04A24">
        <w:t xml:space="preserve"> effects, and seasonality</w:t>
      </w:r>
    </w:p>
    <w:p w14:paraId="30950466" w14:textId="4A8FCF8C" w:rsidR="00FA7479" w:rsidRPr="00F04A24" w:rsidRDefault="00FA7479" w:rsidP="00870EAE">
      <w:pPr>
        <w:spacing w:line="276" w:lineRule="auto"/>
        <w:rPr>
          <w:rFonts w:cs="Calibri"/>
        </w:rPr>
      </w:pPr>
      <w:r w:rsidRPr="00F04A24">
        <w:rPr>
          <w:rFonts w:cs="Calibri"/>
        </w:rPr>
        <w:t>Time was measured in months throughout the study period (coded 1…</w:t>
      </w:r>
      <w:r w:rsidRPr="00F04A24">
        <w:rPr>
          <w:rFonts w:cs="Calibri"/>
          <w:i/>
        </w:rPr>
        <w:t>n</w:t>
      </w:r>
      <w:r w:rsidRPr="00F04A24">
        <w:rPr>
          <w:rFonts w:cs="Calibri"/>
        </w:rPr>
        <w:t xml:space="preserve">, where </w:t>
      </w:r>
      <w:r w:rsidRPr="00F04A24">
        <w:rPr>
          <w:rFonts w:cs="Calibri"/>
          <w:i/>
        </w:rPr>
        <w:t>n</w:t>
      </w:r>
      <w:r w:rsidRPr="00F04A24">
        <w:rPr>
          <w:rFonts w:cs="Calibri"/>
        </w:rPr>
        <w:t xml:space="preserve"> was the total number of waves), which allowed us to account for </w:t>
      </w:r>
      <w:r w:rsidRPr="00F04A24">
        <w:rPr>
          <w:rFonts w:cs="Calibri"/>
          <w:b/>
          <w:i/>
        </w:rPr>
        <w:t>underlying secular trends</w:t>
      </w:r>
      <w:r w:rsidRPr="00F04A24">
        <w:rPr>
          <w:rFonts w:cs="Calibri"/>
        </w:rPr>
        <w:t xml:space="preserve">. An additional variable reflected the pre-pandemic and pandemic periods in order to identify </w:t>
      </w:r>
      <w:r w:rsidRPr="00F04A24">
        <w:rPr>
          <w:rFonts w:cs="Calibri"/>
          <w:b/>
          <w:i/>
        </w:rPr>
        <w:t>step-level changes</w:t>
      </w:r>
      <w:r w:rsidRPr="00F04A24">
        <w:rPr>
          <w:rFonts w:cs="Calibri"/>
        </w:rPr>
        <w:t xml:space="preserve"> in the outcomes (coded 0 before the start of the pandemic [June 2017 through February 2020] and 1 after [April 2020 through August 2022]). Finally, we included a variable to reflect the </w:t>
      </w:r>
      <w:r w:rsidRPr="00F04A24">
        <w:rPr>
          <w:rFonts w:cs="Calibri"/>
          <w:b/>
          <w:i/>
        </w:rPr>
        <w:t>change in trend</w:t>
      </w:r>
      <w:r w:rsidRPr="00F04A24">
        <w:rPr>
          <w:rFonts w:cs="Calibri"/>
        </w:rPr>
        <w:t xml:space="preserve"> (slope) following the start of the pandemic (coded 0 before the pandemic and 1…</w:t>
      </w:r>
      <w:r w:rsidRPr="00F04A24">
        <w:rPr>
          <w:rFonts w:cs="Calibri"/>
          <w:i/>
        </w:rPr>
        <w:t>m</w:t>
      </w:r>
      <w:r w:rsidRPr="00F04A24">
        <w:rPr>
          <w:rFonts w:cs="Calibri"/>
        </w:rPr>
        <w:t xml:space="preserve"> from April 2020 onwards, where </w:t>
      </w:r>
      <w:r w:rsidRPr="00F04A24">
        <w:rPr>
          <w:rFonts w:cs="Calibri"/>
          <w:i/>
        </w:rPr>
        <w:t>m</w:t>
      </w:r>
      <w:r w:rsidRPr="00F04A24">
        <w:rPr>
          <w:rFonts w:cs="Calibri"/>
        </w:rPr>
        <w:t xml:space="preserve"> was the number of waves after the start of the pandemic).</w:t>
      </w:r>
      <w:r>
        <w:rPr>
          <w:rFonts w:cs="Calibri"/>
        </w:rPr>
        <w:t xml:space="preserve"> </w:t>
      </w:r>
      <w:r>
        <w:t xml:space="preserve">We </w:t>
      </w:r>
      <w:r w:rsidRPr="00F04A24">
        <w:t>control</w:t>
      </w:r>
      <w:r>
        <w:t>led</w:t>
      </w:r>
      <w:r w:rsidRPr="00F04A24">
        <w:t xml:space="preserve"> for </w:t>
      </w:r>
      <w:r w:rsidRPr="00F04A24">
        <w:rPr>
          <w:b/>
          <w:i/>
        </w:rPr>
        <w:t>seasonality</w:t>
      </w:r>
      <w:r w:rsidRPr="00F04A24">
        <w:t xml:space="preserve"> (month-of-year effects) </w:t>
      </w:r>
      <w:r>
        <w:rPr>
          <w:rStyle w:val="normaltextrun"/>
          <w:rFonts w:cstheme="minorHAnsi"/>
        </w:rPr>
        <w:t>using cyclic cubic splines (see Statistical Analysis)</w:t>
      </w:r>
      <w:r w:rsidRPr="00F04A24">
        <w:rPr>
          <w:rStyle w:val="normaltextrun"/>
          <w:rFonts w:cstheme="minorHAnsi"/>
        </w:rPr>
        <w:t>.</w:t>
      </w:r>
    </w:p>
    <w:p w14:paraId="5FD68C1A" w14:textId="77777777" w:rsidR="00FA7479" w:rsidRPr="00F04A24" w:rsidRDefault="00FA7479" w:rsidP="00870EAE">
      <w:pPr>
        <w:pStyle w:val="Heading4"/>
        <w:spacing w:line="276" w:lineRule="auto"/>
      </w:pPr>
      <w:r w:rsidRPr="00F04A24">
        <w:t>Covariates</w:t>
      </w:r>
      <w:bookmarkStart w:id="0" w:name="_GoBack"/>
      <w:bookmarkEnd w:id="0"/>
    </w:p>
    <w:p w14:paraId="44C9B37C" w14:textId="77777777" w:rsidR="00FA7479" w:rsidRPr="00F04A24" w:rsidRDefault="00FA7479" w:rsidP="00870EAE">
      <w:pPr>
        <w:spacing w:line="276" w:lineRule="auto"/>
        <w:rPr>
          <w:rFonts w:cs="Calibri"/>
        </w:rPr>
      </w:pPr>
      <w:r w:rsidRPr="00F04A24">
        <w:rPr>
          <w:rStyle w:val="normaltextrun"/>
          <w:rFonts w:cstheme="minorHAnsi"/>
        </w:rPr>
        <w:t xml:space="preserve">Analyses of smoking prevalence, uptake, late relapse, and quit attempts were adjusted for age, gender, social grade and region. </w:t>
      </w:r>
      <w:r w:rsidRPr="00F04A24">
        <w:rPr>
          <w:rFonts w:cs="Calibri"/>
          <w:b/>
          <w:i/>
        </w:rPr>
        <w:t>Age</w:t>
      </w:r>
      <w:r w:rsidRPr="00F04A24">
        <w:rPr>
          <w:rFonts w:cs="Calibri"/>
        </w:rPr>
        <w:t xml:space="preserve"> was analysed as a continuous variable. </w:t>
      </w:r>
      <w:r w:rsidRPr="00F04A24">
        <w:rPr>
          <w:rFonts w:cs="Calibri"/>
          <w:b/>
          <w:i/>
        </w:rPr>
        <w:t>Gender</w:t>
      </w:r>
      <w:r w:rsidRPr="00F04A24">
        <w:rPr>
          <w:rFonts w:cs="Calibri"/>
        </w:rPr>
        <w:t xml:space="preserve"> was self-reported as ‘man’, ‘woman’, or ‘in another way’. Due to low numbers, those who described their gender ‘in another way’ were excluded from analyses that adjusted for gender. </w:t>
      </w:r>
      <w:r w:rsidRPr="00F04A24">
        <w:rPr>
          <w:rFonts w:cs="Calibri"/>
          <w:b/>
          <w:i/>
        </w:rPr>
        <w:t>Social grade</w:t>
      </w:r>
      <w:r w:rsidRPr="00F04A24">
        <w:rPr>
          <w:rFonts w:cs="Calibri"/>
        </w:rPr>
        <w:t xml:space="preserve"> was categorised as ABC1 (which includes managerial, professional and intermediate occupations) versus C2DE (which includes small employers and own-account workers, lower supervisory and technical occupations, and semi-routine and routine occupations, never workers and long-term unemployed). </w:t>
      </w:r>
      <w:r w:rsidRPr="00F04A24">
        <w:rPr>
          <w:rFonts w:cs="Calibri"/>
          <w:b/>
          <w:i/>
        </w:rPr>
        <w:t>Region</w:t>
      </w:r>
      <w:r w:rsidRPr="00F04A24">
        <w:rPr>
          <w:rFonts w:cs="Calibri"/>
        </w:rPr>
        <w:t xml:space="preserve"> in England was categorised as London, South, Central, and North. </w:t>
      </w:r>
    </w:p>
    <w:p w14:paraId="08F7876C" w14:textId="0A1A09A6" w:rsidR="00FA7479" w:rsidRDefault="00FA7479" w:rsidP="00870EAE">
      <w:pPr>
        <w:spacing w:line="276" w:lineRule="auto"/>
        <w:rPr>
          <w:rFonts w:cs="Calibri"/>
        </w:rPr>
      </w:pPr>
      <w:r w:rsidRPr="00F04A24">
        <w:rPr>
          <w:rStyle w:val="normaltextrun"/>
          <w:rFonts w:cstheme="minorHAnsi"/>
        </w:rPr>
        <w:lastRenderedPageBreak/>
        <w:t xml:space="preserve">Analyses of smoking cessation, </w:t>
      </w:r>
      <w:r>
        <w:rPr>
          <w:rStyle w:val="normaltextrun"/>
          <w:rFonts w:cstheme="minorHAnsi"/>
        </w:rPr>
        <w:t>medium</w:t>
      </w:r>
      <w:r w:rsidRPr="00F04A24">
        <w:rPr>
          <w:rStyle w:val="normaltextrun"/>
          <w:rFonts w:cstheme="minorHAnsi"/>
        </w:rPr>
        <w:t>-term abstinence, and use of support were adjusted for these sociodemographic characteristics, level of dependence (because more dependent smokers tend to be less likely to quit and more likely to use support</w:t>
      </w:r>
      <w:r w:rsidRPr="00F04A24">
        <w:rPr>
          <w:rStyle w:val="normaltextrun"/>
          <w:rFonts w:cstheme="minorHAnsi"/>
        </w:rPr>
        <w:fldChar w:fldCharType="begin"/>
      </w:r>
      <w:r w:rsidR="00123F72">
        <w:rPr>
          <w:rStyle w:val="normaltextrun"/>
          <w:rFonts w:cstheme="minorHAnsi"/>
        </w:rPr>
        <w:instrText xml:space="preserve"> ADDIN ZOTERO_ITEM CSL_CITATION {"citationID":"ur1GEnEL","properties":{"formattedCitation":"\\super 1\\nosupersub{}","plainCitation":"1","noteIndex":0},"citationItems":[{"id":3954,"uris":["http://zotero.org/users/446899/items/B45MUHJF"],"itemData":{"id":3954,"type":"article-journal","container-title":"Addiction","DOI":"10.1111/j.1360-0443.2011.03565.x","ISSN":"09652140","issue":"12","language":"en","page":"2110-2121","source":"CrossRef","title":"Predictors of attempts to stop smoking and their success in adult general population samples: a systematic review: Predictors of quit attempts and success","title-short":"Predictors of attempts to stop smoking and their success in adult general population samples","volume":"106","author":[{"family":"Vangeli","given":"Eleni"},{"family":"Stapleton","given":"John"},{"family":"Smit","given":"Eline Suzanne"},{"family":"Borland","given":"Ron"},{"family":"West","given":"Robert"}],"issued":{"date-parts":[["2011",12]]}}}],"schema":"https://github.com/citation-style-language/schema/raw/master/csl-citation.json"} </w:instrText>
      </w:r>
      <w:r w:rsidRPr="00F04A24">
        <w:rPr>
          <w:rStyle w:val="normaltextrun"/>
          <w:rFonts w:cstheme="minorHAnsi"/>
        </w:rPr>
        <w:fldChar w:fldCharType="separate"/>
      </w:r>
      <w:r w:rsidR="00123F72" w:rsidRPr="00123F72">
        <w:rPr>
          <w:rFonts w:ascii="Calibri" w:hAnsi="Calibri" w:cs="Calibri"/>
          <w:szCs w:val="24"/>
          <w:vertAlign w:val="superscript"/>
        </w:rPr>
        <w:t>1</w:t>
      </w:r>
      <w:r w:rsidRPr="00F04A24">
        <w:rPr>
          <w:rStyle w:val="normaltextrun"/>
          <w:rFonts w:cstheme="minorHAnsi"/>
        </w:rPr>
        <w:fldChar w:fldCharType="end"/>
      </w:r>
      <w:r w:rsidRPr="00F04A24">
        <w:rPr>
          <w:rStyle w:val="normaltextrun"/>
          <w:rFonts w:cstheme="minorHAnsi"/>
        </w:rPr>
        <w:t>), and government spending on tobacco control mass media campaigns</w:t>
      </w:r>
      <w:r w:rsidR="00123F72">
        <w:rPr>
          <w:rStyle w:val="normaltextrun"/>
          <w:rFonts w:cstheme="minorHAnsi"/>
        </w:rPr>
        <w:t>.</w:t>
      </w:r>
      <w:r w:rsidRPr="00F04A24">
        <w:rPr>
          <w:rStyle w:val="normaltextrun"/>
          <w:rFonts w:cstheme="minorHAnsi"/>
        </w:rPr>
        <w:fldChar w:fldCharType="begin"/>
      </w:r>
      <w:r w:rsidR="00123F72">
        <w:rPr>
          <w:rStyle w:val="normaltextrun"/>
          <w:rFonts w:cstheme="minorHAnsi"/>
        </w:rPr>
        <w:instrText xml:space="preserve"> ADDIN ZOTERO_ITEM CSL_CITATION {"citationID":"EecSh3AR","properties":{"formattedCitation":"\\super 2\\uc0\\u8211{}4\\nosupersub{}","plainCitation":"2–4","noteIndex":0},"citationItems":[{"id":60,"uris":["http://zotero.org/users/446899/items/HBJN4HCS"],"itemData":{"id":60,"type":"article-journal","abstract":"Background It has been established that mass media campaigns can increase smoking cessation rates, but there is little direct evidence estimating associations between government expenditure on tobacco control mass media campaigns and smoking cessation. This study assessed the association over 8 years between mass media expenditure in England and quit attempts, smoking cessation and smoking prevalence.\nMethods Autoregressive integrated moving average modelling with exogenous variables (ARIMAX) was applied to monthly estimates from the Smoking Toolkit Study between June 2008 and February 2016. We assessed the association between the trends in mass media expenditure and (1) quit attempts in the last two months, (2) quit success among those who attempted to quit and (3) smoking prevalence. Analyses were adjusted for trends in weekly spending on tobacco by smokers, tobacco control policies and the use of established aids to cessation.\nResults Monthly spending on mass media campaigns ranged from nothing to £2.4 million, with a mean of £465 054. An increase in mass media expenditure of 10% of the monthly average was associated with a 0.51% increase (of the average) in success rates of quit attempts (95% CI 0.10% to 0.91%, p=0.014). No clear association was detected between changes in mass media expenditure and changes in quit attempt prevalence (β=–0.03, 95% CI –2.05% to 2.00%, p=0.979) or smoking prevalence (β=–0.03, 95% CI –0.09% to 0.03%, p=0.299).\nConclusion Between 2008 and 2016, higher monthly expenditure on tobacco control mass media campaigns in England was associated with higher quit success rates.","container-title":"Tobacco Control","DOI":"10.1136/tobaccocontrol-2017-053662","ISSN":"0964-4563, 1468-3318","issue":"4","language":"en","note":"PMID: 28667091","page":"455-462","source":"tobaccocontrol.bmj.com","title":"Associations between tobacco control mass media campaign expenditure and smoking prevalence and quitting in England: a time series analysis","title-short":"Associations between tobacco control mass media campaign expenditure and smoking prevalence and quitting in England","volume":"27","author":[{"family":"Kuipers","given":"Mirte A. G."},{"family":"Beard","given":"Emma"},{"family":"West","given":"Robert"},{"family":"Brown","given":"Jamie"}],"issued":{"date-parts":[["2018",7,1]]}}},{"id":9491,"uris":["http://zotero.org/users/446899/items/N5V8XEE4"],"itemData":{"id":9491,"type":"article-journal","abstract":"Aims To quantify associations between the success of smoking quit attempts and factors that have varied throughout 2007–2018 at a population level. Design time series analysis using Autoregressive Integrated Moving Average with Exogeneous Input (ARIMAX) modelling. Setting and Participants Data were aggregated from 54 847 past-year smokers taking part in the Smoking Toolkit Study which involves monthly repeated cross-sectional household surveys of individuals aged 16+ in England. Measurements The input series were: (1) attempts at smoking reduction using (a) e-cigarettes and (b) nicotine replacement therapy (NRT); (2) use during a quit attempt of (a) e-cigarettes, (b) NRT over-the-counter, (c) medication on prescription and (d) face-to-face behavioural support; (3) use of roll-your-own tobacco; (4) prevalence of (a) smoking and (b) non-daily smoking; (5) tobacco control mass media expenditure; (6) expenditure on smoking; (7) smoker characteristics in the form of (a) high motivation to quit, (b) average age, (c) socio-economic status and (d) cigarette consumption; (8) implementation of tobacco control policies; and (9) quit attempt rate. Findings The licensing of NRT for harm reduction was associated with a 0.641% [95% confidence interval (CI) = 0.073–1.209, P = 0.027] increase in the mean point prevalence of the success rate of quit attempts. For every 1% increase in the mean point prevalence of e-cigarette use and use of prescription medication during a quit attempt, the mean point prevalence of successful quit attempts increased by 0.106% (95% CI = 0.011–0.201, P = 0.029) and 0.143% (95% CI = 0.009–0.279, P = 0.038), respectively. For every 1% increase in the mean expenditure on tobacco control mass media, the mean point prevalence of successful quit attempts increased by 0.046% (95% CI = 0.001–0.092, P = 0.046). Other associations were not statistically significant. Conclusion In England between 2007 and 2018, licensing of nicotine replacement therapy for use in harm reduction, greater use of e-cigarettes and prescription medications during a quit attempt and higher expenditure on tobacco control mass media were all associated with higher success rates of quit attempts.","container-title":"Addiction","DOI":"10.1111/add.14837","ISSN":"1360-0443","issue":"2","language":"en","note":"_eprint: https://onlinelibrary.wiley.com/doi/pdf/10.1111/add.14837","page":"315-325","source":"Wiley Online Library","title":"Population-level predictors of changes in success rates of smoking quit attempts in England: a time series analysis","title-short":"Population-level predictors of changes in success rates of smoking quit attempts in England","volume":"115","author":[{"family":"Beard","given":"Emma"},{"family":"Jackson","given":"Sarah E."},{"family":"West","given":"Robert"},{"family":"Kuipers","given":"Mirte A. G."},{"family":"Brown","given":"Jamie"}],"issued":{"date-parts":[["2020"]]}}},{"id":53,"uris":["http://zotero.org/users/446899/items/MIDJ2ILN"],"itemData":{"id":53,"type":"article-journal","abstract":"AIMS: To measure the impact of the suspension of tobacco control mass media campaigns in England in April 2010 on measures of smoking cessation behaviour.\nDESIGN: Interrupted time series design using routinely collected population-level data. Analysis of use of a range of types of smoking cessation support using segmented negative binomial regression.\nSETTING: England.\nMEASUREMENTS: Use of non-intensive support: monthly calls to the National Health Service (NHS) quitline (April 2005-September 2011), text requests for quit support packs (December 2007-10) and web hits on the national smoking cessation website (January 2009-March 2011). Use of intensive cessation support: quarterly data on the number of people setting a quit date and 4-week quitters at the NHS Stop Smoking Services (SSS) (quarter 1, 2001 and quarter 3, 2011).\nFINDINGS: During the suspension of tobacco control mass media spending, literature requests fell by 98% [95% confidence interval (CI) = 96-99], and quitline calls and web hits fell by 65% (95% CI = 43-79) and 34% (95% CI: 11-50), respectively. The number of people setting a quit date and 4-week quitters at the SSS increased throughout the study period.\nCONCLUSIONS: The suspension of tobacco control mass media campaigns in England in 2012 appeared to markedly reduce the use of smoking cessation literature, quitline calls and hits on the national smoking cessation website, but did not affect attendance at the Stop Smoking Services. Within a comprehensive tobacco control programme, mass media campaigns can play an important role in maximizing quitting activity.","container-title":"Addiction (Abingdon, England)","DOI":"10.1111/add.12448","ISSN":"1360-0443","issue":"6","journalAbbreviation":"Addiction","language":"eng","note":"PMID: 24325617","page":"995-1002","source":"PubMed","title":"The freeze on mass media campaigns in England: a natural experiment of the impact of tobacco control campaigns on quitting behaviour","title-short":"The freeze on mass media campaigns in England","volume":"109","author":[{"family":"Langley","given":"Tessa"},{"family":"Szatkowski","given":"Lisa"},{"family":"Lewis","given":"Sarah"},{"family":"McNeill","given":"Ann"},{"family":"Gilmore","given":"Anna B."},{"family":"Salway","given":"Ruth"},{"family":"Sims","given":"Michelle"}],"issued":{"date-parts":[["2014",6]]}}}],"schema":"https://github.com/citation-style-language/schema/raw/master/csl-citation.json"} </w:instrText>
      </w:r>
      <w:r w:rsidRPr="00F04A24">
        <w:rPr>
          <w:rStyle w:val="normaltextrun"/>
          <w:rFonts w:cstheme="minorHAnsi"/>
        </w:rPr>
        <w:fldChar w:fldCharType="separate"/>
      </w:r>
      <w:r w:rsidR="00123F72" w:rsidRPr="00123F72">
        <w:rPr>
          <w:rFonts w:ascii="Calibri" w:hAnsi="Calibri" w:cs="Calibri"/>
          <w:szCs w:val="24"/>
          <w:vertAlign w:val="superscript"/>
        </w:rPr>
        <w:t>2–4</w:t>
      </w:r>
      <w:r w:rsidRPr="00F04A24">
        <w:rPr>
          <w:rStyle w:val="normaltextrun"/>
          <w:rFonts w:cstheme="minorHAnsi"/>
        </w:rPr>
        <w:fldChar w:fldCharType="end"/>
      </w:r>
      <w:r w:rsidRPr="00F04A24">
        <w:rPr>
          <w:rStyle w:val="normaltextrun"/>
          <w:rFonts w:cstheme="minorHAnsi"/>
        </w:rPr>
        <w:t xml:space="preserve"> </w:t>
      </w:r>
      <w:r w:rsidRPr="00F04A24">
        <w:rPr>
          <w:rFonts w:cs="Calibri"/>
          <w:b/>
          <w:i/>
        </w:rPr>
        <w:t>Cigarette dependence</w:t>
      </w:r>
      <w:r w:rsidRPr="00F04A24">
        <w:rPr>
          <w:rFonts w:cs="Calibri"/>
        </w:rPr>
        <w:t xml:space="preserve"> was assessed with self-reported ratings of strength of urges to smoke over the past 24 hours [not at all (coded 0), slight (1), moderate (2), strong (3), very strong (4) and extremely strong (5)]. This variable was also coded ‘0’ for smokers who responded ‘not at all’ to the (separate) question: ‘How much of the time have you</w:t>
      </w:r>
      <w:r w:rsidR="00123F72">
        <w:rPr>
          <w:rFonts w:cs="Calibri"/>
        </w:rPr>
        <w:t xml:space="preserve"> spent with the urge to smoke?’</w:t>
      </w:r>
      <w:r w:rsidRPr="00F04A24">
        <w:rPr>
          <w:rFonts w:cs="Calibri"/>
        </w:rPr>
        <w:fldChar w:fldCharType="begin"/>
      </w:r>
      <w:r w:rsidR="00123F72">
        <w:rPr>
          <w:rFonts w:cs="Calibri"/>
        </w:rPr>
        <w:instrText xml:space="preserve"> ADDIN ZOTERO_ITEM CSL_CITATION {"citationID":"VWqYiWyq","properties":{"formattedCitation":"\\super 5\\nosupersub{}","plainCitation":"5","noteIndex":0},"citationItems":[{"id":1786,"uris":["http://zotero.org/users/446899/items/ZTHJCXDA"],"itemData":{"id":1786,"type":"article-journal","abstract":"AIMS: Measuring the strength of urges to smoke during a normal smoking day among smokers in a culture where smoking is restricted could provide a good measure of the severity of cigarette dependence. An important criterion for a measure of cigarette dependence is how well it predicts failure of attempts to stop smoking. This study compared ratings of Strength of Urges to Smoke (SUTS) with the Fagerström Test of Nicotine Dependence (FTND) and its components, including the Heaviness of Smoking Index (HSI).\nDESIGN: A longitudinal study involving a household survey of a representative sample of adult smokers at baseline and 6-month follow-up by postal questionnaire.\nSETTING: England.\nPARTICIPANTS: A total of 15,740 smokers aged 16 and over underwent the baseline interview; 2593 were followed-up 6 months later, of whom 513 reported having made a quit attempt following the baseline survey but at least 1 month prior to the follow-up.\nMEASUREMENTS: SUTS, FTND, HSI, cigarettes per day, time to first cigarette, age, social grade and gender were measured at baseline. Quit attempts since the baseline assessment and self-reported abstinence were measured at 6-month follow-up.\nFINDINGS: In logistic regressions, all dependence measures predicted success of subsequent quit attempts, but SUTS had the strongest association (beta for SUTS, FTND and HSI: 0.41: P &lt; 0.001, 0.13: P = 0.005, and 0.19: P = 0.003, respectively). In multiple logistic regressions when SUTS was entered as a predictor of abstinence, together with other dependence measures, it remained as the only predictive dependence measure.\nCONCLUSIONS: A simple rating of strength of urges on a normal smoking day appears to be a good predictor of at least short-term quit success in English smokers and as such may be a useful measure of cigarette addiction.","container-title":"Addiction (Abingdon, England)","DOI":"10.1111/j.1360-0443.2010.03226.x","ISSN":"1360-0443","issue":"3","journalAbbreviation":"Addiction","language":"eng","note":"PMID: 21134020","page":"631-638","source":"PubMed","title":"Strength of urges to smoke as a measure of severity of cigarette dependence: comparison with the Fagerström Test for Nicotine Dependence and its components","title-short":"Strength of urges to smoke as a measure of severity of cigarette dependence","volume":"106","author":[{"family":"Fidler","given":"Jennifer A."},{"family":"Shahab","given":"Lion"},{"family":"West","given":"Robert"}],"issued":{"date-parts":[["2011",3]]}}}],"schema":"https://github.com/citation-style-language/schema/raw/master/csl-citation.json"} </w:instrText>
      </w:r>
      <w:r w:rsidRPr="00F04A24">
        <w:rPr>
          <w:rFonts w:cs="Calibri"/>
        </w:rPr>
        <w:fldChar w:fldCharType="separate"/>
      </w:r>
      <w:r w:rsidR="00123F72" w:rsidRPr="00123F72">
        <w:rPr>
          <w:rFonts w:ascii="Calibri" w:hAnsi="Calibri" w:cs="Calibri"/>
          <w:szCs w:val="24"/>
          <w:vertAlign w:val="superscript"/>
        </w:rPr>
        <w:t>5</w:t>
      </w:r>
      <w:r w:rsidRPr="00F04A24">
        <w:rPr>
          <w:rFonts w:cs="Calibri"/>
        </w:rPr>
        <w:fldChar w:fldCharType="end"/>
      </w:r>
      <w:r w:rsidRPr="00F04A24">
        <w:rPr>
          <w:rFonts w:cs="Calibri"/>
        </w:rPr>
        <w:t xml:space="preserve"> Monthly </w:t>
      </w:r>
      <w:r w:rsidRPr="00F04A24">
        <w:rPr>
          <w:rFonts w:cs="Calibri"/>
          <w:b/>
          <w:i/>
        </w:rPr>
        <w:t>expenditure on tobacco control mass media campaigns</w:t>
      </w:r>
      <w:r w:rsidRPr="00F04A24">
        <w:rPr>
          <w:rFonts w:cs="Calibri"/>
        </w:rPr>
        <w:t xml:space="preserve"> (in £) was obtained from the Office for Health Improvement and Disparities and adjusted for inflation. While there were other potentially relevant population-level covariates, such as affordability of e-cigarettes or prevalence of e-cigarette use, we did not adjust for them in this study as they could plausibly hav</w:t>
      </w:r>
      <w:r w:rsidR="00123F72">
        <w:rPr>
          <w:rFonts w:cs="Calibri"/>
        </w:rPr>
        <w:t>e been affected by the pandemic.</w:t>
      </w:r>
      <w:r w:rsidRPr="00F04A24">
        <w:rPr>
          <w:rFonts w:cs="Calibri"/>
        </w:rPr>
        <w:fldChar w:fldCharType="begin"/>
      </w:r>
      <w:r w:rsidR="00123F72">
        <w:rPr>
          <w:rFonts w:cs="Calibri"/>
        </w:rPr>
        <w:instrText xml:space="preserve"> ADDIN ZOTERO_ITEM CSL_CITATION {"citationID":"Y9XG9Vv7","properties":{"formattedCitation":"\\super 6\\nosupersub{}","plainCitation":"6","noteIndex":0},"citationItems":[{"id":"i9cEirCX/he8TMnyQ","uris":["http://zotero.org/users/446899/items/EQDVAUYK"],"itemData":{"id":9518,"type":"article-journal","title":"How Conditioning on Posttreatment Variables Can Ruin Your Experiment and What to Do about It","container-title":"American Journal of Political Science","page":"760-775","volume":"62","issue":"3","source":"Wiley Online Library","abstract":"In principle, experiments offer a straightforward method for social scientists to accurately estimate causal effects. However, scholars often unwittingly distort treatment effect estimates by conditioning on variables that could be affected by their experimental manipulation. Typical examples include controlling for posttreatment variables in statistical models, eliminating observations based on posttreatment criteria, or subsetting the data based on posttreatment variables. Though these modeling choices are intended to address common problems encountered when conducting experiments, they can bias estimates of causal effects. Moreover, problems associated with conditioning on posttreatment variables remain largely unrecognized in the field, which we show frequently publishes experimental studies using these practices in our discipline's most prestigious journals. We demonstrate the severity of experimental posttreatment bias analytically and document the magnitude of the potential distortions it induces using visualizations and reanalyses of real-world data. We conclude by providing applied researchers with recommendations for best practice.","DOI":"10.1111/ajps.12357","ISSN":"1540-5907","language":"en","author":[{"family":"Montgomery","given":"Jacob M."},{"family":"Nyhan","given":"Brendan"},{"family":"Torres","given":"Michelle"}],"issued":{"date-parts":[["2018"]]}}}],"schema":"https://github.com/citation-style-language/schema/raw/master/csl-citation.json"} </w:instrText>
      </w:r>
      <w:r w:rsidRPr="00F04A24">
        <w:rPr>
          <w:rFonts w:cs="Calibri"/>
        </w:rPr>
        <w:fldChar w:fldCharType="separate"/>
      </w:r>
      <w:r w:rsidR="00123F72" w:rsidRPr="00123F72">
        <w:rPr>
          <w:rFonts w:ascii="Calibri" w:hAnsi="Calibri" w:cs="Calibri"/>
          <w:szCs w:val="24"/>
          <w:vertAlign w:val="superscript"/>
        </w:rPr>
        <w:t>6</w:t>
      </w:r>
      <w:r w:rsidRPr="00F04A24">
        <w:rPr>
          <w:rFonts w:cs="Calibri"/>
        </w:rPr>
        <w:fldChar w:fldCharType="end"/>
      </w:r>
    </w:p>
    <w:p w14:paraId="28E2257D" w14:textId="77777777" w:rsidR="00FA7479" w:rsidRDefault="00FA7479" w:rsidP="00FA7479">
      <w:pPr>
        <w:rPr>
          <w:rFonts w:cs="Calibri"/>
        </w:rPr>
      </w:pPr>
    </w:p>
    <w:p w14:paraId="19B43D7D" w14:textId="0FD960E3" w:rsidR="00FA7479" w:rsidRDefault="00FA7479" w:rsidP="00FA7479"/>
    <w:p w14:paraId="32A793C4" w14:textId="77777777" w:rsidR="00FA7479" w:rsidRDefault="00FA7479" w:rsidP="00FA7479"/>
    <w:p w14:paraId="61DC983F" w14:textId="77777777" w:rsidR="00FA7479" w:rsidRPr="00FA7479" w:rsidRDefault="00FA7479" w:rsidP="00FA7479"/>
    <w:p w14:paraId="5DD574CE" w14:textId="77777777" w:rsidR="00464506" w:rsidRDefault="00464506" w:rsidP="00FA7479"/>
    <w:p w14:paraId="5AE32EFB" w14:textId="77777777" w:rsidR="00FA7479" w:rsidRPr="00FA7479" w:rsidRDefault="00FA7479" w:rsidP="00FA7479">
      <w:pPr>
        <w:sectPr w:rsidR="00FA7479" w:rsidRPr="00FA7479" w:rsidSect="00847850">
          <w:pgSz w:w="12240" w:h="15840" w:code="1"/>
          <w:pgMar w:top="851" w:right="1440" w:bottom="1440" w:left="1440" w:header="720" w:footer="720" w:gutter="0"/>
          <w:cols w:space="720"/>
          <w:noEndnote/>
          <w:docGrid w:linePitch="299"/>
        </w:sectPr>
      </w:pPr>
    </w:p>
    <w:p w14:paraId="7796A442" w14:textId="4A494D90" w:rsidR="00556749" w:rsidRPr="00556749" w:rsidRDefault="00556749" w:rsidP="00556749">
      <w:pPr>
        <w:pStyle w:val="Heading3"/>
      </w:pPr>
      <w:r w:rsidRPr="00556749">
        <w:lastRenderedPageBreak/>
        <w:t xml:space="preserve">Part </w:t>
      </w:r>
      <w:r w:rsidR="00870EAE">
        <w:t>3</w:t>
      </w:r>
      <w:r w:rsidRPr="00556749">
        <w:t xml:space="preserve">: </w:t>
      </w:r>
      <w:r w:rsidR="00870EAE">
        <w:t>U</w:t>
      </w:r>
      <w:r w:rsidRPr="00556749">
        <w:t xml:space="preserve">nweighted </w:t>
      </w:r>
      <w:r w:rsidR="004D3246">
        <w:t>descriptive statistics</w:t>
      </w:r>
    </w:p>
    <w:p w14:paraId="2DCAA0CD" w14:textId="189EA12F" w:rsidR="0006753D" w:rsidRDefault="0006753D" w:rsidP="00847850">
      <w:pPr>
        <w:spacing w:after="0"/>
      </w:pPr>
    </w:p>
    <w:p w14:paraId="725E05B3" w14:textId="499A8366" w:rsidR="00556749" w:rsidRPr="00CB09BE" w:rsidRDefault="00556749" w:rsidP="00556749">
      <w:pPr>
        <w:spacing w:after="0" w:line="276" w:lineRule="auto"/>
      </w:pPr>
      <w:bookmarkStart w:id="1" w:name="_Hlk116554884"/>
      <w:r>
        <w:rPr>
          <w:b/>
        </w:rPr>
        <w:t>Supplementary Table 1</w:t>
      </w:r>
      <w:r>
        <w:t xml:space="preserve">. Unweighted </w:t>
      </w:r>
      <w:r w:rsidR="007664E9">
        <w:t>descriptive statistics</w:t>
      </w:r>
    </w:p>
    <w:tbl>
      <w:tblPr>
        <w:tblW w:w="9214" w:type="dxa"/>
        <w:tblLayout w:type="fixed"/>
        <w:tblLook w:val="0420" w:firstRow="1" w:lastRow="0" w:firstColumn="0" w:lastColumn="0" w:noHBand="0" w:noVBand="1"/>
      </w:tblPr>
      <w:tblGrid>
        <w:gridCol w:w="3544"/>
        <w:gridCol w:w="1201"/>
        <w:gridCol w:w="2255"/>
        <w:gridCol w:w="2214"/>
      </w:tblGrid>
      <w:tr w:rsidR="00556749" w14:paraId="57D022EF" w14:textId="77777777" w:rsidTr="00BC174D">
        <w:trPr>
          <w:cantSplit/>
          <w:tblHeader/>
        </w:trPr>
        <w:tc>
          <w:tcPr>
            <w:tcW w:w="354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C0D93BF" w14:textId="77777777" w:rsidR="00556749" w:rsidRDefault="00556749" w:rsidP="003E3394">
            <w:pPr>
              <w:spacing w:after="0" w:line="240" w:lineRule="auto"/>
            </w:pPr>
          </w:p>
        </w:tc>
        <w:tc>
          <w:tcPr>
            <w:tcW w:w="1201"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FE9D9A2" w14:textId="77777777" w:rsidR="00556749" w:rsidRDefault="00556749" w:rsidP="003E3394">
            <w:pPr>
              <w:spacing w:after="0" w:line="240" w:lineRule="auto"/>
              <w:jc w:val="right"/>
            </w:pPr>
            <w:r>
              <w:t>Overall</w:t>
            </w:r>
          </w:p>
        </w:tc>
        <w:tc>
          <w:tcPr>
            <w:tcW w:w="225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594EEE1F" w14:textId="77777777" w:rsidR="00556749" w:rsidRDefault="00556749" w:rsidP="003E3394">
            <w:pPr>
              <w:spacing w:after="0" w:line="240" w:lineRule="auto"/>
              <w:jc w:val="right"/>
            </w:pPr>
            <w:r>
              <w:t xml:space="preserve">Before pandemic </w:t>
            </w:r>
          </w:p>
          <w:p w14:paraId="44120609" w14:textId="77777777" w:rsidR="00556749" w:rsidRDefault="00556749" w:rsidP="003E3394">
            <w:pPr>
              <w:spacing w:after="0" w:line="240" w:lineRule="auto"/>
              <w:jc w:val="right"/>
            </w:pPr>
            <w:r>
              <w:t>(June 2017-Feb 2020)</w:t>
            </w:r>
          </w:p>
        </w:tc>
        <w:tc>
          <w:tcPr>
            <w:tcW w:w="221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27E5AE5" w14:textId="77777777" w:rsidR="00556749" w:rsidRDefault="00556749" w:rsidP="003E3394">
            <w:pPr>
              <w:spacing w:after="0" w:line="240" w:lineRule="auto"/>
              <w:jc w:val="right"/>
            </w:pPr>
            <w:r>
              <w:t xml:space="preserve">During pandemic </w:t>
            </w:r>
          </w:p>
          <w:p w14:paraId="4471AB94" w14:textId="77777777" w:rsidR="00556749" w:rsidRDefault="00556749" w:rsidP="003E3394">
            <w:pPr>
              <w:spacing w:after="0" w:line="240" w:lineRule="auto"/>
              <w:jc w:val="right"/>
            </w:pPr>
            <w:r>
              <w:t>(April 2020-Aug 2022)</w:t>
            </w:r>
          </w:p>
        </w:tc>
      </w:tr>
      <w:tr w:rsidR="00556749" w14:paraId="3512FE5E" w14:textId="77777777" w:rsidTr="00BC174D">
        <w:trPr>
          <w:cantSplit/>
          <w:tblHeader/>
        </w:trPr>
        <w:tc>
          <w:tcPr>
            <w:tcW w:w="3544" w:type="dxa"/>
            <w:tcBorders>
              <w:top w:val="single" w:sz="8" w:space="0" w:color="000000"/>
            </w:tcBorders>
            <w:shd w:val="clear" w:color="auto" w:fill="FFFFFF"/>
            <w:tcMar>
              <w:top w:w="0" w:type="dxa"/>
              <w:left w:w="0" w:type="dxa"/>
              <w:bottom w:w="0" w:type="dxa"/>
              <w:right w:w="0" w:type="dxa"/>
            </w:tcMar>
            <w:vAlign w:val="center"/>
          </w:tcPr>
          <w:p w14:paraId="66D91751" w14:textId="77777777" w:rsidR="00556749" w:rsidRPr="00011B39" w:rsidRDefault="00556749" w:rsidP="003E3394">
            <w:pPr>
              <w:spacing w:after="0" w:line="240" w:lineRule="auto"/>
              <w:rPr>
                <w:i/>
              </w:rPr>
            </w:pPr>
            <w:r>
              <w:rPr>
                <w:i/>
              </w:rPr>
              <w:t>N</w:t>
            </w:r>
          </w:p>
        </w:tc>
        <w:tc>
          <w:tcPr>
            <w:tcW w:w="1201" w:type="dxa"/>
            <w:tcBorders>
              <w:top w:val="single" w:sz="8" w:space="0" w:color="000000"/>
            </w:tcBorders>
            <w:shd w:val="clear" w:color="auto" w:fill="FFFFFF"/>
            <w:tcMar>
              <w:top w:w="0" w:type="dxa"/>
              <w:left w:w="0" w:type="dxa"/>
              <w:bottom w:w="0" w:type="dxa"/>
              <w:right w:w="0" w:type="dxa"/>
            </w:tcMar>
            <w:vAlign w:val="bottom"/>
          </w:tcPr>
          <w:p w14:paraId="31607F3B" w14:textId="77777777" w:rsidR="00556749" w:rsidRPr="00A2690D" w:rsidRDefault="00556749" w:rsidP="00BC174D">
            <w:pPr>
              <w:spacing w:after="0" w:line="240" w:lineRule="auto"/>
              <w:jc w:val="right"/>
              <w:rPr>
                <w:i/>
              </w:rPr>
            </w:pPr>
            <w:r w:rsidRPr="00A2690D">
              <w:rPr>
                <w:i/>
              </w:rPr>
              <w:t>10</w:t>
            </w:r>
            <w:r>
              <w:rPr>
                <w:i/>
              </w:rPr>
              <w:t>1</w:t>
            </w:r>
            <w:r w:rsidRPr="00A2690D">
              <w:rPr>
                <w:i/>
              </w:rPr>
              <w:t xml:space="preserve"> </w:t>
            </w:r>
            <w:r>
              <w:rPr>
                <w:i/>
              </w:rPr>
              <w:t>960</w:t>
            </w:r>
          </w:p>
        </w:tc>
        <w:tc>
          <w:tcPr>
            <w:tcW w:w="2255" w:type="dxa"/>
            <w:tcBorders>
              <w:top w:val="single" w:sz="8" w:space="0" w:color="000000"/>
            </w:tcBorders>
            <w:shd w:val="clear" w:color="auto" w:fill="FFFFFF"/>
            <w:tcMar>
              <w:top w:w="0" w:type="dxa"/>
              <w:left w:w="0" w:type="dxa"/>
              <w:bottom w:w="0" w:type="dxa"/>
              <w:right w:w="0" w:type="dxa"/>
            </w:tcMar>
            <w:vAlign w:val="bottom"/>
          </w:tcPr>
          <w:p w14:paraId="5DFDB720" w14:textId="77777777" w:rsidR="00556749" w:rsidRPr="00A2690D" w:rsidRDefault="00556749" w:rsidP="00BC174D">
            <w:pPr>
              <w:spacing w:after="0" w:line="240" w:lineRule="auto"/>
              <w:jc w:val="right"/>
              <w:rPr>
                <w:i/>
              </w:rPr>
            </w:pPr>
            <w:r w:rsidRPr="00A2690D">
              <w:rPr>
                <w:i/>
              </w:rPr>
              <w:t xml:space="preserve">55 </w:t>
            </w:r>
            <w:r>
              <w:rPr>
                <w:i/>
              </w:rPr>
              <w:t>349</w:t>
            </w:r>
          </w:p>
        </w:tc>
        <w:tc>
          <w:tcPr>
            <w:tcW w:w="2214" w:type="dxa"/>
            <w:tcBorders>
              <w:top w:val="single" w:sz="8" w:space="0" w:color="000000"/>
            </w:tcBorders>
            <w:shd w:val="clear" w:color="auto" w:fill="FFFFFF"/>
            <w:tcMar>
              <w:top w:w="0" w:type="dxa"/>
              <w:left w:w="0" w:type="dxa"/>
              <w:bottom w:w="0" w:type="dxa"/>
              <w:right w:w="0" w:type="dxa"/>
            </w:tcMar>
            <w:vAlign w:val="bottom"/>
          </w:tcPr>
          <w:p w14:paraId="69672568" w14:textId="77777777" w:rsidR="00556749" w:rsidRPr="00A2690D" w:rsidRDefault="00556749" w:rsidP="00BC174D">
            <w:pPr>
              <w:spacing w:after="0" w:line="240" w:lineRule="auto"/>
              <w:jc w:val="right"/>
              <w:rPr>
                <w:i/>
              </w:rPr>
            </w:pPr>
            <w:r w:rsidRPr="00A2690D">
              <w:rPr>
                <w:i/>
              </w:rPr>
              <w:t xml:space="preserve">46 </w:t>
            </w:r>
            <w:r>
              <w:rPr>
                <w:i/>
              </w:rPr>
              <w:t>611</w:t>
            </w:r>
          </w:p>
        </w:tc>
      </w:tr>
      <w:tr w:rsidR="00556749" w14:paraId="4CE7CA61"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6F52517" w14:textId="77777777" w:rsidR="00556749" w:rsidRDefault="00556749" w:rsidP="003E3394">
            <w:pPr>
              <w:spacing w:after="0" w:line="240" w:lineRule="auto"/>
            </w:pPr>
            <w:r>
              <w:t>Age (years)</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359CD5EC" w14:textId="77777777" w:rsidR="00556749" w:rsidRDefault="00556749" w:rsidP="00BC174D">
            <w:pPr>
              <w:pBdr>
                <w:top w:val="none" w:sz="0" w:space="0" w:color="000000"/>
                <w:left w:val="none" w:sz="0" w:space="0" w:color="000000"/>
                <w:bottom w:val="none" w:sz="0" w:space="0" w:color="000000"/>
                <w:right w:val="none" w:sz="0" w:space="0" w:color="000000"/>
              </w:pBdr>
              <w:spacing w:after="0" w:line="240" w:lineRule="auto"/>
              <w:jc w:val="right"/>
            </w:pPr>
            <w:r w:rsidRPr="00B36239">
              <w:t>50.2 (19.3)</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5CC78E3B" w14:textId="77777777" w:rsidR="00556749" w:rsidRDefault="00556749" w:rsidP="00BC174D">
            <w:pPr>
              <w:pBdr>
                <w:top w:val="none" w:sz="0" w:space="0" w:color="000000"/>
                <w:left w:val="none" w:sz="0" w:space="0" w:color="000000"/>
                <w:bottom w:val="none" w:sz="0" w:space="0" w:color="000000"/>
                <w:right w:val="none" w:sz="0" w:space="0" w:color="000000"/>
              </w:pBdr>
              <w:spacing w:after="0" w:line="240" w:lineRule="auto"/>
              <w:jc w:val="right"/>
            </w:pPr>
            <w:r w:rsidRPr="00B36239">
              <w:t>49.8 (19.7)</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6EA862EB" w14:textId="77777777" w:rsidR="00556749" w:rsidRDefault="00556749" w:rsidP="00BC174D">
            <w:pPr>
              <w:pBdr>
                <w:top w:val="none" w:sz="0" w:space="0" w:color="000000"/>
                <w:left w:val="none" w:sz="0" w:space="0" w:color="000000"/>
                <w:bottom w:val="none" w:sz="0" w:space="0" w:color="000000"/>
                <w:right w:val="none" w:sz="0" w:space="0" w:color="000000"/>
              </w:pBdr>
              <w:spacing w:after="0" w:line="240" w:lineRule="auto"/>
              <w:jc w:val="right"/>
            </w:pPr>
            <w:r w:rsidRPr="00B36239">
              <w:t>50.7 (18.7)</w:t>
            </w:r>
          </w:p>
        </w:tc>
      </w:tr>
      <w:tr w:rsidR="00847850" w14:paraId="053A79EE"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D64B322" w14:textId="4FE5CDD7" w:rsidR="00847850" w:rsidRDefault="00847850" w:rsidP="00847850">
            <w:pPr>
              <w:spacing w:after="0" w:line="240" w:lineRule="auto"/>
            </w:pPr>
            <w:r>
              <w:t xml:space="preserve">    18-24</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7B390E04" w14:textId="23230E7A" w:rsidR="00847850" w:rsidRPr="00B36239" w:rsidRDefault="00847850" w:rsidP="00BC174D">
            <w:pPr>
              <w:pBdr>
                <w:top w:val="none" w:sz="0" w:space="0" w:color="000000"/>
                <w:left w:val="none" w:sz="0" w:space="0" w:color="000000"/>
                <w:bottom w:val="none" w:sz="0" w:space="0" w:color="000000"/>
                <w:right w:val="none" w:sz="0" w:space="0" w:color="000000"/>
              </w:pBdr>
              <w:spacing w:after="0" w:line="240" w:lineRule="auto"/>
              <w:jc w:val="right"/>
            </w:pPr>
            <w:r w:rsidRPr="00847850">
              <w:t>12.2%</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56DBBA85" w14:textId="12EF2415" w:rsidR="00847850" w:rsidRPr="00B36239" w:rsidRDefault="00847850" w:rsidP="00BC174D">
            <w:pPr>
              <w:pBdr>
                <w:top w:val="none" w:sz="0" w:space="0" w:color="000000"/>
                <w:left w:val="none" w:sz="0" w:space="0" w:color="000000"/>
                <w:bottom w:val="none" w:sz="0" w:space="0" w:color="000000"/>
                <w:right w:val="none" w:sz="0" w:space="0" w:color="000000"/>
              </w:pBdr>
              <w:spacing w:after="0" w:line="240" w:lineRule="auto"/>
              <w:jc w:val="right"/>
            </w:pPr>
            <w:r w:rsidRPr="00847850">
              <w:t>13.5%</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468F5EF3" w14:textId="7B47F139" w:rsidR="00847850" w:rsidRPr="00B36239" w:rsidRDefault="00847850" w:rsidP="00BC174D">
            <w:pPr>
              <w:pBdr>
                <w:top w:val="none" w:sz="0" w:space="0" w:color="000000"/>
                <w:left w:val="none" w:sz="0" w:space="0" w:color="000000"/>
                <w:bottom w:val="none" w:sz="0" w:space="0" w:color="000000"/>
                <w:right w:val="none" w:sz="0" w:space="0" w:color="000000"/>
              </w:pBdr>
              <w:spacing w:after="0" w:line="240" w:lineRule="auto"/>
              <w:jc w:val="right"/>
            </w:pPr>
            <w:r w:rsidRPr="00847850">
              <w:t>10.6%</w:t>
            </w:r>
          </w:p>
        </w:tc>
      </w:tr>
      <w:tr w:rsidR="009050E6" w14:paraId="7347AB9D"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47D5651" w14:textId="3687BA0A" w:rsidR="009050E6" w:rsidRDefault="009050E6" w:rsidP="009050E6">
            <w:pPr>
              <w:spacing w:after="0" w:line="240" w:lineRule="auto"/>
            </w:pPr>
            <w:r>
              <w:t xml:space="preserve">    25-</w:t>
            </w:r>
            <w:r w:rsidR="00A960F2">
              <w:t>4</w:t>
            </w:r>
            <w:r>
              <w:t>4</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67653831" w14:textId="11EADBEC" w:rsidR="009050E6" w:rsidRPr="00847850" w:rsidRDefault="00A960F2" w:rsidP="009050E6">
            <w:pPr>
              <w:pBdr>
                <w:top w:val="none" w:sz="0" w:space="0" w:color="000000"/>
                <w:left w:val="none" w:sz="0" w:space="0" w:color="000000"/>
                <w:bottom w:val="none" w:sz="0" w:space="0" w:color="000000"/>
                <w:right w:val="none" w:sz="0" w:space="0" w:color="000000"/>
              </w:pBdr>
              <w:spacing w:after="0" w:line="240" w:lineRule="auto"/>
              <w:jc w:val="right"/>
            </w:pPr>
            <w:r>
              <w:t>28.5%</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312996AE" w14:textId="08B2E1DA" w:rsidR="009050E6" w:rsidRPr="00847850" w:rsidRDefault="00A960F2" w:rsidP="009050E6">
            <w:pPr>
              <w:pBdr>
                <w:top w:val="none" w:sz="0" w:space="0" w:color="000000"/>
                <w:left w:val="none" w:sz="0" w:space="0" w:color="000000"/>
                <w:bottom w:val="none" w:sz="0" w:space="0" w:color="000000"/>
                <w:right w:val="none" w:sz="0" w:space="0" w:color="000000"/>
              </w:pBdr>
              <w:spacing w:after="0" w:line="240" w:lineRule="auto"/>
              <w:jc w:val="right"/>
            </w:pPr>
            <w:r>
              <w:t>28.5%</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238653C0" w14:textId="159A0C6C" w:rsidR="009050E6" w:rsidRPr="00847850" w:rsidRDefault="00A960F2" w:rsidP="009050E6">
            <w:pPr>
              <w:pBdr>
                <w:top w:val="none" w:sz="0" w:space="0" w:color="000000"/>
                <w:left w:val="none" w:sz="0" w:space="0" w:color="000000"/>
                <w:bottom w:val="none" w:sz="0" w:space="0" w:color="000000"/>
                <w:right w:val="none" w:sz="0" w:space="0" w:color="000000"/>
              </w:pBdr>
              <w:spacing w:after="0" w:line="240" w:lineRule="auto"/>
              <w:jc w:val="right"/>
            </w:pPr>
            <w:r>
              <w:t>28.5%</w:t>
            </w:r>
          </w:p>
        </w:tc>
      </w:tr>
      <w:tr w:rsidR="009050E6" w14:paraId="60159FD7"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A9E452A" w14:textId="6A781878" w:rsidR="009050E6" w:rsidRDefault="009050E6" w:rsidP="009050E6">
            <w:pPr>
              <w:spacing w:after="0" w:line="240" w:lineRule="auto"/>
            </w:pPr>
            <w:r>
              <w:t xml:space="preserve">    45-65</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44D017AD" w14:textId="11FE0F5F" w:rsidR="009050E6" w:rsidRPr="00B36239"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847850">
              <w:t>33.7%</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7E292342" w14:textId="5AA06622" w:rsidR="009050E6" w:rsidRPr="00B36239"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847850">
              <w:t>32.0%</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0B3A8BE6" w14:textId="567B1026" w:rsidR="009050E6" w:rsidRPr="00B36239"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847850">
              <w:t>35.7%</w:t>
            </w:r>
          </w:p>
        </w:tc>
      </w:tr>
      <w:tr w:rsidR="009050E6" w14:paraId="507559C8"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6636124" w14:textId="6B8123BF" w:rsidR="009050E6" w:rsidRDefault="009050E6" w:rsidP="009050E6">
            <w:pPr>
              <w:spacing w:after="0" w:line="240" w:lineRule="auto"/>
            </w:pPr>
            <w:r>
              <w:t xml:space="preserve">    &gt;65</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5D9299BD" w14:textId="483E3DD9" w:rsidR="009050E6" w:rsidRPr="00847850" w:rsidRDefault="00A960F2" w:rsidP="009050E6">
            <w:pPr>
              <w:pBdr>
                <w:top w:val="none" w:sz="0" w:space="0" w:color="000000"/>
                <w:left w:val="none" w:sz="0" w:space="0" w:color="000000"/>
                <w:bottom w:val="none" w:sz="0" w:space="0" w:color="000000"/>
                <w:right w:val="none" w:sz="0" w:space="0" w:color="000000"/>
              </w:pBdr>
              <w:spacing w:after="0" w:line="240" w:lineRule="auto"/>
              <w:jc w:val="right"/>
            </w:pPr>
            <w:r>
              <w:t>25.6%</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5C20C4A5" w14:textId="6527B57A" w:rsidR="009050E6" w:rsidRPr="00847850" w:rsidRDefault="00A960F2" w:rsidP="009050E6">
            <w:pPr>
              <w:pBdr>
                <w:top w:val="none" w:sz="0" w:space="0" w:color="000000"/>
                <w:left w:val="none" w:sz="0" w:space="0" w:color="000000"/>
                <w:bottom w:val="none" w:sz="0" w:space="0" w:color="000000"/>
                <w:right w:val="none" w:sz="0" w:space="0" w:color="000000"/>
              </w:pBdr>
              <w:spacing w:after="0" w:line="240" w:lineRule="auto"/>
              <w:jc w:val="right"/>
            </w:pPr>
            <w:r>
              <w:t>25.9%</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7024D7BD" w14:textId="3AD18BA3" w:rsidR="009050E6" w:rsidRPr="00847850" w:rsidRDefault="00A960F2" w:rsidP="009050E6">
            <w:pPr>
              <w:pBdr>
                <w:top w:val="none" w:sz="0" w:space="0" w:color="000000"/>
                <w:left w:val="none" w:sz="0" w:space="0" w:color="000000"/>
                <w:bottom w:val="none" w:sz="0" w:space="0" w:color="000000"/>
                <w:right w:val="none" w:sz="0" w:space="0" w:color="000000"/>
              </w:pBdr>
              <w:spacing w:after="0" w:line="240" w:lineRule="auto"/>
              <w:jc w:val="right"/>
            </w:pPr>
            <w:r>
              <w:t>25.2%</w:t>
            </w:r>
          </w:p>
        </w:tc>
      </w:tr>
      <w:tr w:rsidR="009050E6" w14:paraId="0549663C"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553C429" w14:textId="77777777" w:rsidR="009050E6" w:rsidRDefault="009050E6" w:rsidP="009050E6">
            <w:pPr>
              <w:spacing w:after="0" w:line="240" w:lineRule="auto"/>
            </w:pPr>
            <w:r>
              <w:t>Gender</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6999319B" w14:textId="77777777" w:rsidR="009050E6" w:rsidRDefault="009050E6" w:rsidP="009050E6">
            <w:pPr>
              <w:spacing w:after="0" w:line="240" w:lineRule="auto"/>
              <w:jc w:val="right"/>
            </w:pP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351109E9" w14:textId="77777777" w:rsidR="009050E6" w:rsidRDefault="009050E6" w:rsidP="009050E6">
            <w:pPr>
              <w:spacing w:after="0" w:line="240" w:lineRule="auto"/>
              <w:jc w:val="right"/>
            </w:pP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69B5FA1F" w14:textId="77777777" w:rsidR="009050E6" w:rsidRDefault="009050E6" w:rsidP="009050E6">
            <w:pPr>
              <w:spacing w:after="0" w:line="240" w:lineRule="auto"/>
              <w:jc w:val="right"/>
            </w:pPr>
          </w:p>
        </w:tc>
      </w:tr>
      <w:tr w:rsidR="009050E6" w14:paraId="02633F96"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BE3BFA5" w14:textId="77777777" w:rsidR="009050E6" w:rsidRDefault="009050E6" w:rsidP="009050E6">
            <w:pPr>
              <w:spacing w:after="0" w:line="240" w:lineRule="auto"/>
            </w:pPr>
            <w:r>
              <w:t xml:space="preserve">     Men</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1B3C1175"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48.9%</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6A767A5C"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49.9%</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5E4118DA"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47.8%</w:t>
            </w:r>
          </w:p>
        </w:tc>
      </w:tr>
      <w:tr w:rsidR="009050E6" w14:paraId="1531F198"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48B0F8C" w14:textId="77777777" w:rsidR="009050E6" w:rsidRDefault="009050E6" w:rsidP="009050E6">
            <w:pPr>
              <w:spacing w:after="0" w:line="240" w:lineRule="auto"/>
            </w:pPr>
            <w:r>
              <w:t xml:space="preserve">     Women</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55E02E39"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50.8%</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145A32AD"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50.0%</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6356D4E3"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51.6%</w:t>
            </w:r>
          </w:p>
        </w:tc>
      </w:tr>
      <w:tr w:rsidR="009050E6" w14:paraId="6F3D1020"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80E01A0" w14:textId="77777777" w:rsidR="009050E6" w:rsidRDefault="009050E6" w:rsidP="009050E6">
            <w:pPr>
              <w:spacing w:after="0" w:line="240" w:lineRule="auto"/>
            </w:pPr>
            <w:r>
              <w:t xml:space="preserve">     In another way</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0C6133D1"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0.3%</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080D807E"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0.1%</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090711A8"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0.6%</w:t>
            </w:r>
          </w:p>
        </w:tc>
      </w:tr>
      <w:tr w:rsidR="009050E6" w14:paraId="6556DAC7"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AC416DE" w14:textId="77777777" w:rsidR="009050E6" w:rsidRDefault="009050E6" w:rsidP="009050E6">
            <w:pPr>
              <w:spacing w:after="0" w:line="240" w:lineRule="auto"/>
            </w:pPr>
            <w:r>
              <w:t>Social grade C2DE</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6FAE0E06"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37.1%</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035CF20C"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39.1%</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1FBE5F33"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34.8%</w:t>
            </w:r>
          </w:p>
        </w:tc>
      </w:tr>
      <w:tr w:rsidR="009050E6" w14:paraId="2923064E"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585FAE1" w14:textId="77777777" w:rsidR="009050E6" w:rsidRDefault="009050E6" w:rsidP="009050E6">
            <w:pPr>
              <w:spacing w:after="0" w:line="240" w:lineRule="auto"/>
            </w:pPr>
            <w:r>
              <w:t>Region in England</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3FF66CB8" w14:textId="77777777" w:rsidR="009050E6" w:rsidRDefault="009050E6" w:rsidP="009050E6">
            <w:pPr>
              <w:spacing w:after="0" w:line="240" w:lineRule="auto"/>
              <w:jc w:val="right"/>
            </w:pP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6BB5A6A8" w14:textId="77777777" w:rsidR="009050E6" w:rsidRDefault="009050E6" w:rsidP="009050E6">
            <w:pPr>
              <w:spacing w:after="0" w:line="240" w:lineRule="auto"/>
              <w:jc w:val="right"/>
            </w:pP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32C776BD" w14:textId="77777777" w:rsidR="009050E6" w:rsidRDefault="009050E6" w:rsidP="009050E6">
            <w:pPr>
              <w:spacing w:after="0" w:line="240" w:lineRule="auto"/>
              <w:jc w:val="right"/>
            </w:pPr>
          </w:p>
        </w:tc>
      </w:tr>
      <w:tr w:rsidR="009050E6" w14:paraId="7B240AD1"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FB5A96A" w14:textId="77777777" w:rsidR="009050E6" w:rsidRDefault="009050E6" w:rsidP="009050E6">
            <w:pPr>
              <w:spacing w:after="0" w:line="240" w:lineRule="auto"/>
            </w:pPr>
            <w:r>
              <w:t xml:space="preserve">     London</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3731217F"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15.8%</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72DEE4BE"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16.0%</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6BFA4488"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15.6%</w:t>
            </w:r>
          </w:p>
        </w:tc>
      </w:tr>
      <w:tr w:rsidR="009050E6" w14:paraId="7A120B78"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0BFE60B" w14:textId="77777777" w:rsidR="009050E6" w:rsidRDefault="009050E6" w:rsidP="009050E6">
            <w:pPr>
              <w:spacing w:after="0" w:line="240" w:lineRule="auto"/>
            </w:pPr>
            <w:r>
              <w:t xml:space="preserve">     South</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4CE9000C"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25.1%</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21B3B436"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23.7%</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06154C05"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26.6%</w:t>
            </w:r>
          </w:p>
        </w:tc>
      </w:tr>
      <w:tr w:rsidR="009050E6" w14:paraId="2A3BED28"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14EE884" w14:textId="77777777" w:rsidR="009050E6" w:rsidRDefault="009050E6" w:rsidP="009050E6">
            <w:pPr>
              <w:spacing w:after="0" w:line="240" w:lineRule="auto"/>
            </w:pPr>
            <w:r>
              <w:t xml:space="preserve">     Central</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6B3AD569"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30.5%</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4B1A0598"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30.9%</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40557A26"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30.0%</w:t>
            </w:r>
          </w:p>
        </w:tc>
      </w:tr>
      <w:tr w:rsidR="009050E6" w14:paraId="03664C44"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805D9D7" w14:textId="77777777" w:rsidR="009050E6" w:rsidRDefault="009050E6" w:rsidP="009050E6">
            <w:pPr>
              <w:spacing w:after="0" w:line="240" w:lineRule="auto"/>
            </w:pPr>
            <w:r>
              <w:t xml:space="preserve">     North</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738303CA"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28.6%</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043551CD"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29.3%</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0C8FCADE" w14:textId="77777777"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27.8%</w:t>
            </w:r>
          </w:p>
        </w:tc>
      </w:tr>
      <w:tr w:rsidR="009050E6" w14:paraId="74880CDA"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FF4542B" w14:textId="2AAF15DB" w:rsidR="009050E6" w:rsidRDefault="009050E6" w:rsidP="009050E6">
            <w:pPr>
              <w:spacing w:after="0" w:line="240" w:lineRule="auto"/>
            </w:pPr>
            <w:r>
              <w:t>Current smoker</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5B4E04BC" w14:textId="60E2ABF0" w:rsidR="009050E6" w:rsidRPr="00B36239"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295C61">
              <w:t>16.0%</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5B1877BD" w14:textId="72EAF395" w:rsidR="009050E6" w:rsidRPr="00B36239"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295C61">
              <w:t>16.5%</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54B66686" w14:textId="3A8F981C" w:rsidR="009050E6" w:rsidRPr="00B36239"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295C61">
              <w:t>15.4%</w:t>
            </w:r>
          </w:p>
        </w:tc>
      </w:tr>
      <w:tr w:rsidR="009050E6" w14:paraId="0728C231"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1FADC1E" w14:textId="75CE0881" w:rsidR="009050E6" w:rsidRDefault="009050E6" w:rsidP="009050E6">
            <w:pPr>
              <w:spacing w:after="0" w:line="240" w:lineRule="auto"/>
            </w:pPr>
            <w:r>
              <w:t>Past-year smoker</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3FDB5D8A" w14:textId="31CB431D" w:rsidR="009050E6" w:rsidRPr="00B36239"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295C61">
              <w:t>17.6%</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5DA04DAC" w14:textId="5DDA7A50" w:rsidR="009050E6" w:rsidRPr="00B36239"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295C61">
              <w:t>17.6%</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69D0B7D1" w14:textId="2193338B" w:rsidR="009050E6" w:rsidRPr="00B36239"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295C61">
              <w:t>17.6%</w:t>
            </w:r>
          </w:p>
        </w:tc>
      </w:tr>
      <w:tr w:rsidR="009050E6" w14:paraId="32277FB7" w14:textId="77777777" w:rsidTr="00FB4ED8">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4271419" w14:textId="18DDAF52" w:rsidR="009050E6" w:rsidRPr="00477E73" w:rsidRDefault="009050E6" w:rsidP="009050E6">
            <w:pPr>
              <w:spacing w:after="0" w:line="240" w:lineRule="auto"/>
            </w:pPr>
            <w:r>
              <w:t>Uptake of smoking</w:t>
            </w:r>
            <w:r>
              <w:rPr>
                <w:vertAlign w:val="superscript"/>
              </w:rPr>
              <w:t>1c</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4A3AEFF4" w14:textId="77777777" w:rsidR="009050E6" w:rsidRPr="00077206" w:rsidRDefault="009050E6" w:rsidP="009050E6">
            <w:pPr>
              <w:spacing w:after="0" w:line="240" w:lineRule="auto"/>
              <w:jc w:val="right"/>
            </w:pPr>
            <w:r w:rsidRPr="00077206">
              <w:t>22.0%</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52143A8F" w14:textId="77777777" w:rsidR="009050E6" w:rsidRPr="00077206" w:rsidRDefault="009050E6" w:rsidP="009050E6">
            <w:pPr>
              <w:spacing w:after="0" w:line="240" w:lineRule="auto"/>
              <w:jc w:val="right"/>
            </w:pPr>
            <w:r w:rsidRPr="00077206">
              <w:t>21.2%</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6D174E66" w14:textId="77777777" w:rsidR="009050E6" w:rsidRPr="00077206" w:rsidRDefault="009050E6" w:rsidP="009050E6">
            <w:pPr>
              <w:spacing w:after="0" w:line="240" w:lineRule="auto"/>
              <w:jc w:val="right"/>
            </w:pPr>
            <w:r w:rsidRPr="00077206">
              <w:t>23.3%</w:t>
            </w:r>
          </w:p>
        </w:tc>
      </w:tr>
      <w:tr w:rsidR="009050E6" w14:paraId="18857C46" w14:textId="77777777" w:rsidTr="00FB4ED8">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00DBA7A" w14:textId="6DD16625" w:rsidR="009050E6" w:rsidRPr="00477E73" w:rsidRDefault="009050E6" w:rsidP="009050E6">
            <w:pPr>
              <w:spacing w:after="0" w:line="240" w:lineRule="auto"/>
            </w:pPr>
            <w:r>
              <w:t>Late relapse</w:t>
            </w:r>
            <w:r>
              <w:rPr>
                <w:vertAlign w:val="superscript"/>
              </w:rPr>
              <w:t>2c</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69B7BB80" w14:textId="77777777" w:rsidR="009050E6" w:rsidRPr="00077206" w:rsidRDefault="009050E6" w:rsidP="009050E6">
            <w:pPr>
              <w:spacing w:after="0" w:line="240" w:lineRule="auto"/>
              <w:jc w:val="right"/>
            </w:pPr>
            <w:r w:rsidRPr="00077206">
              <w:t>15.0%</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48A10DE4" w14:textId="77777777" w:rsidR="009050E6" w:rsidRPr="00077206" w:rsidRDefault="009050E6" w:rsidP="009050E6">
            <w:pPr>
              <w:spacing w:after="0" w:line="240" w:lineRule="auto"/>
              <w:jc w:val="right"/>
            </w:pPr>
            <w:r w:rsidRPr="00077206">
              <w:t>16.9%</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659ECF59" w14:textId="77777777" w:rsidR="009050E6" w:rsidRPr="00077206" w:rsidRDefault="009050E6" w:rsidP="009050E6">
            <w:pPr>
              <w:spacing w:after="0" w:line="240" w:lineRule="auto"/>
              <w:jc w:val="right"/>
            </w:pPr>
            <w:r w:rsidRPr="00077206">
              <w:t>13.1%</w:t>
            </w:r>
          </w:p>
        </w:tc>
      </w:tr>
      <w:tr w:rsidR="009050E6" w14:paraId="780F4FD2"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AACF8CD" w14:textId="18EB525A" w:rsidR="009050E6" w:rsidRPr="00BF3A11" w:rsidRDefault="009050E6" w:rsidP="009050E6">
            <w:pPr>
              <w:spacing w:after="0" w:line="240" w:lineRule="auto"/>
              <w:rPr>
                <w:vertAlign w:val="superscript"/>
              </w:rPr>
            </w:pPr>
            <w:r>
              <w:t>Cigarette dependence</w:t>
            </w:r>
            <w:r>
              <w:rPr>
                <w:vertAlign w:val="superscript"/>
              </w:rPr>
              <w:t>3a</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28D17B42" w14:textId="0E1C344F"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1.7</w:t>
            </w:r>
            <w:r>
              <w:t>0</w:t>
            </w:r>
            <w:r w:rsidRPr="00B36239">
              <w:t xml:space="preserve"> (1.</w:t>
            </w:r>
            <w:r>
              <w:t>19</w:t>
            </w:r>
            <w:r w:rsidRPr="00B36239">
              <w:t>)</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077261F4" w14:textId="4E28B26B"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1.</w:t>
            </w:r>
            <w:r>
              <w:t>76</w:t>
            </w:r>
            <w:r w:rsidRPr="00B36239">
              <w:t xml:space="preserve"> (1.1</w:t>
            </w:r>
            <w:r>
              <w:t>4</w:t>
            </w:r>
            <w:r w:rsidRPr="00B36239">
              <w:t>)</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4A249259" w14:textId="3A8D4FB1" w:rsidR="009050E6"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B36239">
              <w:t>1.6</w:t>
            </w:r>
            <w:r>
              <w:t>2</w:t>
            </w:r>
            <w:r w:rsidRPr="00B36239">
              <w:t xml:space="preserve"> (1.</w:t>
            </w:r>
            <w:r>
              <w:t>26</w:t>
            </w:r>
            <w:r w:rsidRPr="00B36239">
              <w:t>)</w:t>
            </w:r>
          </w:p>
        </w:tc>
      </w:tr>
      <w:tr w:rsidR="009050E6" w14:paraId="36A23196"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9A02204" w14:textId="536E3FDA" w:rsidR="009050E6" w:rsidRDefault="009050E6" w:rsidP="009050E6">
            <w:pPr>
              <w:spacing w:after="0" w:line="240" w:lineRule="auto"/>
            </w:pPr>
            <w:r>
              <w:t>Quit in past year</w:t>
            </w:r>
            <w:r>
              <w:rPr>
                <w:vertAlign w:val="superscript"/>
              </w:rPr>
              <w:t>3</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2F45C5BA" w14:textId="61BC9764" w:rsidR="009050E6" w:rsidRPr="00B36239"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295C61">
              <w:t>9.2%</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22BF34FB" w14:textId="1B08B8D0" w:rsidR="009050E6" w:rsidRPr="00B36239"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295C61">
              <w:t>6.1%</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1C6054CE" w14:textId="38A6C31A" w:rsidR="009050E6" w:rsidRPr="00B36239" w:rsidRDefault="009050E6" w:rsidP="009050E6">
            <w:pPr>
              <w:pBdr>
                <w:top w:val="none" w:sz="0" w:space="0" w:color="000000"/>
                <w:left w:val="none" w:sz="0" w:space="0" w:color="000000"/>
                <w:bottom w:val="none" w:sz="0" w:space="0" w:color="000000"/>
                <w:right w:val="none" w:sz="0" w:space="0" w:color="000000"/>
              </w:pBdr>
              <w:spacing w:after="0" w:line="240" w:lineRule="auto"/>
              <w:jc w:val="right"/>
            </w:pPr>
            <w:r w:rsidRPr="00295C61">
              <w:t>12.8%</w:t>
            </w:r>
          </w:p>
        </w:tc>
      </w:tr>
      <w:tr w:rsidR="009050E6" w14:paraId="151961CC"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E763647" w14:textId="22C9DA0E" w:rsidR="009050E6" w:rsidRPr="00D11C61" w:rsidRDefault="009050E6" w:rsidP="009050E6">
            <w:pPr>
              <w:spacing w:after="0" w:line="240" w:lineRule="auto"/>
            </w:pPr>
            <w:r>
              <w:t>Tried to quit in past year</w:t>
            </w:r>
            <w:r>
              <w:rPr>
                <w:vertAlign w:val="superscript"/>
              </w:rPr>
              <w:t>3</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180D3FE6" w14:textId="7097977B" w:rsidR="009050E6" w:rsidRDefault="009050E6" w:rsidP="009050E6">
            <w:pPr>
              <w:spacing w:after="0" w:line="240" w:lineRule="auto"/>
              <w:jc w:val="right"/>
            </w:pPr>
            <w:r w:rsidRPr="00295C61">
              <w:t>33.4%</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4F592901" w14:textId="029B3E20" w:rsidR="009050E6" w:rsidRDefault="009050E6" w:rsidP="009050E6">
            <w:pPr>
              <w:spacing w:after="0" w:line="240" w:lineRule="auto"/>
              <w:jc w:val="right"/>
            </w:pPr>
            <w:r w:rsidRPr="00295C61">
              <w:t>30.6%</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2A86EC06" w14:textId="18AB0F98" w:rsidR="009050E6" w:rsidRDefault="009050E6" w:rsidP="009050E6">
            <w:pPr>
              <w:spacing w:after="0" w:line="240" w:lineRule="auto"/>
              <w:jc w:val="right"/>
            </w:pPr>
            <w:r w:rsidRPr="00295C61">
              <w:t>36.8%</w:t>
            </w:r>
          </w:p>
        </w:tc>
      </w:tr>
      <w:tr w:rsidR="009050E6" w14:paraId="576BE09F"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7059EC7" w14:textId="5A59565F" w:rsidR="009050E6" w:rsidRPr="00D11C61" w:rsidRDefault="009050E6" w:rsidP="009050E6">
            <w:pPr>
              <w:spacing w:after="0" w:line="240" w:lineRule="auto"/>
              <w:rPr>
                <w:vertAlign w:val="superscript"/>
              </w:rPr>
            </w:pPr>
            <w:r>
              <w:t>Number of past-year quit attempts</w:t>
            </w:r>
            <w:r>
              <w:rPr>
                <w:vertAlign w:val="superscript"/>
              </w:rPr>
              <w:t>4b</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3DA91BE0" w14:textId="6263B632" w:rsidR="009050E6" w:rsidRDefault="009050E6" w:rsidP="009050E6">
            <w:pPr>
              <w:spacing w:after="0" w:line="240" w:lineRule="auto"/>
              <w:jc w:val="right"/>
            </w:pPr>
            <w:r>
              <w:t>1.43 (1.79)</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1B9F2337" w14:textId="60703433" w:rsidR="009050E6" w:rsidRDefault="009050E6" w:rsidP="009050E6">
            <w:pPr>
              <w:spacing w:after="0" w:line="240" w:lineRule="auto"/>
              <w:jc w:val="right"/>
            </w:pPr>
            <w:r>
              <w:t>1.40 (1.77)</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4316A95B" w14:textId="511228CD" w:rsidR="009050E6" w:rsidRDefault="009050E6" w:rsidP="009050E6">
            <w:pPr>
              <w:spacing w:after="0" w:line="240" w:lineRule="auto"/>
              <w:jc w:val="right"/>
            </w:pPr>
            <w:r>
              <w:t>1.45 (1.79)</w:t>
            </w:r>
          </w:p>
        </w:tc>
      </w:tr>
      <w:tr w:rsidR="009050E6" w14:paraId="2ACD34F1" w14:textId="77777777" w:rsidTr="00FB4ED8">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770EB4A" w14:textId="4EC8C2CF" w:rsidR="009050E6" w:rsidRPr="00477E73" w:rsidRDefault="001D625B" w:rsidP="009050E6">
            <w:pPr>
              <w:spacing w:after="0" w:line="240" w:lineRule="auto"/>
              <w:rPr>
                <w:vertAlign w:val="superscript"/>
              </w:rPr>
            </w:pPr>
            <w:r>
              <w:t>Medium</w:t>
            </w:r>
            <w:r w:rsidR="009050E6">
              <w:t>-term abstinence</w:t>
            </w:r>
            <w:r w:rsidR="009050E6">
              <w:rPr>
                <w:vertAlign w:val="superscript"/>
              </w:rPr>
              <w:t>5</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61FF2D41" w14:textId="77777777" w:rsidR="009050E6" w:rsidRPr="00077206" w:rsidRDefault="009050E6" w:rsidP="009050E6">
            <w:pPr>
              <w:spacing w:after="0" w:line="240" w:lineRule="auto"/>
              <w:jc w:val="right"/>
            </w:pPr>
            <w:r w:rsidRPr="00077206">
              <w:t>17.2%</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1577F95F" w14:textId="77777777" w:rsidR="009050E6" w:rsidRPr="00077206" w:rsidRDefault="009050E6" w:rsidP="009050E6">
            <w:pPr>
              <w:spacing w:after="0" w:line="240" w:lineRule="auto"/>
              <w:jc w:val="right"/>
            </w:pPr>
            <w:r w:rsidRPr="00077206">
              <w:t>11.9%</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36A6746C" w14:textId="77777777" w:rsidR="009050E6" w:rsidRPr="00077206" w:rsidRDefault="009050E6" w:rsidP="009050E6">
            <w:pPr>
              <w:spacing w:after="0" w:line="240" w:lineRule="auto"/>
              <w:jc w:val="right"/>
            </w:pPr>
            <w:r w:rsidRPr="00077206">
              <w:t>22.2%</w:t>
            </w:r>
          </w:p>
        </w:tc>
      </w:tr>
      <w:tr w:rsidR="009050E6" w14:paraId="7959AF29"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AFF48E6" w14:textId="0B448AED" w:rsidR="009050E6" w:rsidRPr="00D11C61" w:rsidRDefault="009050E6" w:rsidP="009050E6">
            <w:pPr>
              <w:spacing w:after="0" w:line="240" w:lineRule="auto"/>
              <w:rPr>
                <w:vertAlign w:val="superscript"/>
              </w:rPr>
            </w:pPr>
            <w:r>
              <w:t>Use of cessation support</w:t>
            </w:r>
            <w:r>
              <w:rPr>
                <w:vertAlign w:val="superscript"/>
              </w:rPr>
              <w:t>4</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0E9C83F6" w14:textId="77777777" w:rsidR="009050E6" w:rsidRPr="00077206" w:rsidRDefault="009050E6" w:rsidP="009050E6">
            <w:pPr>
              <w:spacing w:after="0" w:line="240" w:lineRule="auto"/>
              <w:jc w:val="right"/>
            </w:pP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257F3721" w14:textId="77777777" w:rsidR="009050E6" w:rsidRPr="00077206" w:rsidRDefault="009050E6" w:rsidP="009050E6">
            <w:pPr>
              <w:spacing w:after="0" w:line="240" w:lineRule="auto"/>
              <w:jc w:val="right"/>
            </w:pP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1C72C0C3" w14:textId="77777777" w:rsidR="009050E6" w:rsidRPr="00077206" w:rsidRDefault="009050E6" w:rsidP="009050E6">
            <w:pPr>
              <w:spacing w:after="0" w:line="240" w:lineRule="auto"/>
              <w:jc w:val="right"/>
            </w:pPr>
          </w:p>
        </w:tc>
      </w:tr>
      <w:tr w:rsidR="009050E6" w14:paraId="0B1D4BF8"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C5916D0" w14:textId="0C74FECA" w:rsidR="009050E6" w:rsidRDefault="009050E6" w:rsidP="009050E6">
            <w:pPr>
              <w:spacing w:after="0" w:line="240" w:lineRule="auto"/>
            </w:pPr>
            <w:r>
              <w:t xml:space="preserve">     Prescription medication</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60CD17DB" w14:textId="444D4775" w:rsidR="009050E6" w:rsidRPr="00077206" w:rsidRDefault="009050E6" w:rsidP="009050E6">
            <w:pPr>
              <w:spacing w:after="0" w:line="240" w:lineRule="auto"/>
              <w:jc w:val="right"/>
            </w:pPr>
            <w:r w:rsidRPr="00077206">
              <w:t>7.2%</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371914C9" w14:textId="63BB2AF2" w:rsidR="009050E6" w:rsidRPr="00077206" w:rsidRDefault="009050E6" w:rsidP="009050E6">
            <w:pPr>
              <w:spacing w:after="0" w:line="240" w:lineRule="auto"/>
              <w:jc w:val="right"/>
            </w:pPr>
            <w:r w:rsidRPr="00077206">
              <w:t>7.0%</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583F2FE5" w14:textId="1E6B5EC8" w:rsidR="009050E6" w:rsidRPr="00077206" w:rsidRDefault="009050E6" w:rsidP="009050E6">
            <w:pPr>
              <w:spacing w:after="0" w:line="240" w:lineRule="auto"/>
              <w:jc w:val="right"/>
            </w:pPr>
            <w:r w:rsidRPr="00077206">
              <w:t>7.5%</w:t>
            </w:r>
          </w:p>
        </w:tc>
      </w:tr>
      <w:tr w:rsidR="009050E6" w14:paraId="3A457452"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98B8B39" w14:textId="02205028" w:rsidR="009050E6" w:rsidRDefault="009050E6" w:rsidP="009050E6">
            <w:pPr>
              <w:spacing w:after="0" w:line="240" w:lineRule="auto"/>
            </w:pPr>
            <w:r>
              <w:t xml:space="preserve">     Behavioural support</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296903B1" w14:textId="181FE278" w:rsidR="009050E6" w:rsidRPr="00077206" w:rsidRDefault="009050E6" w:rsidP="009050E6">
            <w:pPr>
              <w:spacing w:after="0" w:line="240" w:lineRule="auto"/>
              <w:jc w:val="right"/>
            </w:pPr>
            <w:r w:rsidRPr="00077206">
              <w:t>7.4%</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3CBF6C0D" w14:textId="1A3FD7D5" w:rsidR="009050E6" w:rsidRPr="00077206" w:rsidRDefault="009050E6" w:rsidP="009050E6">
            <w:pPr>
              <w:spacing w:after="0" w:line="240" w:lineRule="auto"/>
              <w:jc w:val="right"/>
            </w:pPr>
            <w:r w:rsidRPr="00077206">
              <w:t>6.4%</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16A104E5" w14:textId="1E47CFBC" w:rsidR="009050E6" w:rsidRPr="00077206" w:rsidRDefault="009050E6" w:rsidP="009050E6">
            <w:pPr>
              <w:spacing w:after="0" w:line="240" w:lineRule="auto"/>
              <w:jc w:val="right"/>
            </w:pPr>
            <w:r w:rsidRPr="00077206">
              <w:t>8.3%</w:t>
            </w:r>
          </w:p>
        </w:tc>
      </w:tr>
      <w:tr w:rsidR="009050E6" w14:paraId="64EE0375"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984EA43" w14:textId="0CB65740" w:rsidR="009050E6" w:rsidRDefault="009050E6" w:rsidP="009050E6">
            <w:pPr>
              <w:spacing w:after="0" w:line="240" w:lineRule="auto"/>
            </w:pPr>
            <w:r>
              <w:t xml:space="preserve">     E-cigarettes</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4B1BB447" w14:textId="43F93278" w:rsidR="009050E6" w:rsidRPr="00077206" w:rsidRDefault="009050E6" w:rsidP="009050E6">
            <w:pPr>
              <w:spacing w:after="0" w:line="240" w:lineRule="auto"/>
              <w:jc w:val="right"/>
            </w:pPr>
            <w:r w:rsidRPr="00077206">
              <w:t>30.6%</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00DFDA85" w14:textId="4A11F0E5" w:rsidR="009050E6" w:rsidRPr="00077206" w:rsidRDefault="009050E6" w:rsidP="009050E6">
            <w:pPr>
              <w:spacing w:after="0" w:line="240" w:lineRule="auto"/>
              <w:jc w:val="right"/>
            </w:pPr>
            <w:r w:rsidRPr="00077206">
              <w:t>32.2%</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26CEC1D0" w14:textId="2D537016" w:rsidR="009050E6" w:rsidRPr="00077206" w:rsidRDefault="009050E6" w:rsidP="009050E6">
            <w:pPr>
              <w:spacing w:after="0" w:line="240" w:lineRule="auto"/>
              <w:jc w:val="right"/>
            </w:pPr>
            <w:r w:rsidRPr="00077206">
              <w:t>29.1%</w:t>
            </w:r>
          </w:p>
        </w:tc>
      </w:tr>
      <w:tr w:rsidR="009050E6" w14:paraId="1D70CE55" w14:textId="77777777" w:rsidTr="00BC174D">
        <w:trPr>
          <w:cantSplit/>
        </w:trPr>
        <w:tc>
          <w:tcPr>
            <w:tcW w:w="354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9C98AC2" w14:textId="4F862BE3" w:rsidR="009050E6" w:rsidRPr="00043697" w:rsidRDefault="009050E6" w:rsidP="009050E6">
            <w:pPr>
              <w:spacing w:after="0" w:line="240" w:lineRule="auto"/>
              <w:rPr>
                <w:vertAlign w:val="superscript"/>
              </w:rPr>
            </w:pPr>
            <w:r>
              <w:t>Monthly inflation-adjusted national tobacco control expenditure (£)</w:t>
            </w:r>
          </w:p>
        </w:tc>
        <w:tc>
          <w:tcPr>
            <w:tcW w:w="12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13DCD812" w14:textId="77777777" w:rsidR="009050E6" w:rsidRPr="00077206" w:rsidRDefault="009050E6" w:rsidP="009050E6">
            <w:pPr>
              <w:spacing w:after="0" w:line="240" w:lineRule="auto"/>
              <w:jc w:val="right"/>
            </w:pPr>
            <w:r w:rsidRPr="00077206">
              <w:t xml:space="preserve">137 000 </w:t>
            </w:r>
          </w:p>
          <w:p w14:paraId="1A59E8BB" w14:textId="77777777" w:rsidR="009050E6" w:rsidRPr="00077206" w:rsidRDefault="009050E6" w:rsidP="009050E6">
            <w:pPr>
              <w:spacing w:after="0" w:line="240" w:lineRule="auto"/>
              <w:jc w:val="right"/>
            </w:pPr>
            <w:r w:rsidRPr="00077206">
              <w:t>(247 000)</w:t>
            </w:r>
          </w:p>
        </w:tc>
        <w:tc>
          <w:tcPr>
            <w:tcW w:w="22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06421EA3" w14:textId="77777777" w:rsidR="009050E6" w:rsidRPr="00077206" w:rsidRDefault="009050E6" w:rsidP="009050E6">
            <w:pPr>
              <w:spacing w:after="0" w:line="240" w:lineRule="auto"/>
              <w:jc w:val="right"/>
            </w:pPr>
            <w:r w:rsidRPr="00077206">
              <w:t>142 000</w:t>
            </w:r>
          </w:p>
          <w:p w14:paraId="319DF861" w14:textId="77777777" w:rsidR="009050E6" w:rsidRPr="00077206" w:rsidRDefault="009050E6" w:rsidP="009050E6">
            <w:pPr>
              <w:spacing w:after="0" w:line="240" w:lineRule="auto"/>
              <w:jc w:val="right"/>
            </w:pPr>
            <w:r w:rsidRPr="00077206">
              <w:t>(237 000)</w:t>
            </w:r>
          </w:p>
        </w:tc>
        <w:tc>
          <w:tcPr>
            <w:tcW w:w="22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144E7EAD" w14:textId="77777777" w:rsidR="009050E6" w:rsidRPr="00077206" w:rsidRDefault="009050E6" w:rsidP="009050E6">
            <w:pPr>
              <w:spacing w:after="0" w:line="240" w:lineRule="auto"/>
              <w:jc w:val="right"/>
            </w:pPr>
            <w:r w:rsidRPr="00077206">
              <w:t>131 000</w:t>
            </w:r>
          </w:p>
          <w:p w14:paraId="225E79BB" w14:textId="77777777" w:rsidR="009050E6" w:rsidRPr="00077206" w:rsidRDefault="009050E6" w:rsidP="009050E6">
            <w:pPr>
              <w:spacing w:after="0" w:line="240" w:lineRule="auto"/>
              <w:jc w:val="right"/>
            </w:pPr>
            <w:r w:rsidRPr="00077206">
              <w:t>(261 000)</w:t>
            </w:r>
          </w:p>
        </w:tc>
      </w:tr>
      <w:tr w:rsidR="009050E6" w14:paraId="0D4BDE5C" w14:textId="77777777" w:rsidTr="00BC174D">
        <w:trPr>
          <w:cantSplit/>
        </w:trPr>
        <w:tc>
          <w:tcPr>
            <w:tcW w:w="9214" w:type="dxa"/>
            <w:gridSpan w:val="4"/>
            <w:tcBorders>
              <w:top w:val="single" w:sz="8"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BA84CBA" w14:textId="77777777" w:rsidR="009050E6" w:rsidRDefault="009050E6" w:rsidP="009050E6">
            <w:pPr>
              <w:spacing w:after="0" w:line="240" w:lineRule="auto"/>
            </w:pPr>
            <w:r>
              <w:t>Data are shown as percentages or mean (SD), unless otherwise specified.</w:t>
            </w:r>
          </w:p>
          <w:p w14:paraId="1ACAD97D" w14:textId="444FB019" w:rsidR="009050E6" w:rsidRPr="00477E73" w:rsidRDefault="009050E6" w:rsidP="009050E6">
            <w:pPr>
              <w:spacing w:after="0" w:line="240" w:lineRule="auto"/>
            </w:pPr>
            <w:r>
              <w:rPr>
                <w:vertAlign w:val="superscript"/>
              </w:rPr>
              <w:t>1</w:t>
            </w:r>
            <w:r>
              <w:t xml:space="preserve"> Among 18-24 year olds (</w:t>
            </w:r>
            <w:r>
              <w:rPr>
                <w:i/>
                <w:iCs/>
              </w:rPr>
              <w:t>n = 12,455</w:t>
            </w:r>
            <w:r>
              <w:t xml:space="preserve">).  </w:t>
            </w:r>
            <w:r>
              <w:rPr>
                <w:vertAlign w:val="superscript"/>
              </w:rPr>
              <w:t>2</w:t>
            </w:r>
            <w:r>
              <w:t xml:space="preserve"> Among 45-65 year olds (</w:t>
            </w:r>
            <w:r>
              <w:rPr>
                <w:i/>
                <w:iCs/>
              </w:rPr>
              <w:t>n = 34,332</w:t>
            </w:r>
            <w:r>
              <w:t xml:space="preserve">).  </w:t>
            </w:r>
            <w:r>
              <w:rPr>
                <w:vertAlign w:val="superscript"/>
              </w:rPr>
              <w:t>3</w:t>
            </w:r>
            <w:r>
              <w:t xml:space="preserve"> Among past-year smokers (</w:t>
            </w:r>
            <w:r>
              <w:rPr>
                <w:i/>
                <w:iCs/>
              </w:rPr>
              <w:t xml:space="preserve">n </w:t>
            </w:r>
            <w:r w:rsidRPr="0004374C">
              <w:rPr>
                <w:i/>
                <w:iCs/>
              </w:rPr>
              <w:t>=</w:t>
            </w:r>
            <w:r>
              <w:rPr>
                <w:i/>
                <w:iCs/>
              </w:rPr>
              <w:t xml:space="preserve"> </w:t>
            </w:r>
            <w:r w:rsidRPr="0004374C">
              <w:rPr>
                <w:i/>
                <w:iCs/>
              </w:rPr>
              <w:t>17,964</w:t>
            </w:r>
            <w:r>
              <w:t xml:space="preserve">).  </w:t>
            </w:r>
            <w:r>
              <w:rPr>
                <w:vertAlign w:val="superscript"/>
              </w:rPr>
              <w:t>4</w:t>
            </w:r>
            <w:r>
              <w:t xml:space="preserve"> Among past-year smokers who tried to quit in the past year (</w:t>
            </w:r>
            <w:r w:rsidRPr="0004374C">
              <w:rPr>
                <w:i/>
                <w:iCs/>
              </w:rPr>
              <w:t>n</w:t>
            </w:r>
            <w:r>
              <w:rPr>
                <w:i/>
                <w:iCs/>
              </w:rPr>
              <w:t xml:space="preserve"> </w:t>
            </w:r>
            <w:r w:rsidRPr="0004374C">
              <w:rPr>
                <w:i/>
                <w:iCs/>
              </w:rPr>
              <w:t>=</w:t>
            </w:r>
            <w:r>
              <w:rPr>
                <w:i/>
                <w:iCs/>
              </w:rPr>
              <w:t xml:space="preserve"> </w:t>
            </w:r>
            <w:r w:rsidRPr="0004374C">
              <w:rPr>
                <w:i/>
                <w:iCs/>
              </w:rPr>
              <w:t>5,754</w:t>
            </w:r>
            <w:r>
              <w:t xml:space="preserve">).  </w:t>
            </w:r>
            <w:r>
              <w:rPr>
                <w:vertAlign w:val="superscript"/>
              </w:rPr>
              <w:t xml:space="preserve"> 5</w:t>
            </w:r>
            <w:r>
              <w:t xml:space="preserve"> Among past-year smokers who made a quit attempt that started 6-12 months before completing the survey (</w:t>
            </w:r>
            <w:r>
              <w:rPr>
                <w:i/>
                <w:iCs/>
              </w:rPr>
              <w:t>n = 2,855</w:t>
            </w:r>
            <w:r>
              <w:t xml:space="preserve">).  </w:t>
            </w:r>
          </w:p>
          <w:p w14:paraId="529437BD" w14:textId="1B862225" w:rsidR="009050E6" w:rsidRDefault="009050E6" w:rsidP="009050E6">
            <w:pPr>
              <w:spacing w:after="0" w:line="240" w:lineRule="auto"/>
            </w:pPr>
            <w:r>
              <w:rPr>
                <w:vertAlign w:val="superscript"/>
              </w:rPr>
              <w:t xml:space="preserve">a </w:t>
            </w:r>
            <w:r w:rsidRPr="00D11C61">
              <w:t>S</w:t>
            </w:r>
            <w:r>
              <w:t xml:space="preserve">trength of urges to smoke rated on a scale from 0 (none) to 5 (extremely strong). </w:t>
            </w:r>
          </w:p>
          <w:p w14:paraId="74067259" w14:textId="043ECCD1" w:rsidR="009050E6" w:rsidRPr="00D11C61" w:rsidRDefault="009050E6" w:rsidP="009050E6">
            <w:pPr>
              <w:spacing w:after="0" w:line="240" w:lineRule="auto"/>
            </w:pPr>
            <w:r>
              <w:rPr>
                <w:vertAlign w:val="superscript"/>
              </w:rPr>
              <w:t>b</w:t>
            </w:r>
            <w:r>
              <w:t xml:space="preserve"> Geometric mean.</w:t>
            </w:r>
          </w:p>
          <w:p w14:paraId="13E1A3AD" w14:textId="193934D6" w:rsidR="009050E6" w:rsidRPr="00477E73" w:rsidRDefault="009050E6" w:rsidP="009050E6">
            <w:pPr>
              <w:spacing w:after="0" w:line="240" w:lineRule="auto"/>
            </w:pPr>
            <w:r>
              <w:rPr>
                <w:vertAlign w:val="superscript"/>
              </w:rPr>
              <w:t>c</w:t>
            </w:r>
            <w:r>
              <w:t xml:space="preserve"> Indexed by current smoking.</w:t>
            </w:r>
          </w:p>
          <w:p w14:paraId="60C5549C" w14:textId="647D8253" w:rsidR="009050E6" w:rsidRPr="004D734B" w:rsidRDefault="009050E6" w:rsidP="001D625B">
            <w:pPr>
              <w:spacing w:after="0" w:line="240" w:lineRule="auto"/>
            </w:pPr>
            <w:r>
              <w:t xml:space="preserve">There was a small amount of missing data for some variables (&lt;0.1% gender, 0.1% </w:t>
            </w:r>
            <w:r w:rsidR="001D625B">
              <w:t>medium</w:t>
            </w:r>
            <w:r>
              <w:t xml:space="preserve">-term </w:t>
            </w:r>
            <w:r w:rsidR="001D625B">
              <w:t>abstinence</w:t>
            </w:r>
            <w:r>
              <w:t>, 2.4% cigarette dependence, 4.1% tried to quit in past year); valid percentages are shown.</w:t>
            </w:r>
          </w:p>
        </w:tc>
      </w:tr>
      <w:bookmarkEnd w:id="1"/>
    </w:tbl>
    <w:p w14:paraId="255C9694" w14:textId="4C5B49C8" w:rsidR="00847850" w:rsidRDefault="00847850" w:rsidP="00DC013D">
      <w:pPr>
        <w:sectPr w:rsidR="00847850" w:rsidSect="00847850">
          <w:pgSz w:w="12240" w:h="15840" w:code="1"/>
          <w:pgMar w:top="851" w:right="1440" w:bottom="1440" w:left="1440" w:header="720" w:footer="720" w:gutter="0"/>
          <w:cols w:space="720"/>
          <w:noEndnote/>
          <w:docGrid w:linePitch="299"/>
        </w:sectPr>
      </w:pPr>
    </w:p>
    <w:p w14:paraId="18A12C50" w14:textId="77777777" w:rsidR="003224BF" w:rsidRDefault="003224BF" w:rsidP="003224BF">
      <w:pPr>
        <w:spacing w:after="0" w:line="276" w:lineRule="auto"/>
        <w:rPr>
          <w:b/>
        </w:rPr>
      </w:pPr>
    </w:p>
    <w:p w14:paraId="5EA0638D" w14:textId="77777777" w:rsidR="003224BF" w:rsidRDefault="003224BF" w:rsidP="003224BF">
      <w:pPr>
        <w:spacing w:after="0" w:line="240" w:lineRule="auto"/>
        <w:rPr>
          <w:rFonts w:cstheme="minorHAnsi"/>
          <w:color w:val="000000"/>
        </w:rPr>
      </w:pPr>
    </w:p>
    <w:p w14:paraId="58FC7EC6" w14:textId="1690CC3B" w:rsidR="00556749" w:rsidRDefault="00556749" w:rsidP="00556749">
      <w:pPr>
        <w:pStyle w:val="Heading3"/>
      </w:pPr>
      <w:r w:rsidRPr="00556749">
        <w:t xml:space="preserve">Part </w:t>
      </w:r>
      <w:r w:rsidR="00870EAE">
        <w:t>4</w:t>
      </w:r>
      <w:r w:rsidRPr="00556749">
        <w:t xml:space="preserve">: </w:t>
      </w:r>
      <w:r w:rsidR="00870EAE">
        <w:t>S</w:t>
      </w:r>
      <w:r w:rsidRPr="00556749">
        <w:t>ensitivity analyses</w:t>
      </w:r>
    </w:p>
    <w:p w14:paraId="588A425D" w14:textId="77777777" w:rsidR="003224BF" w:rsidRPr="003224BF" w:rsidRDefault="003224BF" w:rsidP="005F4FC5">
      <w:pPr>
        <w:spacing w:after="0"/>
      </w:pPr>
    </w:p>
    <w:p w14:paraId="7B46230E" w14:textId="73AA5F8A" w:rsidR="003224BF" w:rsidRPr="00CB09BE" w:rsidRDefault="003224BF" w:rsidP="003224BF">
      <w:r>
        <w:rPr>
          <w:b/>
        </w:rPr>
        <w:t xml:space="preserve">Supplementary Table </w:t>
      </w:r>
      <w:r w:rsidR="00DC013D">
        <w:rPr>
          <w:b/>
        </w:rPr>
        <w:t>2</w:t>
      </w:r>
      <w:r>
        <w:t>. Sensitivity analysis: pulse effects</w:t>
      </w:r>
    </w:p>
    <w:tbl>
      <w:tblPr>
        <w:tblStyle w:val="TableGrid"/>
        <w:tblW w:w="7512" w:type="dxa"/>
        <w:tblBorders>
          <w:left w:val="none" w:sz="0" w:space="0" w:color="auto"/>
          <w:right w:val="none" w:sz="0" w:space="0" w:color="auto"/>
          <w:insideV w:val="none" w:sz="0" w:space="0" w:color="auto"/>
        </w:tblBorders>
        <w:tblLook w:val="04A0" w:firstRow="1" w:lastRow="0" w:firstColumn="1" w:lastColumn="0" w:noHBand="0" w:noVBand="1"/>
      </w:tblPr>
      <w:tblGrid>
        <w:gridCol w:w="284"/>
        <w:gridCol w:w="3402"/>
        <w:gridCol w:w="1417"/>
        <w:gridCol w:w="1275"/>
        <w:gridCol w:w="1134"/>
      </w:tblGrid>
      <w:tr w:rsidR="003224BF" w:rsidRPr="00CB09BE" w14:paraId="589FF4E6" w14:textId="77777777" w:rsidTr="00FB4ED8">
        <w:tc>
          <w:tcPr>
            <w:tcW w:w="3686" w:type="dxa"/>
            <w:gridSpan w:val="2"/>
            <w:tcBorders>
              <w:bottom w:val="nil"/>
            </w:tcBorders>
            <w:vAlign w:val="bottom"/>
          </w:tcPr>
          <w:p w14:paraId="4CBBD7B5" w14:textId="77777777" w:rsidR="003224BF" w:rsidRPr="00CB09BE" w:rsidRDefault="003224BF" w:rsidP="00FB4ED8">
            <w:pPr>
              <w:jc w:val="center"/>
              <w:rPr>
                <w:b/>
              </w:rPr>
            </w:pPr>
          </w:p>
        </w:tc>
        <w:tc>
          <w:tcPr>
            <w:tcW w:w="1417" w:type="dxa"/>
            <w:vMerge w:val="restart"/>
            <w:vAlign w:val="bottom"/>
          </w:tcPr>
          <w:p w14:paraId="5D4F0BE6" w14:textId="77777777" w:rsidR="003224BF" w:rsidRPr="00CA522E" w:rsidRDefault="003224BF" w:rsidP="00FB4ED8">
            <w:pPr>
              <w:jc w:val="center"/>
              <w:rPr>
                <w:b/>
                <w:i/>
              </w:rPr>
            </w:pPr>
            <w:r w:rsidRPr="00CB09BE">
              <w:rPr>
                <w:b/>
              </w:rPr>
              <w:t>RR</w:t>
            </w:r>
            <w:r>
              <w:rPr>
                <w:b/>
              </w:rPr>
              <w:t xml:space="preserve"> / </w:t>
            </w:r>
            <w:r w:rsidRPr="00CA522E">
              <w:rPr>
                <w:b/>
                <w:i/>
              </w:rPr>
              <w:t>Exp.</w:t>
            </w:r>
            <w:r>
              <w:rPr>
                <w:b/>
              </w:rPr>
              <w:t xml:space="preserve"> </w:t>
            </w:r>
            <w:r>
              <w:rPr>
                <w:b/>
                <w:i/>
              </w:rPr>
              <w:t>B</w:t>
            </w:r>
            <w:r w:rsidRPr="007D3E25">
              <w:rPr>
                <w:b/>
                <w:iCs/>
                <w:vertAlign w:val="superscript"/>
              </w:rPr>
              <w:t>*</w:t>
            </w:r>
          </w:p>
        </w:tc>
        <w:tc>
          <w:tcPr>
            <w:tcW w:w="2409" w:type="dxa"/>
            <w:gridSpan w:val="2"/>
            <w:vAlign w:val="bottom"/>
          </w:tcPr>
          <w:p w14:paraId="3C886BE5" w14:textId="77777777" w:rsidR="003224BF" w:rsidRPr="00CB09BE" w:rsidRDefault="003224BF" w:rsidP="00FB4ED8">
            <w:pPr>
              <w:jc w:val="center"/>
              <w:rPr>
                <w:b/>
              </w:rPr>
            </w:pPr>
            <w:r w:rsidRPr="00CB09BE">
              <w:rPr>
                <w:b/>
              </w:rPr>
              <w:t>95% CI</w:t>
            </w:r>
          </w:p>
        </w:tc>
      </w:tr>
      <w:tr w:rsidR="003224BF" w:rsidRPr="00CB09BE" w14:paraId="09AD6ACC" w14:textId="77777777" w:rsidTr="00FB4ED8">
        <w:tc>
          <w:tcPr>
            <w:tcW w:w="3686" w:type="dxa"/>
            <w:gridSpan w:val="2"/>
            <w:tcBorders>
              <w:top w:val="nil"/>
              <w:bottom w:val="single" w:sz="4" w:space="0" w:color="auto"/>
            </w:tcBorders>
            <w:vAlign w:val="bottom"/>
          </w:tcPr>
          <w:p w14:paraId="0B830B0D" w14:textId="77777777" w:rsidR="003224BF" w:rsidRPr="00CB09BE" w:rsidRDefault="003224BF" w:rsidP="00FB4ED8">
            <w:pPr>
              <w:jc w:val="center"/>
              <w:rPr>
                <w:b/>
              </w:rPr>
            </w:pPr>
          </w:p>
        </w:tc>
        <w:tc>
          <w:tcPr>
            <w:tcW w:w="1417" w:type="dxa"/>
            <w:vMerge/>
            <w:tcBorders>
              <w:bottom w:val="single" w:sz="4" w:space="0" w:color="auto"/>
            </w:tcBorders>
            <w:vAlign w:val="bottom"/>
          </w:tcPr>
          <w:p w14:paraId="3D4BAFFD" w14:textId="77777777" w:rsidR="003224BF" w:rsidRPr="00CB09BE" w:rsidRDefault="003224BF" w:rsidP="00FB4ED8">
            <w:pPr>
              <w:jc w:val="center"/>
              <w:rPr>
                <w:b/>
              </w:rPr>
            </w:pPr>
          </w:p>
        </w:tc>
        <w:tc>
          <w:tcPr>
            <w:tcW w:w="1275" w:type="dxa"/>
            <w:tcBorders>
              <w:bottom w:val="single" w:sz="4" w:space="0" w:color="auto"/>
            </w:tcBorders>
            <w:vAlign w:val="bottom"/>
          </w:tcPr>
          <w:p w14:paraId="1BAB5494" w14:textId="77777777" w:rsidR="003224BF" w:rsidRPr="00CB09BE" w:rsidRDefault="003224BF" w:rsidP="00FB4ED8">
            <w:pPr>
              <w:jc w:val="center"/>
              <w:rPr>
                <w:b/>
              </w:rPr>
            </w:pPr>
            <w:r w:rsidRPr="00CB09BE">
              <w:rPr>
                <w:b/>
              </w:rPr>
              <w:t>Lower</w:t>
            </w:r>
          </w:p>
        </w:tc>
        <w:tc>
          <w:tcPr>
            <w:tcW w:w="1134" w:type="dxa"/>
            <w:tcBorders>
              <w:bottom w:val="single" w:sz="4" w:space="0" w:color="auto"/>
            </w:tcBorders>
            <w:vAlign w:val="bottom"/>
          </w:tcPr>
          <w:p w14:paraId="16D8792D" w14:textId="77777777" w:rsidR="003224BF" w:rsidRPr="00CB09BE" w:rsidRDefault="003224BF" w:rsidP="00FB4ED8">
            <w:pPr>
              <w:jc w:val="center"/>
              <w:rPr>
                <w:b/>
              </w:rPr>
            </w:pPr>
            <w:r w:rsidRPr="00CB09BE">
              <w:rPr>
                <w:b/>
              </w:rPr>
              <w:t>Upper</w:t>
            </w:r>
          </w:p>
        </w:tc>
      </w:tr>
      <w:tr w:rsidR="003224BF" w14:paraId="1DFCF463" w14:textId="77777777" w:rsidTr="00FB4ED8">
        <w:tc>
          <w:tcPr>
            <w:tcW w:w="3686" w:type="dxa"/>
            <w:gridSpan w:val="2"/>
            <w:tcBorders>
              <w:bottom w:val="nil"/>
            </w:tcBorders>
          </w:tcPr>
          <w:p w14:paraId="5CE6D778" w14:textId="77777777" w:rsidR="003224BF" w:rsidRPr="00CB09BE" w:rsidRDefault="003224BF" w:rsidP="00FB4ED8">
            <w:pPr>
              <w:rPr>
                <w:vertAlign w:val="superscript"/>
              </w:rPr>
            </w:pPr>
            <w:r>
              <w:t>Current smoking</w:t>
            </w:r>
            <w:r>
              <w:rPr>
                <w:vertAlign w:val="superscript"/>
              </w:rPr>
              <w:t>1a</w:t>
            </w:r>
          </w:p>
        </w:tc>
        <w:tc>
          <w:tcPr>
            <w:tcW w:w="1417" w:type="dxa"/>
            <w:tcBorders>
              <w:bottom w:val="nil"/>
            </w:tcBorders>
          </w:tcPr>
          <w:p w14:paraId="1EE4FBC0" w14:textId="77777777" w:rsidR="003224BF" w:rsidRDefault="003224BF" w:rsidP="00FB4ED8"/>
        </w:tc>
        <w:tc>
          <w:tcPr>
            <w:tcW w:w="1275" w:type="dxa"/>
            <w:tcBorders>
              <w:bottom w:val="nil"/>
            </w:tcBorders>
          </w:tcPr>
          <w:p w14:paraId="519AB078" w14:textId="77777777" w:rsidR="003224BF" w:rsidRDefault="003224BF" w:rsidP="00FB4ED8"/>
        </w:tc>
        <w:tc>
          <w:tcPr>
            <w:tcW w:w="1134" w:type="dxa"/>
            <w:tcBorders>
              <w:bottom w:val="nil"/>
            </w:tcBorders>
          </w:tcPr>
          <w:p w14:paraId="3670BC84" w14:textId="77777777" w:rsidR="003224BF" w:rsidRDefault="003224BF" w:rsidP="00FB4ED8"/>
        </w:tc>
      </w:tr>
      <w:tr w:rsidR="003224BF" w:rsidRPr="003548CF" w14:paraId="38543EAA" w14:textId="77777777" w:rsidTr="00FB4ED8">
        <w:tc>
          <w:tcPr>
            <w:tcW w:w="284" w:type="dxa"/>
            <w:tcBorders>
              <w:top w:val="nil"/>
              <w:bottom w:val="nil"/>
            </w:tcBorders>
          </w:tcPr>
          <w:p w14:paraId="0C384B0A" w14:textId="77777777" w:rsidR="003224BF" w:rsidRDefault="003224BF" w:rsidP="00FB4ED8"/>
        </w:tc>
        <w:tc>
          <w:tcPr>
            <w:tcW w:w="3402" w:type="dxa"/>
            <w:tcBorders>
              <w:top w:val="nil"/>
              <w:bottom w:val="nil"/>
            </w:tcBorders>
          </w:tcPr>
          <w:p w14:paraId="66A386A3" w14:textId="77777777" w:rsidR="003224BF" w:rsidRDefault="003224BF" w:rsidP="00FB4ED8">
            <w:r>
              <w:t>2-month pulse</w:t>
            </w:r>
          </w:p>
        </w:tc>
        <w:tc>
          <w:tcPr>
            <w:tcW w:w="1417" w:type="dxa"/>
            <w:tcBorders>
              <w:top w:val="nil"/>
              <w:bottom w:val="nil"/>
            </w:tcBorders>
            <w:vAlign w:val="center"/>
          </w:tcPr>
          <w:p w14:paraId="2A710A69" w14:textId="77777777" w:rsidR="003224BF" w:rsidRPr="003548CF" w:rsidRDefault="003224BF" w:rsidP="00FB4ED8">
            <w:pPr>
              <w:jc w:val="center"/>
            </w:pPr>
            <w:r>
              <w:t>1.029</w:t>
            </w:r>
          </w:p>
        </w:tc>
        <w:tc>
          <w:tcPr>
            <w:tcW w:w="1275" w:type="dxa"/>
            <w:tcBorders>
              <w:top w:val="nil"/>
              <w:bottom w:val="nil"/>
            </w:tcBorders>
            <w:vAlign w:val="center"/>
          </w:tcPr>
          <w:p w14:paraId="4DA926E6" w14:textId="77777777" w:rsidR="003224BF" w:rsidRPr="003548CF" w:rsidRDefault="003224BF" w:rsidP="00FB4ED8">
            <w:pPr>
              <w:jc w:val="center"/>
            </w:pPr>
            <w:r>
              <w:t>0.956</w:t>
            </w:r>
          </w:p>
        </w:tc>
        <w:tc>
          <w:tcPr>
            <w:tcW w:w="1134" w:type="dxa"/>
            <w:tcBorders>
              <w:top w:val="nil"/>
              <w:bottom w:val="nil"/>
            </w:tcBorders>
            <w:vAlign w:val="center"/>
          </w:tcPr>
          <w:p w14:paraId="6D462DB4" w14:textId="77777777" w:rsidR="003224BF" w:rsidRPr="003548CF" w:rsidRDefault="003224BF" w:rsidP="00FB4ED8">
            <w:pPr>
              <w:jc w:val="center"/>
            </w:pPr>
            <w:r>
              <w:t>1.108</w:t>
            </w:r>
          </w:p>
        </w:tc>
      </w:tr>
      <w:tr w:rsidR="003224BF" w:rsidRPr="003548CF" w14:paraId="1CF932EA" w14:textId="77777777" w:rsidTr="00FB4ED8">
        <w:tc>
          <w:tcPr>
            <w:tcW w:w="284" w:type="dxa"/>
            <w:tcBorders>
              <w:top w:val="nil"/>
              <w:bottom w:val="nil"/>
            </w:tcBorders>
          </w:tcPr>
          <w:p w14:paraId="12F4C55F" w14:textId="77777777" w:rsidR="003224BF" w:rsidRDefault="003224BF" w:rsidP="00FB4ED8"/>
        </w:tc>
        <w:tc>
          <w:tcPr>
            <w:tcW w:w="3402" w:type="dxa"/>
            <w:tcBorders>
              <w:top w:val="nil"/>
              <w:bottom w:val="nil"/>
            </w:tcBorders>
          </w:tcPr>
          <w:p w14:paraId="5344772C" w14:textId="77777777" w:rsidR="003224BF" w:rsidRDefault="003224BF" w:rsidP="00FB4ED8">
            <w:r>
              <w:t>3-month pulse</w:t>
            </w:r>
          </w:p>
        </w:tc>
        <w:tc>
          <w:tcPr>
            <w:tcW w:w="1417" w:type="dxa"/>
            <w:tcBorders>
              <w:top w:val="nil"/>
              <w:bottom w:val="nil"/>
            </w:tcBorders>
            <w:vAlign w:val="center"/>
          </w:tcPr>
          <w:p w14:paraId="049CAC87" w14:textId="77777777" w:rsidR="003224BF" w:rsidRPr="003548CF" w:rsidRDefault="003224BF" w:rsidP="00FB4ED8">
            <w:pPr>
              <w:jc w:val="center"/>
            </w:pPr>
            <w:r>
              <w:t>0.998</w:t>
            </w:r>
          </w:p>
        </w:tc>
        <w:tc>
          <w:tcPr>
            <w:tcW w:w="1275" w:type="dxa"/>
            <w:tcBorders>
              <w:top w:val="nil"/>
              <w:bottom w:val="nil"/>
            </w:tcBorders>
            <w:vAlign w:val="center"/>
          </w:tcPr>
          <w:p w14:paraId="09936CD8" w14:textId="77777777" w:rsidR="003224BF" w:rsidRPr="003548CF" w:rsidRDefault="003224BF" w:rsidP="00FB4ED8">
            <w:pPr>
              <w:jc w:val="center"/>
            </w:pPr>
            <w:r>
              <w:t>0.936</w:t>
            </w:r>
          </w:p>
        </w:tc>
        <w:tc>
          <w:tcPr>
            <w:tcW w:w="1134" w:type="dxa"/>
            <w:tcBorders>
              <w:top w:val="nil"/>
              <w:bottom w:val="nil"/>
            </w:tcBorders>
            <w:vAlign w:val="center"/>
          </w:tcPr>
          <w:p w14:paraId="77C35DFA" w14:textId="77777777" w:rsidR="003224BF" w:rsidRPr="003548CF" w:rsidRDefault="003224BF" w:rsidP="00FB4ED8">
            <w:pPr>
              <w:jc w:val="center"/>
            </w:pPr>
            <w:r>
              <w:t>1.063</w:t>
            </w:r>
          </w:p>
        </w:tc>
      </w:tr>
      <w:tr w:rsidR="003224BF" w:rsidRPr="00AC574D" w14:paraId="6C1DCDCD" w14:textId="77777777" w:rsidTr="00FB4ED8">
        <w:tc>
          <w:tcPr>
            <w:tcW w:w="284" w:type="dxa"/>
            <w:tcBorders>
              <w:top w:val="nil"/>
              <w:bottom w:val="nil"/>
            </w:tcBorders>
          </w:tcPr>
          <w:p w14:paraId="1F22EE7C" w14:textId="77777777" w:rsidR="003224BF" w:rsidRPr="00AC574D" w:rsidRDefault="003224BF" w:rsidP="00FB4ED8">
            <w:pPr>
              <w:rPr>
                <w:sz w:val="12"/>
                <w:szCs w:val="12"/>
              </w:rPr>
            </w:pPr>
          </w:p>
        </w:tc>
        <w:tc>
          <w:tcPr>
            <w:tcW w:w="3402" w:type="dxa"/>
            <w:tcBorders>
              <w:top w:val="nil"/>
              <w:bottom w:val="nil"/>
            </w:tcBorders>
          </w:tcPr>
          <w:p w14:paraId="1A23DCB9" w14:textId="77777777" w:rsidR="003224BF" w:rsidRPr="00AC574D" w:rsidRDefault="003224BF" w:rsidP="00FB4ED8">
            <w:pPr>
              <w:rPr>
                <w:sz w:val="12"/>
                <w:szCs w:val="12"/>
              </w:rPr>
            </w:pPr>
          </w:p>
        </w:tc>
        <w:tc>
          <w:tcPr>
            <w:tcW w:w="1417" w:type="dxa"/>
            <w:tcBorders>
              <w:top w:val="nil"/>
              <w:bottom w:val="nil"/>
            </w:tcBorders>
            <w:vAlign w:val="center"/>
          </w:tcPr>
          <w:p w14:paraId="6CD7583B" w14:textId="77777777" w:rsidR="003224BF" w:rsidRPr="00AC574D" w:rsidRDefault="003224BF" w:rsidP="00FB4ED8">
            <w:pPr>
              <w:jc w:val="center"/>
              <w:rPr>
                <w:sz w:val="12"/>
                <w:szCs w:val="12"/>
              </w:rPr>
            </w:pPr>
          </w:p>
        </w:tc>
        <w:tc>
          <w:tcPr>
            <w:tcW w:w="1275" w:type="dxa"/>
            <w:tcBorders>
              <w:top w:val="nil"/>
              <w:bottom w:val="nil"/>
            </w:tcBorders>
            <w:vAlign w:val="center"/>
          </w:tcPr>
          <w:p w14:paraId="1C60C406" w14:textId="77777777" w:rsidR="003224BF" w:rsidRPr="00AC574D" w:rsidRDefault="003224BF" w:rsidP="00FB4ED8">
            <w:pPr>
              <w:jc w:val="center"/>
              <w:rPr>
                <w:sz w:val="12"/>
                <w:szCs w:val="12"/>
              </w:rPr>
            </w:pPr>
          </w:p>
        </w:tc>
        <w:tc>
          <w:tcPr>
            <w:tcW w:w="1134" w:type="dxa"/>
            <w:tcBorders>
              <w:top w:val="nil"/>
              <w:bottom w:val="nil"/>
            </w:tcBorders>
            <w:vAlign w:val="center"/>
          </w:tcPr>
          <w:p w14:paraId="474CE5EF" w14:textId="77777777" w:rsidR="003224BF" w:rsidRPr="00AC574D" w:rsidRDefault="003224BF" w:rsidP="00FB4ED8">
            <w:pPr>
              <w:jc w:val="center"/>
              <w:rPr>
                <w:sz w:val="12"/>
                <w:szCs w:val="12"/>
              </w:rPr>
            </w:pPr>
          </w:p>
        </w:tc>
      </w:tr>
      <w:tr w:rsidR="003224BF" w14:paraId="0B431FE7" w14:textId="77777777" w:rsidTr="00FB4ED8">
        <w:tc>
          <w:tcPr>
            <w:tcW w:w="3686" w:type="dxa"/>
            <w:gridSpan w:val="2"/>
            <w:tcBorders>
              <w:top w:val="nil"/>
              <w:bottom w:val="nil"/>
            </w:tcBorders>
          </w:tcPr>
          <w:p w14:paraId="4E6D125B" w14:textId="77777777" w:rsidR="003224BF" w:rsidRPr="00CB09BE" w:rsidRDefault="003224BF" w:rsidP="00FB4ED8">
            <w:pPr>
              <w:rPr>
                <w:vertAlign w:val="superscript"/>
              </w:rPr>
            </w:pPr>
            <w:r>
              <w:t>Uptake of smoking</w:t>
            </w:r>
            <w:r>
              <w:rPr>
                <w:vertAlign w:val="superscript"/>
              </w:rPr>
              <w:t>4a</w:t>
            </w:r>
          </w:p>
        </w:tc>
        <w:tc>
          <w:tcPr>
            <w:tcW w:w="1417" w:type="dxa"/>
            <w:tcBorders>
              <w:top w:val="nil"/>
              <w:bottom w:val="nil"/>
            </w:tcBorders>
            <w:vAlign w:val="center"/>
          </w:tcPr>
          <w:p w14:paraId="496601A7" w14:textId="77777777" w:rsidR="003224BF" w:rsidRDefault="003224BF" w:rsidP="00FB4ED8">
            <w:pPr>
              <w:jc w:val="center"/>
            </w:pPr>
          </w:p>
        </w:tc>
        <w:tc>
          <w:tcPr>
            <w:tcW w:w="1275" w:type="dxa"/>
            <w:tcBorders>
              <w:top w:val="nil"/>
              <w:bottom w:val="nil"/>
            </w:tcBorders>
            <w:vAlign w:val="center"/>
          </w:tcPr>
          <w:p w14:paraId="695A4047" w14:textId="77777777" w:rsidR="003224BF" w:rsidRDefault="003224BF" w:rsidP="00FB4ED8">
            <w:pPr>
              <w:jc w:val="center"/>
            </w:pPr>
          </w:p>
        </w:tc>
        <w:tc>
          <w:tcPr>
            <w:tcW w:w="1134" w:type="dxa"/>
            <w:tcBorders>
              <w:top w:val="nil"/>
              <w:bottom w:val="nil"/>
            </w:tcBorders>
            <w:vAlign w:val="center"/>
          </w:tcPr>
          <w:p w14:paraId="4660D11D" w14:textId="77777777" w:rsidR="003224BF" w:rsidRDefault="003224BF" w:rsidP="00FB4ED8">
            <w:pPr>
              <w:jc w:val="center"/>
            </w:pPr>
          </w:p>
        </w:tc>
      </w:tr>
      <w:tr w:rsidR="003224BF" w14:paraId="79561971" w14:textId="77777777" w:rsidTr="00FB4ED8">
        <w:tc>
          <w:tcPr>
            <w:tcW w:w="284" w:type="dxa"/>
            <w:tcBorders>
              <w:top w:val="nil"/>
              <w:bottom w:val="nil"/>
            </w:tcBorders>
          </w:tcPr>
          <w:p w14:paraId="292B96A5" w14:textId="77777777" w:rsidR="003224BF" w:rsidRDefault="003224BF" w:rsidP="00FB4ED8"/>
        </w:tc>
        <w:tc>
          <w:tcPr>
            <w:tcW w:w="3402" w:type="dxa"/>
            <w:tcBorders>
              <w:top w:val="nil"/>
              <w:bottom w:val="nil"/>
            </w:tcBorders>
          </w:tcPr>
          <w:p w14:paraId="083EF47D" w14:textId="77777777" w:rsidR="003224BF" w:rsidRDefault="003224BF" w:rsidP="00FB4ED8">
            <w:r>
              <w:t>2-month pulse</w:t>
            </w:r>
          </w:p>
        </w:tc>
        <w:tc>
          <w:tcPr>
            <w:tcW w:w="1417" w:type="dxa"/>
            <w:tcBorders>
              <w:top w:val="nil"/>
              <w:bottom w:val="nil"/>
            </w:tcBorders>
            <w:vAlign w:val="center"/>
          </w:tcPr>
          <w:p w14:paraId="723609E4" w14:textId="77777777" w:rsidR="003224BF" w:rsidRDefault="003224BF" w:rsidP="00FB4ED8">
            <w:pPr>
              <w:jc w:val="center"/>
            </w:pPr>
            <w:r>
              <w:t>1.152</w:t>
            </w:r>
          </w:p>
        </w:tc>
        <w:tc>
          <w:tcPr>
            <w:tcW w:w="1275" w:type="dxa"/>
            <w:tcBorders>
              <w:top w:val="nil"/>
              <w:bottom w:val="nil"/>
            </w:tcBorders>
            <w:vAlign w:val="center"/>
          </w:tcPr>
          <w:p w14:paraId="1E266FA8" w14:textId="77777777" w:rsidR="003224BF" w:rsidRDefault="003224BF" w:rsidP="00FB4ED8">
            <w:pPr>
              <w:jc w:val="center"/>
            </w:pPr>
            <w:r>
              <w:t>0.969</w:t>
            </w:r>
          </w:p>
        </w:tc>
        <w:tc>
          <w:tcPr>
            <w:tcW w:w="1134" w:type="dxa"/>
            <w:tcBorders>
              <w:top w:val="nil"/>
              <w:bottom w:val="nil"/>
            </w:tcBorders>
            <w:vAlign w:val="center"/>
          </w:tcPr>
          <w:p w14:paraId="43965560" w14:textId="77777777" w:rsidR="003224BF" w:rsidRDefault="003224BF" w:rsidP="00FB4ED8">
            <w:pPr>
              <w:jc w:val="center"/>
            </w:pPr>
            <w:r>
              <w:t>1.370</w:t>
            </w:r>
          </w:p>
        </w:tc>
      </w:tr>
      <w:tr w:rsidR="003224BF" w14:paraId="63C1FDE2" w14:textId="77777777" w:rsidTr="00FB4ED8">
        <w:tc>
          <w:tcPr>
            <w:tcW w:w="284" w:type="dxa"/>
            <w:tcBorders>
              <w:top w:val="nil"/>
              <w:bottom w:val="nil"/>
            </w:tcBorders>
          </w:tcPr>
          <w:p w14:paraId="771AEE85" w14:textId="77777777" w:rsidR="003224BF" w:rsidRDefault="003224BF" w:rsidP="00FB4ED8"/>
        </w:tc>
        <w:tc>
          <w:tcPr>
            <w:tcW w:w="3402" w:type="dxa"/>
            <w:tcBorders>
              <w:top w:val="nil"/>
              <w:bottom w:val="nil"/>
            </w:tcBorders>
          </w:tcPr>
          <w:p w14:paraId="5F3D68DD" w14:textId="77777777" w:rsidR="003224BF" w:rsidRDefault="003224BF" w:rsidP="00FB4ED8">
            <w:r>
              <w:t>3-month pulse</w:t>
            </w:r>
          </w:p>
        </w:tc>
        <w:tc>
          <w:tcPr>
            <w:tcW w:w="1417" w:type="dxa"/>
            <w:tcBorders>
              <w:top w:val="nil"/>
              <w:bottom w:val="nil"/>
            </w:tcBorders>
            <w:vAlign w:val="center"/>
          </w:tcPr>
          <w:p w14:paraId="51ECCC90" w14:textId="77777777" w:rsidR="003224BF" w:rsidRDefault="003224BF" w:rsidP="00FB4ED8">
            <w:pPr>
              <w:jc w:val="center"/>
            </w:pPr>
            <w:r>
              <w:t>1.059</w:t>
            </w:r>
          </w:p>
        </w:tc>
        <w:tc>
          <w:tcPr>
            <w:tcW w:w="1275" w:type="dxa"/>
            <w:tcBorders>
              <w:top w:val="nil"/>
              <w:bottom w:val="nil"/>
            </w:tcBorders>
            <w:vAlign w:val="center"/>
          </w:tcPr>
          <w:p w14:paraId="047087D5" w14:textId="77777777" w:rsidR="003224BF" w:rsidRDefault="003224BF" w:rsidP="00FB4ED8">
            <w:pPr>
              <w:jc w:val="center"/>
            </w:pPr>
            <w:r>
              <w:t>0.907</w:t>
            </w:r>
          </w:p>
        </w:tc>
        <w:tc>
          <w:tcPr>
            <w:tcW w:w="1134" w:type="dxa"/>
            <w:tcBorders>
              <w:top w:val="nil"/>
              <w:bottom w:val="nil"/>
            </w:tcBorders>
            <w:vAlign w:val="center"/>
          </w:tcPr>
          <w:p w14:paraId="6C17AFD9" w14:textId="77777777" w:rsidR="003224BF" w:rsidRDefault="003224BF" w:rsidP="00FB4ED8">
            <w:pPr>
              <w:jc w:val="center"/>
            </w:pPr>
            <w:r>
              <w:t>1.236</w:t>
            </w:r>
          </w:p>
        </w:tc>
      </w:tr>
      <w:tr w:rsidR="003224BF" w:rsidRPr="00AC574D" w14:paraId="0B7E4109" w14:textId="77777777" w:rsidTr="00FB4ED8">
        <w:tc>
          <w:tcPr>
            <w:tcW w:w="284" w:type="dxa"/>
            <w:tcBorders>
              <w:top w:val="nil"/>
              <w:bottom w:val="nil"/>
            </w:tcBorders>
          </w:tcPr>
          <w:p w14:paraId="2435B03A" w14:textId="77777777" w:rsidR="003224BF" w:rsidRPr="00AC574D" w:rsidRDefault="003224BF" w:rsidP="00FB4ED8">
            <w:pPr>
              <w:rPr>
                <w:sz w:val="12"/>
                <w:szCs w:val="12"/>
              </w:rPr>
            </w:pPr>
          </w:p>
        </w:tc>
        <w:tc>
          <w:tcPr>
            <w:tcW w:w="3402" w:type="dxa"/>
            <w:tcBorders>
              <w:top w:val="nil"/>
              <w:bottom w:val="nil"/>
            </w:tcBorders>
          </w:tcPr>
          <w:p w14:paraId="3AB674D7" w14:textId="77777777" w:rsidR="003224BF" w:rsidRPr="00AC574D" w:rsidRDefault="003224BF" w:rsidP="00FB4ED8">
            <w:pPr>
              <w:rPr>
                <w:sz w:val="12"/>
                <w:szCs w:val="12"/>
              </w:rPr>
            </w:pPr>
          </w:p>
        </w:tc>
        <w:tc>
          <w:tcPr>
            <w:tcW w:w="1417" w:type="dxa"/>
            <w:tcBorders>
              <w:top w:val="nil"/>
              <w:bottom w:val="nil"/>
            </w:tcBorders>
            <w:vAlign w:val="center"/>
          </w:tcPr>
          <w:p w14:paraId="04AD38CC" w14:textId="77777777" w:rsidR="003224BF" w:rsidRPr="00AC574D" w:rsidRDefault="003224BF" w:rsidP="00FB4ED8">
            <w:pPr>
              <w:jc w:val="center"/>
              <w:rPr>
                <w:sz w:val="12"/>
                <w:szCs w:val="12"/>
              </w:rPr>
            </w:pPr>
          </w:p>
        </w:tc>
        <w:tc>
          <w:tcPr>
            <w:tcW w:w="1275" w:type="dxa"/>
            <w:tcBorders>
              <w:top w:val="nil"/>
              <w:bottom w:val="nil"/>
            </w:tcBorders>
            <w:vAlign w:val="center"/>
          </w:tcPr>
          <w:p w14:paraId="046891AD" w14:textId="77777777" w:rsidR="003224BF" w:rsidRPr="00AC574D" w:rsidRDefault="003224BF" w:rsidP="00FB4ED8">
            <w:pPr>
              <w:jc w:val="center"/>
              <w:rPr>
                <w:sz w:val="12"/>
                <w:szCs w:val="12"/>
              </w:rPr>
            </w:pPr>
          </w:p>
        </w:tc>
        <w:tc>
          <w:tcPr>
            <w:tcW w:w="1134" w:type="dxa"/>
            <w:tcBorders>
              <w:top w:val="nil"/>
              <w:bottom w:val="nil"/>
            </w:tcBorders>
            <w:vAlign w:val="center"/>
          </w:tcPr>
          <w:p w14:paraId="3AA949BA" w14:textId="77777777" w:rsidR="003224BF" w:rsidRPr="00AC574D" w:rsidRDefault="003224BF" w:rsidP="00FB4ED8">
            <w:pPr>
              <w:jc w:val="center"/>
              <w:rPr>
                <w:sz w:val="12"/>
                <w:szCs w:val="12"/>
              </w:rPr>
            </w:pPr>
          </w:p>
        </w:tc>
      </w:tr>
      <w:tr w:rsidR="003224BF" w14:paraId="3169FDF1" w14:textId="77777777" w:rsidTr="00FB4ED8">
        <w:tc>
          <w:tcPr>
            <w:tcW w:w="3686" w:type="dxa"/>
            <w:gridSpan w:val="2"/>
            <w:tcBorders>
              <w:top w:val="nil"/>
              <w:bottom w:val="nil"/>
            </w:tcBorders>
          </w:tcPr>
          <w:p w14:paraId="0591AF4B" w14:textId="77777777" w:rsidR="003224BF" w:rsidRPr="00CB09BE" w:rsidRDefault="003224BF" w:rsidP="00FB4ED8">
            <w:pPr>
              <w:rPr>
                <w:vertAlign w:val="superscript"/>
              </w:rPr>
            </w:pPr>
            <w:r>
              <w:t>Late relapse</w:t>
            </w:r>
            <w:r>
              <w:rPr>
                <w:vertAlign w:val="superscript"/>
              </w:rPr>
              <w:t>6a</w:t>
            </w:r>
          </w:p>
        </w:tc>
        <w:tc>
          <w:tcPr>
            <w:tcW w:w="1417" w:type="dxa"/>
            <w:tcBorders>
              <w:top w:val="nil"/>
              <w:bottom w:val="nil"/>
            </w:tcBorders>
            <w:vAlign w:val="center"/>
          </w:tcPr>
          <w:p w14:paraId="40FE8C7D" w14:textId="77777777" w:rsidR="003224BF" w:rsidRDefault="003224BF" w:rsidP="00FB4ED8">
            <w:pPr>
              <w:jc w:val="center"/>
            </w:pPr>
          </w:p>
        </w:tc>
        <w:tc>
          <w:tcPr>
            <w:tcW w:w="1275" w:type="dxa"/>
            <w:tcBorders>
              <w:top w:val="nil"/>
              <w:bottom w:val="nil"/>
            </w:tcBorders>
            <w:vAlign w:val="center"/>
          </w:tcPr>
          <w:p w14:paraId="006072C0" w14:textId="77777777" w:rsidR="003224BF" w:rsidRDefault="003224BF" w:rsidP="00FB4ED8">
            <w:pPr>
              <w:jc w:val="center"/>
            </w:pPr>
          </w:p>
        </w:tc>
        <w:tc>
          <w:tcPr>
            <w:tcW w:w="1134" w:type="dxa"/>
            <w:tcBorders>
              <w:top w:val="nil"/>
              <w:bottom w:val="nil"/>
            </w:tcBorders>
            <w:vAlign w:val="center"/>
          </w:tcPr>
          <w:p w14:paraId="0F1EF357" w14:textId="77777777" w:rsidR="003224BF" w:rsidRDefault="003224BF" w:rsidP="00FB4ED8">
            <w:pPr>
              <w:jc w:val="center"/>
            </w:pPr>
          </w:p>
        </w:tc>
      </w:tr>
      <w:tr w:rsidR="003224BF" w14:paraId="4D02C4DC" w14:textId="77777777" w:rsidTr="00FB4ED8">
        <w:tc>
          <w:tcPr>
            <w:tcW w:w="284" w:type="dxa"/>
            <w:tcBorders>
              <w:top w:val="nil"/>
              <w:bottom w:val="nil"/>
            </w:tcBorders>
          </w:tcPr>
          <w:p w14:paraId="4A3FC446" w14:textId="77777777" w:rsidR="003224BF" w:rsidRDefault="003224BF" w:rsidP="00FB4ED8"/>
        </w:tc>
        <w:tc>
          <w:tcPr>
            <w:tcW w:w="3402" w:type="dxa"/>
            <w:tcBorders>
              <w:top w:val="nil"/>
              <w:bottom w:val="nil"/>
            </w:tcBorders>
          </w:tcPr>
          <w:p w14:paraId="0B59868D" w14:textId="77777777" w:rsidR="003224BF" w:rsidRDefault="003224BF" w:rsidP="00FB4ED8">
            <w:r>
              <w:t>2-month pulse</w:t>
            </w:r>
          </w:p>
        </w:tc>
        <w:tc>
          <w:tcPr>
            <w:tcW w:w="1417" w:type="dxa"/>
            <w:tcBorders>
              <w:top w:val="nil"/>
              <w:bottom w:val="nil"/>
            </w:tcBorders>
            <w:vAlign w:val="center"/>
          </w:tcPr>
          <w:p w14:paraId="048B8FE4" w14:textId="77777777" w:rsidR="003224BF" w:rsidRDefault="003224BF" w:rsidP="00FB4ED8">
            <w:pPr>
              <w:jc w:val="center"/>
            </w:pPr>
            <w:r>
              <w:t>0.932</w:t>
            </w:r>
          </w:p>
        </w:tc>
        <w:tc>
          <w:tcPr>
            <w:tcW w:w="1275" w:type="dxa"/>
            <w:tcBorders>
              <w:top w:val="nil"/>
              <w:bottom w:val="nil"/>
            </w:tcBorders>
            <w:vAlign w:val="center"/>
          </w:tcPr>
          <w:p w14:paraId="791BC7EF" w14:textId="77777777" w:rsidR="003224BF" w:rsidRDefault="003224BF" w:rsidP="00FB4ED8">
            <w:pPr>
              <w:jc w:val="center"/>
            </w:pPr>
            <w:r>
              <w:t>0.807</w:t>
            </w:r>
          </w:p>
        </w:tc>
        <w:tc>
          <w:tcPr>
            <w:tcW w:w="1134" w:type="dxa"/>
            <w:tcBorders>
              <w:top w:val="nil"/>
              <w:bottom w:val="nil"/>
            </w:tcBorders>
            <w:vAlign w:val="center"/>
          </w:tcPr>
          <w:p w14:paraId="39D21F2D" w14:textId="77777777" w:rsidR="003224BF" w:rsidRDefault="003224BF" w:rsidP="00FB4ED8">
            <w:pPr>
              <w:jc w:val="center"/>
            </w:pPr>
            <w:r>
              <w:t>1.076</w:t>
            </w:r>
          </w:p>
        </w:tc>
      </w:tr>
      <w:tr w:rsidR="003224BF" w14:paraId="6046122E" w14:textId="77777777" w:rsidTr="00FB4ED8">
        <w:tc>
          <w:tcPr>
            <w:tcW w:w="284" w:type="dxa"/>
            <w:tcBorders>
              <w:top w:val="nil"/>
              <w:bottom w:val="nil"/>
            </w:tcBorders>
          </w:tcPr>
          <w:p w14:paraId="7E46F8A5" w14:textId="77777777" w:rsidR="003224BF" w:rsidRDefault="003224BF" w:rsidP="00FB4ED8"/>
        </w:tc>
        <w:tc>
          <w:tcPr>
            <w:tcW w:w="3402" w:type="dxa"/>
            <w:tcBorders>
              <w:top w:val="nil"/>
              <w:bottom w:val="nil"/>
            </w:tcBorders>
          </w:tcPr>
          <w:p w14:paraId="03BDD226" w14:textId="77777777" w:rsidR="003224BF" w:rsidRDefault="003224BF" w:rsidP="00FB4ED8">
            <w:r>
              <w:t>3-month pulse</w:t>
            </w:r>
          </w:p>
        </w:tc>
        <w:tc>
          <w:tcPr>
            <w:tcW w:w="1417" w:type="dxa"/>
            <w:tcBorders>
              <w:top w:val="nil"/>
              <w:bottom w:val="nil"/>
            </w:tcBorders>
            <w:vAlign w:val="center"/>
          </w:tcPr>
          <w:p w14:paraId="2433A731" w14:textId="77777777" w:rsidR="003224BF" w:rsidRDefault="003224BF" w:rsidP="00FB4ED8">
            <w:pPr>
              <w:jc w:val="center"/>
            </w:pPr>
            <w:r>
              <w:t>0.894</w:t>
            </w:r>
          </w:p>
        </w:tc>
        <w:tc>
          <w:tcPr>
            <w:tcW w:w="1275" w:type="dxa"/>
            <w:tcBorders>
              <w:top w:val="nil"/>
              <w:bottom w:val="nil"/>
            </w:tcBorders>
            <w:vAlign w:val="center"/>
          </w:tcPr>
          <w:p w14:paraId="6CA1BCCB" w14:textId="77777777" w:rsidR="003224BF" w:rsidRDefault="003224BF" w:rsidP="00FB4ED8">
            <w:pPr>
              <w:jc w:val="center"/>
            </w:pPr>
            <w:r>
              <w:t>0.792</w:t>
            </w:r>
          </w:p>
        </w:tc>
        <w:tc>
          <w:tcPr>
            <w:tcW w:w="1134" w:type="dxa"/>
            <w:tcBorders>
              <w:top w:val="nil"/>
              <w:bottom w:val="nil"/>
            </w:tcBorders>
            <w:vAlign w:val="center"/>
          </w:tcPr>
          <w:p w14:paraId="13D4A837" w14:textId="77777777" w:rsidR="003224BF" w:rsidRDefault="003224BF" w:rsidP="00FB4ED8">
            <w:pPr>
              <w:jc w:val="center"/>
            </w:pPr>
            <w:r>
              <w:t>1.009</w:t>
            </w:r>
          </w:p>
        </w:tc>
      </w:tr>
      <w:tr w:rsidR="003224BF" w:rsidRPr="00AC574D" w14:paraId="6F2C77D8" w14:textId="77777777" w:rsidTr="00FB4ED8">
        <w:tc>
          <w:tcPr>
            <w:tcW w:w="284" w:type="dxa"/>
            <w:tcBorders>
              <w:top w:val="nil"/>
              <w:bottom w:val="nil"/>
            </w:tcBorders>
          </w:tcPr>
          <w:p w14:paraId="7B34647F" w14:textId="77777777" w:rsidR="003224BF" w:rsidRPr="00AC574D" w:rsidRDefault="003224BF" w:rsidP="00FB4ED8">
            <w:pPr>
              <w:rPr>
                <w:sz w:val="12"/>
                <w:szCs w:val="12"/>
              </w:rPr>
            </w:pPr>
          </w:p>
        </w:tc>
        <w:tc>
          <w:tcPr>
            <w:tcW w:w="3402" w:type="dxa"/>
            <w:tcBorders>
              <w:top w:val="nil"/>
              <w:bottom w:val="nil"/>
            </w:tcBorders>
          </w:tcPr>
          <w:p w14:paraId="24004AA8" w14:textId="77777777" w:rsidR="003224BF" w:rsidRPr="00AC574D" w:rsidRDefault="003224BF" w:rsidP="00FB4ED8">
            <w:pPr>
              <w:rPr>
                <w:sz w:val="12"/>
                <w:szCs w:val="12"/>
              </w:rPr>
            </w:pPr>
          </w:p>
        </w:tc>
        <w:tc>
          <w:tcPr>
            <w:tcW w:w="1417" w:type="dxa"/>
            <w:tcBorders>
              <w:top w:val="nil"/>
              <w:bottom w:val="nil"/>
            </w:tcBorders>
            <w:vAlign w:val="center"/>
          </w:tcPr>
          <w:p w14:paraId="3A3CE5E0" w14:textId="77777777" w:rsidR="003224BF" w:rsidRPr="00AC574D" w:rsidRDefault="003224BF" w:rsidP="00FB4ED8">
            <w:pPr>
              <w:jc w:val="center"/>
              <w:rPr>
                <w:sz w:val="12"/>
                <w:szCs w:val="12"/>
              </w:rPr>
            </w:pPr>
          </w:p>
        </w:tc>
        <w:tc>
          <w:tcPr>
            <w:tcW w:w="1275" w:type="dxa"/>
            <w:tcBorders>
              <w:top w:val="nil"/>
              <w:bottom w:val="nil"/>
            </w:tcBorders>
            <w:vAlign w:val="center"/>
          </w:tcPr>
          <w:p w14:paraId="4D4B89DB" w14:textId="77777777" w:rsidR="003224BF" w:rsidRPr="00AC574D" w:rsidRDefault="003224BF" w:rsidP="00FB4ED8">
            <w:pPr>
              <w:jc w:val="center"/>
              <w:rPr>
                <w:sz w:val="12"/>
                <w:szCs w:val="12"/>
              </w:rPr>
            </w:pPr>
          </w:p>
        </w:tc>
        <w:tc>
          <w:tcPr>
            <w:tcW w:w="1134" w:type="dxa"/>
            <w:tcBorders>
              <w:top w:val="nil"/>
              <w:bottom w:val="nil"/>
            </w:tcBorders>
            <w:vAlign w:val="center"/>
          </w:tcPr>
          <w:p w14:paraId="65F47B56" w14:textId="77777777" w:rsidR="003224BF" w:rsidRPr="00AC574D" w:rsidRDefault="003224BF" w:rsidP="00FB4ED8">
            <w:pPr>
              <w:jc w:val="center"/>
              <w:rPr>
                <w:sz w:val="12"/>
                <w:szCs w:val="12"/>
              </w:rPr>
            </w:pPr>
          </w:p>
        </w:tc>
      </w:tr>
      <w:tr w:rsidR="003224BF" w:rsidRPr="003548CF" w14:paraId="1E24C8F6" w14:textId="77777777" w:rsidTr="00FB4ED8">
        <w:tc>
          <w:tcPr>
            <w:tcW w:w="3686" w:type="dxa"/>
            <w:gridSpan w:val="2"/>
            <w:tcBorders>
              <w:top w:val="nil"/>
              <w:bottom w:val="nil"/>
            </w:tcBorders>
          </w:tcPr>
          <w:p w14:paraId="17FE7F00" w14:textId="77777777" w:rsidR="003224BF" w:rsidRPr="00CB09BE" w:rsidRDefault="003224BF" w:rsidP="00FB4ED8">
            <w:pPr>
              <w:rPr>
                <w:vertAlign w:val="superscript"/>
              </w:rPr>
            </w:pPr>
            <w:r>
              <w:t>Cessation</w:t>
            </w:r>
            <w:r>
              <w:rPr>
                <w:vertAlign w:val="superscript"/>
              </w:rPr>
              <w:t>2b</w:t>
            </w:r>
          </w:p>
        </w:tc>
        <w:tc>
          <w:tcPr>
            <w:tcW w:w="1417" w:type="dxa"/>
            <w:tcBorders>
              <w:top w:val="nil"/>
              <w:bottom w:val="nil"/>
            </w:tcBorders>
            <w:vAlign w:val="center"/>
          </w:tcPr>
          <w:p w14:paraId="195ADB46" w14:textId="77777777" w:rsidR="003224BF" w:rsidRPr="003548CF" w:rsidRDefault="003224BF" w:rsidP="00FB4ED8">
            <w:pPr>
              <w:jc w:val="center"/>
            </w:pPr>
          </w:p>
        </w:tc>
        <w:tc>
          <w:tcPr>
            <w:tcW w:w="1275" w:type="dxa"/>
            <w:tcBorders>
              <w:top w:val="nil"/>
              <w:bottom w:val="nil"/>
            </w:tcBorders>
            <w:vAlign w:val="center"/>
          </w:tcPr>
          <w:p w14:paraId="4D9ACFB7" w14:textId="77777777" w:rsidR="003224BF" w:rsidRPr="003548CF" w:rsidRDefault="003224BF" w:rsidP="00FB4ED8">
            <w:pPr>
              <w:jc w:val="center"/>
            </w:pPr>
          </w:p>
        </w:tc>
        <w:tc>
          <w:tcPr>
            <w:tcW w:w="1134" w:type="dxa"/>
            <w:tcBorders>
              <w:top w:val="nil"/>
              <w:bottom w:val="nil"/>
            </w:tcBorders>
            <w:vAlign w:val="center"/>
          </w:tcPr>
          <w:p w14:paraId="471F7DAA" w14:textId="77777777" w:rsidR="003224BF" w:rsidRPr="003548CF" w:rsidRDefault="003224BF" w:rsidP="00FB4ED8">
            <w:pPr>
              <w:jc w:val="center"/>
            </w:pPr>
          </w:p>
        </w:tc>
      </w:tr>
      <w:tr w:rsidR="003224BF" w:rsidRPr="003548CF" w14:paraId="32829CAD" w14:textId="77777777" w:rsidTr="00FB4ED8">
        <w:tc>
          <w:tcPr>
            <w:tcW w:w="284" w:type="dxa"/>
            <w:tcBorders>
              <w:top w:val="nil"/>
              <w:bottom w:val="nil"/>
            </w:tcBorders>
          </w:tcPr>
          <w:p w14:paraId="043E55EB" w14:textId="77777777" w:rsidR="003224BF" w:rsidRDefault="003224BF" w:rsidP="00FB4ED8"/>
        </w:tc>
        <w:tc>
          <w:tcPr>
            <w:tcW w:w="3402" w:type="dxa"/>
            <w:tcBorders>
              <w:top w:val="nil"/>
              <w:bottom w:val="nil"/>
            </w:tcBorders>
          </w:tcPr>
          <w:p w14:paraId="6672D5F6" w14:textId="77777777" w:rsidR="003224BF" w:rsidRDefault="003224BF" w:rsidP="00FB4ED8">
            <w:r>
              <w:t>2-month pulse</w:t>
            </w:r>
          </w:p>
        </w:tc>
        <w:tc>
          <w:tcPr>
            <w:tcW w:w="1417" w:type="dxa"/>
            <w:tcBorders>
              <w:top w:val="nil"/>
              <w:bottom w:val="nil"/>
            </w:tcBorders>
            <w:vAlign w:val="center"/>
          </w:tcPr>
          <w:p w14:paraId="5E87240B" w14:textId="77777777" w:rsidR="003224BF" w:rsidRPr="003548CF" w:rsidRDefault="003224BF" w:rsidP="00FB4ED8">
            <w:pPr>
              <w:jc w:val="center"/>
            </w:pPr>
            <w:r>
              <w:t>1.392</w:t>
            </w:r>
          </w:p>
        </w:tc>
        <w:tc>
          <w:tcPr>
            <w:tcW w:w="1275" w:type="dxa"/>
            <w:tcBorders>
              <w:top w:val="nil"/>
              <w:bottom w:val="nil"/>
            </w:tcBorders>
            <w:vAlign w:val="center"/>
          </w:tcPr>
          <w:p w14:paraId="017EA67F" w14:textId="77777777" w:rsidR="003224BF" w:rsidRPr="003548CF" w:rsidRDefault="003224BF" w:rsidP="00FB4ED8">
            <w:pPr>
              <w:jc w:val="center"/>
            </w:pPr>
            <w:r>
              <w:t>1.129</w:t>
            </w:r>
          </w:p>
        </w:tc>
        <w:tc>
          <w:tcPr>
            <w:tcW w:w="1134" w:type="dxa"/>
            <w:tcBorders>
              <w:top w:val="nil"/>
              <w:bottom w:val="nil"/>
            </w:tcBorders>
            <w:vAlign w:val="center"/>
          </w:tcPr>
          <w:p w14:paraId="72C60A36" w14:textId="77777777" w:rsidR="003224BF" w:rsidRPr="003548CF" w:rsidRDefault="003224BF" w:rsidP="00FB4ED8">
            <w:pPr>
              <w:jc w:val="center"/>
            </w:pPr>
            <w:r>
              <w:t>1.717</w:t>
            </w:r>
          </w:p>
        </w:tc>
      </w:tr>
      <w:tr w:rsidR="003224BF" w:rsidRPr="003548CF" w14:paraId="3AA81143" w14:textId="77777777" w:rsidTr="00FB4ED8">
        <w:tc>
          <w:tcPr>
            <w:tcW w:w="284" w:type="dxa"/>
            <w:tcBorders>
              <w:top w:val="nil"/>
              <w:bottom w:val="nil"/>
            </w:tcBorders>
          </w:tcPr>
          <w:p w14:paraId="57C15CCE" w14:textId="77777777" w:rsidR="003224BF" w:rsidRDefault="003224BF" w:rsidP="00FB4ED8"/>
        </w:tc>
        <w:tc>
          <w:tcPr>
            <w:tcW w:w="3402" w:type="dxa"/>
            <w:tcBorders>
              <w:top w:val="nil"/>
              <w:bottom w:val="nil"/>
            </w:tcBorders>
          </w:tcPr>
          <w:p w14:paraId="30124160" w14:textId="77777777" w:rsidR="003224BF" w:rsidRDefault="003224BF" w:rsidP="00FB4ED8">
            <w:r>
              <w:t>3-month pulse</w:t>
            </w:r>
          </w:p>
        </w:tc>
        <w:tc>
          <w:tcPr>
            <w:tcW w:w="1417" w:type="dxa"/>
            <w:tcBorders>
              <w:top w:val="nil"/>
              <w:bottom w:val="nil"/>
            </w:tcBorders>
            <w:vAlign w:val="center"/>
          </w:tcPr>
          <w:p w14:paraId="4762C0FD" w14:textId="77777777" w:rsidR="003224BF" w:rsidRPr="003548CF" w:rsidRDefault="003224BF" w:rsidP="00FB4ED8">
            <w:pPr>
              <w:jc w:val="center"/>
            </w:pPr>
            <w:r>
              <w:t>1.382</w:t>
            </w:r>
          </w:p>
        </w:tc>
        <w:tc>
          <w:tcPr>
            <w:tcW w:w="1275" w:type="dxa"/>
            <w:tcBorders>
              <w:top w:val="nil"/>
              <w:bottom w:val="nil"/>
            </w:tcBorders>
            <w:vAlign w:val="center"/>
          </w:tcPr>
          <w:p w14:paraId="32927DD5" w14:textId="77777777" w:rsidR="003224BF" w:rsidRPr="003548CF" w:rsidRDefault="003224BF" w:rsidP="00FB4ED8">
            <w:pPr>
              <w:jc w:val="center"/>
            </w:pPr>
            <w:r>
              <w:t>1.162</w:t>
            </w:r>
          </w:p>
        </w:tc>
        <w:tc>
          <w:tcPr>
            <w:tcW w:w="1134" w:type="dxa"/>
            <w:tcBorders>
              <w:top w:val="nil"/>
              <w:bottom w:val="nil"/>
            </w:tcBorders>
            <w:vAlign w:val="center"/>
          </w:tcPr>
          <w:p w14:paraId="38F218A4" w14:textId="77777777" w:rsidR="003224BF" w:rsidRPr="003548CF" w:rsidRDefault="003224BF" w:rsidP="00FB4ED8">
            <w:pPr>
              <w:jc w:val="center"/>
            </w:pPr>
            <w:r>
              <w:t>1.644</w:t>
            </w:r>
          </w:p>
        </w:tc>
      </w:tr>
      <w:tr w:rsidR="003224BF" w:rsidRPr="00AC574D" w14:paraId="646EB625" w14:textId="77777777" w:rsidTr="00FB4ED8">
        <w:tc>
          <w:tcPr>
            <w:tcW w:w="284" w:type="dxa"/>
            <w:tcBorders>
              <w:top w:val="nil"/>
              <w:bottom w:val="nil"/>
            </w:tcBorders>
          </w:tcPr>
          <w:p w14:paraId="5CAB0E55" w14:textId="77777777" w:rsidR="003224BF" w:rsidRPr="00AC574D" w:rsidRDefault="003224BF" w:rsidP="00FB4ED8">
            <w:pPr>
              <w:rPr>
                <w:sz w:val="12"/>
                <w:szCs w:val="12"/>
              </w:rPr>
            </w:pPr>
          </w:p>
        </w:tc>
        <w:tc>
          <w:tcPr>
            <w:tcW w:w="3402" w:type="dxa"/>
            <w:tcBorders>
              <w:top w:val="nil"/>
              <w:bottom w:val="nil"/>
            </w:tcBorders>
          </w:tcPr>
          <w:p w14:paraId="2951A84D" w14:textId="77777777" w:rsidR="003224BF" w:rsidRPr="00AC574D" w:rsidRDefault="003224BF" w:rsidP="00FB4ED8">
            <w:pPr>
              <w:rPr>
                <w:sz w:val="12"/>
                <w:szCs w:val="12"/>
              </w:rPr>
            </w:pPr>
          </w:p>
        </w:tc>
        <w:tc>
          <w:tcPr>
            <w:tcW w:w="1417" w:type="dxa"/>
            <w:tcBorders>
              <w:top w:val="nil"/>
              <w:bottom w:val="nil"/>
            </w:tcBorders>
            <w:vAlign w:val="center"/>
          </w:tcPr>
          <w:p w14:paraId="3CB24825" w14:textId="77777777" w:rsidR="003224BF" w:rsidRPr="00AC574D" w:rsidRDefault="003224BF" w:rsidP="00FB4ED8">
            <w:pPr>
              <w:jc w:val="center"/>
              <w:rPr>
                <w:sz w:val="12"/>
                <w:szCs w:val="12"/>
              </w:rPr>
            </w:pPr>
          </w:p>
        </w:tc>
        <w:tc>
          <w:tcPr>
            <w:tcW w:w="1275" w:type="dxa"/>
            <w:tcBorders>
              <w:top w:val="nil"/>
              <w:bottom w:val="nil"/>
            </w:tcBorders>
            <w:vAlign w:val="center"/>
          </w:tcPr>
          <w:p w14:paraId="1E8699CC" w14:textId="77777777" w:rsidR="003224BF" w:rsidRPr="00AC574D" w:rsidRDefault="003224BF" w:rsidP="00FB4ED8">
            <w:pPr>
              <w:jc w:val="center"/>
              <w:rPr>
                <w:sz w:val="12"/>
                <w:szCs w:val="12"/>
              </w:rPr>
            </w:pPr>
          </w:p>
        </w:tc>
        <w:tc>
          <w:tcPr>
            <w:tcW w:w="1134" w:type="dxa"/>
            <w:tcBorders>
              <w:top w:val="nil"/>
              <w:bottom w:val="nil"/>
            </w:tcBorders>
            <w:vAlign w:val="center"/>
          </w:tcPr>
          <w:p w14:paraId="2CC6DF3B" w14:textId="77777777" w:rsidR="003224BF" w:rsidRPr="00AC574D" w:rsidRDefault="003224BF" w:rsidP="00FB4ED8">
            <w:pPr>
              <w:jc w:val="center"/>
              <w:rPr>
                <w:sz w:val="12"/>
                <w:szCs w:val="12"/>
              </w:rPr>
            </w:pPr>
          </w:p>
        </w:tc>
      </w:tr>
      <w:tr w:rsidR="003224BF" w:rsidRPr="003548CF" w14:paraId="03CCCA79" w14:textId="77777777" w:rsidTr="00FB4ED8">
        <w:tc>
          <w:tcPr>
            <w:tcW w:w="3686" w:type="dxa"/>
            <w:gridSpan w:val="2"/>
            <w:tcBorders>
              <w:top w:val="nil"/>
              <w:bottom w:val="nil"/>
            </w:tcBorders>
          </w:tcPr>
          <w:p w14:paraId="064E8FDF" w14:textId="77777777" w:rsidR="003224BF" w:rsidRPr="00CB09BE" w:rsidRDefault="003224BF" w:rsidP="00FB4ED8">
            <w:pPr>
              <w:rPr>
                <w:vertAlign w:val="superscript"/>
              </w:rPr>
            </w:pPr>
            <w:r>
              <w:t>Past-year quit attempt</w:t>
            </w:r>
            <w:r>
              <w:rPr>
                <w:vertAlign w:val="superscript"/>
              </w:rPr>
              <w:t>2a</w:t>
            </w:r>
          </w:p>
        </w:tc>
        <w:tc>
          <w:tcPr>
            <w:tcW w:w="1417" w:type="dxa"/>
            <w:tcBorders>
              <w:top w:val="nil"/>
              <w:bottom w:val="nil"/>
            </w:tcBorders>
            <w:vAlign w:val="center"/>
          </w:tcPr>
          <w:p w14:paraId="0EF21D1B" w14:textId="77777777" w:rsidR="003224BF" w:rsidRPr="003548CF" w:rsidRDefault="003224BF" w:rsidP="00FB4ED8">
            <w:pPr>
              <w:jc w:val="center"/>
            </w:pPr>
          </w:p>
        </w:tc>
        <w:tc>
          <w:tcPr>
            <w:tcW w:w="1275" w:type="dxa"/>
            <w:tcBorders>
              <w:top w:val="nil"/>
              <w:bottom w:val="nil"/>
            </w:tcBorders>
            <w:vAlign w:val="center"/>
          </w:tcPr>
          <w:p w14:paraId="79534609" w14:textId="77777777" w:rsidR="003224BF" w:rsidRPr="003548CF" w:rsidRDefault="003224BF" w:rsidP="00FB4ED8">
            <w:pPr>
              <w:jc w:val="center"/>
            </w:pPr>
          </w:p>
        </w:tc>
        <w:tc>
          <w:tcPr>
            <w:tcW w:w="1134" w:type="dxa"/>
            <w:tcBorders>
              <w:top w:val="nil"/>
              <w:bottom w:val="nil"/>
            </w:tcBorders>
            <w:vAlign w:val="center"/>
          </w:tcPr>
          <w:p w14:paraId="0AB2AE13" w14:textId="77777777" w:rsidR="003224BF" w:rsidRPr="003548CF" w:rsidRDefault="003224BF" w:rsidP="00FB4ED8">
            <w:pPr>
              <w:jc w:val="center"/>
            </w:pPr>
          </w:p>
        </w:tc>
      </w:tr>
      <w:tr w:rsidR="003224BF" w:rsidRPr="003548CF" w14:paraId="1DE6E48D" w14:textId="77777777" w:rsidTr="00FB4ED8">
        <w:tc>
          <w:tcPr>
            <w:tcW w:w="284" w:type="dxa"/>
            <w:tcBorders>
              <w:top w:val="nil"/>
              <w:bottom w:val="nil"/>
            </w:tcBorders>
          </w:tcPr>
          <w:p w14:paraId="628046F1" w14:textId="77777777" w:rsidR="003224BF" w:rsidRDefault="003224BF" w:rsidP="00FB4ED8"/>
        </w:tc>
        <w:tc>
          <w:tcPr>
            <w:tcW w:w="3402" w:type="dxa"/>
            <w:tcBorders>
              <w:top w:val="nil"/>
              <w:bottom w:val="nil"/>
            </w:tcBorders>
          </w:tcPr>
          <w:p w14:paraId="6E2E7439" w14:textId="77777777" w:rsidR="003224BF" w:rsidRDefault="003224BF" w:rsidP="00FB4ED8">
            <w:r>
              <w:t>2-month pulse</w:t>
            </w:r>
          </w:p>
        </w:tc>
        <w:tc>
          <w:tcPr>
            <w:tcW w:w="1417" w:type="dxa"/>
            <w:tcBorders>
              <w:top w:val="nil"/>
              <w:bottom w:val="nil"/>
            </w:tcBorders>
            <w:vAlign w:val="center"/>
          </w:tcPr>
          <w:p w14:paraId="072DA566" w14:textId="77777777" w:rsidR="003224BF" w:rsidRPr="003548CF" w:rsidRDefault="003224BF" w:rsidP="00FB4ED8">
            <w:pPr>
              <w:jc w:val="center"/>
            </w:pPr>
            <w:r>
              <w:t>1.113</w:t>
            </w:r>
          </w:p>
        </w:tc>
        <w:tc>
          <w:tcPr>
            <w:tcW w:w="1275" w:type="dxa"/>
            <w:tcBorders>
              <w:top w:val="nil"/>
              <w:bottom w:val="nil"/>
            </w:tcBorders>
            <w:vAlign w:val="center"/>
          </w:tcPr>
          <w:p w14:paraId="7D2EE2BD" w14:textId="77777777" w:rsidR="003224BF" w:rsidRPr="003548CF" w:rsidRDefault="003224BF" w:rsidP="00FB4ED8">
            <w:pPr>
              <w:jc w:val="center"/>
            </w:pPr>
            <w:r>
              <w:t>1.001</w:t>
            </w:r>
          </w:p>
        </w:tc>
        <w:tc>
          <w:tcPr>
            <w:tcW w:w="1134" w:type="dxa"/>
            <w:tcBorders>
              <w:top w:val="nil"/>
              <w:bottom w:val="nil"/>
            </w:tcBorders>
            <w:vAlign w:val="center"/>
          </w:tcPr>
          <w:p w14:paraId="0ABD5EB4" w14:textId="77777777" w:rsidR="003224BF" w:rsidRPr="003548CF" w:rsidRDefault="003224BF" w:rsidP="00FB4ED8">
            <w:pPr>
              <w:jc w:val="center"/>
            </w:pPr>
            <w:r>
              <w:t>1.238</w:t>
            </w:r>
          </w:p>
        </w:tc>
      </w:tr>
      <w:tr w:rsidR="003224BF" w:rsidRPr="003548CF" w14:paraId="0F2C0440" w14:textId="77777777" w:rsidTr="00FB4ED8">
        <w:tc>
          <w:tcPr>
            <w:tcW w:w="284" w:type="dxa"/>
            <w:tcBorders>
              <w:top w:val="nil"/>
              <w:bottom w:val="nil"/>
            </w:tcBorders>
          </w:tcPr>
          <w:p w14:paraId="3DDAC1CD" w14:textId="77777777" w:rsidR="003224BF" w:rsidRDefault="003224BF" w:rsidP="00FB4ED8"/>
        </w:tc>
        <w:tc>
          <w:tcPr>
            <w:tcW w:w="3402" w:type="dxa"/>
            <w:tcBorders>
              <w:top w:val="nil"/>
              <w:bottom w:val="nil"/>
            </w:tcBorders>
          </w:tcPr>
          <w:p w14:paraId="0C49A161" w14:textId="77777777" w:rsidR="003224BF" w:rsidRDefault="003224BF" w:rsidP="00FB4ED8">
            <w:r>
              <w:t>3-month pulse</w:t>
            </w:r>
          </w:p>
        </w:tc>
        <w:tc>
          <w:tcPr>
            <w:tcW w:w="1417" w:type="dxa"/>
            <w:tcBorders>
              <w:top w:val="nil"/>
              <w:bottom w:val="nil"/>
            </w:tcBorders>
            <w:vAlign w:val="center"/>
          </w:tcPr>
          <w:p w14:paraId="7FC0B9C9" w14:textId="77777777" w:rsidR="003224BF" w:rsidRPr="003548CF" w:rsidRDefault="003224BF" w:rsidP="00FB4ED8">
            <w:pPr>
              <w:jc w:val="center"/>
            </w:pPr>
            <w:r>
              <w:t>1.130</w:t>
            </w:r>
          </w:p>
        </w:tc>
        <w:tc>
          <w:tcPr>
            <w:tcW w:w="1275" w:type="dxa"/>
            <w:tcBorders>
              <w:top w:val="nil"/>
              <w:bottom w:val="nil"/>
            </w:tcBorders>
            <w:vAlign w:val="center"/>
          </w:tcPr>
          <w:p w14:paraId="1FA45306" w14:textId="77777777" w:rsidR="003224BF" w:rsidRPr="003548CF" w:rsidRDefault="003224BF" w:rsidP="00FB4ED8">
            <w:pPr>
              <w:jc w:val="center"/>
            </w:pPr>
            <w:r>
              <w:t>1.034</w:t>
            </w:r>
          </w:p>
        </w:tc>
        <w:tc>
          <w:tcPr>
            <w:tcW w:w="1134" w:type="dxa"/>
            <w:tcBorders>
              <w:top w:val="nil"/>
              <w:bottom w:val="nil"/>
            </w:tcBorders>
            <w:vAlign w:val="center"/>
          </w:tcPr>
          <w:p w14:paraId="7E11E285" w14:textId="77777777" w:rsidR="003224BF" w:rsidRPr="003548CF" w:rsidRDefault="003224BF" w:rsidP="00FB4ED8">
            <w:pPr>
              <w:jc w:val="center"/>
            </w:pPr>
            <w:r>
              <w:t>1.235</w:t>
            </w:r>
          </w:p>
        </w:tc>
      </w:tr>
      <w:tr w:rsidR="003224BF" w:rsidRPr="00AC574D" w14:paraId="0052AA3F" w14:textId="77777777" w:rsidTr="00FB4ED8">
        <w:tc>
          <w:tcPr>
            <w:tcW w:w="284" w:type="dxa"/>
            <w:tcBorders>
              <w:top w:val="nil"/>
              <w:bottom w:val="nil"/>
            </w:tcBorders>
          </w:tcPr>
          <w:p w14:paraId="26ABCF83" w14:textId="77777777" w:rsidR="003224BF" w:rsidRPr="00AC574D" w:rsidRDefault="003224BF" w:rsidP="00FB4ED8">
            <w:pPr>
              <w:rPr>
                <w:sz w:val="12"/>
                <w:szCs w:val="12"/>
              </w:rPr>
            </w:pPr>
          </w:p>
        </w:tc>
        <w:tc>
          <w:tcPr>
            <w:tcW w:w="3402" w:type="dxa"/>
            <w:tcBorders>
              <w:top w:val="nil"/>
              <w:bottom w:val="nil"/>
            </w:tcBorders>
          </w:tcPr>
          <w:p w14:paraId="28449A46" w14:textId="77777777" w:rsidR="003224BF" w:rsidRPr="00AC574D" w:rsidRDefault="003224BF" w:rsidP="00FB4ED8">
            <w:pPr>
              <w:rPr>
                <w:sz w:val="12"/>
                <w:szCs w:val="12"/>
              </w:rPr>
            </w:pPr>
          </w:p>
        </w:tc>
        <w:tc>
          <w:tcPr>
            <w:tcW w:w="1417" w:type="dxa"/>
            <w:tcBorders>
              <w:top w:val="nil"/>
              <w:bottom w:val="nil"/>
            </w:tcBorders>
            <w:vAlign w:val="center"/>
          </w:tcPr>
          <w:p w14:paraId="6ADF466B" w14:textId="77777777" w:rsidR="003224BF" w:rsidRPr="00AC574D" w:rsidRDefault="003224BF" w:rsidP="00FB4ED8">
            <w:pPr>
              <w:jc w:val="center"/>
              <w:rPr>
                <w:sz w:val="12"/>
                <w:szCs w:val="12"/>
              </w:rPr>
            </w:pPr>
          </w:p>
        </w:tc>
        <w:tc>
          <w:tcPr>
            <w:tcW w:w="1275" w:type="dxa"/>
            <w:tcBorders>
              <w:top w:val="nil"/>
              <w:bottom w:val="nil"/>
            </w:tcBorders>
            <w:vAlign w:val="center"/>
          </w:tcPr>
          <w:p w14:paraId="129D72A8" w14:textId="77777777" w:rsidR="003224BF" w:rsidRPr="00AC574D" w:rsidRDefault="003224BF" w:rsidP="00FB4ED8">
            <w:pPr>
              <w:jc w:val="center"/>
              <w:rPr>
                <w:sz w:val="12"/>
                <w:szCs w:val="12"/>
              </w:rPr>
            </w:pPr>
          </w:p>
        </w:tc>
        <w:tc>
          <w:tcPr>
            <w:tcW w:w="1134" w:type="dxa"/>
            <w:tcBorders>
              <w:top w:val="nil"/>
              <w:bottom w:val="nil"/>
            </w:tcBorders>
            <w:vAlign w:val="center"/>
          </w:tcPr>
          <w:p w14:paraId="3D444D34" w14:textId="77777777" w:rsidR="003224BF" w:rsidRPr="00AC574D" w:rsidRDefault="003224BF" w:rsidP="00FB4ED8">
            <w:pPr>
              <w:jc w:val="center"/>
              <w:rPr>
                <w:sz w:val="12"/>
                <w:szCs w:val="12"/>
              </w:rPr>
            </w:pPr>
          </w:p>
        </w:tc>
      </w:tr>
      <w:tr w:rsidR="003224BF" w:rsidRPr="003548CF" w14:paraId="754C5F81" w14:textId="77777777" w:rsidTr="00FB4ED8">
        <w:tc>
          <w:tcPr>
            <w:tcW w:w="3686" w:type="dxa"/>
            <w:gridSpan w:val="2"/>
            <w:tcBorders>
              <w:top w:val="nil"/>
              <w:bottom w:val="nil"/>
            </w:tcBorders>
          </w:tcPr>
          <w:p w14:paraId="7E59EB01" w14:textId="77777777" w:rsidR="003224BF" w:rsidRPr="00CB09BE" w:rsidRDefault="003224BF" w:rsidP="00FB4ED8">
            <w:pPr>
              <w:rPr>
                <w:vertAlign w:val="superscript"/>
              </w:rPr>
            </w:pPr>
            <w:r>
              <w:t>Number of past-year quit attempts</w:t>
            </w:r>
            <w:r>
              <w:rPr>
                <w:vertAlign w:val="superscript"/>
              </w:rPr>
              <w:t>3a*</w:t>
            </w:r>
          </w:p>
        </w:tc>
        <w:tc>
          <w:tcPr>
            <w:tcW w:w="1417" w:type="dxa"/>
            <w:tcBorders>
              <w:top w:val="nil"/>
              <w:bottom w:val="nil"/>
            </w:tcBorders>
            <w:vAlign w:val="center"/>
          </w:tcPr>
          <w:p w14:paraId="5A998770" w14:textId="77777777" w:rsidR="003224BF" w:rsidRPr="003548CF" w:rsidRDefault="003224BF" w:rsidP="00FB4ED8">
            <w:pPr>
              <w:jc w:val="center"/>
            </w:pPr>
          </w:p>
        </w:tc>
        <w:tc>
          <w:tcPr>
            <w:tcW w:w="1275" w:type="dxa"/>
            <w:tcBorders>
              <w:top w:val="nil"/>
              <w:bottom w:val="nil"/>
            </w:tcBorders>
            <w:vAlign w:val="center"/>
          </w:tcPr>
          <w:p w14:paraId="4EEDC880" w14:textId="77777777" w:rsidR="003224BF" w:rsidRPr="003548CF" w:rsidRDefault="003224BF" w:rsidP="00FB4ED8">
            <w:pPr>
              <w:jc w:val="center"/>
            </w:pPr>
          </w:p>
        </w:tc>
        <w:tc>
          <w:tcPr>
            <w:tcW w:w="1134" w:type="dxa"/>
            <w:tcBorders>
              <w:top w:val="nil"/>
              <w:bottom w:val="nil"/>
            </w:tcBorders>
            <w:vAlign w:val="center"/>
          </w:tcPr>
          <w:p w14:paraId="1331B729" w14:textId="77777777" w:rsidR="003224BF" w:rsidRPr="003548CF" w:rsidRDefault="003224BF" w:rsidP="00FB4ED8">
            <w:pPr>
              <w:jc w:val="center"/>
            </w:pPr>
          </w:p>
        </w:tc>
      </w:tr>
      <w:tr w:rsidR="003224BF" w:rsidRPr="003548CF" w14:paraId="0B80F58C" w14:textId="77777777" w:rsidTr="00FB4ED8">
        <w:tc>
          <w:tcPr>
            <w:tcW w:w="284" w:type="dxa"/>
            <w:tcBorders>
              <w:top w:val="nil"/>
              <w:bottom w:val="nil"/>
            </w:tcBorders>
          </w:tcPr>
          <w:p w14:paraId="0DF8E03C" w14:textId="77777777" w:rsidR="003224BF" w:rsidRDefault="003224BF" w:rsidP="00FB4ED8"/>
        </w:tc>
        <w:tc>
          <w:tcPr>
            <w:tcW w:w="3402" w:type="dxa"/>
            <w:tcBorders>
              <w:top w:val="nil"/>
              <w:bottom w:val="nil"/>
            </w:tcBorders>
          </w:tcPr>
          <w:p w14:paraId="1FBF27C1" w14:textId="77777777" w:rsidR="003224BF" w:rsidRDefault="003224BF" w:rsidP="00FB4ED8">
            <w:r>
              <w:t>2-month pulse</w:t>
            </w:r>
          </w:p>
        </w:tc>
        <w:tc>
          <w:tcPr>
            <w:tcW w:w="1417" w:type="dxa"/>
            <w:tcBorders>
              <w:top w:val="nil"/>
              <w:bottom w:val="nil"/>
            </w:tcBorders>
            <w:vAlign w:val="center"/>
          </w:tcPr>
          <w:p w14:paraId="0364D54F" w14:textId="77777777" w:rsidR="003224BF" w:rsidRPr="00141FE0" w:rsidRDefault="003224BF" w:rsidP="00FB4ED8">
            <w:pPr>
              <w:jc w:val="center"/>
              <w:rPr>
                <w:iCs/>
              </w:rPr>
            </w:pPr>
            <w:r w:rsidRPr="00141FE0">
              <w:rPr>
                <w:iCs/>
              </w:rPr>
              <w:t>0.997</w:t>
            </w:r>
          </w:p>
        </w:tc>
        <w:tc>
          <w:tcPr>
            <w:tcW w:w="1275" w:type="dxa"/>
            <w:tcBorders>
              <w:top w:val="nil"/>
              <w:bottom w:val="nil"/>
            </w:tcBorders>
            <w:vAlign w:val="center"/>
          </w:tcPr>
          <w:p w14:paraId="4E57E208" w14:textId="77777777" w:rsidR="003224BF" w:rsidRPr="003548CF" w:rsidRDefault="003224BF" w:rsidP="00FB4ED8">
            <w:pPr>
              <w:jc w:val="center"/>
            </w:pPr>
            <w:r>
              <w:t>0.922</w:t>
            </w:r>
          </w:p>
        </w:tc>
        <w:tc>
          <w:tcPr>
            <w:tcW w:w="1134" w:type="dxa"/>
            <w:tcBorders>
              <w:top w:val="nil"/>
              <w:bottom w:val="nil"/>
            </w:tcBorders>
            <w:vAlign w:val="center"/>
          </w:tcPr>
          <w:p w14:paraId="1C873ECD" w14:textId="77777777" w:rsidR="003224BF" w:rsidRPr="003548CF" w:rsidRDefault="003224BF" w:rsidP="00FB4ED8">
            <w:pPr>
              <w:jc w:val="center"/>
            </w:pPr>
            <w:r>
              <w:t>1.078</w:t>
            </w:r>
          </w:p>
        </w:tc>
      </w:tr>
      <w:tr w:rsidR="003224BF" w:rsidRPr="003548CF" w14:paraId="00273CCF" w14:textId="77777777" w:rsidTr="00FB4ED8">
        <w:tc>
          <w:tcPr>
            <w:tcW w:w="284" w:type="dxa"/>
            <w:tcBorders>
              <w:top w:val="nil"/>
              <w:bottom w:val="nil"/>
            </w:tcBorders>
          </w:tcPr>
          <w:p w14:paraId="6D58C2BD" w14:textId="77777777" w:rsidR="003224BF" w:rsidRDefault="003224BF" w:rsidP="00FB4ED8"/>
        </w:tc>
        <w:tc>
          <w:tcPr>
            <w:tcW w:w="3402" w:type="dxa"/>
            <w:tcBorders>
              <w:top w:val="nil"/>
              <w:bottom w:val="nil"/>
            </w:tcBorders>
          </w:tcPr>
          <w:p w14:paraId="0133C66C" w14:textId="77777777" w:rsidR="003224BF" w:rsidRDefault="003224BF" w:rsidP="00FB4ED8">
            <w:r>
              <w:t>3-month pulse</w:t>
            </w:r>
          </w:p>
        </w:tc>
        <w:tc>
          <w:tcPr>
            <w:tcW w:w="1417" w:type="dxa"/>
            <w:tcBorders>
              <w:top w:val="nil"/>
              <w:bottom w:val="nil"/>
            </w:tcBorders>
            <w:vAlign w:val="center"/>
          </w:tcPr>
          <w:p w14:paraId="3A4FD728" w14:textId="77777777" w:rsidR="003224BF" w:rsidRPr="00141FE0" w:rsidRDefault="003224BF" w:rsidP="00FB4ED8">
            <w:pPr>
              <w:jc w:val="center"/>
              <w:rPr>
                <w:iCs/>
              </w:rPr>
            </w:pPr>
            <w:r w:rsidRPr="00141FE0">
              <w:rPr>
                <w:iCs/>
              </w:rPr>
              <w:t>1.000</w:t>
            </w:r>
          </w:p>
        </w:tc>
        <w:tc>
          <w:tcPr>
            <w:tcW w:w="1275" w:type="dxa"/>
            <w:tcBorders>
              <w:top w:val="nil"/>
              <w:bottom w:val="nil"/>
            </w:tcBorders>
            <w:vAlign w:val="center"/>
          </w:tcPr>
          <w:p w14:paraId="23FDDCAC" w14:textId="77777777" w:rsidR="003224BF" w:rsidRPr="003548CF" w:rsidRDefault="003224BF" w:rsidP="00FB4ED8">
            <w:pPr>
              <w:jc w:val="center"/>
            </w:pPr>
            <w:r>
              <w:t>0.937</w:t>
            </w:r>
          </w:p>
        </w:tc>
        <w:tc>
          <w:tcPr>
            <w:tcW w:w="1134" w:type="dxa"/>
            <w:tcBorders>
              <w:top w:val="nil"/>
              <w:bottom w:val="nil"/>
            </w:tcBorders>
            <w:vAlign w:val="center"/>
          </w:tcPr>
          <w:p w14:paraId="5D0767D5" w14:textId="77777777" w:rsidR="003224BF" w:rsidRPr="003548CF" w:rsidRDefault="003224BF" w:rsidP="00FB4ED8">
            <w:pPr>
              <w:jc w:val="center"/>
            </w:pPr>
            <w:r>
              <w:t>1.067</w:t>
            </w:r>
          </w:p>
        </w:tc>
      </w:tr>
      <w:tr w:rsidR="003224BF" w:rsidRPr="00AC574D" w14:paraId="7612CECB" w14:textId="77777777" w:rsidTr="00FB4ED8">
        <w:tc>
          <w:tcPr>
            <w:tcW w:w="284" w:type="dxa"/>
            <w:tcBorders>
              <w:top w:val="nil"/>
              <w:bottom w:val="nil"/>
            </w:tcBorders>
          </w:tcPr>
          <w:p w14:paraId="7C549049" w14:textId="77777777" w:rsidR="003224BF" w:rsidRPr="00AC574D" w:rsidRDefault="003224BF" w:rsidP="00FB4ED8">
            <w:pPr>
              <w:rPr>
                <w:sz w:val="12"/>
                <w:szCs w:val="12"/>
              </w:rPr>
            </w:pPr>
          </w:p>
        </w:tc>
        <w:tc>
          <w:tcPr>
            <w:tcW w:w="3402" w:type="dxa"/>
            <w:tcBorders>
              <w:top w:val="nil"/>
              <w:bottom w:val="nil"/>
            </w:tcBorders>
          </w:tcPr>
          <w:p w14:paraId="53303E7A" w14:textId="77777777" w:rsidR="003224BF" w:rsidRPr="00AC574D" w:rsidRDefault="003224BF" w:rsidP="00FB4ED8">
            <w:pPr>
              <w:rPr>
                <w:sz w:val="12"/>
                <w:szCs w:val="12"/>
              </w:rPr>
            </w:pPr>
          </w:p>
        </w:tc>
        <w:tc>
          <w:tcPr>
            <w:tcW w:w="1417" w:type="dxa"/>
            <w:tcBorders>
              <w:top w:val="nil"/>
              <w:bottom w:val="nil"/>
            </w:tcBorders>
            <w:vAlign w:val="center"/>
          </w:tcPr>
          <w:p w14:paraId="7CD99D37" w14:textId="77777777" w:rsidR="003224BF" w:rsidRPr="00AC574D" w:rsidRDefault="003224BF" w:rsidP="00FB4ED8">
            <w:pPr>
              <w:jc w:val="center"/>
              <w:rPr>
                <w:sz w:val="12"/>
                <w:szCs w:val="12"/>
              </w:rPr>
            </w:pPr>
          </w:p>
        </w:tc>
        <w:tc>
          <w:tcPr>
            <w:tcW w:w="1275" w:type="dxa"/>
            <w:tcBorders>
              <w:top w:val="nil"/>
              <w:bottom w:val="nil"/>
            </w:tcBorders>
            <w:vAlign w:val="center"/>
          </w:tcPr>
          <w:p w14:paraId="43715173" w14:textId="77777777" w:rsidR="003224BF" w:rsidRPr="00AC574D" w:rsidRDefault="003224BF" w:rsidP="00FB4ED8">
            <w:pPr>
              <w:jc w:val="center"/>
              <w:rPr>
                <w:sz w:val="12"/>
                <w:szCs w:val="12"/>
              </w:rPr>
            </w:pPr>
          </w:p>
        </w:tc>
        <w:tc>
          <w:tcPr>
            <w:tcW w:w="1134" w:type="dxa"/>
            <w:tcBorders>
              <w:top w:val="nil"/>
              <w:bottom w:val="nil"/>
            </w:tcBorders>
            <w:vAlign w:val="center"/>
          </w:tcPr>
          <w:p w14:paraId="6D4E7607" w14:textId="77777777" w:rsidR="003224BF" w:rsidRPr="00AC574D" w:rsidRDefault="003224BF" w:rsidP="00FB4ED8">
            <w:pPr>
              <w:jc w:val="center"/>
              <w:rPr>
                <w:sz w:val="12"/>
                <w:szCs w:val="12"/>
              </w:rPr>
            </w:pPr>
          </w:p>
        </w:tc>
      </w:tr>
      <w:tr w:rsidR="003224BF" w14:paraId="31A40EAB" w14:textId="77777777" w:rsidTr="00FB4ED8">
        <w:tc>
          <w:tcPr>
            <w:tcW w:w="3686" w:type="dxa"/>
            <w:gridSpan w:val="2"/>
            <w:tcBorders>
              <w:top w:val="nil"/>
              <w:bottom w:val="nil"/>
            </w:tcBorders>
          </w:tcPr>
          <w:p w14:paraId="4A944372" w14:textId="53AB217B" w:rsidR="003224BF" w:rsidRPr="00CB09BE" w:rsidRDefault="001D625B" w:rsidP="00FB4ED8">
            <w:pPr>
              <w:rPr>
                <w:vertAlign w:val="superscript"/>
              </w:rPr>
            </w:pPr>
            <w:r>
              <w:t>Medium</w:t>
            </w:r>
            <w:r w:rsidR="003224BF">
              <w:t>-term abstinence</w:t>
            </w:r>
            <w:r w:rsidR="003224BF">
              <w:rPr>
                <w:vertAlign w:val="superscript"/>
              </w:rPr>
              <w:t>5b</w:t>
            </w:r>
          </w:p>
        </w:tc>
        <w:tc>
          <w:tcPr>
            <w:tcW w:w="1417" w:type="dxa"/>
            <w:tcBorders>
              <w:top w:val="nil"/>
              <w:bottom w:val="nil"/>
            </w:tcBorders>
            <w:vAlign w:val="center"/>
          </w:tcPr>
          <w:p w14:paraId="34EC5670" w14:textId="77777777" w:rsidR="003224BF" w:rsidRDefault="003224BF" w:rsidP="00FB4ED8">
            <w:pPr>
              <w:jc w:val="center"/>
            </w:pPr>
          </w:p>
        </w:tc>
        <w:tc>
          <w:tcPr>
            <w:tcW w:w="1275" w:type="dxa"/>
            <w:tcBorders>
              <w:top w:val="nil"/>
              <w:bottom w:val="nil"/>
            </w:tcBorders>
            <w:vAlign w:val="center"/>
          </w:tcPr>
          <w:p w14:paraId="69BCE159" w14:textId="77777777" w:rsidR="003224BF" w:rsidRDefault="003224BF" w:rsidP="00FB4ED8">
            <w:pPr>
              <w:jc w:val="center"/>
            </w:pPr>
          </w:p>
        </w:tc>
        <w:tc>
          <w:tcPr>
            <w:tcW w:w="1134" w:type="dxa"/>
            <w:tcBorders>
              <w:top w:val="nil"/>
              <w:bottom w:val="nil"/>
            </w:tcBorders>
            <w:vAlign w:val="center"/>
          </w:tcPr>
          <w:p w14:paraId="0E1E0B4C" w14:textId="77777777" w:rsidR="003224BF" w:rsidRDefault="003224BF" w:rsidP="00FB4ED8">
            <w:pPr>
              <w:jc w:val="center"/>
            </w:pPr>
          </w:p>
        </w:tc>
      </w:tr>
      <w:tr w:rsidR="003224BF" w14:paraId="45D12153" w14:textId="77777777" w:rsidTr="00FB4ED8">
        <w:tc>
          <w:tcPr>
            <w:tcW w:w="284" w:type="dxa"/>
            <w:tcBorders>
              <w:top w:val="nil"/>
              <w:bottom w:val="nil"/>
            </w:tcBorders>
          </w:tcPr>
          <w:p w14:paraId="7DD38877" w14:textId="77777777" w:rsidR="003224BF" w:rsidRDefault="003224BF" w:rsidP="00FB4ED8"/>
        </w:tc>
        <w:tc>
          <w:tcPr>
            <w:tcW w:w="3402" w:type="dxa"/>
            <w:tcBorders>
              <w:top w:val="nil"/>
              <w:bottom w:val="nil"/>
            </w:tcBorders>
          </w:tcPr>
          <w:p w14:paraId="37272EF9" w14:textId="77777777" w:rsidR="003224BF" w:rsidRDefault="003224BF" w:rsidP="00FB4ED8">
            <w:r>
              <w:t>2-month pulse</w:t>
            </w:r>
          </w:p>
        </w:tc>
        <w:tc>
          <w:tcPr>
            <w:tcW w:w="1417" w:type="dxa"/>
            <w:tcBorders>
              <w:top w:val="nil"/>
              <w:bottom w:val="nil"/>
            </w:tcBorders>
            <w:vAlign w:val="center"/>
          </w:tcPr>
          <w:p w14:paraId="7541D61A" w14:textId="77777777" w:rsidR="003224BF" w:rsidRPr="007D3E25" w:rsidRDefault="003224BF" w:rsidP="00FB4ED8">
            <w:pPr>
              <w:jc w:val="center"/>
            </w:pPr>
            <w:r>
              <w:t>0.762</w:t>
            </w:r>
          </w:p>
        </w:tc>
        <w:tc>
          <w:tcPr>
            <w:tcW w:w="1275" w:type="dxa"/>
            <w:tcBorders>
              <w:top w:val="nil"/>
              <w:bottom w:val="nil"/>
            </w:tcBorders>
            <w:vAlign w:val="center"/>
          </w:tcPr>
          <w:p w14:paraId="79BFA6DE" w14:textId="77777777" w:rsidR="003224BF" w:rsidRDefault="003224BF" w:rsidP="00FB4ED8">
            <w:pPr>
              <w:jc w:val="center"/>
            </w:pPr>
            <w:r>
              <w:t>0.498</w:t>
            </w:r>
          </w:p>
        </w:tc>
        <w:tc>
          <w:tcPr>
            <w:tcW w:w="1134" w:type="dxa"/>
            <w:tcBorders>
              <w:top w:val="nil"/>
              <w:bottom w:val="nil"/>
            </w:tcBorders>
            <w:vAlign w:val="center"/>
          </w:tcPr>
          <w:p w14:paraId="48718391" w14:textId="77777777" w:rsidR="003224BF" w:rsidRDefault="003224BF" w:rsidP="00FB4ED8">
            <w:pPr>
              <w:jc w:val="center"/>
            </w:pPr>
            <w:r>
              <w:t>1.167</w:t>
            </w:r>
          </w:p>
        </w:tc>
      </w:tr>
      <w:tr w:rsidR="003224BF" w14:paraId="09D08E61" w14:textId="77777777" w:rsidTr="00FB4ED8">
        <w:tc>
          <w:tcPr>
            <w:tcW w:w="284" w:type="dxa"/>
            <w:tcBorders>
              <w:top w:val="nil"/>
              <w:bottom w:val="nil"/>
            </w:tcBorders>
          </w:tcPr>
          <w:p w14:paraId="02F84A38" w14:textId="77777777" w:rsidR="003224BF" w:rsidRDefault="003224BF" w:rsidP="00FB4ED8"/>
        </w:tc>
        <w:tc>
          <w:tcPr>
            <w:tcW w:w="3402" w:type="dxa"/>
            <w:tcBorders>
              <w:top w:val="nil"/>
              <w:bottom w:val="nil"/>
            </w:tcBorders>
          </w:tcPr>
          <w:p w14:paraId="0A43EA63" w14:textId="77777777" w:rsidR="003224BF" w:rsidRDefault="003224BF" w:rsidP="00FB4ED8">
            <w:r>
              <w:t>3-month pulse</w:t>
            </w:r>
          </w:p>
        </w:tc>
        <w:tc>
          <w:tcPr>
            <w:tcW w:w="1417" w:type="dxa"/>
            <w:tcBorders>
              <w:top w:val="nil"/>
              <w:bottom w:val="nil"/>
            </w:tcBorders>
            <w:vAlign w:val="center"/>
          </w:tcPr>
          <w:p w14:paraId="6A83999A" w14:textId="77777777" w:rsidR="003224BF" w:rsidRPr="009B10A8" w:rsidRDefault="003224BF" w:rsidP="00FB4ED8">
            <w:pPr>
              <w:jc w:val="center"/>
            </w:pPr>
            <w:r>
              <w:t>0.701</w:t>
            </w:r>
          </w:p>
        </w:tc>
        <w:tc>
          <w:tcPr>
            <w:tcW w:w="1275" w:type="dxa"/>
            <w:tcBorders>
              <w:top w:val="nil"/>
              <w:bottom w:val="nil"/>
            </w:tcBorders>
            <w:vAlign w:val="center"/>
          </w:tcPr>
          <w:p w14:paraId="55A89E46" w14:textId="77777777" w:rsidR="003224BF" w:rsidRDefault="003224BF" w:rsidP="00FB4ED8">
            <w:pPr>
              <w:jc w:val="center"/>
            </w:pPr>
            <w:r>
              <w:t>0.498</w:t>
            </w:r>
          </w:p>
        </w:tc>
        <w:tc>
          <w:tcPr>
            <w:tcW w:w="1134" w:type="dxa"/>
            <w:tcBorders>
              <w:top w:val="nil"/>
              <w:bottom w:val="nil"/>
            </w:tcBorders>
            <w:vAlign w:val="center"/>
          </w:tcPr>
          <w:p w14:paraId="40CCBF38" w14:textId="77777777" w:rsidR="003224BF" w:rsidRDefault="003224BF" w:rsidP="00FB4ED8">
            <w:pPr>
              <w:jc w:val="center"/>
            </w:pPr>
            <w:r>
              <w:t>0.987</w:t>
            </w:r>
          </w:p>
        </w:tc>
      </w:tr>
      <w:tr w:rsidR="003224BF" w:rsidRPr="00AC574D" w14:paraId="283B8F12" w14:textId="77777777" w:rsidTr="00FB4ED8">
        <w:tc>
          <w:tcPr>
            <w:tcW w:w="284" w:type="dxa"/>
            <w:tcBorders>
              <w:top w:val="nil"/>
              <w:bottom w:val="nil"/>
            </w:tcBorders>
          </w:tcPr>
          <w:p w14:paraId="20F2DA36" w14:textId="77777777" w:rsidR="003224BF" w:rsidRPr="00AC574D" w:rsidRDefault="003224BF" w:rsidP="00FB4ED8">
            <w:pPr>
              <w:rPr>
                <w:sz w:val="12"/>
                <w:szCs w:val="12"/>
              </w:rPr>
            </w:pPr>
          </w:p>
        </w:tc>
        <w:tc>
          <w:tcPr>
            <w:tcW w:w="3402" w:type="dxa"/>
            <w:tcBorders>
              <w:top w:val="nil"/>
              <w:bottom w:val="nil"/>
            </w:tcBorders>
          </w:tcPr>
          <w:p w14:paraId="1FA9FB39" w14:textId="77777777" w:rsidR="003224BF" w:rsidRPr="00AC574D" w:rsidRDefault="003224BF" w:rsidP="00FB4ED8">
            <w:pPr>
              <w:rPr>
                <w:sz w:val="12"/>
                <w:szCs w:val="12"/>
              </w:rPr>
            </w:pPr>
          </w:p>
        </w:tc>
        <w:tc>
          <w:tcPr>
            <w:tcW w:w="1417" w:type="dxa"/>
            <w:tcBorders>
              <w:top w:val="nil"/>
              <w:bottom w:val="nil"/>
            </w:tcBorders>
            <w:vAlign w:val="center"/>
          </w:tcPr>
          <w:p w14:paraId="5717769F" w14:textId="77777777" w:rsidR="003224BF" w:rsidRPr="00AC574D" w:rsidRDefault="003224BF" w:rsidP="00FB4ED8">
            <w:pPr>
              <w:jc w:val="center"/>
              <w:rPr>
                <w:sz w:val="12"/>
                <w:szCs w:val="12"/>
              </w:rPr>
            </w:pPr>
          </w:p>
        </w:tc>
        <w:tc>
          <w:tcPr>
            <w:tcW w:w="1275" w:type="dxa"/>
            <w:tcBorders>
              <w:top w:val="nil"/>
              <w:bottom w:val="nil"/>
            </w:tcBorders>
            <w:vAlign w:val="center"/>
          </w:tcPr>
          <w:p w14:paraId="3A2EA574" w14:textId="77777777" w:rsidR="003224BF" w:rsidRPr="00AC574D" w:rsidRDefault="003224BF" w:rsidP="00FB4ED8">
            <w:pPr>
              <w:jc w:val="center"/>
              <w:rPr>
                <w:sz w:val="12"/>
                <w:szCs w:val="12"/>
              </w:rPr>
            </w:pPr>
          </w:p>
        </w:tc>
        <w:tc>
          <w:tcPr>
            <w:tcW w:w="1134" w:type="dxa"/>
            <w:tcBorders>
              <w:top w:val="nil"/>
              <w:bottom w:val="nil"/>
            </w:tcBorders>
            <w:vAlign w:val="center"/>
          </w:tcPr>
          <w:p w14:paraId="2A8E1800" w14:textId="77777777" w:rsidR="003224BF" w:rsidRPr="00AC574D" w:rsidRDefault="003224BF" w:rsidP="00FB4ED8">
            <w:pPr>
              <w:jc w:val="center"/>
              <w:rPr>
                <w:sz w:val="12"/>
                <w:szCs w:val="12"/>
              </w:rPr>
            </w:pPr>
          </w:p>
        </w:tc>
      </w:tr>
      <w:tr w:rsidR="003224BF" w14:paraId="1BF91175" w14:textId="77777777" w:rsidTr="00FB4ED8">
        <w:tc>
          <w:tcPr>
            <w:tcW w:w="3686" w:type="dxa"/>
            <w:gridSpan w:val="2"/>
            <w:tcBorders>
              <w:top w:val="nil"/>
              <w:bottom w:val="nil"/>
            </w:tcBorders>
          </w:tcPr>
          <w:p w14:paraId="0FEC5B91" w14:textId="77777777" w:rsidR="003224BF" w:rsidRPr="00CB09BE" w:rsidRDefault="003224BF" w:rsidP="00FB4ED8">
            <w:pPr>
              <w:rPr>
                <w:vertAlign w:val="superscript"/>
              </w:rPr>
            </w:pPr>
            <w:r>
              <w:t>Use of prescription medication</w:t>
            </w:r>
            <w:r>
              <w:rPr>
                <w:vertAlign w:val="superscript"/>
              </w:rPr>
              <w:t>3b</w:t>
            </w:r>
          </w:p>
        </w:tc>
        <w:tc>
          <w:tcPr>
            <w:tcW w:w="1417" w:type="dxa"/>
            <w:tcBorders>
              <w:top w:val="nil"/>
              <w:bottom w:val="nil"/>
            </w:tcBorders>
            <w:vAlign w:val="center"/>
          </w:tcPr>
          <w:p w14:paraId="79817BBA" w14:textId="77777777" w:rsidR="003224BF" w:rsidRDefault="003224BF" w:rsidP="00FB4ED8">
            <w:pPr>
              <w:jc w:val="center"/>
            </w:pPr>
          </w:p>
        </w:tc>
        <w:tc>
          <w:tcPr>
            <w:tcW w:w="1275" w:type="dxa"/>
            <w:tcBorders>
              <w:top w:val="nil"/>
              <w:bottom w:val="nil"/>
            </w:tcBorders>
            <w:vAlign w:val="center"/>
          </w:tcPr>
          <w:p w14:paraId="7774754B" w14:textId="77777777" w:rsidR="003224BF" w:rsidRDefault="003224BF" w:rsidP="00FB4ED8">
            <w:pPr>
              <w:jc w:val="center"/>
            </w:pPr>
          </w:p>
        </w:tc>
        <w:tc>
          <w:tcPr>
            <w:tcW w:w="1134" w:type="dxa"/>
            <w:tcBorders>
              <w:top w:val="nil"/>
              <w:bottom w:val="nil"/>
            </w:tcBorders>
            <w:vAlign w:val="center"/>
          </w:tcPr>
          <w:p w14:paraId="49C4BFA6" w14:textId="77777777" w:rsidR="003224BF" w:rsidRDefault="003224BF" w:rsidP="00FB4ED8">
            <w:pPr>
              <w:jc w:val="center"/>
            </w:pPr>
          </w:p>
        </w:tc>
      </w:tr>
      <w:tr w:rsidR="003224BF" w14:paraId="6E68D8C3" w14:textId="77777777" w:rsidTr="00FB4ED8">
        <w:tc>
          <w:tcPr>
            <w:tcW w:w="284" w:type="dxa"/>
            <w:tcBorders>
              <w:top w:val="nil"/>
              <w:bottom w:val="nil"/>
            </w:tcBorders>
          </w:tcPr>
          <w:p w14:paraId="3D1F7A4A" w14:textId="77777777" w:rsidR="003224BF" w:rsidRDefault="003224BF" w:rsidP="00FB4ED8"/>
        </w:tc>
        <w:tc>
          <w:tcPr>
            <w:tcW w:w="3402" w:type="dxa"/>
            <w:tcBorders>
              <w:top w:val="nil"/>
              <w:bottom w:val="nil"/>
            </w:tcBorders>
          </w:tcPr>
          <w:p w14:paraId="7BA338FA" w14:textId="77777777" w:rsidR="003224BF" w:rsidRDefault="003224BF" w:rsidP="00FB4ED8">
            <w:r>
              <w:t>2-month pulse</w:t>
            </w:r>
          </w:p>
        </w:tc>
        <w:tc>
          <w:tcPr>
            <w:tcW w:w="1417" w:type="dxa"/>
            <w:tcBorders>
              <w:top w:val="nil"/>
              <w:bottom w:val="nil"/>
            </w:tcBorders>
            <w:vAlign w:val="center"/>
          </w:tcPr>
          <w:p w14:paraId="3FCDD5B1" w14:textId="77777777" w:rsidR="003224BF" w:rsidRDefault="003224BF" w:rsidP="00FB4ED8">
            <w:pPr>
              <w:jc w:val="center"/>
            </w:pPr>
            <w:r>
              <w:t>1.019</w:t>
            </w:r>
          </w:p>
        </w:tc>
        <w:tc>
          <w:tcPr>
            <w:tcW w:w="1275" w:type="dxa"/>
            <w:tcBorders>
              <w:top w:val="nil"/>
              <w:bottom w:val="nil"/>
            </w:tcBorders>
            <w:vAlign w:val="center"/>
          </w:tcPr>
          <w:p w14:paraId="568BBF57" w14:textId="77777777" w:rsidR="003224BF" w:rsidRDefault="003224BF" w:rsidP="00FB4ED8">
            <w:pPr>
              <w:jc w:val="center"/>
            </w:pPr>
            <w:r>
              <w:t>0.614</w:t>
            </w:r>
          </w:p>
        </w:tc>
        <w:tc>
          <w:tcPr>
            <w:tcW w:w="1134" w:type="dxa"/>
            <w:tcBorders>
              <w:top w:val="nil"/>
              <w:bottom w:val="nil"/>
            </w:tcBorders>
            <w:vAlign w:val="center"/>
          </w:tcPr>
          <w:p w14:paraId="4A3856DA" w14:textId="77777777" w:rsidR="003224BF" w:rsidRDefault="003224BF" w:rsidP="00FB4ED8">
            <w:pPr>
              <w:jc w:val="center"/>
            </w:pPr>
            <w:r>
              <w:t>1.693</w:t>
            </w:r>
          </w:p>
        </w:tc>
      </w:tr>
      <w:tr w:rsidR="003224BF" w14:paraId="5C40E4B2" w14:textId="77777777" w:rsidTr="00FB4ED8">
        <w:tc>
          <w:tcPr>
            <w:tcW w:w="284" w:type="dxa"/>
            <w:tcBorders>
              <w:top w:val="nil"/>
              <w:bottom w:val="nil"/>
            </w:tcBorders>
          </w:tcPr>
          <w:p w14:paraId="47509C70" w14:textId="77777777" w:rsidR="003224BF" w:rsidRDefault="003224BF" w:rsidP="00FB4ED8"/>
        </w:tc>
        <w:tc>
          <w:tcPr>
            <w:tcW w:w="3402" w:type="dxa"/>
            <w:tcBorders>
              <w:top w:val="nil"/>
              <w:bottom w:val="nil"/>
            </w:tcBorders>
          </w:tcPr>
          <w:p w14:paraId="7A8E483B" w14:textId="77777777" w:rsidR="003224BF" w:rsidRDefault="003224BF" w:rsidP="00FB4ED8">
            <w:r>
              <w:t>3-month pulse</w:t>
            </w:r>
          </w:p>
        </w:tc>
        <w:tc>
          <w:tcPr>
            <w:tcW w:w="1417" w:type="dxa"/>
            <w:tcBorders>
              <w:top w:val="nil"/>
              <w:bottom w:val="nil"/>
            </w:tcBorders>
            <w:vAlign w:val="center"/>
          </w:tcPr>
          <w:p w14:paraId="3F75ED94" w14:textId="77777777" w:rsidR="003224BF" w:rsidRDefault="003224BF" w:rsidP="00FB4ED8">
            <w:pPr>
              <w:jc w:val="center"/>
            </w:pPr>
            <w:r>
              <w:t>1.349</w:t>
            </w:r>
          </w:p>
        </w:tc>
        <w:tc>
          <w:tcPr>
            <w:tcW w:w="1275" w:type="dxa"/>
            <w:tcBorders>
              <w:top w:val="nil"/>
              <w:bottom w:val="nil"/>
            </w:tcBorders>
            <w:vAlign w:val="center"/>
          </w:tcPr>
          <w:p w14:paraId="2A282135" w14:textId="77777777" w:rsidR="003224BF" w:rsidRDefault="003224BF" w:rsidP="00FB4ED8">
            <w:pPr>
              <w:jc w:val="center"/>
            </w:pPr>
            <w:r>
              <w:t>0.943</w:t>
            </w:r>
          </w:p>
        </w:tc>
        <w:tc>
          <w:tcPr>
            <w:tcW w:w="1134" w:type="dxa"/>
            <w:tcBorders>
              <w:top w:val="nil"/>
              <w:bottom w:val="nil"/>
            </w:tcBorders>
            <w:vAlign w:val="center"/>
          </w:tcPr>
          <w:p w14:paraId="608EAAF2" w14:textId="77777777" w:rsidR="003224BF" w:rsidRDefault="003224BF" w:rsidP="00FB4ED8">
            <w:pPr>
              <w:jc w:val="center"/>
            </w:pPr>
            <w:r>
              <w:t>1.930</w:t>
            </w:r>
          </w:p>
        </w:tc>
      </w:tr>
      <w:tr w:rsidR="003224BF" w:rsidRPr="00AC574D" w14:paraId="2A943C4A" w14:textId="77777777" w:rsidTr="00FB4ED8">
        <w:tc>
          <w:tcPr>
            <w:tcW w:w="284" w:type="dxa"/>
            <w:tcBorders>
              <w:top w:val="nil"/>
              <w:bottom w:val="nil"/>
            </w:tcBorders>
          </w:tcPr>
          <w:p w14:paraId="40927840" w14:textId="77777777" w:rsidR="003224BF" w:rsidRPr="00AC574D" w:rsidRDefault="003224BF" w:rsidP="00FB4ED8">
            <w:pPr>
              <w:rPr>
                <w:sz w:val="12"/>
                <w:szCs w:val="12"/>
              </w:rPr>
            </w:pPr>
          </w:p>
        </w:tc>
        <w:tc>
          <w:tcPr>
            <w:tcW w:w="3402" w:type="dxa"/>
            <w:tcBorders>
              <w:top w:val="nil"/>
              <w:bottom w:val="nil"/>
            </w:tcBorders>
          </w:tcPr>
          <w:p w14:paraId="4E1C0531" w14:textId="77777777" w:rsidR="003224BF" w:rsidRPr="00AC574D" w:rsidRDefault="003224BF" w:rsidP="00FB4ED8">
            <w:pPr>
              <w:rPr>
                <w:sz w:val="12"/>
                <w:szCs w:val="12"/>
              </w:rPr>
            </w:pPr>
          </w:p>
        </w:tc>
        <w:tc>
          <w:tcPr>
            <w:tcW w:w="1417" w:type="dxa"/>
            <w:tcBorders>
              <w:top w:val="nil"/>
              <w:bottom w:val="nil"/>
            </w:tcBorders>
            <w:vAlign w:val="center"/>
          </w:tcPr>
          <w:p w14:paraId="24000FC1" w14:textId="77777777" w:rsidR="003224BF" w:rsidRPr="00AC574D" w:rsidRDefault="003224BF" w:rsidP="00FB4ED8">
            <w:pPr>
              <w:jc w:val="center"/>
              <w:rPr>
                <w:sz w:val="12"/>
                <w:szCs w:val="12"/>
              </w:rPr>
            </w:pPr>
          </w:p>
        </w:tc>
        <w:tc>
          <w:tcPr>
            <w:tcW w:w="1275" w:type="dxa"/>
            <w:tcBorders>
              <w:top w:val="nil"/>
              <w:bottom w:val="nil"/>
            </w:tcBorders>
            <w:vAlign w:val="center"/>
          </w:tcPr>
          <w:p w14:paraId="3169289F" w14:textId="77777777" w:rsidR="003224BF" w:rsidRPr="00AC574D" w:rsidRDefault="003224BF" w:rsidP="00FB4ED8">
            <w:pPr>
              <w:jc w:val="center"/>
              <w:rPr>
                <w:sz w:val="12"/>
                <w:szCs w:val="12"/>
              </w:rPr>
            </w:pPr>
          </w:p>
        </w:tc>
        <w:tc>
          <w:tcPr>
            <w:tcW w:w="1134" w:type="dxa"/>
            <w:tcBorders>
              <w:top w:val="nil"/>
              <w:bottom w:val="nil"/>
            </w:tcBorders>
            <w:vAlign w:val="center"/>
          </w:tcPr>
          <w:p w14:paraId="2A481682" w14:textId="77777777" w:rsidR="003224BF" w:rsidRPr="00AC574D" w:rsidRDefault="003224BF" w:rsidP="00FB4ED8">
            <w:pPr>
              <w:jc w:val="center"/>
              <w:rPr>
                <w:sz w:val="12"/>
                <w:szCs w:val="12"/>
              </w:rPr>
            </w:pPr>
          </w:p>
        </w:tc>
      </w:tr>
      <w:tr w:rsidR="003224BF" w14:paraId="02CBE430" w14:textId="77777777" w:rsidTr="00FB4ED8">
        <w:tc>
          <w:tcPr>
            <w:tcW w:w="3686" w:type="dxa"/>
            <w:gridSpan w:val="2"/>
            <w:tcBorders>
              <w:top w:val="nil"/>
              <w:bottom w:val="nil"/>
            </w:tcBorders>
          </w:tcPr>
          <w:p w14:paraId="13D9AC2A" w14:textId="77777777" w:rsidR="003224BF" w:rsidRPr="00CB09BE" w:rsidRDefault="003224BF" w:rsidP="00FB4ED8">
            <w:pPr>
              <w:rPr>
                <w:vertAlign w:val="superscript"/>
              </w:rPr>
            </w:pPr>
            <w:r>
              <w:t>Use of behavioural support</w:t>
            </w:r>
            <w:r>
              <w:rPr>
                <w:vertAlign w:val="superscript"/>
              </w:rPr>
              <w:t>3b</w:t>
            </w:r>
          </w:p>
        </w:tc>
        <w:tc>
          <w:tcPr>
            <w:tcW w:w="1417" w:type="dxa"/>
            <w:tcBorders>
              <w:top w:val="nil"/>
              <w:bottom w:val="nil"/>
            </w:tcBorders>
            <w:vAlign w:val="center"/>
          </w:tcPr>
          <w:p w14:paraId="20AE9376" w14:textId="77777777" w:rsidR="003224BF" w:rsidRDefault="003224BF" w:rsidP="00FB4ED8">
            <w:pPr>
              <w:jc w:val="center"/>
            </w:pPr>
          </w:p>
        </w:tc>
        <w:tc>
          <w:tcPr>
            <w:tcW w:w="1275" w:type="dxa"/>
            <w:tcBorders>
              <w:top w:val="nil"/>
              <w:bottom w:val="nil"/>
            </w:tcBorders>
            <w:vAlign w:val="center"/>
          </w:tcPr>
          <w:p w14:paraId="645BE54A" w14:textId="77777777" w:rsidR="003224BF" w:rsidRDefault="003224BF" w:rsidP="00FB4ED8">
            <w:pPr>
              <w:jc w:val="center"/>
            </w:pPr>
          </w:p>
        </w:tc>
        <w:tc>
          <w:tcPr>
            <w:tcW w:w="1134" w:type="dxa"/>
            <w:tcBorders>
              <w:top w:val="nil"/>
              <w:bottom w:val="nil"/>
            </w:tcBorders>
            <w:vAlign w:val="center"/>
          </w:tcPr>
          <w:p w14:paraId="34783667" w14:textId="77777777" w:rsidR="003224BF" w:rsidRDefault="003224BF" w:rsidP="00FB4ED8">
            <w:pPr>
              <w:jc w:val="center"/>
            </w:pPr>
          </w:p>
        </w:tc>
      </w:tr>
      <w:tr w:rsidR="003224BF" w14:paraId="191DA59C" w14:textId="77777777" w:rsidTr="00FB4ED8">
        <w:tc>
          <w:tcPr>
            <w:tcW w:w="284" w:type="dxa"/>
            <w:tcBorders>
              <w:top w:val="nil"/>
              <w:bottom w:val="nil"/>
            </w:tcBorders>
          </w:tcPr>
          <w:p w14:paraId="62FDC5F3" w14:textId="77777777" w:rsidR="003224BF" w:rsidRDefault="003224BF" w:rsidP="00FB4ED8"/>
        </w:tc>
        <w:tc>
          <w:tcPr>
            <w:tcW w:w="3402" w:type="dxa"/>
            <w:tcBorders>
              <w:top w:val="nil"/>
              <w:bottom w:val="nil"/>
            </w:tcBorders>
          </w:tcPr>
          <w:p w14:paraId="3C9FE42E" w14:textId="77777777" w:rsidR="003224BF" w:rsidRDefault="003224BF" w:rsidP="00FB4ED8">
            <w:r>
              <w:t>2-month pulse</w:t>
            </w:r>
          </w:p>
        </w:tc>
        <w:tc>
          <w:tcPr>
            <w:tcW w:w="1417" w:type="dxa"/>
            <w:tcBorders>
              <w:top w:val="nil"/>
              <w:bottom w:val="nil"/>
            </w:tcBorders>
            <w:vAlign w:val="center"/>
          </w:tcPr>
          <w:p w14:paraId="5D018E94" w14:textId="77777777" w:rsidR="003224BF" w:rsidRDefault="003224BF" w:rsidP="00FB4ED8">
            <w:pPr>
              <w:jc w:val="center"/>
            </w:pPr>
            <w:r>
              <w:t>2.081</w:t>
            </w:r>
          </w:p>
        </w:tc>
        <w:tc>
          <w:tcPr>
            <w:tcW w:w="1275" w:type="dxa"/>
            <w:tcBorders>
              <w:top w:val="nil"/>
              <w:bottom w:val="nil"/>
            </w:tcBorders>
            <w:vAlign w:val="center"/>
          </w:tcPr>
          <w:p w14:paraId="1FC7A3C0" w14:textId="77777777" w:rsidR="003224BF" w:rsidRDefault="003224BF" w:rsidP="00FB4ED8">
            <w:pPr>
              <w:jc w:val="center"/>
            </w:pPr>
            <w:r>
              <w:t>1.317</w:t>
            </w:r>
          </w:p>
        </w:tc>
        <w:tc>
          <w:tcPr>
            <w:tcW w:w="1134" w:type="dxa"/>
            <w:tcBorders>
              <w:top w:val="nil"/>
              <w:bottom w:val="nil"/>
            </w:tcBorders>
            <w:vAlign w:val="center"/>
          </w:tcPr>
          <w:p w14:paraId="48E1CA60" w14:textId="77777777" w:rsidR="003224BF" w:rsidRDefault="003224BF" w:rsidP="00FB4ED8">
            <w:pPr>
              <w:jc w:val="center"/>
            </w:pPr>
            <w:r>
              <w:t>3.288</w:t>
            </w:r>
          </w:p>
        </w:tc>
      </w:tr>
      <w:tr w:rsidR="003224BF" w14:paraId="35344654" w14:textId="77777777" w:rsidTr="00FB4ED8">
        <w:tc>
          <w:tcPr>
            <w:tcW w:w="284" w:type="dxa"/>
            <w:tcBorders>
              <w:top w:val="nil"/>
              <w:bottom w:val="nil"/>
            </w:tcBorders>
          </w:tcPr>
          <w:p w14:paraId="21671842" w14:textId="77777777" w:rsidR="003224BF" w:rsidRDefault="003224BF" w:rsidP="00FB4ED8"/>
        </w:tc>
        <w:tc>
          <w:tcPr>
            <w:tcW w:w="3402" w:type="dxa"/>
            <w:tcBorders>
              <w:top w:val="nil"/>
              <w:bottom w:val="nil"/>
            </w:tcBorders>
          </w:tcPr>
          <w:p w14:paraId="0B1A5381" w14:textId="77777777" w:rsidR="003224BF" w:rsidRDefault="003224BF" w:rsidP="00FB4ED8">
            <w:r>
              <w:t>3-month pulse</w:t>
            </w:r>
          </w:p>
        </w:tc>
        <w:tc>
          <w:tcPr>
            <w:tcW w:w="1417" w:type="dxa"/>
            <w:tcBorders>
              <w:top w:val="nil"/>
              <w:bottom w:val="nil"/>
            </w:tcBorders>
            <w:vAlign w:val="center"/>
          </w:tcPr>
          <w:p w14:paraId="0C021FD5" w14:textId="77777777" w:rsidR="003224BF" w:rsidRDefault="003224BF" w:rsidP="00FB4ED8">
            <w:pPr>
              <w:jc w:val="center"/>
            </w:pPr>
            <w:r>
              <w:t>1.866</w:t>
            </w:r>
          </w:p>
        </w:tc>
        <w:tc>
          <w:tcPr>
            <w:tcW w:w="1275" w:type="dxa"/>
            <w:tcBorders>
              <w:top w:val="nil"/>
              <w:bottom w:val="nil"/>
            </w:tcBorders>
            <w:vAlign w:val="center"/>
          </w:tcPr>
          <w:p w14:paraId="488BE90C" w14:textId="77777777" w:rsidR="003224BF" w:rsidRDefault="003224BF" w:rsidP="00FB4ED8">
            <w:pPr>
              <w:jc w:val="center"/>
            </w:pPr>
            <w:r>
              <w:t>1.296</w:t>
            </w:r>
          </w:p>
        </w:tc>
        <w:tc>
          <w:tcPr>
            <w:tcW w:w="1134" w:type="dxa"/>
            <w:tcBorders>
              <w:top w:val="nil"/>
              <w:bottom w:val="nil"/>
            </w:tcBorders>
            <w:vAlign w:val="center"/>
          </w:tcPr>
          <w:p w14:paraId="3A7853D1" w14:textId="77777777" w:rsidR="003224BF" w:rsidRDefault="003224BF" w:rsidP="00FB4ED8">
            <w:pPr>
              <w:jc w:val="center"/>
            </w:pPr>
            <w:r>
              <w:t>2.685</w:t>
            </w:r>
          </w:p>
        </w:tc>
      </w:tr>
      <w:tr w:rsidR="003224BF" w:rsidRPr="00AC574D" w14:paraId="418DC3BF" w14:textId="77777777" w:rsidTr="00FB4ED8">
        <w:tc>
          <w:tcPr>
            <w:tcW w:w="284" w:type="dxa"/>
            <w:tcBorders>
              <w:top w:val="nil"/>
              <w:bottom w:val="nil"/>
            </w:tcBorders>
          </w:tcPr>
          <w:p w14:paraId="317AD058" w14:textId="77777777" w:rsidR="003224BF" w:rsidRPr="00AC574D" w:rsidRDefault="003224BF" w:rsidP="00FB4ED8">
            <w:pPr>
              <w:rPr>
                <w:sz w:val="12"/>
                <w:szCs w:val="12"/>
              </w:rPr>
            </w:pPr>
          </w:p>
        </w:tc>
        <w:tc>
          <w:tcPr>
            <w:tcW w:w="3402" w:type="dxa"/>
            <w:tcBorders>
              <w:top w:val="nil"/>
              <w:bottom w:val="nil"/>
            </w:tcBorders>
          </w:tcPr>
          <w:p w14:paraId="4F9792EA" w14:textId="77777777" w:rsidR="003224BF" w:rsidRPr="00AC574D" w:rsidRDefault="003224BF" w:rsidP="00FB4ED8">
            <w:pPr>
              <w:rPr>
                <w:sz w:val="12"/>
                <w:szCs w:val="12"/>
              </w:rPr>
            </w:pPr>
          </w:p>
        </w:tc>
        <w:tc>
          <w:tcPr>
            <w:tcW w:w="1417" w:type="dxa"/>
            <w:tcBorders>
              <w:top w:val="nil"/>
              <w:bottom w:val="nil"/>
            </w:tcBorders>
            <w:vAlign w:val="center"/>
          </w:tcPr>
          <w:p w14:paraId="04EBF7C6" w14:textId="77777777" w:rsidR="003224BF" w:rsidRPr="00AC574D" w:rsidRDefault="003224BF" w:rsidP="00FB4ED8">
            <w:pPr>
              <w:jc w:val="center"/>
              <w:rPr>
                <w:sz w:val="12"/>
                <w:szCs w:val="12"/>
              </w:rPr>
            </w:pPr>
          </w:p>
        </w:tc>
        <w:tc>
          <w:tcPr>
            <w:tcW w:w="1275" w:type="dxa"/>
            <w:tcBorders>
              <w:top w:val="nil"/>
              <w:bottom w:val="nil"/>
            </w:tcBorders>
            <w:vAlign w:val="center"/>
          </w:tcPr>
          <w:p w14:paraId="6B8D1575" w14:textId="77777777" w:rsidR="003224BF" w:rsidRPr="00AC574D" w:rsidRDefault="003224BF" w:rsidP="00FB4ED8">
            <w:pPr>
              <w:jc w:val="center"/>
              <w:rPr>
                <w:sz w:val="12"/>
                <w:szCs w:val="12"/>
              </w:rPr>
            </w:pPr>
          </w:p>
        </w:tc>
        <w:tc>
          <w:tcPr>
            <w:tcW w:w="1134" w:type="dxa"/>
            <w:tcBorders>
              <w:top w:val="nil"/>
              <w:bottom w:val="nil"/>
            </w:tcBorders>
            <w:vAlign w:val="center"/>
          </w:tcPr>
          <w:p w14:paraId="1E7D21FE" w14:textId="77777777" w:rsidR="003224BF" w:rsidRPr="00AC574D" w:rsidRDefault="003224BF" w:rsidP="00FB4ED8">
            <w:pPr>
              <w:jc w:val="center"/>
              <w:rPr>
                <w:sz w:val="12"/>
                <w:szCs w:val="12"/>
              </w:rPr>
            </w:pPr>
          </w:p>
        </w:tc>
      </w:tr>
      <w:tr w:rsidR="003224BF" w14:paraId="27E544E8" w14:textId="77777777" w:rsidTr="00FB4ED8">
        <w:tc>
          <w:tcPr>
            <w:tcW w:w="3686" w:type="dxa"/>
            <w:gridSpan w:val="2"/>
            <w:tcBorders>
              <w:top w:val="nil"/>
              <w:bottom w:val="nil"/>
            </w:tcBorders>
          </w:tcPr>
          <w:p w14:paraId="769B523F" w14:textId="77777777" w:rsidR="003224BF" w:rsidRPr="00CB09BE" w:rsidRDefault="003224BF" w:rsidP="00FB4ED8">
            <w:pPr>
              <w:rPr>
                <w:vertAlign w:val="superscript"/>
              </w:rPr>
            </w:pPr>
            <w:r>
              <w:t>Use of e-cigarettes</w:t>
            </w:r>
            <w:r>
              <w:rPr>
                <w:vertAlign w:val="superscript"/>
              </w:rPr>
              <w:t>3b</w:t>
            </w:r>
          </w:p>
        </w:tc>
        <w:tc>
          <w:tcPr>
            <w:tcW w:w="1417" w:type="dxa"/>
            <w:tcBorders>
              <w:top w:val="nil"/>
              <w:bottom w:val="nil"/>
            </w:tcBorders>
            <w:vAlign w:val="center"/>
          </w:tcPr>
          <w:p w14:paraId="3FAF2F40" w14:textId="77777777" w:rsidR="003224BF" w:rsidRDefault="003224BF" w:rsidP="00FB4ED8">
            <w:pPr>
              <w:jc w:val="center"/>
            </w:pPr>
          </w:p>
        </w:tc>
        <w:tc>
          <w:tcPr>
            <w:tcW w:w="1275" w:type="dxa"/>
            <w:tcBorders>
              <w:top w:val="nil"/>
              <w:bottom w:val="nil"/>
            </w:tcBorders>
            <w:vAlign w:val="center"/>
          </w:tcPr>
          <w:p w14:paraId="3EB48789" w14:textId="77777777" w:rsidR="003224BF" w:rsidRDefault="003224BF" w:rsidP="00FB4ED8">
            <w:pPr>
              <w:jc w:val="center"/>
            </w:pPr>
          </w:p>
        </w:tc>
        <w:tc>
          <w:tcPr>
            <w:tcW w:w="1134" w:type="dxa"/>
            <w:tcBorders>
              <w:top w:val="nil"/>
              <w:bottom w:val="nil"/>
            </w:tcBorders>
            <w:vAlign w:val="center"/>
          </w:tcPr>
          <w:p w14:paraId="2EC07214" w14:textId="77777777" w:rsidR="003224BF" w:rsidRDefault="003224BF" w:rsidP="00FB4ED8">
            <w:pPr>
              <w:jc w:val="center"/>
            </w:pPr>
          </w:p>
        </w:tc>
      </w:tr>
      <w:tr w:rsidR="003224BF" w14:paraId="42B58997" w14:textId="77777777" w:rsidTr="00FB4ED8">
        <w:tc>
          <w:tcPr>
            <w:tcW w:w="284" w:type="dxa"/>
            <w:tcBorders>
              <w:top w:val="nil"/>
              <w:bottom w:val="nil"/>
            </w:tcBorders>
          </w:tcPr>
          <w:p w14:paraId="21913161" w14:textId="77777777" w:rsidR="003224BF" w:rsidRDefault="003224BF" w:rsidP="00FB4ED8"/>
        </w:tc>
        <w:tc>
          <w:tcPr>
            <w:tcW w:w="3402" w:type="dxa"/>
            <w:tcBorders>
              <w:top w:val="nil"/>
              <w:bottom w:val="nil"/>
            </w:tcBorders>
          </w:tcPr>
          <w:p w14:paraId="5A201973" w14:textId="77777777" w:rsidR="003224BF" w:rsidRDefault="003224BF" w:rsidP="00FB4ED8">
            <w:r>
              <w:t>2-month pulse</w:t>
            </w:r>
          </w:p>
        </w:tc>
        <w:tc>
          <w:tcPr>
            <w:tcW w:w="1417" w:type="dxa"/>
            <w:tcBorders>
              <w:top w:val="nil"/>
              <w:bottom w:val="nil"/>
            </w:tcBorders>
            <w:vAlign w:val="center"/>
          </w:tcPr>
          <w:p w14:paraId="1C7D27FF" w14:textId="77777777" w:rsidR="003224BF" w:rsidRDefault="003224BF" w:rsidP="00FB4ED8">
            <w:pPr>
              <w:jc w:val="center"/>
            </w:pPr>
            <w:r>
              <w:t>0.743</w:t>
            </w:r>
          </w:p>
        </w:tc>
        <w:tc>
          <w:tcPr>
            <w:tcW w:w="1275" w:type="dxa"/>
            <w:tcBorders>
              <w:top w:val="nil"/>
              <w:bottom w:val="nil"/>
            </w:tcBorders>
            <w:vAlign w:val="center"/>
          </w:tcPr>
          <w:p w14:paraId="0874259A" w14:textId="77777777" w:rsidR="003224BF" w:rsidRDefault="003224BF" w:rsidP="00FB4ED8">
            <w:pPr>
              <w:jc w:val="center"/>
            </w:pPr>
            <w:r>
              <w:t>0.584</w:t>
            </w:r>
          </w:p>
        </w:tc>
        <w:tc>
          <w:tcPr>
            <w:tcW w:w="1134" w:type="dxa"/>
            <w:tcBorders>
              <w:top w:val="nil"/>
              <w:bottom w:val="nil"/>
            </w:tcBorders>
            <w:vAlign w:val="center"/>
          </w:tcPr>
          <w:p w14:paraId="6AD32EC1" w14:textId="77777777" w:rsidR="003224BF" w:rsidRDefault="003224BF" w:rsidP="00FB4ED8">
            <w:pPr>
              <w:jc w:val="center"/>
            </w:pPr>
            <w:r>
              <w:t>0.944</w:t>
            </w:r>
          </w:p>
        </w:tc>
      </w:tr>
      <w:tr w:rsidR="003224BF" w14:paraId="432D4217" w14:textId="77777777" w:rsidTr="00FB4ED8">
        <w:tc>
          <w:tcPr>
            <w:tcW w:w="284" w:type="dxa"/>
            <w:tcBorders>
              <w:top w:val="nil"/>
              <w:bottom w:val="single" w:sz="4" w:space="0" w:color="auto"/>
            </w:tcBorders>
          </w:tcPr>
          <w:p w14:paraId="496C39DA" w14:textId="77777777" w:rsidR="003224BF" w:rsidRDefault="003224BF" w:rsidP="00FB4ED8"/>
        </w:tc>
        <w:tc>
          <w:tcPr>
            <w:tcW w:w="3402" w:type="dxa"/>
            <w:tcBorders>
              <w:top w:val="nil"/>
              <w:bottom w:val="single" w:sz="4" w:space="0" w:color="auto"/>
            </w:tcBorders>
          </w:tcPr>
          <w:p w14:paraId="57F42B6C" w14:textId="77777777" w:rsidR="003224BF" w:rsidRDefault="003224BF" w:rsidP="00FB4ED8">
            <w:r>
              <w:t>3-month pulse</w:t>
            </w:r>
          </w:p>
        </w:tc>
        <w:tc>
          <w:tcPr>
            <w:tcW w:w="1417" w:type="dxa"/>
            <w:tcBorders>
              <w:top w:val="nil"/>
              <w:bottom w:val="single" w:sz="4" w:space="0" w:color="auto"/>
            </w:tcBorders>
            <w:vAlign w:val="center"/>
          </w:tcPr>
          <w:p w14:paraId="4D32B629" w14:textId="77777777" w:rsidR="003224BF" w:rsidRDefault="003224BF" w:rsidP="00FB4ED8">
            <w:pPr>
              <w:jc w:val="center"/>
            </w:pPr>
            <w:r>
              <w:t>0.706</w:t>
            </w:r>
          </w:p>
        </w:tc>
        <w:tc>
          <w:tcPr>
            <w:tcW w:w="1275" w:type="dxa"/>
            <w:tcBorders>
              <w:top w:val="nil"/>
              <w:bottom w:val="single" w:sz="4" w:space="0" w:color="auto"/>
            </w:tcBorders>
            <w:vAlign w:val="center"/>
          </w:tcPr>
          <w:p w14:paraId="2D831A43" w14:textId="77777777" w:rsidR="003224BF" w:rsidRDefault="003224BF" w:rsidP="00FB4ED8">
            <w:pPr>
              <w:jc w:val="center"/>
            </w:pPr>
            <w:r>
              <w:t>0.575</w:t>
            </w:r>
          </w:p>
        </w:tc>
        <w:tc>
          <w:tcPr>
            <w:tcW w:w="1134" w:type="dxa"/>
            <w:tcBorders>
              <w:top w:val="nil"/>
              <w:bottom w:val="single" w:sz="4" w:space="0" w:color="auto"/>
            </w:tcBorders>
            <w:vAlign w:val="center"/>
          </w:tcPr>
          <w:p w14:paraId="19934E3D" w14:textId="77777777" w:rsidR="003224BF" w:rsidRDefault="003224BF" w:rsidP="00FB4ED8">
            <w:pPr>
              <w:jc w:val="center"/>
            </w:pPr>
            <w:r>
              <w:t>0.867</w:t>
            </w:r>
          </w:p>
        </w:tc>
      </w:tr>
    </w:tbl>
    <w:p w14:paraId="3A4D5495" w14:textId="77777777" w:rsidR="003224BF" w:rsidRDefault="003224BF" w:rsidP="003224BF">
      <w:pPr>
        <w:spacing w:after="0" w:line="240" w:lineRule="auto"/>
      </w:pPr>
      <w:r>
        <w:rPr>
          <w:vertAlign w:val="superscript"/>
        </w:rPr>
        <w:t>1</w:t>
      </w:r>
      <w:r>
        <w:t xml:space="preserve"> Among all adults.  </w:t>
      </w:r>
      <w:r>
        <w:rPr>
          <w:vertAlign w:val="superscript"/>
        </w:rPr>
        <w:t>2</w:t>
      </w:r>
      <w:r>
        <w:t xml:space="preserve"> Among past-year smokers.  </w:t>
      </w:r>
      <w:r>
        <w:rPr>
          <w:vertAlign w:val="superscript"/>
        </w:rPr>
        <w:t>3</w:t>
      </w:r>
      <w:r>
        <w:t xml:space="preserve"> Among past-year smokers who made </w:t>
      </w:r>
      <w:r>
        <w:rPr>
          <w:rFonts w:cs="Calibri"/>
        </w:rPr>
        <w:t>≥</w:t>
      </w:r>
      <w:r>
        <w:t xml:space="preserve">1 quit attempt in the past 12 months.  </w:t>
      </w:r>
      <w:r>
        <w:rPr>
          <w:vertAlign w:val="superscript"/>
        </w:rPr>
        <w:t>4</w:t>
      </w:r>
      <w:r>
        <w:t xml:space="preserve"> Among 18-24 year-olds (indexed by current smoking prevalence).  </w:t>
      </w:r>
      <w:r w:rsidRPr="00CB09BE">
        <w:rPr>
          <w:vertAlign w:val="superscript"/>
        </w:rPr>
        <w:t>5</w:t>
      </w:r>
      <w:r>
        <w:t xml:space="preserve"> Among past-year smokers who made </w:t>
      </w:r>
      <w:r>
        <w:rPr>
          <w:rFonts w:cs="Calibri"/>
        </w:rPr>
        <w:t>≥</w:t>
      </w:r>
      <w:r>
        <w:t xml:space="preserve">1 quit attempt 6-12 months before completing the survey.  </w:t>
      </w:r>
      <w:r>
        <w:rPr>
          <w:vertAlign w:val="superscript"/>
        </w:rPr>
        <w:t>6</w:t>
      </w:r>
      <w:r>
        <w:t xml:space="preserve"> Among 45-65 year-olds (indexed by current smoking prevalence).</w:t>
      </w:r>
    </w:p>
    <w:p w14:paraId="43B2A501" w14:textId="77777777" w:rsidR="003224BF" w:rsidRDefault="003224BF" w:rsidP="003224BF">
      <w:pPr>
        <w:spacing w:after="0" w:line="240" w:lineRule="auto"/>
      </w:pPr>
      <w:r>
        <w:rPr>
          <w:vertAlign w:val="superscript"/>
        </w:rPr>
        <w:t xml:space="preserve">a </w:t>
      </w:r>
      <w:r>
        <w:t xml:space="preserve">Adjusted for underlying trend, seasonality, age, gender, social grade, and region.  </w:t>
      </w:r>
      <w:r>
        <w:rPr>
          <w:vertAlign w:val="superscript"/>
        </w:rPr>
        <w:t>b</w:t>
      </w:r>
      <w:r>
        <w:t xml:space="preserve"> Adjusted for underlying trend, seasonality, age, gender, social grade, region, cigarette dependence, and national expenditure on tobacco control mass media campaigns.</w:t>
      </w:r>
    </w:p>
    <w:p w14:paraId="42C9937B" w14:textId="4C817FA7" w:rsidR="005F4FC5" w:rsidRPr="005F4FC5" w:rsidRDefault="003224BF" w:rsidP="005F4FC5">
      <w:pPr>
        <w:spacing w:after="0" w:line="240" w:lineRule="auto"/>
        <w:rPr>
          <w:rFonts w:cstheme="minorHAnsi"/>
          <w:color w:val="000000"/>
        </w:rPr>
        <w:sectPr w:rsidR="005F4FC5" w:rsidRPr="005F4FC5" w:rsidSect="00DC013D">
          <w:pgSz w:w="12240" w:h="15840" w:code="1"/>
          <w:pgMar w:top="142" w:right="1440" w:bottom="1440" w:left="1440" w:header="720" w:footer="720" w:gutter="0"/>
          <w:cols w:space="720"/>
          <w:noEndnote/>
          <w:docGrid w:linePitch="299"/>
        </w:sectPr>
      </w:pPr>
      <w:r>
        <w:t>* Number of quit attempts was analysed as a continuous variable and was log-transformed for analysis.</w:t>
      </w:r>
      <w:r w:rsidRPr="00CA522E">
        <w:rPr>
          <w:rFonts w:cstheme="minorHAnsi"/>
          <w:color w:val="000000"/>
        </w:rPr>
        <w:t xml:space="preserve"> </w:t>
      </w:r>
      <w:r>
        <w:rPr>
          <w:rFonts w:cstheme="minorHAnsi"/>
          <w:color w:val="000000"/>
        </w:rPr>
        <w:t>Results are reported as exponentiated coefficients.</w:t>
      </w:r>
    </w:p>
    <w:p w14:paraId="4BE433F4" w14:textId="5C3C9FC2" w:rsidR="00CA49AB" w:rsidRPr="00CB09BE" w:rsidRDefault="00CA49AB" w:rsidP="00CA49AB">
      <w:pPr>
        <w:spacing w:after="0" w:line="276" w:lineRule="auto"/>
      </w:pPr>
      <w:r>
        <w:rPr>
          <w:b/>
        </w:rPr>
        <w:lastRenderedPageBreak/>
        <w:t xml:space="preserve">Supplementary Table </w:t>
      </w:r>
      <w:r w:rsidR="00254383">
        <w:rPr>
          <w:b/>
        </w:rPr>
        <w:t>3</w:t>
      </w:r>
      <w:r>
        <w:t>. Sensitivity analysis: excluding cigarette dependence as a covariate</w:t>
      </w:r>
    </w:p>
    <w:tbl>
      <w:tblPr>
        <w:tblStyle w:val="TableGrid"/>
        <w:tblW w:w="7512" w:type="dxa"/>
        <w:tblBorders>
          <w:left w:val="none" w:sz="0" w:space="0" w:color="auto"/>
          <w:right w:val="none" w:sz="0" w:space="0" w:color="auto"/>
          <w:insideV w:val="none" w:sz="0" w:space="0" w:color="auto"/>
        </w:tblBorders>
        <w:tblLook w:val="04A0" w:firstRow="1" w:lastRow="0" w:firstColumn="1" w:lastColumn="0" w:noHBand="0" w:noVBand="1"/>
      </w:tblPr>
      <w:tblGrid>
        <w:gridCol w:w="284"/>
        <w:gridCol w:w="3402"/>
        <w:gridCol w:w="1417"/>
        <w:gridCol w:w="1275"/>
        <w:gridCol w:w="1134"/>
      </w:tblGrid>
      <w:tr w:rsidR="00CA49AB" w:rsidRPr="00CB09BE" w14:paraId="4757F471" w14:textId="77777777" w:rsidTr="00FB4ED8">
        <w:tc>
          <w:tcPr>
            <w:tcW w:w="3686" w:type="dxa"/>
            <w:gridSpan w:val="2"/>
            <w:tcBorders>
              <w:bottom w:val="nil"/>
            </w:tcBorders>
            <w:vAlign w:val="bottom"/>
          </w:tcPr>
          <w:p w14:paraId="0CAA00C5" w14:textId="77777777" w:rsidR="00CA49AB" w:rsidRPr="00CB09BE" w:rsidRDefault="00CA49AB" w:rsidP="00FB4ED8">
            <w:pPr>
              <w:jc w:val="center"/>
              <w:rPr>
                <w:b/>
              </w:rPr>
            </w:pPr>
          </w:p>
        </w:tc>
        <w:tc>
          <w:tcPr>
            <w:tcW w:w="1417" w:type="dxa"/>
            <w:vMerge w:val="restart"/>
            <w:vAlign w:val="bottom"/>
          </w:tcPr>
          <w:p w14:paraId="70EC32F8" w14:textId="77777777" w:rsidR="00CA49AB" w:rsidRPr="00CA522E" w:rsidRDefault="00CA49AB" w:rsidP="00FB4ED8">
            <w:pPr>
              <w:jc w:val="center"/>
              <w:rPr>
                <w:b/>
                <w:i/>
              </w:rPr>
            </w:pPr>
            <w:r w:rsidRPr="00CB09BE">
              <w:rPr>
                <w:b/>
              </w:rPr>
              <w:t>RR</w:t>
            </w:r>
          </w:p>
        </w:tc>
        <w:tc>
          <w:tcPr>
            <w:tcW w:w="2409" w:type="dxa"/>
            <w:gridSpan w:val="2"/>
            <w:vAlign w:val="bottom"/>
          </w:tcPr>
          <w:p w14:paraId="306C5725" w14:textId="77777777" w:rsidR="00CA49AB" w:rsidRPr="00CB09BE" w:rsidRDefault="00CA49AB" w:rsidP="00FB4ED8">
            <w:pPr>
              <w:jc w:val="center"/>
              <w:rPr>
                <w:b/>
              </w:rPr>
            </w:pPr>
            <w:r w:rsidRPr="00CB09BE">
              <w:rPr>
                <w:b/>
              </w:rPr>
              <w:t>95% CI</w:t>
            </w:r>
          </w:p>
        </w:tc>
      </w:tr>
      <w:tr w:rsidR="00CA49AB" w:rsidRPr="00CB09BE" w14:paraId="53DBCC71" w14:textId="77777777" w:rsidTr="00FB4ED8">
        <w:tc>
          <w:tcPr>
            <w:tcW w:w="3686" w:type="dxa"/>
            <w:gridSpan w:val="2"/>
            <w:tcBorders>
              <w:top w:val="nil"/>
              <w:bottom w:val="single" w:sz="4" w:space="0" w:color="auto"/>
            </w:tcBorders>
            <w:vAlign w:val="bottom"/>
          </w:tcPr>
          <w:p w14:paraId="14497044" w14:textId="77777777" w:rsidR="00CA49AB" w:rsidRPr="00CB09BE" w:rsidRDefault="00CA49AB" w:rsidP="00FB4ED8">
            <w:pPr>
              <w:jc w:val="center"/>
              <w:rPr>
                <w:b/>
              </w:rPr>
            </w:pPr>
          </w:p>
        </w:tc>
        <w:tc>
          <w:tcPr>
            <w:tcW w:w="1417" w:type="dxa"/>
            <w:vMerge/>
            <w:tcBorders>
              <w:bottom w:val="single" w:sz="4" w:space="0" w:color="auto"/>
            </w:tcBorders>
            <w:vAlign w:val="bottom"/>
          </w:tcPr>
          <w:p w14:paraId="606492AE" w14:textId="77777777" w:rsidR="00CA49AB" w:rsidRPr="00CB09BE" w:rsidRDefault="00CA49AB" w:rsidP="00FB4ED8">
            <w:pPr>
              <w:jc w:val="center"/>
              <w:rPr>
                <w:b/>
              </w:rPr>
            </w:pPr>
          </w:p>
        </w:tc>
        <w:tc>
          <w:tcPr>
            <w:tcW w:w="1275" w:type="dxa"/>
            <w:tcBorders>
              <w:bottom w:val="single" w:sz="4" w:space="0" w:color="auto"/>
            </w:tcBorders>
            <w:vAlign w:val="bottom"/>
          </w:tcPr>
          <w:p w14:paraId="0D5BFCF9" w14:textId="77777777" w:rsidR="00CA49AB" w:rsidRPr="00CB09BE" w:rsidRDefault="00CA49AB" w:rsidP="00FB4ED8">
            <w:pPr>
              <w:jc w:val="center"/>
              <w:rPr>
                <w:b/>
              </w:rPr>
            </w:pPr>
            <w:r w:rsidRPr="00CB09BE">
              <w:rPr>
                <w:b/>
              </w:rPr>
              <w:t>Lower</w:t>
            </w:r>
          </w:p>
        </w:tc>
        <w:tc>
          <w:tcPr>
            <w:tcW w:w="1134" w:type="dxa"/>
            <w:tcBorders>
              <w:bottom w:val="single" w:sz="4" w:space="0" w:color="auto"/>
            </w:tcBorders>
            <w:vAlign w:val="bottom"/>
          </w:tcPr>
          <w:p w14:paraId="1D04952E" w14:textId="77777777" w:rsidR="00CA49AB" w:rsidRPr="00CB09BE" w:rsidRDefault="00CA49AB" w:rsidP="00FB4ED8">
            <w:pPr>
              <w:jc w:val="center"/>
              <w:rPr>
                <w:b/>
              </w:rPr>
            </w:pPr>
            <w:r w:rsidRPr="00CB09BE">
              <w:rPr>
                <w:b/>
              </w:rPr>
              <w:t>Upper</w:t>
            </w:r>
          </w:p>
        </w:tc>
      </w:tr>
      <w:tr w:rsidR="00CA49AB" w:rsidRPr="003548CF" w14:paraId="190ED166" w14:textId="77777777" w:rsidTr="00FB4ED8">
        <w:tc>
          <w:tcPr>
            <w:tcW w:w="3686" w:type="dxa"/>
            <w:gridSpan w:val="2"/>
            <w:tcBorders>
              <w:top w:val="nil"/>
              <w:bottom w:val="nil"/>
            </w:tcBorders>
          </w:tcPr>
          <w:p w14:paraId="323EF6E0" w14:textId="77777777" w:rsidR="00CA49AB" w:rsidRPr="00CB09BE" w:rsidRDefault="00CA49AB" w:rsidP="00FB4ED8">
            <w:pPr>
              <w:rPr>
                <w:vertAlign w:val="superscript"/>
              </w:rPr>
            </w:pPr>
            <w:r>
              <w:t>Cessation</w:t>
            </w:r>
            <w:r>
              <w:rPr>
                <w:vertAlign w:val="superscript"/>
              </w:rPr>
              <w:t>1a</w:t>
            </w:r>
          </w:p>
        </w:tc>
        <w:tc>
          <w:tcPr>
            <w:tcW w:w="1417" w:type="dxa"/>
            <w:tcBorders>
              <w:top w:val="nil"/>
              <w:bottom w:val="nil"/>
            </w:tcBorders>
            <w:vAlign w:val="center"/>
          </w:tcPr>
          <w:p w14:paraId="3491B176" w14:textId="77777777" w:rsidR="00CA49AB" w:rsidRPr="003548CF" w:rsidRDefault="00CA49AB" w:rsidP="00FB4ED8">
            <w:pPr>
              <w:jc w:val="center"/>
            </w:pPr>
          </w:p>
        </w:tc>
        <w:tc>
          <w:tcPr>
            <w:tcW w:w="1275" w:type="dxa"/>
            <w:tcBorders>
              <w:top w:val="nil"/>
              <w:bottom w:val="nil"/>
            </w:tcBorders>
            <w:vAlign w:val="center"/>
          </w:tcPr>
          <w:p w14:paraId="5451DDA6" w14:textId="77777777" w:rsidR="00CA49AB" w:rsidRPr="003548CF" w:rsidRDefault="00CA49AB" w:rsidP="00FB4ED8">
            <w:pPr>
              <w:jc w:val="center"/>
            </w:pPr>
          </w:p>
        </w:tc>
        <w:tc>
          <w:tcPr>
            <w:tcW w:w="1134" w:type="dxa"/>
            <w:tcBorders>
              <w:top w:val="nil"/>
              <w:bottom w:val="nil"/>
            </w:tcBorders>
            <w:vAlign w:val="center"/>
          </w:tcPr>
          <w:p w14:paraId="63B104B7" w14:textId="77777777" w:rsidR="00CA49AB" w:rsidRPr="003548CF" w:rsidRDefault="00CA49AB" w:rsidP="00FB4ED8">
            <w:pPr>
              <w:jc w:val="center"/>
            </w:pPr>
          </w:p>
        </w:tc>
      </w:tr>
      <w:tr w:rsidR="00CA49AB" w:rsidRPr="003548CF" w14:paraId="4F3709D3" w14:textId="77777777" w:rsidTr="00FB4ED8">
        <w:tc>
          <w:tcPr>
            <w:tcW w:w="284" w:type="dxa"/>
            <w:tcBorders>
              <w:top w:val="nil"/>
              <w:bottom w:val="nil"/>
            </w:tcBorders>
          </w:tcPr>
          <w:p w14:paraId="688405A0" w14:textId="77777777" w:rsidR="00CA49AB" w:rsidRDefault="00CA49AB" w:rsidP="00FB4ED8"/>
        </w:tc>
        <w:tc>
          <w:tcPr>
            <w:tcW w:w="3402" w:type="dxa"/>
            <w:tcBorders>
              <w:top w:val="nil"/>
              <w:bottom w:val="nil"/>
            </w:tcBorders>
          </w:tcPr>
          <w:p w14:paraId="2BD8C795" w14:textId="77777777" w:rsidR="00CA49AB" w:rsidRDefault="00CA49AB" w:rsidP="00FB4ED8">
            <w:r>
              <w:t>Trend (year)</w:t>
            </w:r>
          </w:p>
        </w:tc>
        <w:tc>
          <w:tcPr>
            <w:tcW w:w="1417" w:type="dxa"/>
            <w:tcBorders>
              <w:top w:val="nil"/>
              <w:bottom w:val="nil"/>
            </w:tcBorders>
            <w:vAlign w:val="center"/>
          </w:tcPr>
          <w:p w14:paraId="366D6DA8" w14:textId="77777777" w:rsidR="00CA49AB" w:rsidRPr="003548CF" w:rsidRDefault="00CA49AB" w:rsidP="00FB4ED8">
            <w:pPr>
              <w:jc w:val="center"/>
            </w:pPr>
            <w:r>
              <w:t>0.828</w:t>
            </w:r>
          </w:p>
        </w:tc>
        <w:tc>
          <w:tcPr>
            <w:tcW w:w="1275" w:type="dxa"/>
            <w:tcBorders>
              <w:top w:val="nil"/>
              <w:bottom w:val="nil"/>
            </w:tcBorders>
            <w:vAlign w:val="center"/>
          </w:tcPr>
          <w:p w14:paraId="1F14874C" w14:textId="77777777" w:rsidR="00CA49AB" w:rsidRPr="003548CF" w:rsidRDefault="00CA49AB" w:rsidP="00FB4ED8">
            <w:pPr>
              <w:jc w:val="center"/>
            </w:pPr>
            <w:r>
              <w:t>0.748</w:t>
            </w:r>
          </w:p>
        </w:tc>
        <w:tc>
          <w:tcPr>
            <w:tcW w:w="1134" w:type="dxa"/>
            <w:tcBorders>
              <w:top w:val="nil"/>
              <w:bottom w:val="nil"/>
            </w:tcBorders>
            <w:vAlign w:val="center"/>
          </w:tcPr>
          <w:p w14:paraId="71972A1A" w14:textId="77777777" w:rsidR="00CA49AB" w:rsidRPr="003548CF" w:rsidRDefault="00CA49AB" w:rsidP="00FB4ED8">
            <w:pPr>
              <w:jc w:val="center"/>
            </w:pPr>
            <w:r>
              <w:t>0.918</w:t>
            </w:r>
          </w:p>
        </w:tc>
      </w:tr>
      <w:tr w:rsidR="00CA49AB" w:rsidRPr="003548CF" w14:paraId="07CE4CE5" w14:textId="77777777" w:rsidTr="00FB4ED8">
        <w:tc>
          <w:tcPr>
            <w:tcW w:w="284" w:type="dxa"/>
            <w:tcBorders>
              <w:top w:val="nil"/>
              <w:bottom w:val="nil"/>
            </w:tcBorders>
          </w:tcPr>
          <w:p w14:paraId="0D80D087" w14:textId="77777777" w:rsidR="00CA49AB" w:rsidRDefault="00CA49AB" w:rsidP="00FB4ED8"/>
        </w:tc>
        <w:tc>
          <w:tcPr>
            <w:tcW w:w="3402" w:type="dxa"/>
            <w:tcBorders>
              <w:top w:val="nil"/>
              <w:bottom w:val="nil"/>
            </w:tcBorders>
          </w:tcPr>
          <w:p w14:paraId="21CC7B99" w14:textId="77777777" w:rsidR="00CA49AB" w:rsidRDefault="00CA49AB" w:rsidP="00FB4ED8">
            <w:r>
              <w:t>Level</w:t>
            </w:r>
          </w:p>
        </w:tc>
        <w:tc>
          <w:tcPr>
            <w:tcW w:w="1417" w:type="dxa"/>
            <w:tcBorders>
              <w:top w:val="nil"/>
              <w:bottom w:val="nil"/>
            </w:tcBorders>
            <w:vAlign w:val="center"/>
          </w:tcPr>
          <w:p w14:paraId="3CAE6B08" w14:textId="77777777" w:rsidR="00CA49AB" w:rsidRPr="003548CF" w:rsidRDefault="00CA49AB" w:rsidP="00FB4ED8">
            <w:pPr>
              <w:jc w:val="center"/>
            </w:pPr>
            <w:r>
              <w:t>2.544</w:t>
            </w:r>
          </w:p>
        </w:tc>
        <w:tc>
          <w:tcPr>
            <w:tcW w:w="1275" w:type="dxa"/>
            <w:tcBorders>
              <w:top w:val="nil"/>
              <w:bottom w:val="nil"/>
            </w:tcBorders>
            <w:vAlign w:val="center"/>
          </w:tcPr>
          <w:p w14:paraId="0A4CF291" w14:textId="77777777" w:rsidR="00CA49AB" w:rsidRPr="003548CF" w:rsidRDefault="00CA49AB" w:rsidP="00FB4ED8">
            <w:pPr>
              <w:jc w:val="center"/>
            </w:pPr>
            <w:r>
              <w:t>2.048</w:t>
            </w:r>
          </w:p>
        </w:tc>
        <w:tc>
          <w:tcPr>
            <w:tcW w:w="1134" w:type="dxa"/>
            <w:tcBorders>
              <w:top w:val="nil"/>
              <w:bottom w:val="nil"/>
            </w:tcBorders>
            <w:vAlign w:val="center"/>
          </w:tcPr>
          <w:p w14:paraId="4502644A" w14:textId="77777777" w:rsidR="00CA49AB" w:rsidRPr="003548CF" w:rsidRDefault="00CA49AB" w:rsidP="00FB4ED8">
            <w:pPr>
              <w:jc w:val="center"/>
            </w:pPr>
            <w:r>
              <w:t>3.161</w:t>
            </w:r>
          </w:p>
        </w:tc>
      </w:tr>
      <w:tr w:rsidR="00CA49AB" w:rsidRPr="003548CF" w14:paraId="0EC0DF27" w14:textId="77777777" w:rsidTr="00FB4ED8">
        <w:tc>
          <w:tcPr>
            <w:tcW w:w="284" w:type="dxa"/>
            <w:tcBorders>
              <w:top w:val="nil"/>
              <w:bottom w:val="nil"/>
            </w:tcBorders>
          </w:tcPr>
          <w:p w14:paraId="106890C9" w14:textId="77777777" w:rsidR="00CA49AB" w:rsidRDefault="00CA49AB" w:rsidP="00FB4ED8"/>
        </w:tc>
        <w:tc>
          <w:tcPr>
            <w:tcW w:w="3402" w:type="dxa"/>
            <w:tcBorders>
              <w:top w:val="nil"/>
              <w:bottom w:val="nil"/>
            </w:tcBorders>
          </w:tcPr>
          <w:p w14:paraId="16872D36" w14:textId="1450BE61" w:rsidR="00CA49AB" w:rsidRDefault="00F11D38" w:rsidP="00F11D38">
            <w:r>
              <w:rPr>
                <w:rFonts w:cstheme="minorHAnsi"/>
              </w:rPr>
              <w:t>ΔTrend</w:t>
            </w:r>
            <w:r w:rsidR="00CA49AB">
              <w:t xml:space="preserve"> (year)</w:t>
            </w:r>
          </w:p>
        </w:tc>
        <w:tc>
          <w:tcPr>
            <w:tcW w:w="1417" w:type="dxa"/>
            <w:tcBorders>
              <w:top w:val="nil"/>
              <w:bottom w:val="nil"/>
            </w:tcBorders>
            <w:vAlign w:val="center"/>
          </w:tcPr>
          <w:p w14:paraId="5ADE4150" w14:textId="77777777" w:rsidR="00CA49AB" w:rsidRPr="003548CF" w:rsidRDefault="00CA49AB" w:rsidP="00FB4ED8">
            <w:pPr>
              <w:jc w:val="center"/>
            </w:pPr>
            <w:r>
              <w:t>1.246</w:t>
            </w:r>
          </w:p>
        </w:tc>
        <w:tc>
          <w:tcPr>
            <w:tcW w:w="1275" w:type="dxa"/>
            <w:tcBorders>
              <w:top w:val="nil"/>
              <w:bottom w:val="nil"/>
            </w:tcBorders>
            <w:vAlign w:val="center"/>
          </w:tcPr>
          <w:p w14:paraId="1B7C8BF5" w14:textId="77777777" w:rsidR="00CA49AB" w:rsidRPr="003548CF" w:rsidRDefault="00CA49AB" w:rsidP="00FB4ED8">
            <w:pPr>
              <w:jc w:val="center"/>
            </w:pPr>
            <w:r>
              <w:t>1.093</w:t>
            </w:r>
          </w:p>
        </w:tc>
        <w:tc>
          <w:tcPr>
            <w:tcW w:w="1134" w:type="dxa"/>
            <w:tcBorders>
              <w:top w:val="nil"/>
              <w:bottom w:val="nil"/>
            </w:tcBorders>
            <w:vAlign w:val="center"/>
          </w:tcPr>
          <w:p w14:paraId="1411ED14" w14:textId="77777777" w:rsidR="00CA49AB" w:rsidRPr="003548CF" w:rsidRDefault="00CA49AB" w:rsidP="00FB4ED8">
            <w:pPr>
              <w:jc w:val="center"/>
            </w:pPr>
            <w:r>
              <w:t>1.421</w:t>
            </w:r>
          </w:p>
        </w:tc>
      </w:tr>
      <w:tr w:rsidR="00CA49AB" w14:paraId="09EB758D" w14:textId="77777777" w:rsidTr="00FB4ED8">
        <w:tc>
          <w:tcPr>
            <w:tcW w:w="284" w:type="dxa"/>
            <w:tcBorders>
              <w:top w:val="nil"/>
              <w:bottom w:val="nil"/>
            </w:tcBorders>
          </w:tcPr>
          <w:p w14:paraId="183D8834" w14:textId="77777777" w:rsidR="00CA49AB" w:rsidRDefault="00CA49AB" w:rsidP="00FB4ED8"/>
        </w:tc>
        <w:tc>
          <w:tcPr>
            <w:tcW w:w="3402" w:type="dxa"/>
            <w:tcBorders>
              <w:top w:val="nil"/>
              <w:bottom w:val="nil"/>
            </w:tcBorders>
          </w:tcPr>
          <w:p w14:paraId="0B9EECBD" w14:textId="77777777" w:rsidR="00CA49AB" w:rsidRDefault="00CA49AB" w:rsidP="00FB4ED8"/>
        </w:tc>
        <w:tc>
          <w:tcPr>
            <w:tcW w:w="1417" w:type="dxa"/>
            <w:tcBorders>
              <w:top w:val="nil"/>
              <w:bottom w:val="nil"/>
            </w:tcBorders>
            <w:vAlign w:val="center"/>
          </w:tcPr>
          <w:p w14:paraId="6AECCAD3" w14:textId="77777777" w:rsidR="00CA49AB" w:rsidRDefault="00CA49AB" w:rsidP="00FB4ED8">
            <w:pPr>
              <w:jc w:val="center"/>
            </w:pPr>
          </w:p>
        </w:tc>
        <w:tc>
          <w:tcPr>
            <w:tcW w:w="1275" w:type="dxa"/>
            <w:tcBorders>
              <w:top w:val="nil"/>
              <w:bottom w:val="nil"/>
            </w:tcBorders>
            <w:vAlign w:val="center"/>
          </w:tcPr>
          <w:p w14:paraId="192DFB63" w14:textId="77777777" w:rsidR="00CA49AB" w:rsidRDefault="00CA49AB" w:rsidP="00FB4ED8">
            <w:pPr>
              <w:jc w:val="center"/>
            </w:pPr>
          </w:p>
        </w:tc>
        <w:tc>
          <w:tcPr>
            <w:tcW w:w="1134" w:type="dxa"/>
            <w:tcBorders>
              <w:top w:val="nil"/>
              <w:bottom w:val="nil"/>
            </w:tcBorders>
            <w:vAlign w:val="center"/>
          </w:tcPr>
          <w:p w14:paraId="1411CCD3" w14:textId="77777777" w:rsidR="00CA49AB" w:rsidRDefault="00CA49AB" w:rsidP="00FB4ED8">
            <w:pPr>
              <w:jc w:val="center"/>
            </w:pPr>
          </w:p>
        </w:tc>
      </w:tr>
      <w:tr w:rsidR="00CA49AB" w14:paraId="2C2B054B" w14:textId="77777777" w:rsidTr="00FB4ED8">
        <w:tc>
          <w:tcPr>
            <w:tcW w:w="3686" w:type="dxa"/>
            <w:gridSpan w:val="2"/>
            <w:tcBorders>
              <w:top w:val="nil"/>
              <w:bottom w:val="nil"/>
            </w:tcBorders>
          </w:tcPr>
          <w:p w14:paraId="29094CDC" w14:textId="3BBE48E7" w:rsidR="00CA49AB" w:rsidRPr="00CB09BE" w:rsidRDefault="001D625B" w:rsidP="00FB4ED8">
            <w:pPr>
              <w:rPr>
                <w:vertAlign w:val="superscript"/>
              </w:rPr>
            </w:pPr>
            <w:r>
              <w:t>Medium</w:t>
            </w:r>
            <w:r w:rsidR="00CA49AB">
              <w:t>-term abstinence</w:t>
            </w:r>
            <w:r w:rsidR="00CA49AB">
              <w:rPr>
                <w:vertAlign w:val="superscript"/>
              </w:rPr>
              <w:t>3b</w:t>
            </w:r>
          </w:p>
        </w:tc>
        <w:tc>
          <w:tcPr>
            <w:tcW w:w="1417" w:type="dxa"/>
            <w:tcBorders>
              <w:top w:val="nil"/>
              <w:bottom w:val="nil"/>
            </w:tcBorders>
            <w:vAlign w:val="center"/>
          </w:tcPr>
          <w:p w14:paraId="64D654F5" w14:textId="77777777" w:rsidR="00CA49AB" w:rsidRDefault="00CA49AB" w:rsidP="00FB4ED8">
            <w:pPr>
              <w:jc w:val="center"/>
            </w:pPr>
          </w:p>
        </w:tc>
        <w:tc>
          <w:tcPr>
            <w:tcW w:w="1275" w:type="dxa"/>
            <w:tcBorders>
              <w:top w:val="nil"/>
              <w:bottom w:val="nil"/>
            </w:tcBorders>
            <w:vAlign w:val="center"/>
          </w:tcPr>
          <w:p w14:paraId="0D862E52" w14:textId="77777777" w:rsidR="00CA49AB" w:rsidRDefault="00CA49AB" w:rsidP="00FB4ED8">
            <w:pPr>
              <w:jc w:val="center"/>
            </w:pPr>
          </w:p>
        </w:tc>
        <w:tc>
          <w:tcPr>
            <w:tcW w:w="1134" w:type="dxa"/>
            <w:tcBorders>
              <w:top w:val="nil"/>
              <w:bottom w:val="nil"/>
            </w:tcBorders>
            <w:vAlign w:val="center"/>
          </w:tcPr>
          <w:p w14:paraId="6FABC82B" w14:textId="77777777" w:rsidR="00CA49AB" w:rsidRDefault="00CA49AB" w:rsidP="00FB4ED8">
            <w:pPr>
              <w:jc w:val="center"/>
            </w:pPr>
          </w:p>
        </w:tc>
      </w:tr>
      <w:tr w:rsidR="00CA49AB" w14:paraId="1BD9562E" w14:textId="77777777" w:rsidTr="00FB4ED8">
        <w:tc>
          <w:tcPr>
            <w:tcW w:w="284" w:type="dxa"/>
            <w:tcBorders>
              <w:top w:val="nil"/>
              <w:bottom w:val="nil"/>
            </w:tcBorders>
          </w:tcPr>
          <w:p w14:paraId="0976E8D7" w14:textId="77777777" w:rsidR="00CA49AB" w:rsidRDefault="00CA49AB" w:rsidP="00FB4ED8"/>
        </w:tc>
        <w:tc>
          <w:tcPr>
            <w:tcW w:w="3402" w:type="dxa"/>
            <w:tcBorders>
              <w:top w:val="nil"/>
              <w:bottom w:val="nil"/>
            </w:tcBorders>
          </w:tcPr>
          <w:p w14:paraId="31CF245F" w14:textId="77777777" w:rsidR="00CA49AB" w:rsidRDefault="00CA49AB" w:rsidP="00FB4ED8">
            <w:r>
              <w:t>Trend (year)</w:t>
            </w:r>
          </w:p>
        </w:tc>
        <w:tc>
          <w:tcPr>
            <w:tcW w:w="1417" w:type="dxa"/>
            <w:tcBorders>
              <w:top w:val="nil"/>
              <w:bottom w:val="nil"/>
            </w:tcBorders>
            <w:vAlign w:val="center"/>
          </w:tcPr>
          <w:p w14:paraId="72B3270D" w14:textId="77777777" w:rsidR="00CA49AB" w:rsidRDefault="00CA49AB" w:rsidP="00FB4ED8">
            <w:pPr>
              <w:jc w:val="center"/>
            </w:pPr>
            <w:r>
              <w:t>0.813</w:t>
            </w:r>
          </w:p>
        </w:tc>
        <w:tc>
          <w:tcPr>
            <w:tcW w:w="1275" w:type="dxa"/>
            <w:tcBorders>
              <w:top w:val="nil"/>
              <w:bottom w:val="nil"/>
            </w:tcBorders>
            <w:vAlign w:val="center"/>
          </w:tcPr>
          <w:p w14:paraId="5DEE160E" w14:textId="77777777" w:rsidR="00CA49AB" w:rsidRDefault="00CA49AB" w:rsidP="00FB4ED8">
            <w:pPr>
              <w:jc w:val="center"/>
            </w:pPr>
            <w:r>
              <w:t>0.673</w:t>
            </w:r>
          </w:p>
        </w:tc>
        <w:tc>
          <w:tcPr>
            <w:tcW w:w="1134" w:type="dxa"/>
            <w:tcBorders>
              <w:top w:val="nil"/>
              <w:bottom w:val="nil"/>
            </w:tcBorders>
            <w:vAlign w:val="center"/>
          </w:tcPr>
          <w:p w14:paraId="11D10C80" w14:textId="77777777" w:rsidR="00CA49AB" w:rsidRDefault="00CA49AB" w:rsidP="00FB4ED8">
            <w:pPr>
              <w:jc w:val="center"/>
            </w:pPr>
            <w:r>
              <w:t>0.982</w:t>
            </w:r>
          </w:p>
        </w:tc>
      </w:tr>
      <w:tr w:rsidR="00CA49AB" w14:paraId="1C75A78D" w14:textId="77777777" w:rsidTr="00FB4ED8">
        <w:tc>
          <w:tcPr>
            <w:tcW w:w="284" w:type="dxa"/>
            <w:tcBorders>
              <w:top w:val="nil"/>
              <w:bottom w:val="nil"/>
            </w:tcBorders>
          </w:tcPr>
          <w:p w14:paraId="7BCBE7B7" w14:textId="77777777" w:rsidR="00CA49AB" w:rsidRDefault="00CA49AB" w:rsidP="00FB4ED8"/>
        </w:tc>
        <w:tc>
          <w:tcPr>
            <w:tcW w:w="3402" w:type="dxa"/>
            <w:tcBorders>
              <w:top w:val="nil"/>
              <w:bottom w:val="nil"/>
            </w:tcBorders>
          </w:tcPr>
          <w:p w14:paraId="588562D9" w14:textId="77777777" w:rsidR="00CA49AB" w:rsidRDefault="00CA49AB" w:rsidP="00FB4ED8">
            <w:r>
              <w:t>Level</w:t>
            </w:r>
          </w:p>
        </w:tc>
        <w:tc>
          <w:tcPr>
            <w:tcW w:w="1417" w:type="dxa"/>
            <w:tcBorders>
              <w:top w:val="nil"/>
              <w:bottom w:val="nil"/>
            </w:tcBorders>
            <w:vAlign w:val="center"/>
          </w:tcPr>
          <w:p w14:paraId="102DF2FB" w14:textId="77777777" w:rsidR="00CA49AB" w:rsidRDefault="00CA49AB" w:rsidP="00FB4ED8">
            <w:pPr>
              <w:jc w:val="center"/>
            </w:pPr>
            <w:r>
              <w:t>1.949</w:t>
            </w:r>
          </w:p>
        </w:tc>
        <w:tc>
          <w:tcPr>
            <w:tcW w:w="1275" w:type="dxa"/>
            <w:tcBorders>
              <w:top w:val="nil"/>
              <w:bottom w:val="nil"/>
            </w:tcBorders>
            <w:vAlign w:val="center"/>
          </w:tcPr>
          <w:p w14:paraId="4DCF39FC" w14:textId="77777777" w:rsidR="00CA49AB" w:rsidRDefault="00CA49AB" w:rsidP="00FB4ED8">
            <w:pPr>
              <w:jc w:val="center"/>
            </w:pPr>
            <w:r>
              <w:t>1.294</w:t>
            </w:r>
          </w:p>
        </w:tc>
        <w:tc>
          <w:tcPr>
            <w:tcW w:w="1134" w:type="dxa"/>
            <w:tcBorders>
              <w:top w:val="nil"/>
              <w:bottom w:val="nil"/>
            </w:tcBorders>
            <w:vAlign w:val="center"/>
          </w:tcPr>
          <w:p w14:paraId="21F0583C" w14:textId="77777777" w:rsidR="00CA49AB" w:rsidRDefault="00CA49AB" w:rsidP="00FB4ED8">
            <w:pPr>
              <w:jc w:val="center"/>
            </w:pPr>
            <w:r>
              <w:t>2.936</w:t>
            </w:r>
          </w:p>
        </w:tc>
      </w:tr>
      <w:tr w:rsidR="00CA49AB" w14:paraId="375A2C9B" w14:textId="77777777" w:rsidTr="00FB4ED8">
        <w:tc>
          <w:tcPr>
            <w:tcW w:w="284" w:type="dxa"/>
            <w:tcBorders>
              <w:top w:val="nil"/>
              <w:bottom w:val="nil"/>
            </w:tcBorders>
          </w:tcPr>
          <w:p w14:paraId="68A99713" w14:textId="77777777" w:rsidR="00CA49AB" w:rsidRDefault="00CA49AB" w:rsidP="00FB4ED8"/>
        </w:tc>
        <w:tc>
          <w:tcPr>
            <w:tcW w:w="3402" w:type="dxa"/>
            <w:tcBorders>
              <w:top w:val="nil"/>
              <w:bottom w:val="nil"/>
            </w:tcBorders>
          </w:tcPr>
          <w:p w14:paraId="4D159F59" w14:textId="522FDD2E" w:rsidR="00CA49AB" w:rsidRDefault="00F11D38" w:rsidP="00FB4ED8">
            <w:r>
              <w:rPr>
                <w:rFonts w:cstheme="minorHAnsi"/>
              </w:rPr>
              <w:t>ΔTrend</w:t>
            </w:r>
            <w:r>
              <w:t xml:space="preserve"> </w:t>
            </w:r>
            <w:r w:rsidR="00CA49AB">
              <w:t>(year)</w:t>
            </w:r>
          </w:p>
        </w:tc>
        <w:tc>
          <w:tcPr>
            <w:tcW w:w="1417" w:type="dxa"/>
            <w:tcBorders>
              <w:top w:val="nil"/>
              <w:bottom w:val="nil"/>
            </w:tcBorders>
            <w:vAlign w:val="center"/>
          </w:tcPr>
          <w:p w14:paraId="518F054E" w14:textId="77777777" w:rsidR="00CA49AB" w:rsidRDefault="00CA49AB" w:rsidP="00FB4ED8">
            <w:pPr>
              <w:jc w:val="center"/>
            </w:pPr>
            <w:r>
              <w:t>1.501</w:t>
            </w:r>
          </w:p>
        </w:tc>
        <w:tc>
          <w:tcPr>
            <w:tcW w:w="1275" w:type="dxa"/>
            <w:tcBorders>
              <w:top w:val="nil"/>
              <w:bottom w:val="nil"/>
            </w:tcBorders>
            <w:vAlign w:val="center"/>
          </w:tcPr>
          <w:p w14:paraId="76CB515B" w14:textId="77777777" w:rsidR="00CA49AB" w:rsidRDefault="00CA49AB" w:rsidP="00FB4ED8">
            <w:pPr>
              <w:jc w:val="center"/>
            </w:pPr>
            <w:r>
              <w:t>1.188</w:t>
            </w:r>
          </w:p>
        </w:tc>
        <w:tc>
          <w:tcPr>
            <w:tcW w:w="1134" w:type="dxa"/>
            <w:tcBorders>
              <w:top w:val="nil"/>
              <w:bottom w:val="nil"/>
            </w:tcBorders>
            <w:vAlign w:val="center"/>
          </w:tcPr>
          <w:p w14:paraId="70FD0FF5" w14:textId="77777777" w:rsidR="00CA49AB" w:rsidRDefault="00CA49AB" w:rsidP="00FB4ED8">
            <w:pPr>
              <w:jc w:val="center"/>
            </w:pPr>
            <w:r>
              <w:t>1.896</w:t>
            </w:r>
          </w:p>
        </w:tc>
      </w:tr>
      <w:tr w:rsidR="00CA49AB" w:rsidRPr="003548CF" w14:paraId="2A737F46" w14:textId="77777777" w:rsidTr="00FB4ED8">
        <w:tc>
          <w:tcPr>
            <w:tcW w:w="284" w:type="dxa"/>
            <w:tcBorders>
              <w:top w:val="nil"/>
              <w:bottom w:val="nil"/>
            </w:tcBorders>
          </w:tcPr>
          <w:p w14:paraId="196E00DD" w14:textId="77777777" w:rsidR="00CA49AB" w:rsidRDefault="00CA49AB" w:rsidP="00FB4ED8"/>
        </w:tc>
        <w:tc>
          <w:tcPr>
            <w:tcW w:w="3402" w:type="dxa"/>
            <w:tcBorders>
              <w:top w:val="nil"/>
              <w:bottom w:val="nil"/>
            </w:tcBorders>
          </w:tcPr>
          <w:p w14:paraId="2C23EDDC" w14:textId="77777777" w:rsidR="00CA49AB" w:rsidRDefault="00CA49AB" w:rsidP="00FB4ED8"/>
        </w:tc>
        <w:tc>
          <w:tcPr>
            <w:tcW w:w="1417" w:type="dxa"/>
            <w:tcBorders>
              <w:top w:val="nil"/>
              <w:bottom w:val="nil"/>
            </w:tcBorders>
            <w:vAlign w:val="center"/>
          </w:tcPr>
          <w:p w14:paraId="7968E703" w14:textId="77777777" w:rsidR="00CA49AB" w:rsidRDefault="00CA49AB" w:rsidP="00FB4ED8">
            <w:pPr>
              <w:jc w:val="center"/>
            </w:pPr>
          </w:p>
        </w:tc>
        <w:tc>
          <w:tcPr>
            <w:tcW w:w="1275" w:type="dxa"/>
            <w:tcBorders>
              <w:top w:val="nil"/>
              <w:bottom w:val="nil"/>
            </w:tcBorders>
            <w:vAlign w:val="center"/>
          </w:tcPr>
          <w:p w14:paraId="487352FA" w14:textId="77777777" w:rsidR="00CA49AB" w:rsidRDefault="00CA49AB" w:rsidP="00FB4ED8">
            <w:pPr>
              <w:jc w:val="center"/>
            </w:pPr>
          </w:p>
        </w:tc>
        <w:tc>
          <w:tcPr>
            <w:tcW w:w="1134" w:type="dxa"/>
            <w:tcBorders>
              <w:top w:val="nil"/>
              <w:bottom w:val="nil"/>
            </w:tcBorders>
            <w:vAlign w:val="center"/>
          </w:tcPr>
          <w:p w14:paraId="0B432873" w14:textId="77777777" w:rsidR="00CA49AB" w:rsidRDefault="00CA49AB" w:rsidP="00FB4ED8">
            <w:pPr>
              <w:jc w:val="center"/>
            </w:pPr>
          </w:p>
        </w:tc>
      </w:tr>
      <w:tr w:rsidR="00CA49AB" w14:paraId="47C10F2B" w14:textId="77777777" w:rsidTr="00FB4ED8">
        <w:tc>
          <w:tcPr>
            <w:tcW w:w="3686" w:type="dxa"/>
            <w:gridSpan w:val="2"/>
            <w:tcBorders>
              <w:top w:val="nil"/>
              <w:bottom w:val="nil"/>
            </w:tcBorders>
          </w:tcPr>
          <w:p w14:paraId="2BE65C73" w14:textId="77777777" w:rsidR="00CA49AB" w:rsidRPr="00CB09BE" w:rsidRDefault="00CA49AB" w:rsidP="00FB4ED8">
            <w:pPr>
              <w:rPr>
                <w:vertAlign w:val="superscript"/>
              </w:rPr>
            </w:pPr>
            <w:r>
              <w:t>Use of prescription medication</w:t>
            </w:r>
            <w:r>
              <w:rPr>
                <w:vertAlign w:val="superscript"/>
              </w:rPr>
              <w:t>2b</w:t>
            </w:r>
          </w:p>
        </w:tc>
        <w:tc>
          <w:tcPr>
            <w:tcW w:w="1417" w:type="dxa"/>
            <w:tcBorders>
              <w:top w:val="nil"/>
              <w:bottom w:val="nil"/>
            </w:tcBorders>
            <w:vAlign w:val="center"/>
          </w:tcPr>
          <w:p w14:paraId="3F756E36" w14:textId="77777777" w:rsidR="00CA49AB" w:rsidRDefault="00CA49AB" w:rsidP="00FB4ED8">
            <w:pPr>
              <w:jc w:val="center"/>
            </w:pPr>
          </w:p>
        </w:tc>
        <w:tc>
          <w:tcPr>
            <w:tcW w:w="1275" w:type="dxa"/>
            <w:tcBorders>
              <w:top w:val="nil"/>
              <w:bottom w:val="nil"/>
            </w:tcBorders>
            <w:vAlign w:val="center"/>
          </w:tcPr>
          <w:p w14:paraId="1711DD92" w14:textId="77777777" w:rsidR="00CA49AB" w:rsidRDefault="00CA49AB" w:rsidP="00FB4ED8">
            <w:pPr>
              <w:jc w:val="center"/>
            </w:pPr>
          </w:p>
        </w:tc>
        <w:tc>
          <w:tcPr>
            <w:tcW w:w="1134" w:type="dxa"/>
            <w:tcBorders>
              <w:top w:val="nil"/>
              <w:bottom w:val="nil"/>
            </w:tcBorders>
            <w:vAlign w:val="center"/>
          </w:tcPr>
          <w:p w14:paraId="236DD640" w14:textId="77777777" w:rsidR="00CA49AB" w:rsidRDefault="00CA49AB" w:rsidP="00FB4ED8">
            <w:pPr>
              <w:jc w:val="center"/>
            </w:pPr>
          </w:p>
        </w:tc>
      </w:tr>
      <w:tr w:rsidR="00CA49AB" w14:paraId="1E5E8FB2" w14:textId="77777777" w:rsidTr="00FB4ED8">
        <w:tc>
          <w:tcPr>
            <w:tcW w:w="284" w:type="dxa"/>
            <w:tcBorders>
              <w:top w:val="nil"/>
              <w:bottom w:val="nil"/>
            </w:tcBorders>
          </w:tcPr>
          <w:p w14:paraId="546FCE1F" w14:textId="77777777" w:rsidR="00CA49AB" w:rsidRDefault="00CA49AB" w:rsidP="00FB4ED8"/>
        </w:tc>
        <w:tc>
          <w:tcPr>
            <w:tcW w:w="3402" w:type="dxa"/>
            <w:tcBorders>
              <w:top w:val="nil"/>
              <w:bottom w:val="nil"/>
            </w:tcBorders>
          </w:tcPr>
          <w:p w14:paraId="60434B82" w14:textId="77777777" w:rsidR="00CA49AB" w:rsidRDefault="00CA49AB" w:rsidP="00FB4ED8">
            <w:r>
              <w:t>Trend (year)</w:t>
            </w:r>
          </w:p>
        </w:tc>
        <w:tc>
          <w:tcPr>
            <w:tcW w:w="1417" w:type="dxa"/>
            <w:tcBorders>
              <w:top w:val="nil"/>
              <w:bottom w:val="nil"/>
            </w:tcBorders>
            <w:vAlign w:val="center"/>
          </w:tcPr>
          <w:p w14:paraId="10B4A8AD" w14:textId="77777777" w:rsidR="00CA49AB" w:rsidRDefault="00CA49AB" w:rsidP="00FB4ED8">
            <w:pPr>
              <w:jc w:val="center"/>
            </w:pPr>
            <w:r>
              <w:t>1.058</w:t>
            </w:r>
          </w:p>
        </w:tc>
        <w:tc>
          <w:tcPr>
            <w:tcW w:w="1275" w:type="dxa"/>
            <w:tcBorders>
              <w:top w:val="nil"/>
              <w:bottom w:val="nil"/>
            </w:tcBorders>
            <w:vAlign w:val="center"/>
          </w:tcPr>
          <w:p w14:paraId="7DB79E48" w14:textId="77777777" w:rsidR="00CA49AB" w:rsidRDefault="00CA49AB" w:rsidP="00FB4ED8">
            <w:pPr>
              <w:jc w:val="center"/>
            </w:pPr>
            <w:r>
              <w:t>0.892</w:t>
            </w:r>
          </w:p>
        </w:tc>
        <w:tc>
          <w:tcPr>
            <w:tcW w:w="1134" w:type="dxa"/>
            <w:tcBorders>
              <w:top w:val="nil"/>
              <w:bottom w:val="nil"/>
            </w:tcBorders>
            <w:vAlign w:val="center"/>
          </w:tcPr>
          <w:p w14:paraId="08401B28" w14:textId="77777777" w:rsidR="00CA49AB" w:rsidRDefault="00CA49AB" w:rsidP="00FB4ED8">
            <w:pPr>
              <w:jc w:val="center"/>
            </w:pPr>
            <w:r>
              <w:t>1.253</w:t>
            </w:r>
          </w:p>
        </w:tc>
      </w:tr>
      <w:tr w:rsidR="00CA49AB" w14:paraId="45CC5FB7" w14:textId="77777777" w:rsidTr="00FB4ED8">
        <w:tc>
          <w:tcPr>
            <w:tcW w:w="284" w:type="dxa"/>
            <w:tcBorders>
              <w:top w:val="nil"/>
              <w:bottom w:val="nil"/>
            </w:tcBorders>
          </w:tcPr>
          <w:p w14:paraId="2CBB620D" w14:textId="77777777" w:rsidR="00CA49AB" w:rsidRDefault="00CA49AB" w:rsidP="00FB4ED8"/>
        </w:tc>
        <w:tc>
          <w:tcPr>
            <w:tcW w:w="3402" w:type="dxa"/>
            <w:tcBorders>
              <w:top w:val="nil"/>
              <w:bottom w:val="nil"/>
            </w:tcBorders>
          </w:tcPr>
          <w:p w14:paraId="2BAD6404" w14:textId="77777777" w:rsidR="00CA49AB" w:rsidRDefault="00CA49AB" w:rsidP="00FB4ED8">
            <w:r>
              <w:t>Level</w:t>
            </w:r>
          </w:p>
        </w:tc>
        <w:tc>
          <w:tcPr>
            <w:tcW w:w="1417" w:type="dxa"/>
            <w:tcBorders>
              <w:top w:val="nil"/>
              <w:bottom w:val="nil"/>
            </w:tcBorders>
            <w:vAlign w:val="center"/>
          </w:tcPr>
          <w:p w14:paraId="35E2B862" w14:textId="77777777" w:rsidR="00CA49AB" w:rsidRDefault="00CA49AB" w:rsidP="00FB4ED8">
            <w:pPr>
              <w:jc w:val="center"/>
            </w:pPr>
            <w:r>
              <w:t>1.189</w:t>
            </w:r>
          </w:p>
        </w:tc>
        <w:tc>
          <w:tcPr>
            <w:tcW w:w="1275" w:type="dxa"/>
            <w:tcBorders>
              <w:top w:val="nil"/>
              <w:bottom w:val="nil"/>
            </w:tcBorders>
            <w:vAlign w:val="center"/>
          </w:tcPr>
          <w:p w14:paraId="55C853A7" w14:textId="77777777" w:rsidR="00CA49AB" w:rsidRDefault="00CA49AB" w:rsidP="00FB4ED8">
            <w:pPr>
              <w:jc w:val="center"/>
            </w:pPr>
            <w:r>
              <w:t>0.816</w:t>
            </w:r>
          </w:p>
        </w:tc>
        <w:tc>
          <w:tcPr>
            <w:tcW w:w="1134" w:type="dxa"/>
            <w:tcBorders>
              <w:top w:val="nil"/>
              <w:bottom w:val="nil"/>
            </w:tcBorders>
            <w:vAlign w:val="center"/>
          </w:tcPr>
          <w:p w14:paraId="013E1586" w14:textId="77777777" w:rsidR="00CA49AB" w:rsidRDefault="00CA49AB" w:rsidP="00FB4ED8">
            <w:pPr>
              <w:jc w:val="center"/>
            </w:pPr>
            <w:r>
              <w:t>1.735</w:t>
            </w:r>
          </w:p>
        </w:tc>
      </w:tr>
      <w:tr w:rsidR="00CA49AB" w14:paraId="795E6971" w14:textId="77777777" w:rsidTr="00FB4ED8">
        <w:tc>
          <w:tcPr>
            <w:tcW w:w="284" w:type="dxa"/>
            <w:tcBorders>
              <w:top w:val="nil"/>
              <w:bottom w:val="nil"/>
            </w:tcBorders>
          </w:tcPr>
          <w:p w14:paraId="4C80C580" w14:textId="77777777" w:rsidR="00CA49AB" w:rsidRDefault="00CA49AB" w:rsidP="00FB4ED8"/>
        </w:tc>
        <w:tc>
          <w:tcPr>
            <w:tcW w:w="3402" w:type="dxa"/>
            <w:tcBorders>
              <w:top w:val="nil"/>
              <w:bottom w:val="nil"/>
            </w:tcBorders>
          </w:tcPr>
          <w:p w14:paraId="03259286" w14:textId="1F3709CB" w:rsidR="00CA49AB" w:rsidRDefault="00F11D38" w:rsidP="00FB4ED8">
            <w:r>
              <w:rPr>
                <w:rFonts w:cstheme="minorHAnsi"/>
              </w:rPr>
              <w:t>ΔTrend</w:t>
            </w:r>
            <w:r>
              <w:t xml:space="preserve"> </w:t>
            </w:r>
            <w:r w:rsidR="00CA49AB">
              <w:t>(year)</w:t>
            </w:r>
          </w:p>
        </w:tc>
        <w:tc>
          <w:tcPr>
            <w:tcW w:w="1417" w:type="dxa"/>
            <w:tcBorders>
              <w:top w:val="nil"/>
              <w:bottom w:val="nil"/>
            </w:tcBorders>
            <w:vAlign w:val="center"/>
          </w:tcPr>
          <w:p w14:paraId="5372DC0C" w14:textId="77777777" w:rsidR="00CA49AB" w:rsidRDefault="00CA49AB" w:rsidP="00FB4ED8">
            <w:pPr>
              <w:jc w:val="center"/>
            </w:pPr>
            <w:r>
              <w:t>0.850</w:t>
            </w:r>
          </w:p>
        </w:tc>
        <w:tc>
          <w:tcPr>
            <w:tcW w:w="1275" w:type="dxa"/>
            <w:tcBorders>
              <w:top w:val="nil"/>
              <w:bottom w:val="nil"/>
            </w:tcBorders>
            <w:vAlign w:val="center"/>
          </w:tcPr>
          <w:p w14:paraId="78708922" w14:textId="77777777" w:rsidR="00CA49AB" w:rsidRDefault="00CA49AB" w:rsidP="00FB4ED8">
            <w:pPr>
              <w:jc w:val="center"/>
            </w:pPr>
            <w:r>
              <w:t>0.666</w:t>
            </w:r>
          </w:p>
        </w:tc>
        <w:tc>
          <w:tcPr>
            <w:tcW w:w="1134" w:type="dxa"/>
            <w:tcBorders>
              <w:top w:val="nil"/>
              <w:bottom w:val="nil"/>
            </w:tcBorders>
            <w:vAlign w:val="center"/>
          </w:tcPr>
          <w:p w14:paraId="1049C6DB" w14:textId="77777777" w:rsidR="00CA49AB" w:rsidRDefault="00CA49AB" w:rsidP="00FB4ED8">
            <w:pPr>
              <w:jc w:val="center"/>
            </w:pPr>
            <w:r>
              <w:t>1.086</w:t>
            </w:r>
          </w:p>
        </w:tc>
      </w:tr>
      <w:tr w:rsidR="00CA49AB" w:rsidRPr="003548CF" w14:paraId="36122F18" w14:textId="77777777" w:rsidTr="00FB4ED8">
        <w:tc>
          <w:tcPr>
            <w:tcW w:w="284" w:type="dxa"/>
            <w:tcBorders>
              <w:top w:val="nil"/>
              <w:bottom w:val="nil"/>
            </w:tcBorders>
          </w:tcPr>
          <w:p w14:paraId="3600027F" w14:textId="77777777" w:rsidR="00CA49AB" w:rsidRDefault="00CA49AB" w:rsidP="00FB4ED8"/>
        </w:tc>
        <w:tc>
          <w:tcPr>
            <w:tcW w:w="3402" w:type="dxa"/>
            <w:tcBorders>
              <w:top w:val="nil"/>
              <w:bottom w:val="nil"/>
            </w:tcBorders>
          </w:tcPr>
          <w:p w14:paraId="396C9216" w14:textId="77777777" w:rsidR="00CA49AB" w:rsidRDefault="00CA49AB" w:rsidP="00FB4ED8"/>
        </w:tc>
        <w:tc>
          <w:tcPr>
            <w:tcW w:w="1417" w:type="dxa"/>
            <w:tcBorders>
              <w:top w:val="nil"/>
              <w:bottom w:val="nil"/>
            </w:tcBorders>
            <w:vAlign w:val="center"/>
          </w:tcPr>
          <w:p w14:paraId="152D2891" w14:textId="77777777" w:rsidR="00CA49AB" w:rsidRDefault="00CA49AB" w:rsidP="00FB4ED8">
            <w:pPr>
              <w:jc w:val="center"/>
            </w:pPr>
          </w:p>
        </w:tc>
        <w:tc>
          <w:tcPr>
            <w:tcW w:w="1275" w:type="dxa"/>
            <w:tcBorders>
              <w:top w:val="nil"/>
              <w:bottom w:val="nil"/>
            </w:tcBorders>
            <w:vAlign w:val="center"/>
          </w:tcPr>
          <w:p w14:paraId="0079FC99" w14:textId="77777777" w:rsidR="00CA49AB" w:rsidRDefault="00CA49AB" w:rsidP="00FB4ED8">
            <w:pPr>
              <w:jc w:val="center"/>
            </w:pPr>
          </w:p>
        </w:tc>
        <w:tc>
          <w:tcPr>
            <w:tcW w:w="1134" w:type="dxa"/>
            <w:tcBorders>
              <w:top w:val="nil"/>
              <w:bottom w:val="nil"/>
            </w:tcBorders>
            <w:vAlign w:val="center"/>
          </w:tcPr>
          <w:p w14:paraId="62DC3CB7" w14:textId="77777777" w:rsidR="00CA49AB" w:rsidRDefault="00CA49AB" w:rsidP="00FB4ED8">
            <w:pPr>
              <w:jc w:val="center"/>
            </w:pPr>
          </w:p>
        </w:tc>
      </w:tr>
      <w:tr w:rsidR="00CA49AB" w14:paraId="63590A3A" w14:textId="77777777" w:rsidTr="00FB4ED8">
        <w:tc>
          <w:tcPr>
            <w:tcW w:w="3686" w:type="dxa"/>
            <w:gridSpan w:val="2"/>
            <w:tcBorders>
              <w:top w:val="nil"/>
              <w:bottom w:val="nil"/>
            </w:tcBorders>
          </w:tcPr>
          <w:p w14:paraId="72A57F43" w14:textId="77777777" w:rsidR="00CA49AB" w:rsidRPr="00CB09BE" w:rsidRDefault="00CA49AB" w:rsidP="00FB4ED8">
            <w:pPr>
              <w:rPr>
                <w:vertAlign w:val="superscript"/>
              </w:rPr>
            </w:pPr>
            <w:r>
              <w:t>Use of behavioural support</w:t>
            </w:r>
            <w:r>
              <w:rPr>
                <w:vertAlign w:val="superscript"/>
              </w:rPr>
              <w:t>2b</w:t>
            </w:r>
          </w:p>
        </w:tc>
        <w:tc>
          <w:tcPr>
            <w:tcW w:w="1417" w:type="dxa"/>
            <w:tcBorders>
              <w:top w:val="nil"/>
              <w:bottom w:val="nil"/>
            </w:tcBorders>
            <w:vAlign w:val="center"/>
          </w:tcPr>
          <w:p w14:paraId="52101B7C" w14:textId="77777777" w:rsidR="00CA49AB" w:rsidRDefault="00CA49AB" w:rsidP="00FB4ED8">
            <w:pPr>
              <w:jc w:val="center"/>
            </w:pPr>
          </w:p>
        </w:tc>
        <w:tc>
          <w:tcPr>
            <w:tcW w:w="1275" w:type="dxa"/>
            <w:tcBorders>
              <w:top w:val="nil"/>
              <w:bottom w:val="nil"/>
            </w:tcBorders>
            <w:vAlign w:val="center"/>
          </w:tcPr>
          <w:p w14:paraId="4EFB3E7C" w14:textId="77777777" w:rsidR="00CA49AB" w:rsidRDefault="00CA49AB" w:rsidP="00FB4ED8">
            <w:pPr>
              <w:jc w:val="center"/>
            </w:pPr>
          </w:p>
        </w:tc>
        <w:tc>
          <w:tcPr>
            <w:tcW w:w="1134" w:type="dxa"/>
            <w:tcBorders>
              <w:top w:val="nil"/>
              <w:bottom w:val="nil"/>
            </w:tcBorders>
            <w:vAlign w:val="center"/>
          </w:tcPr>
          <w:p w14:paraId="1798FE1B" w14:textId="77777777" w:rsidR="00CA49AB" w:rsidRDefault="00CA49AB" w:rsidP="00FB4ED8">
            <w:pPr>
              <w:jc w:val="center"/>
            </w:pPr>
          </w:p>
        </w:tc>
      </w:tr>
      <w:tr w:rsidR="00CA49AB" w14:paraId="5A194670" w14:textId="77777777" w:rsidTr="00FB4ED8">
        <w:tc>
          <w:tcPr>
            <w:tcW w:w="284" w:type="dxa"/>
            <w:tcBorders>
              <w:top w:val="nil"/>
              <w:bottom w:val="nil"/>
            </w:tcBorders>
          </w:tcPr>
          <w:p w14:paraId="69EA4AA7" w14:textId="77777777" w:rsidR="00CA49AB" w:rsidRDefault="00CA49AB" w:rsidP="00FB4ED8"/>
        </w:tc>
        <w:tc>
          <w:tcPr>
            <w:tcW w:w="3402" w:type="dxa"/>
            <w:tcBorders>
              <w:top w:val="nil"/>
              <w:bottom w:val="nil"/>
            </w:tcBorders>
          </w:tcPr>
          <w:p w14:paraId="5C3EE4F9" w14:textId="77777777" w:rsidR="00CA49AB" w:rsidRDefault="00CA49AB" w:rsidP="00FB4ED8">
            <w:r>
              <w:t>Trend (year)</w:t>
            </w:r>
          </w:p>
        </w:tc>
        <w:tc>
          <w:tcPr>
            <w:tcW w:w="1417" w:type="dxa"/>
            <w:tcBorders>
              <w:top w:val="nil"/>
              <w:bottom w:val="nil"/>
            </w:tcBorders>
            <w:vAlign w:val="center"/>
          </w:tcPr>
          <w:p w14:paraId="73E30B68" w14:textId="77777777" w:rsidR="00CA49AB" w:rsidRDefault="00CA49AB" w:rsidP="00FB4ED8">
            <w:pPr>
              <w:jc w:val="center"/>
            </w:pPr>
            <w:r>
              <w:t>0.836</w:t>
            </w:r>
          </w:p>
        </w:tc>
        <w:tc>
          <w:tcPr>
            <w:tcW w:w="1275" w:type="dxa"/>
            <w:tcBorders>
              <w:top w:val="nil"/>
              <w:bottom w:val="nil"/>
            </w:tcBorders>
            <w:vAlign w:val="center"/>
          </w:tcPr>
          <w:p w14:paraId="683984A6" w14:textId="77777777" w:rsidR="00CA49AB" w:rsidRDefault="00CA49AB" w:rsidP="00FB4ED8">
            <w:pPr>
              <w:jc w:val="center"/>
            </w:pPr>
            <w:r>
              <w:t>0.694</w:t>
            </w:r>
          </w:p>
        </w:tc>
        <w:tc>
          <w:tcPr>
            <w:tcW w:w="1134" w:type="dxa"/>
            <w:tcBorders>
              <w:top w:val="nil"/>
              <w:bottom w:val="nil"/>
            </w:tcBorders>
            <w:vAlign w:val="center"/>
          </w:tcPr>
          <w:p w14:paraId="01A2B57E" w14:textId="77777777" w:rsidR="00CA49AB" w:rsidRDefault="00CA49AB" w:rsidP="00FB4ED8">
            <w:pPr>
              <w:jc w:val="center"/>
            </w:pPr>
            <w:r>
              <w:t>1.005</w:t>
            </w:r>
          </w:p>
        </w:tc>
      </w:tr>
      <w:tr w:rsidR="00CA49AB" w14:paraId="3E339F25" w14:textId="77777777" w:rsidTr="00FB4ED8">
        <w:tc>
          <w:tcPr>
            <w:tcW w:w="284" w:type="dxa"/>
            <w:tcBorders>
              <w:top w:val="nil"/>
              <w:bottom w:val="nil"/>
            </w:tcBorders>
          </w:tcPr>
          <w:p w14:paraId="16B02237" w14:textId="77777777" w:rsidR="00CA49AB" w:rsidRDefault="00CA49AB" w:rsidP="00FB4ED8"/>
        </w:tc>
        <w:tc>
          <w:tcPr>
            <w:tcW w:w="3402" w:type="dxa"/>
            <w:tcBorders>
              <w:top w:val="nil"/>
              <w:bottom w:val="nil"/>
            </w:tcBorders>
          </w:tcPr>
          <w:p w14:paraId="7E1D49A8" w14:textId="77777777" w:rsidR="00CA49AB" w:rsidRDefault="00CA49AB" w:rsidP="00FB4ED8">
            <w:r>
              <w:t>Level</w:t>
            </w:r>
          </w:p>
        </w:tc>
        <w:tc>
          <w:tcPr>
            <w:tcW w:w="1417" w:type="dxa"/>
            <w:tcBorders>
              <w:top w:val="nil"/>
              <w:bottom w:val="nil"/>
            </w:tcBorders>
            <w:vAlign w:val="center"/>
          </w:tcPr>
          <w:p w14:paraId="449F9C48" w14:textId="77777777" w:rsidR="00CA49AB" w:rsidRDefault="00CA49AB" w:rsidP="00FB4ED8">
            <w:pPr>
              <w:jc w:val="center"/>
            </w:pPr>
            <w:r>
              <w:t>2.270</w:t>
            </w:r>
          </w:p>
        </w:tc>
        <w:tc>
          <w:tcPr>
            <w:tcW w:w="1275" w:type="dxa"/>
            <w:tcBorders>
              <w:top w:val="nil"/>
              <w:bottom w:val="nil"/>
            </w:tcBorders>
            <w:vAlign w:val="center"/>
          </w:tcPr>
          <w:p w14:paraId="3A3B3F83" w14:textId="77777777" w:rsidR="00CA49AB" w:rsidRDefault="00CA49AB" w:rsidP="00FB4ED8">
            <w:pPr>
              <w:jc w:val="center"/>
            </w:pPr>
            <w:r>
              <w:t>1.515</w:t>
            </w:r>
          </w:p>
        </w:tc>
        <w:tc>
          <w:tcPr>
            <w:tcW w:w="1134" w:type="dxa"/>
            <w:tcBorders>
              <w:top w:val="nil"/>
              <w:bottom w:val="nil"/>
            </w:tcBorders>
            <w:vAlign w:val="center"/>
          </w:tcPr>
          <w:p w14:paraId="0E0057C3" w14:textId="77777777" w:rsidR="00CA49AB" w:rsidRDefault="00CA49AB" w:rsidP="00FB4ED8">
            <w:pPr>
              <w:jc w:val="center"/>
            </w:pPr>
            <w:r>
              <w:t>3.401</w:t>
            </w:r>
          </w:p>
        </w:tc>
      </w:tr>
      <w:tr w:rsidR="00CA49AB" w14:paraId="59A8C046" w14:textId="77777777" w:rsidTr="00FB4ED8">
        <w:tc>
          <w:tcPr>
            <w:tcW w:w="284" w:type="dxa"/>
            <w:tcBorders>
              <w:top w:val="nil"/>
              <w:bottom w:val="nil"/>
            </w:tcBorders>
          </w:tcPr>
          <w:p w14:paraId="5D6D16F8" w14:textId="77777777" w:rsidR="00CA49AB" w:rsidRDefault="00CA49AB" w:rsidP="00FB4ED8"/>
        </w:tc>
        <w:tc>
          <w:tcPr>
            <w:tcW w:w="3402" w:type="dxa"/>
            <w:tcBorders>
              <w:top w:val="nil"/>
              <w:bottom w:val="nil"/>
            </w:tcBorders>
          </w:tcPr>
          <w:p w14:paraId="3D1721B4" w14:textId="4036B6B3" w:rsidR="00CA49AB" w:rsidRDefault="00F11D38" w:rsidP="00FB4ED8">
            <w:r>
              <w:rPr>
                <w:rFonts w:cstheme="minorHAnsi"/>
              </w:rPr>
              <w:t>ΔTrend</w:t>
            </w:r>
            <w:r>
              <w:t xml:space="preserve"> </w:t>
            </w:r>
            <w:r w:rsidR="00CA49AB">
              <w:t>(year)</w:t>
            </w:r>
          </w:p>
        </w:tc>
        <w:tc>
          <w:tcPr>
            <w:tcW w:w="1417" w:type="dxa"/>
            <w:tcBorders>
              <w:top w:val="nil"/>
              <w:bottom w:val="nil"/>
            </w:tcBorders>
            <w:vAlign w:val="center"/>
          </w:tcPr>
          <w:p w14:paraId="3B74C8AA" w14:textId="77777777" w:rsidR="00CA49AB" w:rsidRDefault="00CA49AB" w:rsidP="00FB4ED8">
            <w:pPr>
              <w:jc w:val="center"/>
            </w:pPr>
            <w:r>
              <w:t>1.036</w:t>
            </w:r>
          </w:p>
        </w:tc>
        <w:tc>
          <w:tcPr>
            <w:tcW w:w="1275" w:type="dxa"/>
            <w:tcBorders>
              <w:top w:val="nil"/>
              <w:bottom w:val="nil"/>
            </w:tcBorders>
            <w:vAlign w:val="center"/>
          </w:tcPr>
          <w:p w14:paraId="0A42E62C" w14:textId="77777777" w:rsidR="00CA49AB" w:rsidRDefault="00CA49AB" w:rsidP="00FB4ED8">
            <w:pPr>
              <w:jc w:val="center"/>
            </w:pPr>
            <w:r>
              <w:t>0.808</w:t>
            </w:r>
          </w:p>
        </w:tc>
        <w:tc>
          <w:tcPr>
            <w:tcW w:w="1134" w:type="dxa"/>
            <w:tcBorders>
              <w:top w:val="nil"/>
              <w:bottom w:val="nil"/>
            </w:tcBorders>
            <w:vAlign w:val="center"/>
          </w:tcPr>
          <w:p w14:paraId="4384D33E" w14:textId="77777777" w:rsidR="00CA49AB" w:rsidRDefault="00CA49AB" w:rsidP="00FB4ED8">
            <w:pPr>
              <w:jc w:val="center"/>
            </w:pPr>
            <w:r>
              <w:t>1.330</w:t>
            </w:r>
          </w:p>
        </w:tc>
      </w:tr>
      <w:tr w:rsidR="00CA49AB" w:rsidRPr="003548CF" w14:paraId="2DDC5D78" w14:textId="77777777" w:rsidTr="00FB4ED8">
        <w:tc>
          <w:tcPr>
            <w:tcW w:w="284" w:type="dxa"/>
            <w:tcBorders>
              <w:top w:val="nil"/>
              <w:bottom w:val="nil"/>
            </w:tcBorders>
          </w:tcPr>
          <w:p w14:paraId="39E51399" w14:textId="77777777" w:rsidR="00CA49AB" w:rsidRDefault="00CA49AB" w:rsidP="00FB4ED8"/>
        </w:tc>
        <w:tc>
          <w:tcPr>
            <w:tcW w:w="3402" w:type="dxa"/>
            <w:tcBorders>
              <w:top w:val="nil"/>
              <w:bottom w:val="nil"/>
            </w:tcBorders>
          </w:tcPr>
          <w:p w14:paraId="242DAA14" w14:textId="77777777" w:rsidR="00CA49AB" w:rsidRDefault="00CA49AB" w:rsidP="00FB4ED8"/>
        </w:tc>
        <w:tc>
          <w:tcPr>
            <w:tcW w:w="1417" w:type="dxa"/>
            <w:tcBorders>
              <w:top w:val="nil"/>
              <w:bottom w:val="nil"/>
            </w:tcBorders>
            <w:vAlign w:val="center"/>
          </w:tcPr>
          <w:p w14:paraId="06E27E69" w14:textId="77777777" w:rsidR="00CA49AB" w:rsidRDefault="00CA49AB" w:rsidP="00FB4ED8">
            <w:pPr>
              <w:jc w:val="center"/>
            </w:pPr>
          </w:p>
        </w:tc>
        <w:tc>
          <w:tcPr>
            <w:tcW w:w="1275" w:type="dxa"/>
            <w:tcBorders>
              <w:top w:val="nil"/>
              <w:bottom w:val="nil"/>
            </w:tcBorders>
            <w:vAlign w:val="center"/>
          </w:tcPr>
          <w:p w14:paraId="3A183E03" w14:textId="77777777" w:rsidR="00CA49AB" w:rsidRDefault="00CA49AB" w:rsidP="00FB4ED8">
            <w:pPr>
              <w:jc w:val="center"/>
            </w:pPr>
          </w:p>
        </w:tc>
        <w:tc>
          <w:tcPr>
            <w:tcW w:w="1134" w:type="dxa"/>
            <w:tcBorders>
              <w:top w:val="nil"/>
              <w:bottom w:val="nil"/>
            </w:tcBorders>
            <w:vAlign w:val="center"/>
          </w:tcPr>
          <w:p w14:paraId="4F0FD7F3" w14:textId="77777777" w:rsidR="00CA49AB" w:rsidRDefault="00CA49AB" w:rsidP="00FB4ED8">
            <w:pPr>
              <w:jc w:val="center"/>
            </w:pPr>
          </w:p>
        </w:tc>
      </w:tr>
      <w:tr w:rsidR="00CA49AB" w14:paraId="221AB5E1" w14:textId="77777777" w:rsidTr="00FB4ED8">
        <w:tc>
          <w:tcPr>
            <w:tcW w:w="3686" w:type="dxa"/>
            <w:gridSpan w:val="2"/>
            <w:tcBorders>
              <w:top w:val="nil"/>
              <w:bottom w:val="nil"/>
            </w:tcBorders>
          </w:tcPr>
          <w:p w14:paraId="79FA966A" w14:textId="77777777" w:rsidR="00CA49AB" w:rsidRPr="00CB09BE" w:rsidRDefault="00CA49AB" w:rsidP="00FB4ED8">
            <w:pPr>
              <w:rPr>
                <w:vertAlign w:val="superscript"/>
              </w:rPr>
            </w:pPr>
            <w:r>
              <w:t>Use of e-cigarettes</w:t>
            </w:r>
            <w:r>
              <w:rPr>
                <w:vertAlign w:val="superscript"/>
              </w:rPr>
              <w:t>2b</w:t>
            </w:r>
          </w:p>
        </w:tc>
        <w:tc>
          <w:tcPr>
            <w:tcW w:w="1417" w:type="dxa"/>
            <w:tcBorders>
              <w:top w:val="nil"/>
              <w:bottom w:val="nil"/>
            </w:tcBorders>
            <w:vAlign w:val="center"/>
          </w:tcPr>
          <w:p w14:paraId="1D6947D6" w14:textId="77777777" w:rsidR="00CA49AB" w:rsidRDefault="00CA49AB" w:rsidP="00FB4ED8">
            <w:pPr>
              <w:jc w:val="center"/>
            </w:pPr>
          </w:p>
        </w:tc>
        <w:tc>
          <w:tcPr>
            <w:tcW w:w="1275" w:type="dxa"/>
            <w:tcBorders>
              <w:top w:val="nil"/>
              <w:bottom w:val="nil"/>
            </w:tcBorders>
            <w:vAlign w:val="center"/>
          </w:tcPr>
          <w:p w14:paraId="6AF5A2CC" w14:textId="77777777" w:rsidR="00CA49AB" w:rsidRDefault="00CA49AB" w:rsidP="00FB4ED8">
            <w:pPr>
              <w:jc w:val="center"/>
            </w:pPr>
          </w:p>
        </w:tc>
        <w:tc>
          <w:tcPr>
            <w:tcW w:w="1134" w:type="dxa"/>
            <w:tcBorders>
              <w:top w:val="nil"/>
              <w:bottom w:val="nil"/>
            </w:tcBorders>
            <w:vAlign w:val="center"/>
          </w:tcPr>
          <w:p w14:paraId="6C7365F1" w14:textId="77777777" w:rsidR="00CA49AB" w:rsidRDefault="00CA49AB" w:rsidP="00FB4ED8">
            <w:pPr>
              <w:jc w:val="center"/>
            </w:pPr>
          </w:p>
        </w:tc>
      </w:tr>
      <w:tr w:rsidR="00CA49AB" w14:paraId="1D0F232B" w14:textId="77777777" w:rsidTr="00FB4ED8">
        <w:tc>
          <w:tcPr>
            <w:tcW w:w="284" w:type="dxa"/>
            <w:tcBorders>
              <w:top w:val="nil"/>
              <w:bottom w:val="nil"/>
            </w:tcBorders>
          </w:tcPr>
          <w:p w14:paraId="75C03ECB" w14:textId="77777777" w:rsidR="00CA49AB" w:rsidRDefault="00CA49AB" w:rsidP="00FB4ED8"/>
        </w:tc>
        <w:tc>
          <w:tcPr>
            <w:tcW w:w="3402" w:type="dxa"/>
            <w:tcBorders>
              <w:top w:val="nil"/>
              <w:bottom w:val="nil"/>
            </w:tcBorders>
          </w:tcPr>
          <w:p w14:paraId="6B35EB94" w14:textId="77777777" w:rsidR="00CA49AB" w:rsidRDefault="00CA49AB" w:rsidP="00FB4ED8">
            <w:r>
              <w:t>Trend (year)</w:t>
            </w:r>
          </w:p>
        </w:tc>
        <w:tc>
          <w:tcPr>
            <w:tcW w:w="1417" w:type="dxa"/>
            <w:tcBorders>
              <w:top w:val="nil"/>
              <w:bottom w:val="nil"/>
            </w:tcBorders>
            <w:vAlign w:val="center"/>
          </w:tcPr>
          <w:p w14:paraId="0E9B7418" w14:textId="77777777" w:rsidR="00CA49AB" w:rsidRDefault="00CA49AB" w:rsidP="00FB4ED8">
            <w:pPr>
              <w:jc w:val="center"/>
            </w:pPr>
            <w:r>
              <w:t>0.960</w:t>
            </w:r>
          </w:p>
        </w:tc>
        <w:tc>
          <w:tcPr>
            <w:tcW w:w="1275" w:type="dxa"/>
            <w:tcBorders>
              <w:top w:val="nil"/>
              <w:bottom w:val="nil"/>
            </w:tcBorders>
            <w:vAlign w:val="center"/>
          </w:tcPr>
          <w:p w14:paraId="7CC182C6" w14:textId="77777777" w:rsidR="00CA49AB" w:rsidRDefault="00CA49AB" w:rsidP="00FB4ED8">
            <w:pPr>
              <w:jc w:val="center"/>
            </w:pPr>
            <w:r>
              <w:t>0.898</w:t>
            </w:r>
          </w:p>
        </w:tc>
        <w:tc>
          <w:tcPr>
            <w:tcW w:w="1134" w:type="dxa"/>
            <w:tcBorders>
              <w:top w:val="nil"/>
              <w:bottom w:val="nil"/>
            </w:tcBorders>
            <w:vAlign w:val="center"/>
          </w:tcPr>
          <w:p w14:paraId="26C2DFC4" w14:textId="77777777" w:rsidR="00CA49AB" w:rsidRDefault="00CA49AB" w:rsidP="00FB4ED8">
            <w:pPr>
              <w:jc w:val="center"/>
            </w:pPr>
            <w:r>
              <w:t>1.026</w:t>
            </w:r>
          </w:p>
        </w:tc>
      </w:tr>
      <w:tr w:rsidR="00CA49AB" w14:paraId="39E6A231" w14:textId="77777777" w:rsidTr="00FB4ED8">
        <w:tc>
          <w:tcPr>
            <w:tcW w:w="284" w:type="dxa"/>
            <w:tcBorders>
              <w:top w:val="nil"/>
              <w:bottom w:val="nil"/>
            </w:tcBorders>
          </w:tcPr>
          <w:p w14:paraId="68C4EE9A" w14:textId="77777777" w:rsidR="00CA49AB" w:rsidRDefault="00CA49AB" w:rsidP="00FB4ED8"/>
        </w:tc>
        <w:tc>
          <w:tcPr>
            <w:tcW w:w="3402" w:type="dxa"/>
            <w:tcBorders>
              <w:top w:val="nil"/>
              <w:bottom w:val="nil"/>
            </w:tcBorders>
          </w:tcPr>
          <w:p w14:paraId="66027CCF" w14:textId="77777777" w:rsidR="00CA49AB" w:rsidRDefault="00CA49AB" w:rsidP="00FB4ED8">
            <w:r>
              <w:t>Level</w:t>
            </w:r>
          </w:p>
        </w:tc>
        <w:tc>
          <w:tcPr>
            <w:tcW w:w="1417" w:type="dxa"/>
            <w:tcBorders>
              <w:top w:val="nil"/>
              <w:bottom w:val="nil"/>
            </w:tcBorders>
            <w:vAlign w:val="center"/>
          </w:tcPr>
          <w:p w14:paraId="087AFC80" w14:textId="77777777" w:rsidR="00CA49AB" w:rsidRDefault="00CA49AB" w:rsidP="00FB4ED8">
            <w:pPr>
              <w:jc w:val="center"/>
            </w:pPr>
            <w:r>
              <w:t>0.776</w:t>
            </w:r>
          </w:p>
        </w:tc>
        <w:tc>
          <w:tcPr>
            <w:tcW w:w="1275" w:type="dxa"/>
            <w:tcBorders>
              <w:top w:val="nil"/>
              <w:bottom w:val="nil"/>
            </w:tcBorders>
            <w:vAlign w:val="center"/>
          </w:tcPr>
          <w:p w14:paraId="7135722B" w14:textId="77777777" w:rsidR="00CA49AB" w:rsidRDefault="00CA49AB" w:rsidP="00FB4ED8">
            <w:pPr>
              <w:jc w:val="center"/>
            </w:pPr>
            <w:r>
              <w:t>0.657</w:t>
            </w:r>
          </w:p>
        </w:tc>
        <w:tc>
          <w:tcPr>
            <w:tcW w:w="1134" w:type="dxa"/>
            <w:tcBorders>
              <w:top w:val="nil"/>
              <w:bottom w:val="nil"/>
            </w:tcBorders>
            <w:vAlign w:val="center"/>
          </w:tcPr>
          <w:p w14:paraId="2A69DA40" w14:textId="77777777" w:rsidR="00CA49AB" w:rsidRDefault="00CA49AB" w:rsidP="00FB4ED8">
            <w:pPr>
              <w:jc w:val="center"/>
            </w:pPr>
            <w:r>
              <w:t>0.917</w:t>
            </w:r>
          </w:p>
        </w:tc>
      </w:tr>
      <w:tr w:rsidR="00CA49AB" w14:paraId="01D88397" w14:textId="77777777" w:rsidTr="00FB4ED8">
        <w:tc>
          <w:tcPr>
            <w:tcW w:w="284" w:type="dxa"/>
            <w:tcBorders>
              <w:top w:val="nil"/>
              <w:bottom w:val="single" w:sz="4" w:space="0" w:color="auto"/>
            </w:tcBorders>
          </w:tcPr>
          <w:p w14:paraId="5FE8FC94" w14:textId="77777777" w:rsidR="00CA49AB" w:rsidRDefault="00CA49AB" w:rsidP="00FB4ED8"/>
        </w:tc>
        <w:tc>
          <w:tcPr>
            <w:tcW w:w="3402" w:type="dxa"/>
            <w:tcBorders>
              <w:top w:val="nil"/>
              <w:bottom w:val="single" w:sz="4" w:space="0" w:color="auto"/>
            </w:tcBorders>
          </w:tcPr>
          <w:p w14:paraId="082E9E40" w14:textId="75E57325" w:rsidR="00CA49AB" w:rsidRDefault="00F11D38" w:rsidP="00FB4ED8">
            <w:r>
              <w:rPr>
                <w:rFonts w:cstheme="minorHAnsi"/>
              </w:rPr>
              <w:t>ΔTrend</w:t>
            </w:r>
            <w:r>
              <w:t xml:space="preserve"> </w:t>
            </w:r>
            <w:r w:rsidR="00CA49AB">
              <w:t>(year)</w:t>
            </w:r>
          </w:p>
        </w:tc>
        <w:tc>
          <w:tcPr>
            <w:tcW w:w="1417" w:type="dxa"/>
            <w:tcBorders>
              <w:top w:val="nil"/>
              <w:bottom w:val="single" w:sz="4" w:space="0" w:color="auto"/>
            </w:tcBorders>
            <w:vAlign w:val="center"/>
          </w:tcPr>
          <w:p w14:paraId="7F79A09D" w14:textId="77777777" w:rsidR="00CA49AB" w:rsidRDefault="00CA49AB" w:rsidP="00FB4ED8">
            <w:pPr>
              <w:jc w:val="center"/>
            </w:pPr>
            <w:r>
              <w:t>1.232</w:t>
            </w:r>
          </w:p>
        </w:tc>
        <w:tc>
          <w:tcPr>
            <w:tcW w:w="1275" w:type="dxa"/>
            <w:tcBorders>
              <w:top w:val="nil"/>
              <w:bottom w:val="single" w:sz="4" w:space="0" w:color="auto"/>
            </w:tcBorders>
            <w:vAlign w:val="center"/>
          </w:tcPr>
          <w:p w14:paraId="78139D0B" w14:textId="77777777" w:rsidR="00CA49AB" w:rsidRDefault="00CA49AB" w:rsidP="00FB4ED8">
            <w:pPr>
              <w:jc w:val="center"/>
            </w:pPr>
            <w:r>
              <w:t>1.112</w:t>
            </w:r>
          </w:p>
        </w:tc>
        <w:tc>
          <w:tcPr>
            <w:tcW w:w="1134" w:type="dxa"/>
            <w:tcBorders>
              <w:top w:val="nil"/>
              <w:bottom w:val="single" w:sz="4" w:space="0" w:color="auto"/>
            </w:tcBorders>
            <w:vAlign w:val="center"/>
          </w:tcPr>
          <w:p w14:paraId="237CB27F" w14:textId="77777777" w:rsidR="00CA49AB" w:rsidRDefault="00CA49AB" w:rsidP="00FB4ED8">
            <w:pPr>
              <w:jc w:val="center"/>
            </w:pPr>
            <w:r>
              <w:t>1.365</w:t>
            </w:r>
          </w:p>
        </w:tc>
      </w:tr>
    </w:tbl>
    <w:p w14:paraId="6A3CD5F9" w14:textId="77777777" w:rsidR="00CA49AB" w:rsidRDefault="00CA49AB" w:rsidP="00CA49AB">
      <w:pPr>
        <w:spacing w:after="0" w:line="240" w:lineRule="auto"/>
      </w:pPr>
      <w:r>
        <w:rPr>
          <w:vertAlign w:val="superscript"/>
        </w:rPr>
        <w:t>1</w:t>
      </w:r>
      <w:r>
        <w:t xml:space="preserve"> Among past-year smokers.  </w:t>
      </w:r>
      <w:r>
        <w:rPr>
          <w:vertAlign w:val="superscript"/>
        </w:rPr>
        <w:t>2</w:t>
      </w:r>
      <w:r>
        <w:t xml:space="preserve"> Among past-year smokers who made </w:t>
      </w:r>
      <w:r>
        <w:rPr>
          <w:rFonts w:cs="Calibri"/>
        </w:rPr>
        <w:t>≥</w:t>
      </w:r>
      <w:r>
        <w:t xml:space="preserve">1 quit attempt in the past 12 months.  </w:t>
      </w:r>
      <w:r>
        <w:rPr>
          <w:vertAlign w:val="superscript"/>
        </w:rPr>
        <w:t>3</w:t>
      </w:r>
      <w:r>
        <w:t xml:space="preserve"> Among past-year smokers who made </w:t>
      </w:r>
      <w:r>
        <w:rPr>
          <w:rFonts w:cs="Calibri"/>
        </w:rPr>
        <w:t>≥</w:t>
      </w:r>
      <w:r>
        <w:t>1 quit attempt 6-12 months before completing the survey.</w:t>
      </w:r>
    </w:p>
    <w:p w14:paraId="3AE9B269" w14:textId="77777777" w:rsidR="00CA49AB" w:rsidRDefault="00CA49AB" w:rsidP="00CA49AB">
      <w:pPr>
        <w:spacing w:after="0" w:line="240" w:lineRule="auto"/>
      </w:pPr>
      <w:r>
        <w:rPr>
          <w:vertAlign w:val="superscript"/>
        </w:rPr>
        <w:t xml:space="preserve">a </w:t>
      </w:r>
      <w:r>
        <w:t>Adjusted for seasonality, age, gender, social grade, region, and national expenditure on tobacco control mass media campaigns.</w:t>
      </w:r>
    </w:p>
    <w:p w14:paraId="326E47C7" w14:textId="56002D81" w:rsidR="00CA49AB" w:rsidRDefault="00CA49AB" w:rsidP="00CA49AB">
      <w:pPr>
        <w:spacing w:after="0" w:line="240" w:lineRule="auto"/>
        <w:rPr>
          <w:rFonts w:cstheme="minorHAnsi"/>
          <w:color w:val="000000"/>
        </w:rPr>
      </w:pPr>
      <w:r>
        <w:rPr>
          <w:rFonts w:cstheme="minorHAnsi"/>
          <w:color w:val="000000"/>
        </w:rPr>
        <w:t xml:space="preserve">Trend is the underlying secular trend.  Level is the step-level change associated with the start of the pandemic.  </w:t>
      </w:r>
      <w:r w:rsidR="00F11D38" w:rsidRPr="00FC39B7">
        <w:rPr>
          <w:rFonts w:cstheme="minorHAnsi"/>
        </w:rPr>
        <w:t>Δ</w:t>
      </w:r>
      <w:r w:rsidR="00F11D38">
        <w:rPr>
          <w:rFonts w:cstheme="minorHAnsi"/>
        </w:rPr>
        <w:t xml:space="preserve">Trend </w:t>
      </w:r>
      <w:r>
        <w:rPr>
          <w:rFonts w:cstheme="minorHAnsi"/>
          <w:color w:val="000000"/>
        </w:rPr>
        <w:t xml:space="preserve">is the </w:t>
      </w:r>
      <w:r w:rsidR="006919F7">
        <w:rPr>
          <w:rFonts w:cstheme="minorHAnsi"/>
          <w:color w:val="000000"/>
        </w:rPr>
        <w:t>change in trend</w:t>
      </w:r>
      <w:r>
        <w:rPr>
          <w:rFonts w:cstheme="minorHAnsi"/>
          <w:color w:val="000000"/>
        </w:rPr>
        <w:t xml:space="preserve"> </w:t>
      </w:r>
      <w:r w:rsidR="00F11D38">
        <w:rPr>
          <w:rFonts w:cstheme="minorHAnsi"/>
          <w:color w:val="000000"/>
        </w:rPr>
        <w:t xml:space="preserve">(slope) </w:t>
      </w:r>
      <w:r>
        <w:rPr>
          <w:rFonts w:cstheme="minorHAnsi"/>
          <w:color w:val="000000"/>
        </w:rPr>
        <w:t>following the start of the pandemic.</w:t>
      </w:r>
    </w:p>
    <w:p w14:paraId="65852883" w14:textId="77777777" w:rsidR="00930571" w:rsidRDefault="00930571" w:rsidP="00CA49AB">
      <w:pPr>
        <w:spacing w:after="0" w:line="276" w:lineRule="auto"/>
        <w:rPr>
          <w:b/>
        </w:rPr>
        <w:sectPr w:rsidR="00930571" w:rsidSect="00EA2CCE">
          <w:pgSz w:w="12240" w:h="15840" w:code="1"/>
          <w:pgMar w:top="1440" w:right="1440" w:bottom="1440" w:left="1440" w:header="720" w:footer="720" w:gutter="0"/>
          <w:cols w:space="720"/>
          <w:noEndnote/>
          <w:docGrid w:linePitch="299"/>
        </w:sectPr>
      </w:pPr>
    </w:p>
    <w:p w14:paraId="297628A1" w14:textId="4349E127" w:rsidR="00930571" w:rsidRDefault="0069095D" w:rsidP="00CA49AB">
      <w:pPr>
        <w:spacing w:after="0" w:line="276" w:lineRule="auto"/>
        <w:rPr>
          <w:b/>
        </w:rPr>
        <w:sectPr w:rsidR="00930571" w:rsidSect="00930571">
          <w:pgSz w:w="12240" w:h="15840" w:code="1"/>
          <w:pgMar w:top="284" w:right="1440" w:bottom="1440" w:left="1440" w:header="720" w:footer="720" w:gutter="0"/>
          <w:cols w:space="720"/>
          <w:noEndnote/>
          <w:docGrid w:linePitch="299"/>
        </w:sectPr>
      </w:pPr>
      <w:r w:rsidRPr="0069095D">
        <w:rPr>
          <w:b/>
          <w:noProof/>
          <w:lang w:eastAsia="en-GB"/>
        </w:rPr>
        <w:lastRenderedPageBreak/>
        <w:drawing>
          <wp:inline distT="0" distB="0" distL="0" distR="0" wp14:anchorId="0CBAF563" wp14:editId="7E282F63">
            <wp:extent cx="5943600" cy="9911827"/>
            <wp:effectExtent l="0" t="0" r="0" b="0"/>
            <wp:docPr id="3" name="Picture 3" descr="N:\Documents\Post-doc\UTARG\Papers in progress\First author\Long-term Covid smoking trends\Figure - quitting activity (raw and modelled, with and without adjustment for dependence) - medium-term abstinenc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cuments\Post-doc\UTARG\Papers in progress\First author\Long-term Covid smoking trends\Figure - quitting activity (raw and modelled, with and without adjustment for dependence) - medium-term abstinence.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911827"/>
                    </a:xfrm>
                    <a:prstGeom prst="rect">
                      <a:avLst/>
                    </a:prstGeom>
                    <a:noFill/>
                    <a:ln>
                      <a:noFill/>
                    </a:ln>
                  </pic:spPr>
                </pic:pic>
              </a:graphicData>
            </a:graphic>
          </wp:inline>
        </w:drawing>
      </w:r>
    </w:p>
    <w:p w14:paraId="503FEA03" w14:textId="23727DB6" w:rsidR="00930571" w:rsidRDefault="00930571" w:rsidP="00930571">
      <w:r>
        <w:rPr>
          <w:b/>
        </w:rPr>
        <w:lastRenderedPageBreak/>
        <w:t xml:space="preserve">Supplementary </w:t>
      </w:r>
      <w:r w:rsidRPr="00930571">
        <w:rPr>
          <w:b/>
        </w:rPr>
        <w:t xml:space="preserve">Figure </w:t>
      </w:r>
      <w:r>
        <w:rPr>
          <w:b/>
        </w:rPr>
        <w:t>1</w:t>
      </w:r>
      <w:r w:rsidRPr="00930571">
        <w:rPr>
          <w:b/>
        </w:rPr>
        <w:t>.  Quitting activity,</w:t>
      </w:r>
      <w:r>
        <w:rPr>
          <w:b/>
        </w:rPr>
        <w:t xml:space="preserve"> with and without adjustment for dependence</w:t>
      </w:r>
      <w:r w:rsidRPr="00930571">
        <w:rPr>
          <w:b/>
        </w:rPr>
        <w:t xml:space="preserve">. </w:t>
      </w:r>
      <w:r>
        <w:t>Panels show trends in the prevalence of (A) cessation and (B) making at least one quit attempt in the past year among past-year smokers (</w:t>
      </w:r>
      <w:r>
        <w:rPr>
          <w:i/>
        </w:rPr>
        <w:t>unweighted n = 17,964</w:t>
      </w:r>
      <w:r>
        <w:t>), (C) the weighted geometric mean number of past-year quit attempts among past-year smokers who made at least one quit attempt (</w:t>
      </w:r>
      <w:r>
        <w:rPr>
          <w:i/>
        </w:rPr>
        <w:t>unweighted n = 5,754</w:t>
      </w:r>
      <w:r>
        <w:t xml:space="preserve">), and (D) the prevalence of </w:t>
      </w:r>
      <w:r w:rsidR="001D625B">
        <w:t>medium</w:t>
      </w:r>
      <w:r>
        <w:t>-term abstinence among past-year smokers who made a quit attempt 6-12 months ago (</w:t>
      </w:r>
      <w:r>
        <w:rPr>
          <w:i/>
        </w:rPr>
        <w:t>unweighted n = 2,855</w:t>
      </w:r>
      <w:r>
        <w:t>), June 2017 to August 2022. Lines represent modelled weighted prevalence (or means) over the study period, adjusted for covariates. Points represent raw weighted prevalence (or means) by month. The vertical dashed line indicates the timing of the start of the Covid-19 pandemic in England (March 2020).</w:t>
      </w:r>
    </w:p>
    <w:p w14:paraId="3F01608A" w14:textId="77777777" w:rsidR="00930571" w:rsidRDefault="00930571" w:rsidP="00930571">
      <w:pPr>
        <w:rPr>
          <w:rFonts w:eastAsiaTheme="majorEastAsia" w:cstheme="minorHAnsi"/>
        </w:rPr>
        <w:sectPr w:rsidR="00930571">
          <w:pgSz w:w="12240" w:h="15840"/>
          <w:pgMar w:top="1440" w:right="1440" w:bottom="1440" w:left="1440" w:header="720" w:footer="720" w:gutter="0"/>
          <w:cols w:space="720"/>
        </w:sectPr>
      </w:pPr>
    </w:p>
    <w:p w14:paraId="4BC46AC5" w14:textId="55D1D695" w:rsidR="00CA49AB" w:rsidRDefault="00930571" w:rsidP="00CA49AB">
      <w:pPr>
        <w:spacing w:after="0" w:line="276" w:lineRule="auto"/>
        <w:rPr>
          <w:b/>
        </w:rPr>
      </w:pPr>
      <w:r w:rsidRPr="00930571">
        <w:rPr>
          <w:b/>
          <w:noProof/>
          <w:lang w:eastAsia="en-GB"/>
        </w:rPr>
        <w:lastRenderedPageBreak/>
        <w:drawing>
          <wp:inline distT="0" distB="0" distL="0" distR="0" wp14:anchorId="35F83289" wp14:editId="5A79D543">
            <wp:extent cx="5635256" cy="7039225"/>
            <wp:effectExtent l="0" t="0" r="3810" b="0"/>
            <wp:docPr id="2" name="Picture 2" descr="N:\Documents\Post-doc\UTARG\Papers in progress\First author\Long-term Covid smoking trends\Figure - use of support (raw and modelled - with and without adjustment for dependenc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cuments\Post-doc\UTARG\Papers in progress\First author\Long-term Covid smoking trends\Figure - use of support (raw and modelled - with and without adjustment for dependence).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0634" cy="7045943"/>
                    </a:xfrm>
                    <a:prstGeom prst="rect">
                      <a:avLst/>
                    </a:prstGeom>
                    <a:noFill/>
                    <a:ln>
                      <a:noFill/>
                    </a:ln>
                  </pic:spPr>
                </pic:pic>
              </a:graphicData>
            </a:graphic>
          </wp:inline>
        </w:drawing>
      </w:r>
    </w:p>
    <w:p w14:paraId="2FFCB00B" w14:textId="77777777" w:rsidR="00930571" w:rsidRDefault="00930571" w:rsidP="00930571">
      <w:pPr>
        <w:spacing w:after="0"/>
        <w:rPr>
          <w:b/>
        </w:rPr>
      </w:pPr>
    </w:p>
    <w:p w14:paraId="0E8441DE" w14:textId="59BBF3A7" w:rsidR="00930571" w:rsidRDefault="00930571" w:rsidP="00930571">
      <w:r>
        <w:rPr>
          <w:b/>
        </w:rPr>
        <w:t xml:space="preserve">Supplementary </w:t>
      </w:r>
      <w:r w:rsidRPr="00930571">
        <w:rPr>
          <w:b/>
        </w:rPr>
        <w:t xml:space="preserve">Figure </w:t>
      </w:r>
      <w:r>
        <w:rPr>
          <w:b/>
        </w:rPr>
        <w:t>2</w:t>
      </w:r>
      <w:r w:rsidRPr="00930571">
        <w:rPr>
          <w:b/>
        </w:rPr>
        <w:t xml:space="preserve">.  Use of support by smokers in quit attempts, </w:t>
      </w:r>
      <w:r>
        <w:rPr>
          <w:b/>
        </w:rPr>
        <w:t>with and without adjustment for dependence</w:t>
      </w:r>
      <w:r w:rsidRPr="00930571">
        <w:rPr>
          <w:b/>
        </w:rPr>
        <w:t>.</w:t>
      </w:r>
      <w:r>
        <w:t xml:space="preserve"> Panels show trends in the prevalence of use of (A) prescription medication, (B) behavioural support, and (C) e-cigarettes in the most recent quit attempt among past-year smokers who made a least one quit attempt (</w:t>
      </w:r>
      <w:r>
        <w:rPr>
          <w:i/>
        </w:rPr>
        <w:t>unweighted n = 5,754</w:t>
      </w:r>
      <w:r>
        <w:t>), June 2017 to August 2022. Lines represent modelled weighted prevalence over the study period, adjusted for covariates. Points represent raw weighted prevalence by month. The vertical dashed line indicates the timing of the start of the Covid-19 pandemic in England (March 2020).</w:t>
      </w:r>
    </w:p>
    <w:p w14:paraId="02DF8AB7" w14:textId="77777777" w:rsidR="00930571" w:rsidRDefault="00930571" w:rsidP="00930571">
      <w:pPr>
        <w:rPr>
          <w:rFonts w:eastAsiaTheme="majorEastAsia" w:cstheme="minorHAnsi"/>
        </w:rPr>
        <w:sectPr w:rsidR="00930571">
          <w:pgSz w:w="12240" w:h="15840"/>
          <w:pgMar w:top="709" w:right="1440" w:bottom="1440" w:left="1440" w:header="720" w:footer="720" w:gutter="0"/>
          <w:cols w:space="720"/>
        </w:sectPr>
      </w:pPr>
    </w:p>
    <w:p w14:paraId="744B1F83" w14:textId="02BEAC6D" w:rsidR="00F11D3F" w:rsidRPr="00CB09BE" w:rsidRDefault="00F11D3F" w:rsidP="00F11D3F">
      <w:pPr>
        <w:tabs>
          <w:tab w:val="right" w:pos="9360"/>
        </w:tabs>
        <w:spacing w:after="0" w:line="276" w:lineRule="auto"/>
      </w:pPr>
      <w:r>
        <w:rPr>
          <w:b/>
        </w:rPr>
        <w:lastRenderedPageBreak/>
        <w:t xml:space="preserve">Supplementary Table </w:t>
      </w:r>
      <w:r w:rsidR="00254383">
        <w:rPr>
          <w:b/>
        </w:rPr>
        <w:t>4</w:t>
      </w:r>
      <w:r>
        <w:t xml:space="preserve">. </w:t>
      </w:r>
      <w:r w:rsidRPr="001812F3">
        <w:rPr>
          <w:bCs/>
        </w:rPr>
        <w:t xml:space="preserve">Associations between the Covid-19 pandemic and </w:t>
      </w:r>
      <w:r>
        <w:rPr>
          <w:bCs/>
        </w:rPr>
        <w:t>cigarette dependence</w:t>
      </w:r>
      <w:r>
        <w:rPr>
          <w:bCs/>
        </w:rPr>
        <w:tab/>
      </w:r>
    </w:p>
    <w:tbl>
      <w:tblPr>
        <w:tblStyle w:val="TableGrid"/>
        <w:tblW w:w="7512" w:type="dxa"/>
        <w:tblBorders>
          <w:left w:val="none" w:sz="0" w:space="0" w:color="auto"/>
          <w:right w:val="none" w:sz="0" w:space="0" w:color="auto"/>
          <w:insideV w:val="none" w:sz="0" w:space="0" w:color="auto"/>
        </w:tblBorders>
        <w:tblLook w:val="04A0" w:firstRow="1" w:lastRow="0" w:firstColumn="1" w:lastColumn="0" w:noHBand="0" w:noVBand="1"/>
      </w:tblPr>
      <w:tblGrid>
        <w:gridCol w:w="284"/>
        <w:gridCol w:w="3402"/>
        <w:gridCol w:w="1417"/>
        <w:gridCol w:w="1275"/>
        <w:gridCol w:w="1134"/>
      </w:tblGrid>
      <w:tr w:rsidR="00F11D3F" w:rsidRPr="00CB09BE" w14:paraId="5E06D459" w14:textId="77777777" w:rsidTr="00FB4ED8">
        <w:tc>
          <w:tcPr>
            <w:tcW w:w="3686" w:type="dxa"/>
            <w:gridSpan w:val="2"/>
            <w:tcBorders>
              <w:bottom w:val="nil"/>
            </w:tcBorders>
            <w:vAlign w:val="bottom"/>
          </w:tcPr>
          <w:p w14:paraId="0104D450" w14:textId="77777777" w:rsidR="00F11D3F" w:rsidRPr="00CB09BE" w:rsidRDefault="00F11D3F" w:rsidP="00FB4ED8">
            <w:pPr>
              <w:jc w:val="center"/>
              <w:rPr>
                <w:b/>
              </w:rPr>
            </w:pPr>
          </w:p>
        </w:tc>
        <w:tc>
          <w:tcPr>
            <w:tcW w:w="1417" w:type="dxa"/>
            <w:vMerge w:val="restart"/>
            <w:vAlign w:val="bottom"/>
          </w:tcPr>
          <w:p w14:paraId="3151ADF2" w14:textId="66BB1304" w:rsidR="00F11D3F" w:rsidRPr="00C42472" w:rsidRDefault="00C42472" w:rsidP="00FB4ED8">
            <w:pPr>
              <w:jc w:val="center"/>
              <w:rPr>
                <w:b/>
                <w:i/>
              </w:rPr>
            </w:pPr>
            <w:r>
              <w:rPr>
                <w:b/>
                <w:i/>
              </w:rPr>
              <w:t>B</w:t>
            </w:r>
          </w:p>
        </w:tc>
        <w:tc>
          <w:tcPr>
            <w:tcW w:w="2409" w:type="dxa"/>
            <w:gridSpan w:val="2"/>
            <w:vAlign w:val="bottom"/>
          </w:tcPr>
          <w:p w14:paraId="258AEF30" w14:textId="77777777" w:rsidR="00F11D3F" w:rsidRPr="00CB09BE" w:rsidRDefault="00F11D3F" w:rsidP="00FB4ED8">
            <w:pPr>
              <w:jc w:val="center"/>
              <w:rPr>
                <w:b/>
              </w:rPr>
            </w:pPr>
            <w:r w:rsidRPr="00CB09BE">
              <w:rPr>
                <w:b/>
              </w:rPr>
              <w:t>95% CI</w:t>
            </w:r>
          </w:p>
        </w:tc>
      </w:tr>
      <w:tr w:rsidR="00F11D3F" w:rsidRPr="00CB09BE" w14:paraId="55A21788" w14:textId="77777777" w:rsidTr="00FB4ED8">
        <w:tc>
          <w:tcPr>
            <w:tcW w:w="3686" w:type="dxa"/>
            <w:gridSpan w:val="2"/>
            <w:tcBorders>
              <w:top w:val="nil"/>
              <w:bottom w:val="single" w:sz="4" w:space="0" w:color="auto"/>
            </w:tcBorders>
            <w:vAlign w:val="bottom"/>
          </w:tcPr>
          <w:p w14:paraId="470D3C9A" w14:textId="77777777" w:rsidR="00F11D3F" w:rsidRPr="00CB09BE" w:rsidRDefault="00F11D3F" w:rsidP="00FB4ED8">
            <w:pPr>
              <w:jc w:val="center"/>
              <w:rPr>
                <w:b/>
              </w:rPr>
            </w:pPr>
          </w:p>
        </w:tc>
        <w:tc>
          <w:tcPr>
            <w:tcW w:w="1417" w:type="dxa"/>
            <w:vMerge/>
            <w:tcBorders>
              <w:bottom w:val="single" w:sz="4" w:space="0" w:color="auto"/>
            </w:tcBorders>
            <w:vAlign w:val="bottom"/>
          </w:tcPr>
          <w:p w14:paraId="61DAAF11" w14:textId="77777777" w:rsidR="00F11D3F" w:rsidRPr="00CB09BE" w:rsidRDefault="00F11D3F" w:rsidP="00FB4ED8">
            <w:pPr>
              <w:jc w:val="center"/>
              <w:rPr>
                <w:b/>
              </w:rPr>
            </w:pPr>
          </w:p>
        </w:tc>
        <w:tc>
          <w:tcPr>
            <w:tcW w:w="1275" w:type="dxa"/>
            <w:tcBorders>
              <w:bottom w:val="single" w:sz="4" w:space="0" w:color="auto"/>
            </w:tcBorders>
            <w:vAlign w:val="bottom"/>
          </w:tcPr>
          <w:p w14:paraId="1D7B1830" w14:textId="77777777" w:rsidR="00F11D3F" w:rsidRPr="00CB09BE" w:rsidRDefault="00F11D3F" w:rsidP="00FB4ED8">
            <w:pPr>
              <w:jc w:val="center"/>
              <w:rPr>
                <w:b/>
              </w:rPr>
            </w:pPr>
            <w:r w:rsidRPr="00CB09BE">
              <w:rPr>
                <w:b/>
              </w:rPr>
              <w:t>Lower</w:t>
            </w:r>
          </w:p>
        </w:tc>
        <w:tc>
          <w:tcPr>
            <w:tcW w:w="1134" w:type="dxa"/>
            <w:tcBorders>
              <w:bottom w:val="single" w:sz="4" w:space="0" w:color="auto"/>
            </w:tcBorders>
            <w:vAlign w:val="bottom"/>
          </w:tcPr>
          <w:p w14:paraId="165BAA54" w14:textId="77777777" w:rsidR="00F11D3F" w:rsidRPr="00CB09BE" w:rsidRDefault="00F11D3F" w:rsidP="00FB4ED8">
            <w:pPr>
              <w:jc w:val="center"/>
              <w:rPr>
                <w:b/>
              </w:rPr>
            </w:pPr>
            <w:r w:rsidRPr="00CB09BE">
              <w:rPr>
                <w:b/>
              </w:rPr>
              <w:t>Upper</w:t>
            </w:r>
          </w:p>
        </w:tc>
      </w:tr>
      <w:tr w:rsidR="00F11D3F" w14:paraId="575D967C" w14:textId="77777777" w:rsidTr="00FB4ED8">
        <w:tc>
          <w:tcPr>
            <w:tcW w:w="3686" w:type="dxa"/>
            <w:gridSpan w:val="2"/>
            <w:tcBorders>
              <w:top w:val="nil"/>
              <w:bottom w:val="nil"/>
            </w:tcBorders>
          </w:tcPr>
          <w:p w14:paraId="466D8D07" w14:textId="77777777" w:rsidR="00F11D3F" w:rsidRPr="00CB09BE" w:rsidRDefault="00F11D3F" w:rsidP="00FB4ED8">
            <w:pPr>
              <w:rPr>
                <w:vertAlign w:val="superscript"/>
              </w:rPr>
            </w:pPr>
            <w:r>
              <w:t>Cigarette dependence</w:t>
            </w:r>
            <w:r>
              <w:rPr>
                <w:vertAlign w:val="superscript"/>
              </w:rPr>
              <w:t>1a</w:t>
            </w:r>
          </w:p>
        </w:tc>
        <w:tc>
          <w:tcPr>
            <w:tcW w:w="1417" w:type="dxa"/>
            <w:tcBorders>
              <w:top w:val="nil"/>
              <w:bottom w:val="nil"/>
            </w:tcBorders>
            <w:vAlign w:val="center"/>
          </w:tcPr>
          <w:p w14:paraId="73C83076" w14:textId="77777777" w:rsidR="00F11D3F" w:rsidRDefault="00F11D3F" w:rsidP="00FB4ED8">
            <w:pPr>
              <w:jc w:val="center"/>
            </w:pPr>
          </w:p>
        </w:tc>
        <w:tc>
          <w:tcPr>
            <w:tcW w:w="1275" w:type="dxa"/>
            <w:tcBorders>
              <w:top w:val="nil"/>
              <w:bottom w:val="nil"/>
            </w:tcBorders>
            <w:vAlign w:val="center"/>
          </w:tcPr>
          <w:p w14:paraId="61F826C9" w14:textId="77777777" w:rsidR="00F11D3F" w:rsidRDefault="00F11D3F" w:rsidP="00FB4ED8">
            <w:pPr>
              <w:jc w:val="center"/>
            </w:pPr>
          </w:p>
        </w:tc>
        <w:tc>
          <w:tcPr>
            <w:tcW w:w="1134" w:type="dxa"/>
            <w:tcBorders>
              <w:top w:val="nil"/>
              <w:bottom w:val="nil"/>
            </w:tcBorders>
            <w:vAlign w:val="center"/>
          </w:tcPr>
          <w:p w14:paraId="07F4DA0B" w14:textId="77777777" w:rsidR="00F11D3F" w:rsidRDefault="00F11D3F" w:rsidP="00FB4ED8">
            <w:pPr>
              <w:jc w:val="center"/>
            </w:pPr>
          </w:p>
        </w:tc>
      </w:tr>
      <w:tr w:rsidR="00F11D3F" w14:paraId="440F4DC4" w14:textId="77777777" w:rsidTr="00FB4ED8">
        <w:tc>
          <w:tcPr>
            <w:tcW w:w="284" w:type="dxa"/>
            <w:tcBorders>
              <w:top w:val="nil"/>
              <w:bottom w:val="nil"/>
            </w:tcBorders>
          </w:tcPr>
          <w:p w14:paraId="3C62FF9E" w14:textId="77777777" w:rsidR="00F11D3F" w:rsidRDefault="00F11D3F" w:rsidP="00FB4ED8"/>
        </w:tc>
        <w:tc>
          <w:tcPr>
            <w:tcW w:w="3402" w:type="dxa"/>
            <w:tcBorders>
              <w:top w:val="nil"/>
              <w:bottom w:val="nil"/>
            </w:tcBorders>
          </w:tcPr>
          <w:p w14:paraId="3CF531CE" w14:textId="77777777" w:rsidR="00F11D3F" w:rsidRDefault="00F11D3F" w:rsidP="00FB4ED8">
            <w:r>
              <w:t>Trend (year)</w:t>
            </w:r>
          </w:p>
        </w:tc>
        <w:tc>
          <w:tcPr>
            <w:tcW w:w="1417" w:type="dxa"/>
            <w:tcBorders>
              <w:top w:val="nil"/>
              <w:bottom w:val="nil"/>
            </w:tcBorders>
            <w:vAlign w:val="center"/>
          </w:tcPr>
          <w:p w14:paraId="25848AC6" w14:textId="336730DE" w:rsidR="00F11D3F" w:rsidRDefault="00C42472" w:rsidP="00FB4ED8">
            <w:pPr>
              <w:jc w:val="center"/>
            </w:pPr>
            <w:r>
              <w:t>-0.003</w:t>
            </w:r>
          </w:p>
        </w:tc>
        <w:tc>
          <w:tcPr>
            <w:tcW w:w="1275" w:type="dxa"/>
            <w:tcBorders>
              <w:top w:val="nil"/>
              <w:bottom w:val="nil"/>
            </w:tcBorders>
            <w:vAlign w:val="center"/>
          </w:tcPr>
          <w:p w14:paraId="68CC86B9" w14:textId="18CA7730" w:rsidR="00F11D3F" w:rsidRDefault="00C42472" w:rsidP="00FB4ED8">
            <w:pPr>
              <w:jc w:val="center"/>
            </w:pPr>
            <w:r>
              <w:t>-0.033</w:t>
            </w:r>
          </w:p>
        </w:tc>
        <w:tc>
          <w:tcPr>
            <w:tcW w:w="1134" w:type="dxa"/>
            <w:tcBorders>
              <w:top w:val="nil"/>
              <w:bottom w:val="nil"/>
            </w:tcBorders>
            <w:vAlign w:val="center"/>
          </w:tcPr>
          <w:p w14:paraId="09595B46" w14:textId="4071FE11" w:rsidR="00F11D3F" w:rsidRDefault="00B922CE" w:rsidP="00FB4ED8">
            <w:pPr>
              <w:jc w:val="center"/>
            </w:pPr>
            <w:r>
              <w:t xml:space="preserve"> </w:t>
            </w:r>
            <w:r w:rsidR="00C42472">
              <w:t>0.027</w:t>
            </w:r>
          </w:p>
        </w:tc>
      </w:tr>
      <w:tr w:rsidR="00F11D3F" w14:paraId="290A235F" w14:textId="77777777" w:rsidTr="00FB4ED8">
        <w:tc>
          <w:tcPr>
            <w:tcW w:w="284" w:type="dxa"/>
            <w:tcBorders>
              <w:top w:val="nil"/>
              <w:bottom w:val="nil"/>
            </w:tcBorders>
          </w:tcPr>
          <w:p w14:paraId="1A274108" w14:textId="77777777" w:rsidR="00F11D3F" w:rsidRDefault="00F11D3F" w:rsidP="00FB4ED8"/>
        </w:tc>
        <w:tc>
          <w:tcPr>
            <w:tcW w:w="3402" w:type="dxa"/>
            <w:tcBorders>
              <w:top w:val="nil"/>
              <w:bottom w:val="nil"/>
            </w:tcBorders>
          </w:tcPr>
          <w:p w14:paraId="6EF687CD" w14:textId="77777777" w:rsidR="00F11D3F" w:rsidRDefault="00F11D3F" w:rsidP="00FB4ED8">
            <w:r>
              <w:t>Level</w:t>
            </w:r>
          </w:p>
        </w:tc>
        <w:tc>
          <w:tcPr>
            <w:tcW w:w="1417" w:type="dxa"/>
            <w:tcBorders>
              <w:top w:val="nil"/>
              <w:bottom w:val="nil"/>
            </w:tcBorders>
            <w:vAlign w:val="center"/>
          </w:tcPr>
          <w:p w14:paraId="02C4B0A6" w14:textId="3C0BAAAD" w:rsidR="00F11D3F" w:rsidRDefault="00C42472" w:rsidP="00FB4ED8">
            <w:pPr>
              <w:jc w:val="center"/>
            </w:pPr>
            <w:r>
              <w:t>-0.107</w:t>
            </w:r>
          </w:p>
        </w:tc>
        <w:tc>
          <w:tcPr>
            <w:tcW w:w="1275" w:type="dxa"/>
            <w:tcBorders>
              <w:top w:val="nil"/>
              <w:bottom w:val="nil"/>
            </w:tcBorders>
            <w:vAlign w:val="center"/>
          </w:tcPr>
          <w:p w14:paraId="4EB97671" w14:textId="269F7701" w:rsidR="00F11D3F" w:rsidRDefault="00C42472" w:rsidP="00FB4ED8">
            <w:pPr>
              <w:jc w:val="center"/>
            </w:pPr>
            <w:r>
              <w:t>-0.179</w:t>
            </w:r>
          </w:p>
        </w:tc>
        <w:tc>
          <w:tcPr>
            <w:tcW w:w="1134" w:type="dxa"/>
            <w:tcBorders>
              <w:top w:val="nil"/>
              <w:bottom w:val="nil"/>
            </w:tcBorders>
            <w:vAlign w:val="center"/>
          </w:tcPr>
          <w:p w14:paraId="3C01B85A" w14:textId="4EA53821" w:rsidR="00F11D3F" w:rsidRDefault="00C42472" w:rsidP="00FB4ED8">
            <w:pPr>
              <w:jc w:val="center"/>
            </w:pPr>
            <w:r>
              <w:t>-0.035</w:t>
            </w:r>
          </w:p>
        </w:tc>
      </w:tr>
      <w:tr w:rsidR="00F11D3F" w14:paraId="29BFCC5A" w14:textId="77777777" w:rsidTr="00FB4ED8">
        <w:tc>
          <w:tcPr>
            <w:tcW w:w="284" w:type="dxa"/>
            <w:tcBorders>
              <w:top w:val="nil"/>
              <w:bottom w:val="single" w:sz="4" w:space="0" w:color="auto"/>
            </w:tcBorders>
          </w:tcPr>
          <w:p w14:paraId="04FBC2B7" w14:textId="77777777" w:rsidR="00F11D3F" w:rsidRDefault="00F11D3F" w:rsidP="00FB4ED8"/>
        </w:tc>
        <w:tc>
          <w:tcPr>
            <w:tcW w:w="3402" w:type="dxa"/>
            <w:tcBorders>
              <w:top w:val="nil"/>
              <w:bottom w:val="single" w:sz="4" w:space="0" w:color="auto"/>
            </w:tcBorders>
          </w:tcPr>
          <w:p w14:paraId="496999BB" w14:textId="6152367D" w:rsidR="00F11D3F" w:rsidRDefault="00F11D38" w:rsidP="00FB4ED8">
            <w:r>
              <w:rPr>
                <w:rFonts w:cstheme="minorHAnsi"/>
              </w:rPr>
              <w:t>ΔTrend</w:t>
            </w:r>
            <w:r>
              <w:t xml:space="preserve"> </w:t>
            </w:r>
            <w:r w:rsidR="00F11D3F">
              <w:t>(year)</w:t>
            </w:r>
          </w:p>
        </w:tc>
        <w:tc>
          <w:tcPr>
            <w:tcW w:w="1417" w:type="dxa"/>
            <w:tcBorders>
              <w:top w:val="nil"/>
              <w:bottom w:val="single" w:sz="4" w:space="0" w:color="auto"/>
            </w:tcBorders>
            <w:vAlign w:val="center"/>
          </w:tcPr>
          <w:p w14:paraId="733B7E10" w14:textId="0759BEE5" w:rsidR="00F11D3F" w:rsidRDefault="00B922CE" w:rsidP="00FB4ED8">
            <w:pPr>
              <w:jc w:val="center"/>
            </w:pPr>
            <w:r>
              <w:t xml:space="preserve"> </w:t>
            </w:r>
            <w:r w:rsidR="00C42472">
              <w:t>0.002</w:t>
            </w:r>
          </w:p>
        </w:tc>
        <w:tc>
          <w:tcPr>
            <w:tcW w:w="1275" w:type="dxa"/>
            <w:tcBorders>
              <w:top w:val="nil"/>
              <w:bottom w:val="single" w:sz="4" w:space="0" w:color="auto"/>
            </w:tcBorders>
            <w:vAlign w:val="center"/>
          </w:tcPr>
          <w:p w14:paraId="4C601191" w14:textId="15C149FE" w:rsidR="00F11D3F" w:rsidRDefault="00C42472" w:rsidP="00FB4ED8">
            <w:pPr>
              <w:jc w:val="center"/>
            </w:pPr>
            <w:r>
              <w:t>-0.046</w:t>
            </w:r>
          </w:p>
        </w:tc>
        <w:tc>
          <w:tcPr>
            <w:tcW w:w="1134" w:type="dxa"/>
            <w:tcBorders>
              <w:top w:val="nil"/>
              <w:bottom w:val="single" w:sz="4" w:space="0" w:color="auto"/>
            </w:tcBorders>
            <w:vAlign w:val="center"/>
          </w:tcPr>
          <w:p w14:paraId="1C8EB4EE" w14:textId="702CA9C4" w:rsidR="00F11D3F" w:rsidRDefault="00B922CE" w:rsidP="00FB4ED8">
            <w:pPr>
              <w:jc w:val="center"/>
            </w:pPr>
            <w:r>
              <w:t xml:space="preserve"> </w:t>
            </w:r>
            <w:r w:rsidR="00C42472">
              <w:t>0.049</w:t>
            </w:r>
          </w:p>
        </w:tc>
      </w:tr>
    </w:tbl>
    <w:p w14:paraId="3E0F73E2" w14:textId="77777777" w:rsidR="00F11D3F" w:rsidRDefault="00F11D3F" w:rsidP="00F11D3F">
      <w:pPr>
        <w:spacing w:after="0" w:line="240" w:lineRule="auto"/>
      </w:pPr>
      <w:r>
        <w:rPr>
          <w:vertAlign w:val="superscript"/>
        </w:rPr>
        <w:t>1</w:t>
      </w:r>
      <w:r>
        <w:t xml:space="preserve"> Among past-year smokers.</w:t>
      </w:r>
    </w:p>
    <w:p w14:paraId="71DD811C" w14:textId="77777777" w:rsidR="00F11D3F" w:rsidRDefault="00F11D3F" w:rsidP="00F11D3F">
      <w:pPr>
        <w:spacing w:after="0" w:line="240" w:lineRule="auto"/>
      </w:pPr>
      <w:r>
        <w:rPr>
          <w:vertAlign w:val="superscript"/>
        </w:rPr>
        <w:t xml:space="preserve">a </w:t>
      </w:r>
      <w:r>
        <w:t>Adjusted for seasonality, age, gender, social grade, and region.</w:t>
      </w:r>
    </w:p>
    <w:p w14:paraId="59AF1179" w14:textId="77777777" w:rsidR="00F11D3F" w:rsidRDefault="00F11D3F" w:rsidP="00F11D3F">
      <w:pPr>
        <w:spacing w:after="0" w:line="276" w:lineRule="auto"/>
        <w:rPr>
          <w:b/>
        </w:rPr>
        <w:sectPr w:rsidR="00F11D3F" w:rsidSect="00EA2CCE">
          <w:pgSz w:w="12240" w:h="15840" w:code="1"/>
          <w:pgMar w:top="1440" w:right="1440" w:bottom="1440" w:left="1440" w:header="720" w:footer="720" w:gutter="0"/>
          <w:cols w:space="720"/>
          <w:noEndnote/>
          <w:docGrid w:linePitch="299"/>
        </w:sectPr>
      </w:pPr>
    </w:p>
    <w:p w14:paraId="2C3E2401" w14:textId="387BAC04" w:rsidR="00F11D3F" w:rsidRDefault="00152559" w:rsidP="00F11D3F">
      <w:pPr>
        <w:spacing w:after="0" w:line="276" w:lineRule="auto"/>
        <w:rPr>
          <w:b/>
        </w:rPr>
      </w:pPr>
      <w:r>
        <w:rPr>
          <w:noProof/>
          <w:lang w:eastAsia="en-GB"/>
        </w:rPr>
        <w:lastRenderedPageBreak/>
        <w:drawing>
          <wp:inline distT="0" distB="0" distL="0" distR="0" wp14:anchorId="4C6CD6FE" wp14:editId="3B353FCB">
            <wp:extent cx="5943600" cy="2673350"/>
            <wp:effectExtent l="0" t="0" r="0" b="0"/>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673350"/>
                    </a:xfrm>
                    <a:prstGeom prst="rect">
                      <a:avLst/>
                    </a:prstGeom>
                    <a:noFill/>
                    <a:ln>
                      <a:noFill/>
                    </a:ln>
                  </pic:spPr>
                </pic:pic>
              </a:graphicData>
            </a:graphic>
          </wp:inline>
        </w:drawing>
      </w:r>
    </w:p>
    <w:p w14:paraId="66F7F40E" w14:textId="77777777" w:rsidR="00F11D3F" w:rsidRDefault="00F11D3F" w:rsidP="00F11D3F">
      <w:pPr>
        <w:spacing w:after="0" w:line="276" w:lineRule="auto"/>
        <w:rPr>
          <w:b/>
        </w:rPr>
      </w:pPr>
    </w:p>
    <w:p w14:paraId="3F9C8FF2" w14:textId="1F31C8D3" w:rsidR="00F11D3F" w:rsidRDefault="00F11D3F" w:rsidP="00F11D3F">
      <w:pPr>
        <w:rPr>
          <w:b/>
        </w:rPr>
        <w:sectPr w:rsidR="00F11D3F" w:rsidSect="00EA2CCE">
          <w:pgSz w:w="12240" w:h="15840" w:code="1"/>
          <w:pgMar w:top="1440" w:right="1440" w:bottom="1440" w:left="1440" w:header="720" w:footer="720" w:gutter="0"/>
          <w:cols w:space="720"/>
          <w:noEndnote/>
          <w:docGrid w:linePitch="299"/>
        </w:sectPr>
      </w:pPr>
      <w:r>
        <w:rPr>
          <w:rStyle w:val="Heading3Char"/>
          <w:rFonts w:cstheme="minorHAnsi"/>
          <w:bCs/>
          <w:sz w:val="22"/>
          <w:szCs w:val="22"/>
        </w:rPr>
        <w:t xml:space="preserve">Supplementary </w:t>
      </w:r>
      <w:r w:rsidRPr="00272886">
        <w:rPr>
          <w:rStyle w:val="Heading3Char"/>
          <w:rFonts w:cstheme="minorHAnsi"/>
          <w:bCs/>
          <w:sz w:val="22"/>
          <w:szCs w:val="22"/>
        </w:rPr>
        <w:t xml:space="preserve">Figure </w:t>
      </w:r>
      <w:r w:rsidR="00930571">
        <w:rPr>
          <w:rStyle w:val="Heading3Char"/>
          <w:rFonts w:cstheme="minorHAnsi"/>
          <w:bCs/>
          <w:sz w:val="22"/>
          <w:szCs w:val="22"/>
        </w:rPr>
        <w:t>3</w:t>
      </w:r>
      <w:r>
        <w:rPr>
          <w:rStyle w:val="Heading3Char"/>
          <w:rFonts w:cstheme="minorHAnsi"/>
          <w:bCs/>
          <w:sz w:val="22"/>
          <w:szCs w:val="22"/>
        </w:rPr>
        <w:t>.</w:t>
      </w:r>
      <w:r w:rsidRPr="00272886">
        <w:rPr>
          <w:rStyle w:val="Heading3Char"/>
          <w:rFonts w:cstheme="minorHAnsi"/>
          <w:bCs/>
          <w:sz w:val="22"/>
          <w:szCs w:val="22"/>
        </w:rPr>
        <w:t xml:space="preserve">  </w:t>
      </w:r>
      <w:r>
        <w:rPr>
          <w:rStyle w:val="Heading3Char"/>
          <w:rFonts w:cstheme="minorHAnsi"/>
          <w:bCs/>
          <w:sz w:val="22"/>
          <w:szCs w:val="22"/>
        </w:rPr>
        <w:t>Cigarette dependence</w:t>
      </w:r>
      <w:r w:rsidRPr="00272886">
        <w:rPr>
          <w:rStyle w:val="Heading3Char"/>
          <w:rFonts w:cstheme="minorHAnsi"/>
          <w:b w:val="0"/>
          <w:bCs/>
          <w:sz w:val="22"/>
          <w:szCs w:val="22"/>
        </w:rPr>
        <w:t>.</w:t>
      </w:r>
      <w:r w:rsidRPr="00272886">
        <w:rPr>
          <w:rFonts w:cstheme="minorHAnsi"/>
        </w:rPr>
        <w:t xml:space="preserve"> Panels show trends in </w:t>
      </w:r>
      <w:r>
        <w:rPr>
          <w:rFonts w:cstheme="minorHAnsi"/>
        </w:rPr>
        <w:t xml:space="preserve">mean cigarette </w:t>
      </w:r>
      <w:r w:rsidRPr="00272886">
        <w:rPr>
          <w:rFonts w:cstheme="minorHAnsi"/>
        </w:rPr>
        <w:t xml:space="preserve">dependence </w:t>
      </w:r>
      <w:r w:rsidRPr="00272886">
        <w:rPr>
          <w:bCs/>
        </w:rPr>
        <w:t>among past-year smokers (</w:t>
      </w:r>
      <w:r w:rsidRPr="00272886">
        <w:rPr>
          <w:bCs/>
          <w:i/>
        </w:rPr>
        <w:t>unweighted n = 17,964</w:t>
      </w:r>
      <w:r w:rsidRPr="00272886">
        <w:rPr>
          <w:bCs/>
        </w:rPr>
        <w:t>),</w:t>
      </w:r>
      <w:r w:rsidRPr="00272886">
        <w:rPr>
          <w:rFonts w:cstheme="minorHAnsi"/>
        </w:rPr>
        <w:t xml:space="preserve"> June 2017 to August 2022. Lines represent </w:t>
      </w:r>
      <w:r>
        <w:rPr>
          <w:rFonts w:cstheme="minorHAnsi"/>
        </w:rPr>
        <w:t xml:space="preserve">the </w:t>
      </w:r>
      <w:r w:rsidRPr="00272886">
        <w:rPr>
          <w:rFonts w:cstheme="minorHAnsi"/>
        </w:rPr>
        <w:t xml:space="preserve">modelled weighted </w:t>
      </w:r>
      <w:r>
        <w:rPr>
          <w:rFonts w:cstheme="minorHAnsi"/>
        </w:rPr>
        <w:t>mean</w:t>
      </w:r>
      <w:r w:rsidRPr="00272886">
        <w:rPr>
          <w:rFonts w:cstheme="minorHAnsi"/>
        </w:rPr>
        <w:t xml:space="preserve"> over the study period, adjusted for covariates. Points represent raw weighted </w:t>
      </w:r>
      <w:r>
        <w:rPr>
          <w:rFonts w:cstheme="minorHAnsi"/>
        </w:rPr>
        <w:t>means</w:t>
      </w:r>
      <w:r w:rsidRPr="00272886">
        <w:rPr>
          <w:rFonts w:cstheme="minorHAnsi"/>
        </w:rPr>
        <w:t xml:space="preserve"> by month. The vertical dashed line indicates the timing of the start of the Covid-19 pandemic in England (March 2020)</w:t>
      </w:r>
      <w:r>
        <w:rPr>
          <w:rFonts w:cstheme="minorHAnsi"/>
        </w:rPr>
        <w:t>.</w:t>
      </w:r>
    </w:p>
    <w:p w14:paraId="6D5869EF" w14:textId="04A2FB95" w:rsidR="00AE0F1A" w:rsidRPr="00CB09BE" w:rsidRDefault="00AE0F1A" w:rsidP="00AE0F1A">
      <w:pPr>
        <w:spacing w:after="0" w:line="276" w:lineRule="auto"/>
      </w:pPr>
      <w:r>
        <w:rPr>
          <w:b/>
        </w:rPr>
        <w:lastRenderedPageBreak/>
        <w:t xml:space="preserve">Supplementary Table </w:t>
      </w:r>
      <w:r w:rsidR="00254383">
        <w:rPr>
          <w:b/>
        </w:rPr>
        <w:t>5</w:t>
      </w:r>
      <w:r>
        <w:t>. Sensitivity analysis: excluding varenicline from analysis of use of prescription medication</w:t>
      </w:r>
    </w:p>
    <w:tbl>
      <w:tblPr>
        <w:tblStyle w:val="TableGrid"/>
        <w:tblW w:w="7512" w:type="dxa"/>
        <w:tblBorders>
          <w:left w:val="none" w:sz="0" w:space="0" w:color="auto"/>
          <w:right w:val="none" w:sz="0" w:space="0" w:color="auto"/>
          <w:insideV w:val="none" w:sz="0" w:space="0" w:color="auto"/>
        </w:tblBorders>
        <w:tblLook w:val="04A0" w:firstRow="1" w:lastRow="0" w:firstColumn="1" w:lastColumn="0" w:noHBand="0" w:noVBand="1"/>
      </w:tblPr>
      <w:tblGrid>
        <w:gridCol w:w="284"/>
        <w:gridCol w:w="3402"/>
        <w:gridCol w:w="1417"/>
        <w:gridCol w:w="1275"/>
        <w:gridCol w:w="1134"/>
      </w:tblGrid>
      <w:tr w:rsidR="00667D1E" w:rsidRPr="00CB09BE" w14:paraId="1DADDE36" w14:textId="77777777" w:rsidTr="00667D1E">
        <w:tc>
          <w:tcPr>
            <w:tcW w:w="3686" w:type="dxa"/>
            <w:gridSpan w:val="2"/>
            <w:tcBorders>
              <w:bottom w:val="nil"/>
            </w:tcBorders>
            <w:vAlign w:val="bottom"/>
          </w:tcPr>
          <w:p w14:paraId="73E4E2EB" w14:textId="77777777" w:rsidR="00667D1E" w:rsidRPr="00CB09BE" w:rsidRDefault="00667D1E" w:rsidP="003E3394">
            <w:pPr>
              <w:jc w:val="center"/>
              <w:rPr>
                <w:b/>
              </w:rPr>
            </w:pPr>
          </w:p>
        </w:tc>
        <w:tc>
          <w:tcPr>
            <w:tcW w:w="1417" w:type="dxa"/>
            <w:vMerge w:val="restart"/>
            <w:vAlign w:val="bottom"/>
          </w:tcPr>
          <w:p w14:paraId="2EE23D32" w14:textId="190A2130" w:rsidR="00667D1E" w:rsidRPr="00CA522E" w:rsidRDefault="00667D1E" w:rsidP="003E3394">
            <w:pPr>
              <w:jc w:val="center"/>
              <w:rPr>
                <w:b/>
                <w:i/>
              </w:rPr>
            </w:pPr>
            <w:r w:rsidRPr="00CB09BE">
              <w:rPr>
                <w:b/>
              </w:rPr>
              <w:t>RR</w:t>
            </w:r>
          </w:p>
        </w:tc>
        <w:tc>
          <w:tcPr>
            <w:tcW w:w="2409" w:type="dxa"/>
            <w:gridSpan w:val="2"/>
            <w:vAlign w:val="bottom"/>
          </w:tcPr>
          <w:p w14:paraId="38526954" w14:textId="77777777" w:rsidR="00667D1E" w:rsidRPr="00CB09BE" w:rsidRDefault="00667D1E" w:rsidP="003E3394">
            <w:pPr>
              <w:jc w:val="center"/>
              <w:rPr>
                <w:b/>
              </w:rPr>
            </w:pPr>
            <w:r w:rsidRPr="00CB09BE">
              <w:rPr>
                <w:b/>
              </w:rPr>
              <w:t>95% CI</w:t>
            </w:r>
          </w:p>
        </w:tc>
      </w:tr>
      <w:tr w:rsidR="00667D1E" w:rsidRPr="00CB09BE" w14:paraId="5C7415F0" w14:textId="77777777" w:rsidTr="00667D1E">
        <w:tc>
          <w:tcPr>
            <w:tcW w:w="3686" w:type="dxa"/>
            <w:gridSpan w:val="2"/>
            <w:tcBorders>
              <w:top w:val="nil"/>
              <w:bottom w:val="single" w:sz="4" w:space="0" w:color="auto"/>
            </w:tcBorders>
            <w:vAlign w:val="bottom"/>
          </w:tcPr>
          <w:p w14:paraId="3232888C" w14:textId="77777777" w:rsidR="00667D1E" w:rsidRPr="00CB09BE" w:rsidRDefault="00667D1E" w:rsidP="003E3394">
            <w:pPr>
              <w:jc w:val="center"/>
              <w:rPr>
                <w:b/>
              </w:rPr>
            </w:pPr>
          </w:p>
        </w:tc>
        <w:tc>
          <w:tcPr>
            <w:tcW w:w="1417" w:type="dxa"/>
            <w:vMerge/>
            <w:tcBorders>
              <w:bottom w:val="single" w:sz="4" w:space="0" w:color="auto"/>
            </w:tcBorders>
            <w:vAlign w:val="bottom"/>
          </w:tcPr>
          <w:p w14:paraId="57AD2EE9" w14:textId="77777777" w:rsidR="00667D1E" w:rsidRPr="00CB09BE" w:rsidRDefault="00667D1E" w:rsidP="003E3394">
            <w:pPr>
              <w:jc w:val="center"/>
              <w:rPr>
                <w:b/>
              </w:rPr>
            </w:pPr>
          </w:p>
        </w:tc>
        <w:tc>
          <w:tcPr>
            <w:tcW w:w="1275" w:type="dxa"/>
            <w:tcBorders>
              <w:bottom w:val="single" w:sz="4" w:space="0" w:color="auto"/>
            </w:tcBorders>
            <w:vAlign w:val="bottom"/>
          </w:tcPr>
          <w:p w14:paraId="29ED887F" w14:textId="77777777" w:rsidR="00667D1E" w:rsidRPr="00CB09BE" w:rsidRDefault="00667D1E" w:rsidP="003E3394">
            <w:pPr>
              <w:jc w:val="center"/>
              <w:rPr>
                <w:b/>
              </w:rPr>
            </w:pPr>
            <w:r w:rsidRPr="00CB09BE">
              <w:rPr>
                <w:b/>
              </w:rPr>
              <w:t>Lower</w:t>
            </w:r>
          </w:p>
        </w:tc>
        <w:tc>
          <w:tcPr>
            <w:tcW w:w="1134" w:type="dxa"/>
            <w:tcBorders>
              <w:bottom w:val="single" w:sz="4" w:space="0" w:color="auto"/>
            </w:tcBorders>
            <w:vAlign w:val="bottom"/>
          </w:tcPr>
          <w:p w14:paraId="189A408A" w14:textId="77777777" w:rsidR="00667D1E" w:rsidRPr="00CB09BE" w:rsidRDefault="00667D1E" w:rsidP="003E3394">
            <w:pPr>
              <w:jc w:val="center"/>
              <w:rPr>
                <w:b/>
              </w:rPr>
            </w:pPr>
            <w:r w:rsidRPr="00CB09BE">
              <w:rPr>
                <w:b/>
              </w:rPr>
              <w:t>Upper</w:t>
            </w:r>
          </w:p>
        </w:tc>
      </w:tr>
      <w:tr w:rsidR="00667D1E" w14:paraId="04B67483" w14:textId="77777777" w:rsidTr="00667D1E">
        <w:tc>
          <w:tcPr>
            <w:tcW w:w="3686" w:type="dxa"/>
            <w:gridSpan w:val="2"/>
            <w:tcBorders>
              <w:top w:val="nil"/>
              <w:bottom w:val="nil"/>
            </w:tcBorders>
          </w:tcPr>
          <w:p w14:paraId="6F1C3EE1" w14:textId="7859278A" w:rsidR="00667D1E" w:rsidRPr="00CB09BE" w:rsidRDefault="00667D1E" w:rsidP="003E3394">
            <w:pPr>
              <w:rPr>
                <w:vertAlign w:val="superscript"/>
              </w:rPr>
            </w:pPr>
            <w:r>
              <w:t>Use of prescription medication</w:t>
            </w:r>
            <w:r>
              <w:rPr>
                <w:vertAlign w:val="superscript"/>
              </w:rPr>
              <w:t>1a</w:t>
            </w:r>
          </w:p>
        </w:tc>
        <w:tc>
          <w:tcPr>
            <w:tcW w:w="1417" w:type="dxa"/>
            <w:tcBorders>
              <w:top w:val="nil"/>
              <w:bottom w:val="nil"/>
            </w:tcBorders>
            <w:vAlign w:val="center"/>
          </w:tcPr>
          <w:p w14:paraId="29A522BE" w14:textId="77777777" w:rsidR="00667D1E" w:rsidRDefault="00667D1E" w:rsidP="003E3394">
            <w:pPr>
              <w:jc w:val="center"/>
            </w:pPr>
          </w:p>
        </w:tc>
        <w:tc>
          <w:tcPr>
            <w:tcW w:w="1275" w:type="dxa"/>
            <w:tcBorders>
              <w:top w:val="nil"/>
              <w:bottom w:val="nil"/>
            </w:tcBorders>
            <w:vAlign w:val="center"/>
          </w:tcPr>
          <w:p w14:paraId="3F32A72B" w14:textId="77777777" w:rsidR="00667D1E" w:rsidRDefault="00667D1E" w:rsidP="003E3394">
            <w:pPr>
              <w:jc w:val="center"/>
            </w:pPr>
          </w:p>
        </w:tc>
        <w:tc>
          <w:tcPr>
            <w:tcW w:w="1134" w:type="dxa"/>
            <w:tcBorders>
              <w:top w:val="nil"/>
              <w:bottom w:val="nil"/>
            </w:tcBorders>
            <w:vAlign w:val="center"/>
          </w:tcPr>
          <w:p w14:paraId="1543F5CA" w14:textId="77777777" w:rsidR="00667D1E" w:rsidRDefault="00667D1E" w:rsidP="003E3394">
            <w:pPr>
              <w:jc w:val="center"/>
            </w:pPr>
          </w:p>
        </w:tc>
      </w:tr>
      <w:tr w:rsidR="00667D1E" w14:paraId="5D7B8C03" w14:textId="77777777" w:rsidTr="00667D1E">
        <w:tc>
          <w:tcPr>
            <w:tcW w:w="284" w:type="dxa"/>
            <w:tcBorders>
              <w:top w:val="nil"/>
              <w:bottom w:val="nil"/>
            </w:tcBorders>
          </w:tcPr>
          <w:p w14:paraId="66A06A14" w14:textId="77777777" w:rsidR="00667D1E" w:rsidRDefault="00667D1E" w:rsidP="003E3394"/>
        </w:tc>
        <w:tc>
          <w:tcPr>
            <w:tcW w:w="3402" w:type="dxa"/>
            <w:tcBorders>
              <w:top w:val="nil"/>
              <w:bottom w:val="nil"/>
            </w:tcBorders>
          </w:tcPr>
          <w:p w14:paraId="33126CB7" w14:textId="45584145" w:rsidR="00667D1E" w:rsidRDefault="00667D1E" w:rsidP="003E3394">
            <w:r>
              <w:t>Trend (year)</w:t>
            </w:r>
          </w:p>
        </w:tc>
        <w:tc>
          <w:tcPr>
            <w:tcW w:w="1417" w:type="dxa"/>
            <w:tcBorders>
              <w:top w:val="nil"/>
              <w:bottom w:val="nil"/>
            </w:tcBorders>
            <w:vAlign w:val="center"/>
          </w:tcPr>
          <w:p w14:paraId="64E16E16" w14:textId="2BC11CCE" w:rsidR="00667D1E" w:rsidRDefault="00667D1E" w:rsidP="003E3394">
            <w:pPr>
              <w:jc w:val="center"/>
            </w:pPr>
            <w:r>
              <w:t>1.086</w:t>
            </w:r>
          </w:p>
        </w:tc>
        <w:tc>
          <w:tcPr>
            <w:tcW w:w="1275" w:type="dxa"/>
            <w:tcBorders>
              <w:top w:val="nil"/>
              <w:bottom w:val="nil"/>
            </w:tcBorders>
            <w:vAlign w:val="center"/>
          </w:tcPr>
          <w:p w14:paraId="37493861" w14:textId="2A7AE846" w:rsidR="00667D1E" w:rsidRDefault="00667D1E" w:rsidP="003E3394">
            <w:pPr>
              <w:jc w:val="center"/>
            </w:pPr>
            <w:r>
              <w:t>0.856</w:t>
            </w:r>
          </w:p>
        </w:tc>
        <w:tc>
          <w:tcPr>
            <w:tcW w:w="1134" w:type="dxa"/>
            <w:tcBorders>
              <w:top w:val="nil"/>
              <w:bottom w:val="nil"/>
            </w:tcBorders>
            <w:vAlign w:val="center"/>
          </w:tcPr>
          <w:p w14:paraId="0F04BAC8" w14:textId="482D8C50" w:rsidR="00667D1E" w:rsidRDefault="00667D1E" w:rsidP="003E3394">
            <w:pPr>
              <w:jc w:val="center"/>
            </w:pPr>
            <w:r>
              <w:t>1.379</w:t>
            </w:r>
          </w:p>
        </w:tc>
      </w:tr>
      <w:tr w:rsidR="00667D1E" w14:paraId="1686FBF3" w14:textId="77777777" w:rsidTr="00667D1E">
        <w:tc>
          <w:tcPr>
            <w:tcW w:w="284" w:type="dxa"/>
            <w:tcBorders>
              <w:top w:val="nil"/>
              <w:bottom w:val="nil"/>
            </w:tcBorders>
          </w:tcPr>
          <w:p w14:paraId="67B7422D" w14:textId="77777777" w:rsidR="00667D1E" w:rsidRDefault="00667D1E" w:rsidP="003E3394"/>
        </w:tc>
        <w:tc>
          <w:tcPr>
            <w:tcW w:w="3402" w:type="dxa"/>
            <w:tcBorders>
              <w:top w:val="nil"/>
              <w:bottom w:val="nil"/>
            </w:tcBorders>
          </w:tcPr>
          <w:p w14:paraId="7C72B88C" w14:textId="77777777" w:rsidR="00667D1E" w:rsidRDefault="00667D1E" w:rsidP="003E3394">
            <w:r>
              <w:t>Level</w:t>
            </w:r>
          </w:p>
        </w:tc>
        <w:tc>
          <w:tcPr>
            <w:tcW w:w="1417" w:type="dxa"/>
            <w:tcBorders>
              <w:top w:val="nil"/>
              <w:bottom w:val="nil"/>
            </w:tcBorders>
            <w:vAlign w:val="center"/>
          </w:tcPr>
          <w:p w14:paraId="581ECAE5" w14:textId="4F02F953" w:rsidR="00667D1E" w:rsidRDefault="00667D1E" w:rsidP="003E3394">
            <w:pPr>
              <w:jc w:val="center"/>
            </w:pPr>
            <w:r>
              <w:t>0.962</w:t>
            </w:r>
          </w:p>
        </w:tc>
        <w:tc>
          <w:tcPr>
            <w:tcW w:w="1275" w:type="dxa"/>
            <w:tcBorders>
              <w:top w:val="nil"/>
              <w:bottom w:val="nil"/>
            </w:tcBorders>
            <w:vAlign w:val="center"/>
          </w:tcPr>
          <w:p w14:paraId="305A8CBB" w14:textId="3EB54ABB" w:rsidR="00667D1E" w:rsidRDefault="00667D1E" w:rsidP="003E3394">
            <w:pPr>
              <w:jc w:val="center"/>
            </w:pPr>
            <w:r>
              <w:t>0.565</w:t>
            </w:r>
          </w:p>
        </w:tc>
        <w:tc>
          <w:tcPr>
            <w:tcW w:w="1134" w:type="dxa"/>
            <w:tcBorders>
              <w:top w:val="nil"/>
              <w:bottom w:val="nil"/>
            </w:tcBorders>
            <w:vAlign w:val="center"/>
          </w:tcPr>
          <w:p w14:paraId="1CD5BE19" w14:textId="1CC9E2CE" w:rsidR="00667D1E" w:rsidRDefault="00667D1E" w:rsidP="003E3394">
            <w:pPr>
              <w:jc w:val="center"/>
            </w:pPr>
            <w:r>
              <w:t>1.637</w:t>
            </w:r>
          </w:p>
        </w:tc>
      </w:tr>
      <w:tr w:rsidR="00667D1E" w14:paraId="7D985717" w14:textId="77777777" w:rsidTr="00667D1E">
        <w:tc>
          <w:tcPr>
            <w:tcW w:w="284" w:type="dxa"/>
            <w:tcBorders>
              <w:top w:val="nil"/>
              <w:bottom w:val="single" w:sz="4" w:space="0" w:color="auto"/>
            </w:tcBorders>
          </w:tcPr>
          <w:p w14:paraId="537C4CC1" w14:textId="77777777" w:rsidR="00667D1E" w:rsidRDefault="00667D1E" w:rsidP="003E3394"/>
        </w:tc>
        <w:tc>
          <w:tcPr>
            <w:tcW w:w="3402" w:type="dxa"/>
            <w:tcBorders>
              <w:top w:val="nil"/>
              <w:bottom w:val="single" w:sz="4" w:space="0" w:color="auto"/>
            </w:tcBorders>
          </w:tcPr>
          <w:p w14:paraId="629959C9" w14:textId="0FA9DB4A" w:rsidR="00667D1E" w:rsidRDefault="00F11D38" w:rsidP="003E3394">
            <w:r>
              <w:rPr>
                <w:rFonts w:cstheme="minorHAnsi"/>
              </w:rPr>
              <w:t>ΔTrend</w:t>
            </w:r>
            <w:r>
              <w:t xml:space="preserve"> </w:t>
            </w:r>
            <w:r w:rsidR="00667D1E">
              <w:t>(year)</w:t>
            </w:r>
          </w:p>
        </w:tc>
        <w:tc>
          <w:tcPr>
            <w:tcW w:w="1417" w:type="dxa"/>
            <w:tcBorders>
              <w:top w:val="nil"/>
              <w:bottom w:val="single" w:sz="4" w:space="0" w:color="auto"/>
            </w:tcBorders>
            <w:vAlign w:val="center"/>
          </w:tcPr>
          <w:p w14:paraId="30164D69" w14:textId="166CAC76" w:rsidR="00667D1E" w:rsidRDefault="00667D1E" w:rsidP="003E3394">
            <w:pPr>
              <w:jc w:val="center"/>
            </w:pPr>
            <w:r>
              <w:t>1.136</w:t>
            </w:r>
          </w:p>
        </w:tc>
        <w:tc>
          <w:tcPr>
            <w:tcW w:w="1275" w:type="dxa"/>
            <w:tcBorders>
              <w:top w:val="nil"/>
              <w:bottom w:val="single" w:sz="4" w:space="0" w:color="auto"/>
            </w:tcBorders>
            <w:vAlign w:val="center"/>
          </w:tcPr>
          <w:p w14:paraId="62A4835E" w14:textId="6220E4B6" w:rsidR="00667D1E" w:rsidRDefault="00667D1E" w:rsidP="003E3394">
            <w:pPr>
              <w:jc w:val="center"/>
            </w:pPr>
            <w:r>
              <w:t>0.811</w:t>
            </w:r>
          </w:p>
        </w:tc>
        <w:tc>
          <w:tcPr>
            <w:tcW w:w="1134" w:type="dxa"/>
            <w:tcBorders>
              <w:top w:val="nil"/>
              <w:bottom w:val="single" w:sz="4" w:space="0" w:color="auto"/>
            </w:tcBorders>
            <w:vAlign w:val="center"/>
          </w:tcPr>
          <w:p w14:paraId="5C509F43" w14:textId="22F2FCA6" w:rsidR="00667D1E" w:rsidRDefault="00667D1E" w:rsidP="003E3394">
            <w:pPr>
              <w:jc w:val="center"/>
            </w:pPr>
            <w:r>
              <w:t>1.590</w:t>
            </w:r>
          </w:p>
        </w:tc>
      </w:tr>
    </w:tbl>
    <w:p w14:paraId="73185B15" w14:textId="77777777" w:rsidR="00AE0F1A" w:rsidRDefault="00AE0F1A" w:rsidP="00AE0F1A">
      <w:pPr>
        <w:spacing w:after="0" w:line="240" w:lineRule="auto"/>
      </w:pPr>
      <w:r>
        <w:rPr>
          <w:vertAlign w:val="superscript"/>
        </w:rPr>
        <w:t>1</w:t>
      </w:r>
      <w:r>
        <w:t xml:space="preserve"> Among past-year smokers who made </w:t>
      </w:r>
      <w:r>
        <w:rPr>
          <w:rFonts w:cs="Calibri"/>
        </w:rPr>
        <w:t>≥</w:t>
      </w:r>
      <w:r>
        <w:t>1 quit attempt in the past 12 months.</w:t>
      </w:r>
    </w:p>
    <w:p w14:paraId="13ED8D7C" w14:textId="2E5C2338" w:rsidR="00870EAE" w:rsidRDefault="00AE0F1A" w:rsidP="00EA2CCE">
      <w:pPr>
        <w:spacing w:after="0" w:line="240" w:lineRule="auto"/>
      </w:pPr>
      <w:r>
        <w:rPr>
          <w:vertAlign w:val="superscript"/>
        </w:rPr>
        <w:t xml:space="preserve">a </w:t>
      </w:r>
      <w:r>
        <w:t>Adjusted for seasonality, age, gender, social grade, region, cigarette dependence, and national expenditure on tobacco control mass media campaigns.</w:t>
      </w:r>
    </w:p>
    <w:p w14:paraId="1FBFE30D" w14:textId="77777777" w:rsidR="00870EAE" w:rsidRDefault="00870EAE">
      <w:r>
        <w:br w:type="page"/>
      </w:r>
    </w:p>
    <w:p w14:paraId="4153715D" w14:textId="483CC3BA" w:rsidR="00870EAE" w:rsidRDefault="00870EAE" w:rsidP="00870EAE">
      <w:pPr>
        <w:pStyle w:val="Heading3"/>
      </w:pPr>
      <w:r w:rsidRPr="00556749">
        <w:lastRenderedPageBreak/>
        <w:t xml:space="preserve">Part </w:t>
      </w:r>
      <w:r>
        <w:t>5</w:t>
      </w:r>
      <w:r w:rsidRPr="00556749">
        <w:t xml:space="preserve">: </w:t>
      </w:r>
      <w:r>
        <w:t>References</w:t>
      </w:r>
    </w:p>
    <w:p w14:paraId="1610A83D" w14:textId="77777777" w:rsidR="00870EAE" w:rsidRPr="00123F72" w:rsidRDefault="00870EAE" w:rsidP="00870EAE">
      <w:pPr>
        <w:pStyle w:val="Bibliography"/>
        <w:rPr>
          <w:rFonts w:ascii="Calibri" w:hAnsi="Calibri" w:cs="Calibri"/>
        </w:rPr>
      </w:pPr>
      <w:r>
        <w:fldChar w:fldCharType="begin"/>
      </w:r>
      <w:r>
        <w:instrText xml:space="preserve"> ADDIN ZOTERO_BIBL {"uncited":[],"omitted":[],"custom":[]} CSL_BIBLIOGRAPHY </w:instrText>
      </w:r>
      <w:r>
        <w:fldChar w:fldCharType="separate"/>
      </w:r>
      <w:r w:rsidRPr="00123F72">
        <w:rPr>
          <w:rFonts w:ascii="Calibri" w:hAnsi="Calibri" w:cs="Calibri"/>
        </w:rPr>
        <w:t>1</w:t>
      </w:r>
      <w:r w:rsidRPr="00123F72">
        <w:rPr>
          <w:rFonts w:ascii="Calibri" w:hAnsi="Calibri" w:cs="Calibri"/>
        </w:rPr>
        <w:tab/>
        <w:t xml:space="preserve">Vangeli E, Stapleton J, Smit ES, Borland R, West R. Predictors of attempts to stop smoking and their success in adult general population samples: a systematic review: Predictors of quit attempts and success. </w:t>
      </w:r>
      <w:r w:rsidRPr="00123F72">
        <w:rPr>
          <w:rFonts w:ascii="Calibri" w:hAnsi="Calibri" w:cs="Calibri"/>
          <w:i/>
          <w:iCs/>
        </w:rPr>
        <w:t>Addiction</w:t>
      </w:r>
      <w:r w:rsidRPr="00123F72">
        <w:rPr>
          <w:rFonts w:ascii="Calibri" w:hAnsi="Calibri" w:cs="Calibri"/>
        </w:rPr>
        <w:t xml:space="preserve"> 2011; </w:t>
      </w:r>
      <w:r w:rsidRPr="00123F72">
        <w:rPr>
          <w:rFonts w:ascii="Calibri" w:hAnsi="Calibri" w:cs="Calibri"/>
          <w:b/>
          <w:bCs/>
        </w:rPr>
        <w:t>106</w:t>
      </w:r>
      <w:r w:rsidRPr="00123F72">
        <w:rPr>
          <w:rFonts w:ascii="Calibri" w:hAnsi="Calibri" w:cs="Calibri"/>
        </w:rPr>
        <w:t>: 2110–21.</w:t>
      </w:r>
    </w:p>
    <w:p w14:paraId="1812EC74" w14:textId="77777777" w:rsidR="00870EAE" w:rsidRPr="00123F72" w:rsidRDefault="00870EAE" w:rsidP="00870EAE">
      <w:pPr>
        <w:pStyle w:val="Bibliography"/>
        <w:rPr>
          <w:rFonts w:ascii="Calibri" w:hAnsi="Calibri" w:cs="Calibri"/>
        </w:rPr>
      </w:pPr>
      <w:r w:rsidRPr="00123F72">
        <w:rPr>
          <w:rFonts w:ascii="Calibri" w:hAnsi="Calibri" w:cs="Calibri"/>
        </w:rPr>
        <w:t>2</w:t>
      </w:r>
      <w:r w:rsidRPr="00123F72">
        <w:rPr>
          <w:rFonts w:ascii="Calibri" w:hAnsi="Calibri" w:cs="Calibri"/>
        </w:rPr>
        <w:tab/>
        <w:t xml:space="preserve">Kuipers MAG, Beard E, West R, Brown J. Associations between tobacco control mass media campaign expenditure and smoking prevalence and quitting in England: a time series analysis. </w:t>
      </w:r>
      <w:r w:rsidRPr="00123F72">
        <w:rPr>
          <w:rFonts w:ascii="Calibri" w:hAnsi="Calibri" w:cs="Calibri"/>
          <w:i/>
          <w:iCs/>
        </w:rPr>
        <w:t>Tob Control</w:t>
      </w:r>
      <w:r w:rsidRPr="00123F72">
        <w:rPr>
          <w:rFonts w:ascii="Calibri" w:hAnsi="Calibri" w:cs="Calibri"/>
        </w:rPr>
        <w:t xml:space="preserve"> 2018; </w:t>
      </w:r>
      <w:r w:rsidRPr="00123F72">
        <w:rPr>
          <w:rFonts w:ascii="Calibri" w:hAnsi="Calibri" w:cs="Calibri"/>
          <w:b/>
          <w:bCs/>
        </w:rPr>
        <w:t>27</w:t>
      </w:r>
      <w:r w:rsidRPr="00123F72">
        <w:rPr>
          <w:rFonts w:ascii="Calibri" w:hAnsi="Calibri" w:cs="Calibri"/>
        </w:rPr>
        <w:t>: 455–62.</w:t>
      </w:r>
    </w:p>
    <w:p w14:paraId="2905CBC6" w14:textId="77777777" w:rsidR="00870EAE" w:rsidRPr="00123F72" w:rsidRDefault="00870EAE" w:rsidP="00870EAE">
      <w:pPr>
        <w:pStyle w:val="Bibliography"/>
        <w:rPr>
          <w:rFonts w:ascii="Calibri" w:hAnsi="Calibri" w:cs="Calibri"/>
        </w:rPr>
      </w:pPr>
      <w:r w:rsidRPr="00123F72">
        <w:rPr>
          <w:rFonts w:ascii="Calibri" w:hAnsi="Calibri" w:cs="Calibri"/>
        </w:rPr>
        <w:t>3</w:t>
      </w:r>
      <w:r w:rsidRPr="00123F72">
        <w:rPr>
          <w:rFonts w:ascii="Calibri" w:hAnsi="Calibri" w:cs="Calibri"/>
        </w:rPr>
        <w:tab/>
        <w:t xml:space="preserve">Beard E, Jackson SE, West R, Kuipers MAG, Brown J. Population-level predictors of changes in success rates of smoking quit attempts in England: a time series analysis. </w:t>
      </w:r>
      <w:r w:rsidRPr="00123F72">
        <w:rPr>
          <w:rFonts w:ascii="Calibri" w:hAnsi="Calibri" w:cs="Calibri"/>
          <w:i/>
          <w:iCs/>
        </w:rPr>
        <w:t>Addiction</w:t>
      </w:r>
      <w:r w:rsidRPr="00123F72">
        <w:rPr>
          <w:rFonts w:ascii="Calibri" w:hAnsi="Calibri" w:cs="Calibri"/>
        </w:rPr>
        <w:t xml:space="preserve"> 2020; </w:t>
      </w:r>
      <w:r w:rsidRPr="00123F72">
        <w:rPr>
          <w:rFonts w:ascii="Calibri" w:hAnsi="Calibri" w:cs="Calibri"/>
          <w:b/>
          <w:bCs/>
        </w:rPr>
        <w:t>115</w:t>
      </w:r>
      <w:r w:rsidRPr="00123F72">
        <w:rPr>
          <w:rFonts w:ascii="Calibri" w:hAnsi="Calibri" w:cs="Calibri"/>
        </w:rPr>
        <w:t>: 315–25.</w:t>
      </w:r>
    </w:p>
    <w:p w14:paraId="5E673628" w14:textId="77777777" w:rsidR="00870EAE" w:rsidRPr="00123F72" w:rsidRDefault="00870EAE" w:rsidP="00870EAE">
      <w:pPr>
        <w:pStyle w:val="Bibliography"/>
        <w:rPr>
          <w:rFonts w:ascii="Calibri" w:hAnsi="Calibri" w:cs="Calibri"/>
        </w:rPr>
      </w:pPr>
      <w:r w:rsidRPr="00123F72">
        <w:rPr>
          <w:rFonts w:ascii="Calibri" w:hAnsi="Calibri" w:cs="Calibri"/>
        </w:rPr>
        <w:t>4</w:t>
      </w:r>
      <w:r w:rsidRPr="00123F72">
        <w:rPr>
          <w:rFonts w:ascii="Calibri" w:hAnsi="Calibri" w:cs="Calibri"/>
        </w:rPr>
        <w:tab/>
        <w:t xml:space="preserve">Langley T, Szatkowski L, Lewis S, </w:t>
      </w:r>
      <w:r w:rsidRPr="00123F72">
        <w:rPr>
          <w:rFonts w:ascii="Calibri" w:hAnsi="Calibri" w:cs="Calibri"/>
          <w:i/>
          <w:iCs/>
        </w:rPr>
        <w:t>et al.</w:t>
      </w:r>
      <w:r w:rsidRPr="00123F72">
        <w:rPr>
          <w:rFonts w:ascii="Calibri" w:hAnsi="Calibri" w:cs="Calibri"/>
        </w:rPr>
        <w:t xml:space="preserve"> The freeze on mass media campaigns in England: a natural experiment of the impact of tobacco control campaigns on quitting behaviour. </w:t>
      </w:r>
      <w:r w:rsidRPr="00123F72">
        <w:rPr>
          <w:rFonts w:ascii="Calibri" w:hAnsi="Calibri" w:cs="Calibri"/>
          <w:i/>
          <w:iCs/>
        </w:rPr>
        <w:t>Addict Abingdon Engl</w:t>
      </w:r>
      <w:r w:rsidRPr="00123F72">
        <w:rPr>
          <w:rFonts w:ascii="Calibri" w:hAnsi="Calibri" w:cs="Calibri"/>
        </w:rPr>
        <w:t xml:space="preserve"> 2014; </w:t>
      </w:r>
      <w:r w:rsidRPr="00123F72">
        <w:rPr>
          <w:rFonts w:ascii="Calibri" w:hAnsi="Calibri" w:cs="Calibri"/>
          <w:b/>
          <w:bCs/>
        </w:rPr>
        <w:t>109</w:t>
      </w:r>
      <w:r w:rsidRPr="00123F72">
        <w:rPr>
          <w:rFonts w:ascii="Calibri" w:hAnsi="Calibri" w:cs="Calibri"/>
        </w:rPr>
        <w:t>: 995–1002.</w:t>
      </w:r>
    </w:p>
    <w:p w14:paraId="38958475" w14:textId="77777777" w:rsidR="00870EAE" w:rsidRPr="00123F72" w:rsidRDefault="00870EAE" w:rsidP="00870EAE">
      <w:pPr>
        <w:pStyle w:val="Bibliography"/>
        <w:rPr>
          <w:rFonts w:ascii="Calibri" w:hAnsi="Calibri" w:cs="Calibri"/>
        </w:rPr>
      </w:pPr>
      <w:r w:rsidRPr="00123F72">
        <w:rPr>
          <w:rFonts w:ascii="Calibri" w:hAnsi="Calibri" w:cs="Calibri"/>
        </w:rPr>
        <w:t>5</w:t>
      </w:r>
      <w:r w:rsidRPr="00123F72">
        <w:rPr>
          <w:rFonts w:ascii="Calibri" w:hAnsi="Calibri" w:cs="Calibri"/>
        </w:rPr>
        <w:tab/>
        <w:t xml:space="preserve">Fidler JA, Shahab L, West R. Strength of urges to smoke as a measure of severity of cigarette dependence: comparison with the Fagerström Test for Nicotine Dependence and its components. </w:t>
      </w:r>
      <w:r w:rsidRPr="00123F72">
        <w:rPr>
          <w:rFonts w:ascii="Calibri" w:hAnsi="Calibri" w:cs="Calibri"/>
          <w:i/>
          <w:iCs/>
        </w:rPr>
        <w:t>Addict Abingdon Engl</w:t>
      </w:r>
      <w:r w:rsidRPr="00123F72">
        <w:rPr>
          <w:rFonts w:ascii="Calibri" w:hAnsi="Calibri" w:cs="Calibri"/>
        </w:rPr>
        <w:t xml:space="preserve"> 2011; </w:t>
      </w:r>
      <w:r w:rsidRPr="00123F72">
        <w:rPr>
          <w:rFonts w:ascii="Calibri" w:hAnsi="Calibri" w:cs="Calibri"/>
          <w:b/>
          <w:bCs/>
        </w:rPr>
        <w:t>106</w:t>
      </w:r>
      <w:r w:rsidRPr="00123F72">
        <w:rPr>
          <w:rFonts w:ascii="Calibri" w:hAnsi="Calibri" w:cs="Calibri"/>
        </w:rPr>
        <w:t>: 631–8.</w:t>
      </w:r>
    </w:p>
    <w:p w14:paraId="5B0753DE" w14:textId="77777777" w:rsidR="00870EAE" w:rsidRPr="00123F72" w:rsidRDefault="00870EAE" w:rsidP="00870EAE">
      <w:pPr>
        <w:pStyle w:val="Bibliography"/>
        <w:rPr>
          <w:rFonts w:ascii="Calibri" w:hAnsi="Calibri" w:cs="Calibri"/>
        </w:rPr>
      </w:pPr>
      <w:r w:rsidRPr="00123F72">
        <w:rPr>
          <w:rFonts w:ascii="Calibri" w:hAnsi="Calibri" w:cs="Calibri"/>
        </w:rPr>
        <w:t>6</w:t>
      </w:r>
      <w:r w:rsidRPr="00123F72">
        <w:rPr>
          <w:rFonts w:ascii="Calibri" w:hAnsi="Calibri" w:cs="Calibri"/>
        </w:rPr>
        <w:tab/>
        <w:t xml:space="preserve">Montgomery JM, Nyhan B, Torres M. How Conditioning on Posttreatment Variables Can Ruin Your Experiment and What to Do about It. </w:t>
      </w:r>
      <w:r w:rsidRPr="00123F72">
        <w:rPr>
          <w:rFonts w:ascii="Calibri" w:hAnsi="Calibri" w:cs="Calibri"/>
          <w:i/>
          <w:iCs/>
        </w:rPr>
        <w:t>Am J Polit Sci</w:t>
      </w:r>
      <w:r w:rsidRPr="00123F72">
        <w:rPr>
          <w:rFonts w:ascii="Calibri" w:hAnsi="Calibri" w:cs="Calibri"/>
        </w:rPr>
        <w:t xml:space="preserve"> 2018; </w:t>
      </w:r>
      <w:r w:rsidRPr="00123F72">
        <w:rPr>
          <w:rFonts w:ascii="Calibri" w:hAnsi="Calibri" w:cs="Calibri"/>
          <w:b/>
          <w:bCs/>
        </w:rPr>
        <w:t>62</w:t>
      </w:r>
      <w:r w:rsidRPr="00123F72">
        <w:rPr>
          <w:rFonts w:ascii="Calibri" w:hAnsi="Calibri" w:cs="Calibri"/>
        </w:rPr>
        <w:t>: 760–75.</w:t>
      </w:r>
    </w:p>
    <w:p w14:paraId="7686D9BD" w14:textId="432963E9" w:rsidR="009A57B4" w:rsidRDefault="00870EAE" w:rsidP="00870EAE">
      <w:pPr>
        <w:spacing w:after="0" w:line="240" w:lineRule="auto"/>
      </w:pPr>
      <w:r>
        <w:fldChar w:fldCharType="end"/>
      </w:r>
    </w:p>
    <w:sectPr w:rsidR="009A57B4" w:rsidSect="00EA2CCE">
      <w:pgSz w:w="12240" w:h="15840" w:code="1"/>
      <w:pgMar w:top="1440" w:right="1440" w:bottom="1440" w:left="1440" w:header="720"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BACA9" w16cex:dateUtc="2022-10-20T10:16:00Z"/>
  <w16cex:commentExtensible w16cex:durableId="26F95F89" w16cex:dateUtc="2022-10-18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E8B019" w16cid:durableId="26FBACA9"/>
  <w16cid:commentId w16cid:paraId="0D132059" w16cid:durableId="26F95F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11CBC" w14:textId="77777777" w:rsidR="00FB4ED8" w:rsidRDefault="00FB4ED8" w:rsidP="00941E97">
      <w:pPr>
        <w:spacing w:after="0" w:line="240" w:lineRule="auto"/>
      </w:pPr>
      <w:r>
        <w:separator/>
      </w:r>
    </w:p>
  </w:endnote>
  <w:endnote w:type="continuationSeparator" w:id="0">
    <w:p w14:paraId="2E4B5B48" w14:textId="77777777" w:rsidR="00FB4ED8" w:rsidRDefault="00FB4ED8" w:rsidP="0094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370843"/>
      <w:docPartObj>
        <w:docPartGallery w:val="Page Numbers (Bottom of Page)"/>
        <w:docPartUnique/>
      </w:docPartObj>
    </w:sdtPr>
    <w:sdtEndPr>
      <w:rPr>
        <w:noProof/>
      </w:rPr>
    </w:sdtEndPr>
    <w:sdtContent>
      <w:p w14:paraId="4DAF257F" w14:textId="1B15DA92" w:rsidR="00FB4ED8" w:rsidRDefault="00FB4ED8">
        <w:pPr>
          <w:pStyle w:val="Footer"/>
          <w:jc w:val="right"/>
        </w:pPr>
        <w:r>
          <w:fldChar w:fldCharType="begin"/>
        </w:r>
        <w:r>
          <w:instrText xml:space="preserve"> PAGE   \* MERGEFORMAT </w:instrText>
        </w:r>
        <w:r>
          <w:fldChar w:fldCharType="separate"/>
        </w:r>
        <w:r w:rsidR="001E5119">
          <w:rPr>
            <w:noProof/>
          </w:rPr>
          <w:t>16</w:t>
        </w:r>
        <w:r>
          <w:rPr>
            <w:noProof/>
          </w:rPr>
          <w:fldChar w:fldCharType="end"/>
        </w:r>
      </w:p>
    </w:sdtContent>
  </w:sdt>
  <w:p w14:paraId="2B3AC570" w14:textId="77777777" w:rsidR="00FB4ED8" w:rsidRDefault="00FB4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C3175" w14:textId="77777777" w:rsidR="00FB4ED8" w:rsidRDefault="00FB4ED8" w:rsidP="00941E97">
      <w:pPr>
        <w:spacing w:after="0" w:line="240" w:lineRule="auto"/>
      </w:pPr>
      <w:r>
        <w:separator/>
      </w:r>
    </w:p>
  </w:footnote>
  <w:footnote w:type="continuationSeparator" w:id="0">
    <w:p w14:paraId="6FDF3608" w14:textId="77777777" w:rsidR="00FB4ED8" w:rsidRDefault="00FB4ED8" w:rsidP="00941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C73F1"/>
    <w:multiLevelType w:val="hybridMultilevel"/>
    <w:tmpl w:val="825C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4766C"/>
    <w:multiLevelType w:val="hybridMultilevel"/>
    <w:tmpl w:val="C84A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08"/>
    <w:rsid w:val="0001682E"/>
    <w:rsid w:val="00026593"/>
    <w:rsid w:val="0004374C"/>
    <w:rsid w:val="000446A0"/>
    <w:rsid w:val="00045360"/>
    <w:rsid w:val="00055AD5"/>
    <w:rsid w:val="0006753D"/>
    <w:rsid w:val="00077206"/>
    <w:rsid w:val="000826A9"/>
    <w:rsid w:val="00090F16"/>
    <w:rsid w:val="000B4EBC"/>
    <w:rsid w:val="000C6057"/>
    <w:rsid w:val="000F33E7"/>
    <w:rsid w:val="0010070D"/>
    <w:rsid w:val="001056DF"/>
    <w:rsid w:val="00123F72"/>
    <w:rsid w:val="00141FE0"/>
    <w:rsid w:val="001514EC"/>
    <w:rsid w:val="00152559"/>
    <w:rsid w:val="0017741A"/>
    <w:rsid w:val="001812F3"/>
    <w:rsid w:val="00187AC8"/>
    <w:rsid w:val="001A76D3"/>
    <w:rsid w:val="001B6404"/>
    <w:rsid w:val="001D14F1"/>
    <w:rsid w:val="001D625B"/>
    <w:rsid w:val="001D6864"/>
    <w:rsid w:val="001E5119"/>
    <w:rsid w:val="001F04EC"/>
    <w:rsid w:val="0021526E"/>
    <w:rsid w:val="00226308"/>
    <w:rsid w:val="00254383"/>
    <w:rsid w:val="00272886"/>
    <w:rsid w:val="00274F06"/>
    <w:rsid w:val="00281EC8"/>
    <w:rsid w:val="00295C61"/>
    <w:rsid w:val="003024BD"/>
    <w:rsid w:val="003224BF"/>
    <w:rsid w:val="003238A4"/>
    <w:rsid w:val="00331BCB"/>
    <w:rsid w:val="00381FF1"/>
    <w:rsid w:val="003A0E0F"/>
    <w:rsid w:val="003A52D3"/>
    <w:rsid w:val="003C47F6"/>
    <w:rsid w:val="003C4A0E"/>
    <w:rsid w:val="003E3394"/>
    <w:rsid w:val="0042145A"/>
    <w:rsid w:val="0044073D"/>
    <w:rsid w:val="00464506"/>
    <w:rsid w:val="00477E73"/>
    <w:rsid w:val="004811A0"/>
    <w:rsid w:val="004845C8"/>
    <w:rsid w:val="00491CDA"/>
    <w:rsid w:val="0049532E"/>
    <w:rsid w:val="004B5D05"/>
    <w:rsid w:val="004C3397"/>
    <w:rsid w:val="004C76E2"/>
    <w:rsid w:val="004D3246"/>
    <w:rsid w:val="004E4C4B"/>
    <w:rsid w:val="004F7E5E"/>
    <w:rsid w:val="00532385"/>
    <w:rsid w:val="00532AB5"/>
    <w:rsid w:val="00535AEE"/>
    <w:rsid w:val="00541B5A"/>
    <w:rsid w:val="00556749"/>
    <w:rsid w:val="00580B5B"/>
    <w:rsid w:val="0058274A"/>
    <w:rsid w:val="00592AD5"/>
    <w:rsid w:val="005B1D49"/>
    <w:rsid w:val="005C1327"/>
    <w:rsid w:val="005C3E1A"/>
    <w:rsid w:val="005D3157"/>
    <w:rsid w:val="005E46F9"/>
    <w:rsid w:val="005F4FC5"/>
    <w:rsid w:val="005F6EDC"/>
    <w:rsid w:val="006105E4"/>
    <w:rsid w:val="0061487F"/>
    <w:rsid w:val="00643676"/>
    <w:rsid w:val="00643BD4"/>
    <w:rsid w:val="00652970"/>
    <w:rsid w:val="006541F0"/>
    <w:rsid w:val="00667D1E"/>
    <w:rsid w:val="0069095D"/>
    <w:rsid w:val="006919F7"/>
    <w:rsid w:val="00694003"/>
    <w:rsid w:val="006B59FE"/>
    <w:rsid w:val="006B73A5"/>
    <w:rsid w:val="006C6AC6"/>
    <w:rsid w:val="006D247C"/>
    <w:rsid w:val="006F3A89"/>
    <w:rsid w:val="0074090D"/>
    <w:rsid w:val="00744C22"/>
    <w:rsid w:val="00750FF3"/>
    <w:rsid w:val="007664E9"/>
    <w:rsid w:val="00776D20"/>
    <w:rsid w:val="00785FEC"/>
    <w:rsid w:val="00787C51"/>
    <w:rsid w:val="007C3D6A"/>
    <w:rsid w:val="007D3E25"/>
    <w:rsid w:val="007E6C89"/>
    <w:rsid w:val="0081606B"/>
    <w:rsid w:val="00847850"/>
    <w:rsid w:val="008554BA"/>
    <w:rsid w:val="0085560A"/>
    <w:rsid w:val="00870EAE"/>
    <w:rsid w:val="0088388D"/>
    <w:rsid w:val="00893F64"/>
    <w:rsid w:val="008B10A5"/>
    <w:rsid w:val="008D0464"/>
    <w:rsid w:val="008D25E1"/>
    <w:rsid w:val="008E6BEF"/>
    <w:rsid w:val="008F5025"/>
    <w:rsid w:val="008F62E4"/>
    <w:rsid w:val="009050E6"/>
    <w:rsid w:val="009070E4"/>
    <w:rsid w:val="00911232"/>
    <w:rsid w:val="00914951"/>
    <w:rsid w:val="00916A4E"/>
    <w:rsid w:val="00930571"/>
    <w:rsid w:val="0093374C"/>
    <w:rsid w:val="00935274"/>
    <w:rsid w:val="00941E97"/>
    <w:rsid w:val="0095242F"/>
    <w:rsid w:val="0095367C"/>
    <w:rsid w:val="009849D3"/>
    <w:rsid w:val="009A57B4"/>
    <w:rsid w:val="009B10A8"/>
    <w:rsid w:val="009B26CE"/>
    <w:rsid w:val="009C0BA3"/>
    <w:rsid w:val="009F745A"/>
    <w:rsid w:val="00A07F35"/>
    <w:rsid w:val="00A22DB2"/>
    <w:rsid w:val="00A26F68"/>
    <w:rsid w:val="00A6484F"/>
    <w:rsid w:val="00A73B0D"/>
    <w:rsid w:val="00A960F2"/>
    <w:rsid w:val="00AA2980"/>
    <w:rsid w:val="00AA575D"/>
    <w:rsid w:val="00AC574D"/>
    <w:rsid w:val="00AD63C7"/>
    <w:rsid w:val="00AE0F1A"/>
    <w:rsid w:val="00AE481F"/>
    <w:rsid w:val="00B01936"/>
    <w:rsid w:val="00B0443C"/>
    <w:rsid w:val="00B36239"/>
    <w:rsid w:val="00B40D3F"/>
    <w:rsid w:val="00B4771E"/>
    <w:rsid w:val="00B54B4D"/>
    <w:rsid w:val="00B556F5"/>
    <w:rsid w:val="00B84E94"/>
    <w:rsid w:val="00B922CE"/>
    <w:rsid w:val="00B930D5"/>
    <w:rsid w:val="00BA024F"/>
    <w:rsid w:val="00BA6886"/>
    <w:rsid w:val="00BC174D"/>
    <w:rsid w:val="00BC43D3"/>
    <w:rsid w:val="00BD1A3F"/>
    <w:rsid w:val="00BD59A7"/>
    <w:rsid w:val="00C42472"/>
    <w:rsid w:val="00C46E1B"/>
    <w:rsid w:val="00C54124"/>
    <w:rsid w:val="00C73009"/>
    <w:rsid w:val="00C76754"/>
    <w:rsid w:val="00C8176F"/>
    <w:rsid w:val="00C90F62"/>
    <w:rsid w:val="00CA49AB"/>
    <w:rsid w:val="00CB2D42"/>
    <w:rsid w:val="00CC34D0"/>
    <w:rsid w:val="00CC3ADC"/>
    <w:rsid w:val="00D11C61"/>
    <w:rsid w:val="00D25543"/>
    <w:rsid w:val="00D4499D"/>
    <w:rsid w:val="00D548B6"/>
    <w:rsid w:val="00D6651A"/>
    <w:rsid w:val="00D808C5"/>
    <w:rsid w:val="00D83DB8"/>
    <w:rsid w:val="00DA05A9"/>
    <w:rsid w:val="00DA59C7"/>
    <w:rsid w:val="00DC013D"/>
    <w:rsid w:val="00DD6095"/>
    <w:rsid w:val="00E54DDA"/>
    <w:rsid w:val="00E7302E"/>
    <w:rsid w:val="00E73CA9"/>
    <w:rsid w:val="00E814F3"/>
    <w:rsid w:val="00E82FEB"/>
    <w:rsid w:val="00E91B6D"/>
    <w:rsid w:val="00EA2034"/>
    <w:rsid w:val="00EA2CCE"/>
    <w:rsid w:val="00EB673C"/>
    <w:rsid w:val="00EC7EFE"/>
    <w:rsid w:val="00ED1C3D"/>
    <w:rsid w:val="00F11D38"/>
    <w:rsid w:val="00F11D3F"/>
    <w:rsid w:val="00F7492E"/>
    <w:rsid w:val="00F84706"/>
    <w:rsid w:val="00F97B4B"/>
    <w:rsid w:val="00FA13D9"/>
    <w:rsid w:val="00FA7479"/>
    <w:rsid w:val="00FB4ED8"/>
    <w:rsid w:val="00FB5C77"/>
    <w:rsid w:val="00FC32C6"/>
    <w:rsid w:val="00FD1558"/>
    <w:rsid w:val="00FF1DCF"/>
    <w:rsid w:val="00FF3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CE0B"/>
  <w15:chartTrackingRefBased/>
  <w15:docId w15:val="{3AFFFE7E-5674-4858-BECA-7B5BC917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6308"/>
    <w:pPr>
      <w:tabs>
        <w:tab w:val="center" w:pos="4680"/>
        <w:tab w:val="right" w:pos="9360"/>
      </w:tabs>
      <w:spacing w:before="480" w:after="0" w:line="360" w:lineRule="auto"/>
      <w:contextualSpacing/>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5567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6749"/>
    <w:pPr>
      <w:outlineLvl w:val="2"/>
    </w:pPr>
    <w:rPr>
      <w:b/>
      <w:sz w:val="28"/>
      <w:szCs w:val="28"/>
    </w:rPr>
  </w:style>
  <w:style w:type="paragraph" w:styleId="Heading4">
    <w:name w:val="heading 4"/>
    <w:basedOn w:val="Normal"/>
    <w:next w:val="Normal"/>
    <w:link w:val="Heading4Char"/>
    <w:uiPriority w:val="9"/>
    <w:unhideWhenUsed/>
    <w:qFormat/>
    <w:rsid w:val="00FA7479"/>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308"/>
    <w:rPr>
      <w:rFonts w:eastAsiaTheme="majorEastAsia" w:cstheme="minorHAnsi"/>
      <w:b/>
      <w:bCs/>
      <w:sz w:val="28"/>
      <w:szCs w:val="28"/>
    </w:rPr>
  </w:style>
  <w:style w:type="table" w:styleId="TableGrid">
    <w:name w:val="Table Grid"/>
    <w:basedOn w:val="TableNormal"/>
    <w:uiPriority w:val="59"/>
    <w:rsid w:val="0006753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5674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6749"/>
    <w:rPr>
      <w:b/>
      <w:sz w:val="28"/>
      <w:szCs w:val="28"/>
    </w:rPr>
  </w:style>
  <w:style w:type="paragraph" w:styleId="Header">
    <w:name w:val="header"/>
    <w:basedOn w:val="Normal"/>
    <w:link w:val="HeaderChar"/>
    <w:uiPriority w:val="99"/>
    <w:unhideWhenUsed/>
    <w:rsid w:val="0094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E97"/>
  </w:style>
  <w:style w:type="paragraph" w:styleId="Footer">
    <w:name w:val="footer"/>
    <w:basedOn w:val="Normal"/>
    <w:link w:val="FooterChar"/>
    <w:uiPriority w:val="99"/>
    <w:unhideWhenUsed/>
    <w:rsid w:val="0094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E97"/>
  </w:style>
  <w:style w:type="character" w:styleId="CommentReference">
    <w:name w:val="annotation reference"/>
    <w:basedOn w:val="DefaultParagraphFont"/>
    <w:unhideWhenUsed/>
    <w:rsid w:val="009070E4"/>
    <w:rPr>
      <w:sz w:val="16"/>
      <w:szCs w:val="16"/>
    </w:rPr>
  </w:style>
  <w:style w:type="paragraph" w:styleId="CommentText">
    <w:name w:val="annotation text"/>
    <w:basedOn w:val="Normal"/>
    <w:link w:val="CommentTextChar"/>
    <w:unhideWhenUsed/>
    <w:rsid w:val="009070E4"/>
    <w:pPr>
      <w:spacing w:line="240" w:lineRule="auto"/>
    </w:pPr>
    <w:rPr>
      <w:sz w:val="20"/>
      <w:szCs w:val="20"/>
    </w:rPr>
  </w:style>
  <w:style w:type="character" w:customStyle="1" w:styleId="CommentTextChar">
    <w:name w:val="Comment Text Char"/>
    <w:basedOn w:val="DefaultParagraphFont"/>
    <w:link w:val="CommentText"/>
    <w:rsid w:val="009070E4"/>
    <w:rPr>
      <w:sz w:val="20"/>
      <w:szCs w:val="20"/>
    </w:rPr>
  </w:style>
  <w:style w:type="paragraph" w:styleId="CommentSubject">
    <w:name w:val="annotation subject"/>
    <w:basedOn w:val="CommentText"/>
    <w:next w:val="CommentText"/>
    <w:link w:val="CommentSubjectChar"/>
    <w:uiPriority w:val="99"/>
    <w:semiHidden/>
    <w:unhideWhenUsed/>
    <w:rsid w:val="009070E4"/>
    <w:rPr>
      <w:b/>
      <w:bCs/>
    </w:rPr>
  </w:style>
  <w:style w:type="character" w:customStyle="1" w:styleId="CommentSubjectChar">
    <w:name w:val="Comment Subject Char"/>
    <w:basedOn w:val="CommentTextChar"/>
    <w:link w:val="CommentSubject"/>
    <w:uiPriority w:val="99"/>
    <w:semiHidden/>
    <w:rsid w:val="009070E4"/>
    <w:rPr>
      <w:b/>
      <w:bCs/>
      <w:sz w:val="20"/>
      <w:szCs w:val="20"/>
    </w:rPr>
  </w:style>
  <w:style w:type="paragraph" w:styleId="Revision">
    <w:name w:val="Revision"/>
    <w:hidden/>
    <w:uiPriority w:val="99"/>
    <w:semiHidden/>
    <w:rsid w:val="00BA6886"/>
    <w:pPr>
      <w:spacing w:after="0" w:line="240" w:lineRule="auto"/>
    </w:pPr>
  </w:style>
  <w:style w:type="paragraph" w:styleId="BalloonText">
    <w:name w:val="Balloon Text"/>
    <w:basedOn w:val="Normal"/>
    <w:link w:val="BalloonTextChar"/>
    <w:uiPriority w:val="99"/>
    <w:semiHidden/>
    <w:unhideWhenUsed/>
    <w:rsid w:val="00FB4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ED8"/>
    <w:rPr>
      <w:rFonts w:ascii="Segoe UI" w:hAnsi="Segoe UI" w:cs="Segoe UI"/>
      <w:sz w:val="18"/>
      <w:szCs w:val="18"/>
    </w:rPr>
  </w:style>
  <w:style w:type="character" w:customStyle="1" w:styleId="Heading4Char">
    <w:name w:val="Heading 4 Char"/>
    <w:basedOn w:val="DefaultParagraphFont"/>
    <w:link w:val="Heading4"/>
    <w:uiPriority w:val="9"/>
    <w:rsid w:val="00FA7479"/>
    <w:rPr>
      <w:i/>
    </w:rPr>
  </w:style>
  <w:style w:type="paragraph" w:styleId="ListParagraph">
    <w:name w:val="List Paragraph"/>
    <w:basedOn w:val="Normal"/>
    <w:uiPriority w:val="34"/>
    <w:qFormat/>
    <w:rsid w:val="00FA7479"/>
    <w:pPr>
      <w:spacing w:after="240" w:line="360" w:lineRule="auto"/>
      <w:ind w:left="720"/>
      <w:contextualSpacing/>
    </w:pPr>
    <w:rPr>
      <w:rFonts w:eastAsiaTheme="minorEastAsia"/>
    </w:rPr>
  </w:style>
  <w:style w:type="character" w:customStyle="1" w:styleId="normaltextrun">
    <w:name w:val="normaltextrun"/>
    <w:basedOn w:val="DefaultParagraphFont"/>
    <w:rsid w:val="00FA7479"/>
  </w:style>
  <w:style w:type="paragraph" w:styleId="Bibliography">
    <w:name w:val="Bibliography"/>
    <w:basedOn w:val="Normal"/>
    <w:next w:val="Normal"/>
    <w:uiPriority w:val="37"/>
    <w:unhideWhenUsed/>
    <w:rsid w:val="00123F72"/>
    <w:pPr>
      <w:tabs>
        <w:tab w:val="left" w:pos="144"/>
      </w:tabs>
      <w:spacing w:after="240" w:line="240" w:lineRule="auto"/>
      <w:ind w:left="144" w:hanging="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03788">
      <w:bodyDiv w:val="1"/>
      <w:marLeft w:val="0"/>
      <w:marRight w:val="0"/>
      <w:marTop w:val="0"/>
      <w:marBottom w:val="0"/>
      <w:divBdr>
        <w:top w:val="none" w:sz="0" w:space="0" w:color="auto"/>
        <w:left w:val="none" w:sz="0" w:space="0" w:color="auto"/>
        <w:bottom w:val="none" w:sz="0" w:space="0" w:color="auto"/>
        <w:right w:val="none" w:sz="0" w:space="0" w:color="auto"/>
      </w:divBdr>
    </w:div>
    <w:div w:id="559946539">
      <w:bodyDiv w:val="1"/>
      <w:marLeft w:val="0"/>
      <w:marRight w:val="0"/>
      <w:marTop w:val="0"/>
      <w:marBottom w:val="0"/>
      <w:divBdr>
        <w:top w:val="none" w:sz="0" w:space="0" w:color="auto"/>
        <w:left w:val="none" w:sz="0" w:space="0" w:color="auto"/>
        <w:bottom w:val="none" w:sz="0" w:space="0" w:color="auto"/>
        <w:right w:val="none" w:sz="0" w:space="0" w:color="auto"/>
      </w:divBdr>
    </w:div>
    <w:div w:id="648216684">
      <w:bodyDiv w:val="1"/>
      <w:marLeft w:val="0"/>
      <w:marRight w:val="0"/>
      <w:marTop w:val="0"/>
      <w:marBottom w:val="0"/>
      <w:divBdr>
        <w:top w:val="none" w:sz="0" w:space="0" w:color="auto"/>
        <w:left w:val="none" w:sz="0" w:space="0" w:color="auto"/>
        <w:bottom w:val="none" w:sz="0" w:space="0" w:color="auto"/>
        <w:right w:val="none" w:sz="0" w:space="0" w:color="auto"/>
      </w:divBdr>
    </w:div>
    <w:div w:id="663781215">
      <w:bodyDiv w:val="1"/>
      <w:marLeft w:val="0"/>
      <w:marRight w:val="0"/>
      <w:marTop w:val="0"/>
      <w:marBottom w:val="0"/>
      <w:divBdr>
        <w:top w:val="none" w:sz="0" w:space="0" w:color="auto"/>
        <w:left w:val="none" w:sz="0" w:space="0" w:color="auto"/>
        <w:bottom w:val="none" w:sz="0" w:space="0" w:color="auto"/>
        <w:right w:val="none" w:sz="0" w:space="0" w:color="auto"/>
      </w:divBdr>
    </w:div>
    <w:div w:id="101596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12467</Words>
  <Characters>71063</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Jackson</dc:creator>
  <cp:keywords/>
  <dc:description/>
  <cp:lastModifiedBy>Sarah Jackson</cp:lastModifiedBy>
  <cp:revision>18</cp:revision>
  <dcterms:created xsi:type="dcterms:W3CDTF">2022-11-22T10:41:00Z</dcterms:created>
  <dcterms:modified xsi:type="dcterms:W3CDTF">2022-12-06T10:50:00Z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zotero-version="6.0.7"&gt;&lt;session id="i9cEirCX"/&gt;&lt;style id="http://www.zotero.org/styles/the-lancet" hasBibliography="1" bibliographyStyleHasBeenSet="1"/&gt;&lt;prefs&gt;&lt;pref name="fieldType" value="Field"/&gt;&lt;pref name="automaticJournalAbbrevi</vt:lpwstr>
  </property>
  <property fmtid="{D5CDD505-2E9C-101B-9397-08002B2CF9AE}" pid="3" name="ZOTERO_PREF_2">
    <vt:lpwstr>ations" value="true"/&gt;&lt;/prefs&gt;&lt;/data&gt;</vt:lpwstr>
  </property>
</Properties>
</file>