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425F" w14:textId="35457662" w:rsidR="00D307FE" w:rsidRDefault="00D307FE" w:rsidP="00D307F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Material</w:t>
      </w:r>
    </w:p>
    <w:p w14:paraId="395A0B19" w14:textId="77777777" w:rsidR="004E49F1" w:rsidRDefault="004E49F1" w:rsidP="00D307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B8200C" w14:textId="73B39B22" w:rsidR="00105B7F" w:rsidRDefault="00D307FE" w:rsidP="00D307FE">
      <w:pPr>
        <w:rPr>
          <w:rFonts w:ascii="Times New Roman" w:hAnsi="Times New Roman" w:cs="Times New Roman"/>
          <w:b/>
          <w:bCs/>
        </w:rPr>
      </w:pPr>
      <w:r w:rsidRPr="00D63DD4">
        <w:rPr>
          <w:rFonts w:ascii="Times New Roman" w:hAnsi="Times New Roman" w:cs="Times New Roman"/>
          <w:b/>
          <w:bCs/>
        </w:rPr>
        <w:t>Supplementary Material A.</w:t>
      </w:r>
      <w:r>
        <w:rPr>
          <w:rFonts w:ascii="Times New Roman" w:hAnsi="Times New Roman" w:cs="Times New Roman"/>
          <w:b/>
          <w:bCs/>
        </w:rPr>
        <w:t xml:space="preserve"> Summary of SARS-CoV-2 cases, associated specimens</w:t>
      </w:r>
      <w:r w:rsidR="002B300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and test results.</w:t>
      </w:r>
    </w:p>
    <w:p w14:paraId="664A0C4B" w14:textId="04A17FBC" w:rsidR="00105B7F" w:rsidRPr="00105B7F" w:rsidRDefault="00105B7F" w:rsidP="00D30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 totals are shown for the study participants for index cases, household contacts, and non-household contacts.</w:t>
      </w:r>
      <w:r w:rsidR="00690C5C">
        <w:rPr>
          <w:rFonts w:ascii="Times New Roman" w:hAnsi="Times New Roman" w:cs="Times New Roman"/>
        </w:rPr>
        <w:t xml:space="preserve"> The proportion of samples selected and run for antigen testing from each participant is shown for nasopharyngeal </w:t>
      </w:r>
      <w:r w:rsidR="00D019A2">
        <w:rPr>
          <w:rFonts w:ascii="Times New Roman" w:hAnsi="Times New Roman" w:cs="Times New Roman"/>
        </w:rPr>
        <w:t xml:space="preserve">swab </w:t>
      </w:r>
      <w:r w:rsidR="00690C5C">
        <w:rPr>
          <w:rFonts w:ascii="Times New Roman" w:hAnsi="Times New Roman" w:cs="Times New Roman"/>
        </w:rPr>
        <w:t>(NP</w:t>
      </w:r>
      <w:r w:rsidR="00D019A2">
        <w:rPr>
          <w:rFonts w:ascii="Times New Roman" w:hAnsi="Times New Roman" w:cs="Times New Roman"/>
        </w:rPr>
        <w:t>S</w:t>
      </w:r>
      <w:r w:rsidR="00690C5C">
        <w:rPr>
          <w:rFonts w:ascii="Times New Roman" w:hAnsi="Times New Roman" w:cs="Times New Roman"/>
        </w:rPr>
        <w:t xml:space="preserve">), anterior nares </w:t>
      </w:r>
      <w:r w:rsidR="00D019A2">
        <w:rPr>
          <w:rFonts w:ascii="Times New Roman" w:hAnsi="Times New Roman" w:cs="Times New Roman"/>
        </w:rPr>
        <w:t xml:space="preserve">swab </w:t>
      </w:r>
      <w:r w:rsidR="00690C5C">
        <w:rPr>
          <w:rFonts w:ascii="Times New Roman" w:hAnsi="Times New Roman" w:cs="Times New Roman"/>
        </w:rPr>
        <w:t>(AN</w:t>
      </w:r>
      <w:r w:rsidR="00D019A2">
        <w:rPr>
          <w:rFonts w:ascii="Times New Roman" w:hAnsi="Times New Roman" w:cs="Times New Roman"/>
        </w:rPr>
        <w:t>S</w:t>
      </w:r>
      <w:r w:rsidR="00690C5C">
        <w:rPr>
          <w:rFonts w:ascii="Times New Roman" w:hAnsi="Times New Roman" w:cs="Times New Roman"/>
        </w:rPr>
        <w:t>)</w:t>
      </w:r>
      <w:r w:rsidR="002B300B">
        <w:rPr>
          <w:rFonts w:ascii="Times New Roman" w:hAnsi="Times New Roman" w:cs="Times New Roman"/>
        </w:rPr>
        <w:t>,</w:t>
      </w:r>
      <w:r w:rsidR="00690C5C">
        <w:rPr>
          <w:rFonts w:ascii="Times New Roman" w:hAnsi="Times New Roman" w:cs="Times New Roman"/>
        </w:rPr>
        <w:t xml:space="preserve"> and saliva</w:t>
      </w:r>
      <w:r w:rsidR="002B300B">
        <w:rPr>
          <w:rFonts w:ascii="Times New Roman" w:hAnsi="Times New Roman" w:cs="Times New Roman"/>
        </w:rPr>
        <w:t xml:space="preserve">. </w:t>
      </w:r>
      <w:r w:rsidR="00FF5B8F">
        <w:rPr>
          <w:rFonts w:ascii="Times New Roman" w:hAnsi="Times New Roman" w:cs="Times New Roman"/>
        </w:rPr>
        <w:t xml:space="preserve">The lysis buffer for the STANDARD Q ANS specimen was used for antigen concentration determination in the ANS specimen. </w:t>
      </w:r>
      <w:r w:rsidR="004506C5">
        <w:rPr>
          <w:rFonts w:ascii="Times New Roman" w:hAnsi="Times New Roman" w:cs="Times New Roman"/>
        </w:rPr>
        <w:t>Because household contacts</w:t>
      </w:r>
      <w:r>
        <w:rPr>
          <w:rFonts w:ascii="Times New Roman" w:hAnsi="Times New Roman" w:cs="Times New Roman"/>
        </w:rPr>
        <w:t xml:space="preserve"> </w:t>
      </w:r>
      <w:r w:rsidR="002B300B">
        <w:rPr>
          <w:rFonts w:ascii="Times New Roman" w:hAnsi="Times New Roman" w:cs="Times New Roman"/>
        </w:rPr>
        <w:t xml:space="preserve">had </w:t>
      </w:r>
      <w:r>
        <w:rPr>
          <w:rFonts w:ascii="Times New Roman" w:hAnsi="Times New Roman" w:cs="Times New Roman"/>
        </w:rPr>
        <w:t>multiple timepoints per individual</w:t>
      </w:r>
      <w:r w:rsidR="004506C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results reflect the combined individual and timepoint</w:t>
      </w:r>
      <w:r w:rsidR="004506C5">
        <w:rPr>
          <w:rFonts w:ascii="Times New Roman" w:hAnsi="Times New Roman" w:cs="Times New Roman"/>
        </w:rPr>
        <w:t xml:space="preserve"> together for the 64 household contacts</w:t>
      </w:r>
      <w:r w:rsidR="00D96232">
        <w:rPr>
          <w:rFonts w:ascii="Times New Roman" w:hAnsi="Times New Roman" w:cs="Times New Roman"/>
        </w:rPr>
        <w:t xml:space="preserve"> (total of 224 combinations)</w:t>
      </w:r>
      <w:r>
        <w:rPr>
          <w:rFonts w:ascii="Times New Roman" w:hAnsi="Times New Roman" w:cs="Times New Roman"/>
        </w:rPr>
        <w:t>.</w:t>
      </w:r>
      <w:r w:rsidR="005A579B">
        <w:rPr>
          <w:rFonts w:ascii="Times New Roman" w:hAnsi="Times New Roman" w:cs="Times New Roman"/>
        </w:rPr>
        <w:t xml:space="preserve"> </w:t>
      </w:r>
      <w:r w:rsidR="0096070B">
        <w:rPr>
          <w:rFonts w:ascii="Times New Roman" w:hAnsi="Times New Roman" w:cs="Times New Roman"/>
        </w:rPr>
        <w:t xml:space="preserve">Positive and negative classifications correspond to available test results </w:t>
      </w:r>
      <w:r w:rsidR="0036578F">
        <w:rPr>
          <w:rFonts w:ascii="Times New Roman" w:hAnsi="Times New Roman" w:cs="Times New Roman"/>
        </w:rPr>
        <w:t>from laboratory PCR</w:t>
      </w:r>
      <w:r w:rsidR="00CD514E">
        <w:rPr>
          <w:rFonts w:ascii="Times New Roman" w:hAnsi="Times New Roman" w:cs="Times New Roman"/>
        </w:rPr>
        <w:t xml:space="preserve"> results</w:t>
      </w:r>
      <w:r w:rsidR="0036578F">
        <w:rPr>
          <w:rFonts w:ascii="Times New Roman" w:hAnsi="Times New Roman" w:cs="Times New Roman"/>
        </w:rPr>
        <w:t xml:space="preserve">, SalivaDirect, </w:t>
      </w:r>
      <w:r w:rsidR="002B300B">
        <w:rPr>
          <w:rFonts w:ascii="Times New Roman" w:hAnsi="Times New Roman" w:cs="Times New Roman"/>
        </w:rPr>
        <w:t>STANDARD</w:t>
      </w:r>
      <w:r w:rsidR="0036578F">
        <w:rPr>
          <w:rFonts w:ascii="Times New Roman" w:hAnsi="Times New Roman" w:cs="Times New Roman"/>
        </w:rPr>
        <w:t xml:space="preserve"> Q Saliva, Lumira</w:t>
      </w:r>
      <w:r w:rsidR="002B300B">
        <w:rPr>
          <w:rFonts w:ascii="Times New Roman" w:hAnsi="Times New Roman" w:cs="Times New Roman"/>
        </w:rPr>
        <w:t>Dx</w:t>
      </w:r>
      <w:r w:rsidR="0036578F">
        <w:rPr>
          <w:rFonts w:ascii="Times New Roman" w:hAnsi="Times New Roman" w:cs="Times New Roman"/>
        </w:rPr>
        <w:t xml:space="preserve">, and </w:t>
      </w:r>
      <w:r w:rsidR="002B300B">
        <w:rPr>
          <w:rFonts w:ascii="Times New Roman" w:hAnsi="Times New Roman" w:cs="Times New Roman"/>
        </w:rPr>
        <w:t>STANDARD</w:t>
      </w:r>
      <w:r w:rsidR="0036578F">
        <w:rPr>
          <w:rFonts w:ascii="Times New Roman" w:hAnsi="Times New Roman" w:cs="Times New Roman"/>
        </w:rPr>
        <w:t xml:space="preserve"> Q point</w:t>
      </w:r>
      <w:r w:rsidR="002B300B">
        <w:rPr>
          <w:rFonts w:ascii="Times New Roman" w:hAnsi="Times New Roman" w:cs="Times New Roman"/>
        </w:rPr>
        <w:t>-</w:t>
      </w:r>
      <w:r w:rsidR="0036578F">
        <w:rPr>
          <w:rFonts w:ascii="Times New Roman" w:hAnsi="Times New Roman" w:cs="Times New Roman"/>
        </w:rPr>
        <w:t>of</w:t>
      </w:r>
      <w:r w:rsidR="002B300B">
        <w:rPr>
          <w:rFonts w:ascii="Times New Roman" w:hAnsi="Times New Roman" w:cs="Times New Roman"/>
        </w:rPr>
        <w:t>-</w:t>
      </w:r>
      <w:r w:rsidR="0036578F">
        <w:rPr>
          <w:rFonts w:ascii="Times New Roman" w:hAnsi="Times New Roman" w:cs="Times New Roman"/>
        </w:rPr>
        <w:t>care (anterior nasal)</w:t>
      </w:r>
      <w:r w:rsidR="002B300B">
        <w:rPr>
          <w:rFonts w:ascii="Times New Roman" w:hAnsi="Times New Roman" w:cs="Times New Roman"/>
        </w:rPr>
        <w:t xml:space="preserve"> </w:t>
      </w:r>
      <w:r w:rsidR="0096070B">
        <w:rPr>
          <w:rFonts w:ascii="Times New Roman" w:hAnsi="Times New Roman" w:cs="Times New Roman"/>
        </w:rPr>
        <w:t>and exclude antigen concentration measurement results.</w:t>
      </w:r>
      <w:r w:rsidR="00C63975">
        <w:rPr>
          <w:rFonts w:ascii="Times New Roman" w:hAnsi="Times New Roman" w:cs="Times New Roman"/>
        </w:rPr>
        <w:t xml:space="preserve"> </w:t>
      </w:r>
      <w:r w:rsidR="00256494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8"/>
        <w:gridCol w:w="809"/>
        <w:gridCol w:w="743"/>
        <w:gridCol w:w="831"/>
        <w:gridCol w:w="832"/>
        <w:gridCol w:w="862"/>
        <w:gridCol w:w="1147"/>
        <w:gridCol w:w="1088"/>
        <w:gridCol w:w="1300"/>
      </w:tblGrid>
      <w:tr w:rsidR="00256494" w14:paraId="79C9D4BF" w14:textId="77777777" w:rsidTr="00FF5B8F">
        <w:trPr>
          <w:trHeight w:val="764"/>
        </w:trPr>
        <w:tc>
          <w:tcPr>
            <w:tcW w:w="929" w:type="pct"/>
            <w:vAlign w:val="center"/>
          </w:tcPr>
          <w:p w14:paraId="1B940343" w14:textId="78D06BA0" w:rsidR="00256494" w:rsidRPr="00F930A2" w:rsidRDefault="00256494" w:rsidP="00183A83">
            <w:pPr>
              <w:jc w:val="center"/>
              <w:rPr>
                <w:b/>
                <w:bCs/>
                <w:sz w:val="18"/>
                <w:szCs w:val="18"/>
              </w:rPr>
            </w:pPr>
            <w:r w:rsidRPr="00F930A2">
              <w:rPr>
                <w:b/>
                <w:bCs/>
                <w:sz w:val="18"/>
                <w:szCs w:val="18"/>
              </w:rPr>
              <w:t>Participant type</w:t>
            </w:r>
          </w:p>
        </w:tc>
        <w:tc>
          <w:tcPr>
            <w:tcW w:w="432" w:type="pct"/>
            <w:vAlign w:val="center"/>
          </w:tcPr>
          <w:p w14:paraId="5DED8653" w14:textId="4849566B" w:rsidR="00256494" w:rsidRPr="00F930A2" w:rsidRDefault="00256494" w:rsidP="00183A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Negative by all tests</w:t>
            </w:r>
          </w:p>
        </w:tc>
        <w:tc>
          <w:tcPr>
            <w:tcW w:w="397" w:type="pct"/>
            <w:vAlign w:val="center"/>
          </w:tcPr>
          <w:p w14:paraId="4F527996" w14:textId="38218E7C" w:rsidR="00256494" w:rsidRPr="00F930A2" w:rsidRDefault="00256494" w:rsidP="00183A83">
            <w:pPr>
              <w:jc w:val="center"/>
              <w:rPr>
                <w:b/>
                <w:bCs/>
                <w:sz w:val="16"/>
                <w:szCs w:val="16"/>
              </w:rPr>
            </w:pPr>
            <w:r w:rsidRPr="00F930A2">
              <w:rPr>
                <w:b/>
                <w:bCs/>
                <w:sz w:val="16"/>
                <w:szCs w:val="16"/>
              </w:rPr>
              <w:t>Positive by</w:t>
            </w:r>
            <w:r w:rsidR="00CD514E">
              <w:rPr>
                <w:b/>
                <w:bCs/>
                <w:sz w:val="16"/>
                <w:szCs w:val="16"/>
              </w:rPr>
              <w:t xml:space="preserve"> only</w:t>
            </w:r>
            <w:r w:rsidRPr="00F930A2">
              <w:rPr>
                <w:b/>
                <w:bCs/>
                <w:sz w:val="16"/>
                <w:szCs w:val="16"/>
              </w:rPr>
              <w:t xml:space="preserve"> one test</w:t>
            </w:r>
          </w:p>
        </w:tc>
        <w:tc>
          <w:tcPr>
            <w:tcW w:w="444" w:type="pct"/>
            <w:vAlign w:val="center"/>
          </w:tcPr>
          <w:p w14:paraId="44DC08CF" w14:textId="0A54C234" w:rsidR="00256494" w:rsidRPr="00F930A2" w:rsidRDefault="00256494" w:rsidP="00183A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Positive by </w:t>
            </w:r>
            <w:r w:rsidR="00CD514E">
              <w:rPr>
                <w:b/>
                <w:bCs/>
                <w:sz w:val="16"/>
                <w:szCs w:val="16"/>
              </w:rPr>
              <w:t xml:space="preserve">only </w:t>
            </w:r>
            <w:r>
              <w:rPr>
                <w:b/>
                <w:bCs/>
                <w:sz w:val="16"/>
                <w:szCs w:val="16"/>
              </w:rPr>
              <w:t>two tests</w:t>
            </w:r>
          </w:p>
        </w:tc>
        <w:tc>
          <w:tcPr>
            <w:tcW w:w="445" w:type="pct"/>
            <w:vAlign w:val="center"/>
          </w:tcPr>
          <w:p w14:paraId="2A0837B1" w14:textId="530A12AF" w:rsidR="00256494" w:rsidRPr="00F930A2" w:rsidRDefault="00256494" w:rsidP="00183A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Positive by three or more tests</w:t>
            </w:r>
          </w:p>
        </w:tc>
        <w:tc>
          <w:tcPr>
            <w:tcW w:w="461" w:type="pct"/>
            <w:vAlign w:val="center"/>
          </w:tcPr>
          <w:p w14:paraId="166C7F22" w14:textId="79AD9D99" w:rsidR="00256494" w:rsidRPr="00F930A2" w:rsidRDefault="00256494" w:rsidP="00183A83">
            <w:pPr>
              <w:jc w:val="center"/>
              <w:rPr>
                <w:b/>
                <w:bCs/>
                <w:sz w:val="16"/>
                <w:szCs w:val="16"/>
              </w:rPr>
            </w:pPr>
            <w:r w:rsidRPr="00F930A2">
              <w:rPr>
                <w:b/>
                <w:bCs/>
                <w:sz w:val="18"/>
                <w:szCs w:val="18"/>
              </w:rPr>
              <w:t>Sample type</w:t>
            </w:r>
          </w:p>
        </w:tc>
        <w:tc>
          <w:tcPr>
            <w:tcW w:w="613" w:type="pct"/>
          </w:tcPr>
          <w:p w14:paraId="3F74E87F" w14:textId="0AB07E7A" w:rsidR="00256494" w:rsidRPr="00F930A2" w:rsidRDefault="00256494" w:rsidP="00183A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Selected for antigen concentration testing</w:t>
            </w:r>
          </w:p>
        </w:tc>
        <w:tc>
          <w:tcPr>
            <w:tcW w:w="582" w:type="pct"/>
            <w:vAlign w:val="center"/>
          </w:tcPr>
          <w:p w14:paraId="69EF1515" w14:textId="7F855DFD" w:rsidR="00256494" w:rsidRPr="00F930A2" w:rsidRDefault="00256494" w:rsidP="00183A83">
            <w:pPr>
              <w:jc w:val="center"/>
              <w:rPr>
                <w:b/>
                <w:bCs/>
                <w:sz w:val="16"/>
                <w:szCs w:val="16"/>
              </w:rPr>
            </w:pPr>
            <w:r w:rsidRPr="00F930A2">
              <w:rPr>
                <w:b/>
                <w:bCs/>
                <w:sz w:val="16"/>
                <w:szCs w:val="16"/>
              </w:rPr>
              <w:t>Insufficient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930A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or missing sample</w:t>
            </w:r>
          </w:p>
        </w:tc>
        <w:tc>
          <w:tcPr>
            <w:tcW w:w="695" w:type="pct"/>
            <w:vAlign w:val="center"/>
          </w:tcPr>
          <w:p w14:paraId="2D67E615" w14:textId="116A4048" w:rsidR="00256494" w:rsidRPr="00F930A2" w:rsidRDefault="00256494" w:rsidP="00183A83">
            <w:pPr>
              <w:jc w:val="center"/>
              <w:rPr>
                <w:b/>
                <w:bCs/>
                <w:sz w:val="16"/>
                <w:szCs w:val="16"/>
              </w:rPr>
            </w:pPr>
            <w:r w:rsidRPr="00F930A2">
              <w:rPr>
                <w:b/>
                <w:bCs/>
                <w:sz w:val="16"/>
                <w:szCs w:val="16"/>
              </w:rPr>
              <w:t>Antigen concentration determined</w:t>
            </w:r>
          </w:p>
        </w:tc>
      </w:tr>
      <w:tr w:rsidR="00256494" w14:paraId="1034A9FC" w14:textId="77777777" w:rsidTr="00FF5B8F">
        <w:trPr>
          <w:trHeight w:val="725"/>
        </w:trPr>
        <w:tc>
          <w:tcPr>
            <w:tcW w:w="929" w:type="pct"/>
            <w:vMerge w:val="restart"/>
            <w:vAlign w:val="center"/>
          </w:tcPr>
          <w:p w14:paraId="3FA11351" w14:textId="23FF858A" w:rsidR="00256494" w:rsidRPr="00F930A2" w:rsidRDefault="00256494" w:rsidP="00183A83">
            <w:pPr>
              <w:jc w:val="center"/>
              <w:rPr>
                <w:b/>
                <w:bCs/>
                <w:sz w:val="18"/>
                <w:szCs w:val="18"/>
              </w:rPr>
            </w:pPr>
            <w:r w:rsidRPr="00F930A2">
              <w:rPr>
                <w:b/>
                <w:bCs/>
                <w:sz w:val="18"/>
                <w:szCs w:val="18"/>
              </w:rPr>
              <w:t>Close Contacts</w:t>
            </w:r>
            <w:r>
              <w:rPr>
                <w:b/>
                <w:bCs/>
                <w:sz w:val="18"/>
                <w:szCs w:val="18"/>
              </w:rPr>
              <w:t>,</w:t>
            </w:r>
          </w:p>
          <w:p w14:paraId="2C5E6534" w14:textId="77777777" w:rsidR="00256494" w:rsidRPr="00F930A2" w:rsidRDefault="00256494" w:rsidP="00183A83">
            <w:pPr>
              <w:jc w:val="center"/>
              <w:rPr>
                <w:b/>
                <w:bCs/>
                <w:sz w:val="18"/>
                <w:szCs w:val="18"/>
              </w:rPr>
            </w:pPr>
            <w:r w:rsidRPr="00F930A2">
              <w:rPr>
                <w:b/>
                <w:bCs/>
                <w:sz w:val="18"/>
                <w:szCs w:val="18"/>
              </w:rPr>
              <w:t>Household</w:t>
            </w:r>
          </w:p>
          <w:p w14:paraId="5656526B" w14:textId="07302509" w:rsidR="00256494" w:rsidRPr="00F930A2" w:rsidRDefault="00256494" w:rsidP="00183A8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 individuals and timepoint combinations from 64 individuals)</w:t>
            </w:r>
          </w:p>
        </w:tc>
        <w:tc>
          <w:tcPr>
            <w:tcW w:w="432" w:type="pct"/>
            <w:vMerge w:val="restart"/>
            <w:vAlign w:val="center"/>
          </w:tcPr>
          <w:p w14:paraId="2FED4824" w14:textId="5D40FFD8" w:rsidR="00256494" w:rsidRPr="00E41833" w:rsidRDefault="00256494" w:rsidP="00CD5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CD514E">
              <w:rPr>
                <w:sz w:val="18"/>
                <w:szCs w:val="18"/>
              </w:rPr>
              <w:t>3</w:t>
            </w:r>
          </w:p>
        </w:tc>
        <w:tc>
          <w:tcPr>
            <w:tcW w:w="397" w:type="pct"/>
            <w:vMerge w:val="restart"/>
            <w:vAlign w:val="center"/>
          </w:tcPr>
          <w:p w14:paraId="5D362F0A" w14:textId="141FB2B2" w:rsidR="00256494" w:rsidRPr="00E41833" w:rsidRDefault="00CD514E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44" w:type="pct"/>
            <w:vMerge w:val="restart"/>
            <w:vAlign w:val="center"/>
          </w:tcPr>
          <w:p w14:paraId="43E33A55" w14:textId="2DE7A813" w:rsidR="00256494" w:rsidRPr="00E41833" w:rsidRDefault="0036578F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45" w:type="pct"/>
            <w:vMerge w:val="restart"/>
            <w:vAlign w:val="center"/>
          </w:tcPr>
          <w:p w14:paraId="00FF570B" w14:textId="533C7317" w:rsidR="00256494" w:rsidRPr="00E41833" w:rsidRDefault="00CD514E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461" w:type="pct"/>
            <w:vAlign w:val="center"/>
          </w:tcPr>
          <w:p w14:paraId="0DAAE656" w14:textId="0BB9BF16" w:rsidR="00256494" w:rsidRDefault="00256494" w:rsidP="00183A83">
            <w:pPr>
              <w:jc w:val="center"/>
              <w:rPr>
                <w:sz w:val="18"/>
                <w:szCs w:val="18"/>
              </w:rPr>
            </w:pPr>
            <w:r w:rsidRPr="00F930A2">
              <w:rPr>
                <w:b/>
                <w:bCs/>
                <w:sz w:val="18"/>
                <w:szCs w:val="18"/>
              </w:rPr>
              <w:t>NP</w:t>
            </w:r>
            <w:r w:rsidR="00F0385F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13" w:type="pct"/>
          </w:tcPr>
          <w:p w14:paraId="43239159" w14:textId="4491CFF9" w:rsidR="00256494" w:rsidRDefault="00256494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582" w:type="pct"/>
            <w:vAlign w:val="center"/>
          </w:tcPr>
          <w:p w14:paraId="288987DE" w14:textId="1EBFE792" w:rsidR="00256494" w:rsidRDefault="00256494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  <w:p w14:paraId="329E61E7" w14:textId="5E6E32D6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NP</w:t>
            </w:r>
            <w:r w:rsidR="00656F8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taken)</w:t>
            </w:r>
          </w:p>
        </w:tc>
        <w:tc>
          <w:tcPr>
            <w:tcW w:w="695" w:type="pct"/>
            <w:vAlign w:val="center"/>
          </w:tcPr>
          <w:p w14:paraId="123FE5B2" w14:textId="7EF53A82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</w:tr>
      <w:tr w:rsidR="00256494" w14:paraId="378FD15F" w14:textId="77777777" w:rsidTr="00FF5B8F">
        <w:trPr>
          <w:trHeight w:val="726"/>
        </w:trPr>
        <w:tc>
          <w:tcPr>
            <w:tcW w:w="929" w:type="pct"/>
            <w:vMerge/>
            <w:vAlign w:val="center"/>
          </w:tcPr>
          <w:p w14:paraId="4F69DE32" w14:textId="77777777" w:rsidR="00256494" w:rsidRPr="00F930A2" w:rsidRDefault="00256494" w:rsidP="00183A8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14:paraId="2CBC5F94" w14:textId="0957A9A3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14:paraId="56B716DB" w14:textId="3CF561F9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vAlign w:val="center"/>
          </w:tcPr>
          <w:p w14:paraId="13FE1783" w14:textId="77777777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14:paraId="452A98AA" w14:textId="77777777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14:paraId="43A87681" w14:textId="3C686364" w:rsidR="00256494" w:rsidRDefault="00256494" w:rsidP="00183A83">
            <w:pPr>
              <w:jc w:val="center"/>
              <w:rPr>
                <w:sz w:val="18"/>
                <w:szCs w:val="18"/>
              </w:rPr>
            </w:pPr>
            <w:r w:rsidRPr="00F930A2">
              <w:rPr>
                <w:b/>
                <w:bCs/>
                <w:sz w:val="18"/>
                <w:szCs w:val="18"/>
              </w:rPr>
              <w:t>AN</w:t>
            </w:r>
            <w:r w:rsidR="00F0385F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13" w:type="pct"/>
          </w:tcPr>
          <w:p w14:paraId="7ECA917D" w14:textId="4D62F480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582" w:type="pct"/>
            <w:vAlign w:val="center"/>
          </w:tcPr>
          <w:p w14:paraId="613FBF4C" w14:textId="1B3002C2" w:rsidR="00256494" w:rsidRPr="00E41833" w:rsidRDefault="007850FC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5" w:type="pct"/>
            <w:vAlign w:val="center"/>
          </w:tcPr>
          <w:p w14:paraId="7866294F" w14:textId="719C58B2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</w:tr>
      <w:tr w:rsidR="00256494" w14:paraId="2A4B913E" w14:textId="77777777" w:rsidTr="00FF5B8F">
        <w:trPr>
          <w:trHeight w:val="726"/>
        </w:trPr>
        <w:tc>
          <w:tcPr>
            <w:tcW w:w="929" w:type="pct"/>
            <w:vMerge/>
            <w:vAlign w:val="center"/>
          </w:tcPr>
          <w:p w14:paraId="235FF0EC" w14:textId="77777777" w:rsidR="00256494" w:rsidRPr="00F930A2" w:rsidRDefault="00256494" w:rsidP="00183A8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14:paraId="3D6428CF" w14:textId="23DACD34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14:paraId="6C1981FA" w14:textId="51AB8D9A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vAlign w:val="center"/>
          </w:tcPr>
          <w:p w14:paraId="359985D5" w14:textId="77777777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14:paraId="51E2D48E" w14:textId="77777777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14:paraId="438DF864" w14:textId="21CE6645" w:rsidR="00256494" w:rsidRDefault="00256494" w:rsidP="00183A83">
            <w:pPr>
              <w:jc w:val="center"/>
              <w:rPr>
                <w:sz w:val="18"/>
                <w:szCs w:val="18"/>
              </w:rPr>
            </w:pPr>
            <w:r w:rsidRPr="00F930A2">
              <w:rPr>
                <w:b/>
                <w:bCs/>
                <w:sz w:val="18"/>
                <w:szCs w:val="18"/>
              </w:rPr>
              <w:t>Saliva</w:t>
            </w:r>
          </w:p>
        </w:tc>
        <w:tc>
          <w:tcPr>
            <w:tcW w:w="613" w:type="pct"/>
          </w:tcPr>
          <w:p w14:paraId="74A5BF6E" w14:textId="16D8729D" w:rsidR="00256494" w:rsidRDefault="00256494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582" w:type="pct"/>
            <w:vAlign w:val="center"/>
          </w:tcPr>
          <w:p w14:paraId="4CC14C67" w14:textId="3C3C6970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95" w:type="pct"/>
            <w:vAlign w:val="center"/>
          </w:tcPr>
          <w:p w14:paraId="52BDD60A" w14:textId="727C9441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</w:tr>
      <w:tr w:rsidR="00256494" w14:paraId="44B8BD1D" w14:textId="77777777" w:rsidTr="00FF5B8F">
        <w:trPr>
          <w:trHeight w:val="282"/>
        </w:trPr>
        <w:tc>
          <w:tcPr>
            <w:tcW w:w="929" w:type="pct"/>
            <w:vMerge w:val="restart"/>
            <w:vAlign w:val="center"/>
          </w:tcPr>
          <w:p w14:paraId="6CE7246F" w14:textId="595AC1F7" w:rsidR="00256494" w:rsidRPr="00F930A2" w:rsidRDefault="00256494" w:rsidP="00183A83">
            <w:pPr>
              <w:jc w:val="center"/>
              <w:rPr>
                <w:b/>
                <w:bCs/>
                <w:sz w:val="18"/>
                <w:szCs w:val="18"/>
              </w:rPr>
            </w:pPr>
            <w:r w:rsidRPr="00F930A2">
              <w:rPr>
                <w:b/>
                <w:bCs/>
                <w:sz w:val="18"/>
                <w:szCs w:val="18"/>
              </w:rPr>
              <w:t>Close Contact</w:t>
            </w:r>
            <w:r>
              <w:rPr>
                <w:b/>
                <w:bCs/>
                <w:sz w:val="18"/>
                <w:szCs w:val="18"/>
              </w:rPr>
              <w:t>s,</w:t>
            </w:r>
            <w:r w:rsidRPr="00F930A2">
              <w:rPr>
                <w:b/>
                <w:bCs/>
                <w:sz w:val="18"/>
                <w:szCs w:val="18"/>
              </w:rPr>
              <w:t xml:space="preserve"> Non-household</w:t>
            </w:r>
          </w:p>
          <w:p w14:paraId="0B0443E9" w14:textId="69299B0C" w:rsidR="00256494" w:rsidRPr="00F930A2" w:rsidRDefault="00256494" w:rsidP="00183A83">
            <w:pPr>
              <w:jc w:val="center"/>
              <w:rPr>
                <w:b/>
                <w:bCs/>
                <w:sz w:val="18"/>
                <w:szCs w:val="18"/>
              </w:rPr>
            </w:pPr>
            <w:r w:rsidRPr="00F930A2">
              <w:rPr>
                <w:b/>
                <w:bCs/>
                <w:sz w:val="18"/>
                <w:szCs w:val="18"/>
              </w:rPr>
              <w:t>(150)</w:t>
            </w:r>
          </w:p>
        </w:tc>
        <w:tc>
          <w:tcPr>
            <w:tcW w:w="432" w:type="pct"/>
            <w:vMerge w:val="restart"/>
            <w:vAlign w:val="center"/>
          </w:tcPr>
          <w:p w14:paraId="4601CFEF" w14:textId="767EA1E5" w:rsidR="00256494" w:rsidRPr="00E41833" w:rsidRDefault="00486360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397" w:type="pct"/>
            <w:vMerge w:val="restart"/>
            <w:vAlign w:val="center"/>
          </w:tcPr>
          <w:p w14:paraId="7D780F3F" w14:textId="7315CA7F" w:rsidR="00256494" w:rsidRPr="00E41833" w:rsidRDefault="00486360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44" w:type="pct"/>
            <w:vMerge w:val="restart"/>
            <w:vAlign w:val="center"/>
          </w:tcPr>
          <w:p w14:paraId="7257BF08" w14:textId="2606512A" w:rsidR="00256494" w:rsidRPr="00E41833" w:rsidRDefault="00486360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45" w:type="pct"/>
            <w:vMerge w:val="restart"/>
            <w:vAlign w:val="center"/>
          </w:tcPr>
          <w:p w14:paraId="578F54F8" w14:textId="3AE12ACA" w:rsidR="00256494" w:rsidRPr="00E41833" w:rsidRDefault="00486360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1" w:type="pct"/>
            <w:vAlign w:val="center"/>
          </w:tcPr>
          <w:p w14:paraId="7AB71FF1" w14:textId="6E012153" w:rsidR="00256494" w:rsidRDefault="00256494" w:rsidP="00183A83">
            <w:pPr>
              <w:jc w:val="center"/>
              <w:rPr>
                <w:sz w:val="18"/>
                <w:szCs w:val="18"/>
              </w:rPr>
            </w:pPr>
            <w:r w:rsidRPr="00F930A2">
              <w:rPr>
                <w:b/>
                <w:bCs/>
                <w:sz w:val="18"/>
                <w:szCs w:val="18"/>
              </w:rPr>
              <w:t>NP</w:t>
            </w:r>
            <w:r w:rsidR="00F0385F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13" w:type="pct"/>
          </w:tcPr>
          <w:p w14:paraId="4B5134D4" w14:textId="55652340" w:rsidR="005D1FB2" w:rsidRDefault="005D1FB2" w:rsidP="005D1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582" w:type="pct"/>
            <w:vAlign w:val="center"/>
          </w:tcPr>
          <w:p w14:paraId="5E4DE4DB" w14:textId="15ADE5AF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5" w:type="pct"/>
            <w:vAlign w:val="center"/>
          </w:tcPr>
          <w:p w14:paraId="6A018431" w14:textId="2AAE8D3F" w:rsidR="00256494" w:rsidRPr="00E41833" w:rsidRDefault="007C343F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256494" w14:paraId="3D72928C" w14:textId="77777777" w:rsidTr="00FF5B8F">
        <w:trPr>
          <w:trHeight w:val="282"/>
        </w:trPr>
        <w:tc>
          <w:tcPr>
            <w:tcW w:w="929" w:type="pct"/>
            <w:vMerge/>
            <w:vAlign w:val="center"/>
          </w:tcPr>
          <w:p w14:paraId="75A41352" w14:textId="77777777" w:rsidR="00256494" w:rsidRPr="00F930A2" w:rsidRDefault="00256494" w:rsidP="00183A83">
            <w:pPr>
              <w:jc w:val="center"/>
              <w:rPr>
                <w:b/>
                <w:bCs/>
              </w:rPr>
            </w:pPr>
          </w:p>
        </w:tc>
        <w:tc>
          <w:tcPr>
            <w:tcW w:w="432" w:type="pct"/>
            <w:vMerge/>
            <w:vAlign w:val="center"/>
          </w:tcPr>
          <w:p w14:paraId="760ED4BE" w14:textId="77777777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14:paraId="1ED57236" w14:textId="4E92F005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vAlign w:val="center"/>
          </w:tcPr>
          <w:p w14:paraId="172CEA88" w14:textId="77777777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14:paraId="2831ECC7" w14:textId="77777777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14:paraId="7297E241" w14:textId="556DBD39" w:rsidR="00256494" w:rsidRDefault="00256494" w:rsidP="00183A83">
            <w:pPr>
              <w:jc w:val="center"/>
              <w:rPr>
                <w:sz w:val="18"/>
                <w:szCs w:val="18"/>
              </w:rPr>
            </w:pPr>
            <w:r w:rsidRPr="00F930A2">
              <w:rPr>
                <w:b/>
                <w:bCs/>
                <w:sz w:val="18"/>
                <w:szCs w:val="18"/>
              </w:rPr>
              <w:t>AN</w:t>
            </w:r>
            <w:r w:rsidR="00F0385F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13" w:type="pct"/>
          </w:tcPr>
          <w:p w14:paraId="7C057CD7" w14:textId="1A7954D3" w:rsidR="00256494" w:rsidRPr="00E41833" w:rsidRDefault="005D1FB2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582" w:type="pct"/>
            <w:vAlign w:val="center"/>
          </w:tcPr>
          <w:p w14:paraId="4CB031D1" w14:textId="5660E00F" w:rsidR="00256494" w:rsidRPr="00E41833" w:rsidRDefault="005D1FB2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5" w:type="pct"/>
            <w:vAlign w:val="center"/>
          </w:tcPr>
          <w:p w14:paraId="61BC6D24" w14:textId="5571A798" w:rsidR="00256494" w:rsidRPr="00E41833" w:rsidRDefault="007C343F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</w:tr>
      <w:tr w:rsidR="00256494" w14:paraId="1D87D12F" w14:textId="77777777" w:rsidTr="00FF5B8F">
        <w:trPr>
          <w:trHeight w:val="282"/>
        </w:trPr>
        <w:tc>
          <w:tcPr>
            <w:tcW w:w="929" w:type="pct"/>
            <w:vMerge/>
            <w:vAlign w:val="center"/>
          </w:tcPr>
          <w:p w14:paraId="4C3DB4D5" w14:textId="77777777" w:rsidR="00256494" w:rsidRPr="00F930A2" w:rsidRDefault="00256494" w:rsidP="00183A83">
            <w:pPr>
              <w:jc w:val="center"/>
              <w:rPr>
                <w:b/>
                <w:bCs/>
              </w:rPr>
            </w:pPr>
          </w:p>
        </w:tc>
        <w:tc>
          <w:tcPr>
            <w:tcW w:w="432" w:type="pct"/>
            <w:vMerge/>
            <w:vAlign w:val="center"/>
          </w:tcPr>
          <w:p w14:paraId="6F5F21BF" w14:textId="77777777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14:paraId="6163D82D" w14:textId="32047090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vAlign w:val="center"/>
          </w:tcPr>
          <w:p w14:paraId="4F9E145E" w14:textId="77777777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14:paraId="4C71DE91" w14:textId="77777777" w:rsidR="00256494" w:rsidRPr="00E41833" w:rsidRDefault="00256494" w:rsidP="00183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14:paraId="0A91AA5F" w14:textId="4BED095A" w:rsidR="00256494" w:rsidRDefault="00256494" w:rsidP="00183A83">
            <w:pPr>
              <w:jc w:val="center"/>
              <w:rPr>
                <w:sz w:val="18"/>
                <w:szCs w:val="18"/>
              </w:rPr>
            </w:pPr>
            <w:r w:rsidRPr="00F930A2">
              <w:rPr>
                <w:b/>
                <w:bCs/>
                <w:sz w:val="18"/>
                <w:szCs w:val="18"/>
              </w:rPr>
              <w:t>Saliva</w:t>
            </w:r>
          </w:p>
        </w:tc>
        <w:tc>
          <w:tcPr>
            <w:tcW w:w="613" w:type="pct"/>
          </w:tcPr>
          <w:p w14:paraId="1FC4D27D" w14:textId="184DAE44" w:rsidR="00256494" w:rsidRPr="00E41833" w:rsidRDefault="005D1FB2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582" w:type="pct"/>
            <w:vAlign w:val="center"/>
          </w:tcPr>
          <w:p w14:paraId="3E0B3417" w14:textId="7F2C6142" w:rsidR="00256494" w:rsidRPr="00E41833" w:rsidRDefault="005D1FB2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5" w:type="pct"/>
            <w:vAlign w:val="center"/>
          </w:tcPr>
          <w:p w14:paraId="237D7F94" w14:textId="415B3A81" w:rsidR="00256494" w:rsidRPr="00E41833" w:rsidRDefault="007C343F" w:rsidP="00183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  <w:r w:rsidR="003A31B5">
              <w:rPr>
                <w:sz w:val="18"/>
                <w:szCs w:val="18"/>
              </w:rPr>
              <w:t xml:space="preserve"> + 2 additional not selected</w:t>
            </w:r>
          </w:p>
        </w:tc>
      </w:tr>
    </w:tbl>
    <w:p w14:paraId="1177984D" w14:textId="4748166D" w:rsidR="00D307FE" w:rsidRDefault="00D307FE" w:rsidP="00D307FE"/>
    <w:p w14:paraId="71ACB45C" w14:textId="2031D77A" w:rsidR="006A071C" w:rsidRDefault="006A071C">
      <w:r>
        <w:br w:type="page"/>
      </w:r>
    </w:p>
    <w:p w14:paraId="33241AD8" w14:textId="77777777" w:rsidR="00584DE2" w:rsidRDefault="00584DE2" w:rsidP="00D307FE"/>
    <w:p w14:paraId="4DCDE86A" w14:textId="43396D0D" w:rsidR="00790892" w:rsidRDefault="00790892" w:rsidP="00D307FE">
      <w:pPr>
        <w:rPr>
          <w:b/>
          <w:bCs/>
        </w:rPr>
      </w:pPr>
      <w:r w:rsidRPr="00C34B50">
        <w:rPr>
          <w:b/>
          <w:bCs/>
        </w:rPr>
        <w:t xml:space="preserve">Supplementary </w:t>
      </w:r>
      <w:r w:rsidR="002B300B">
        <w:rPr>
          <w:b/>
          <w:bCs/>
        </w:rPr>
        <w:t>M</w:t>
      </w:r>
      <w:r w:rsidRPr="00C34B50">
        <w:rPr>
          <w:b/>
          <w:bCs/>
        </w:rPr>
        <w:t>aterial B.</w:t>
      </w:r>
      <w:r w:rsidR="00C34B50" w:rsidRPr="00C34B50">
        <w:rPr>
          <w:b/>
          <w:bCs/>
        </w:rPr>
        <w:t xml:space="preserve"> Case definitions for the study</w:t>
      </w:r>
      <w:r w:rsidR="002B300B">
        <w:rPr>
          <w:b/>
          <w:bCs/>
        </w:rPr>
        <w:t>.</w:t>
      </w:r>
    </w:p>
    <w:p w14:paraId="5D943772" w14:textId="7246F728" w:rsidR="00C34B50" w:rsidRDefault="00C34B50" w:rsidP="00D307FE">
      <w:pPr>
        <w:rPr>
          <w:rFonts w:ascii="Times New Roman" w:hAnsi="Times New Roman" w:cs="Times New Roman"/>
        </w:rPr>
      </w:pPr>
      <w:r w:rsidRPr="00C34B50">
        <w:rPr>
          <w:rFonts w:ascii="Times New Roman" w:hAnsi="Times New Roman" w:cs="Times New Roman"/>
          <w:i/>
          <w:iCs/>
        </w:rPr>
        <w:t>Symptomatic</w:t>
      </w:r>
      <w:r>
        <w:rPr>
          <w:rFonts w:ascii="Times New Roman" w:hAnsi="Times New Roman" w:cs="Times New Roman"/>
        </w:rPr>
        <w:t>: Participants presenting with</w:t>
      </w:r>
      <w:r w:rsidR="00C032F9">
        <w:rPr>
          <w:rFonts w:ascii="Times New Roman" w:hAnsi="Times New Roman" w:cs="Times New Roman"/>
        </w:rPr>
        <w:t xml:space="preserve"> cough, shortness of breath, difficulty breathing, or at least two of the following symptoms at the time of sampling:</w:t>
      </w:r>
      <w:r>
        <w:rPr>
          <w:rFonts w:ascii="Times New Roman" w:hAnsi="Times New Roman" w:cs="Times New Roman"/>
        </w:rPr>
        <w:t xml:space="preserve"> </w:t>
      </w:r>
      <w:r w:rsidRPr="00D21D27">
        <w:rPr>
          <w:rFonts w:ascii="Times New Roman" w:hAnsi="Times New Roman" w:cs="Times New Roman"/>
        </w:rPr>
        <w:t>fever, chills, rigor, myalgia, headache, sore throat, new olfactory or taste disorder</w:t>
      </w:r>
      <w:r w:rsidR="00C032F9">
        <w:rPr>
          <w:rFonts w:ascii="Times New Roman" w:hAnsi="Times New Roman" w:cs="Times New Roman"/>
        </w:rPr>
        <w:t>.</w:t>
      </w:r>
    </w:p>
    <w:p w14:paraId="63350F59" w14:textId="0D195C0D" w:rsidR="00C34B50" w:rsidRDefault="00C34B50" w:rsidP="00D307FE">
      <w:pPr>
        <w:rPr>
          <w:rFonts w:ascii="Times New Roman" w:hAnsi="Times New Roman" w:cs="Times New Roman"/>
        </w:rPr>
      </w:pPr>
      <w:r w:rsidRPr="00C34B50">
        <w:rPr>
          <w:rFonts w:ascii="Times New Roman" w:hAnsi="Times New Roman" w:cs="Times New Roman"/>
          <w:i/>
          <w:iCs/>
        </w:rPr>
        <w:t>Oligosymptomatic:</w:t>
      </w:r>
      <w:r>
        <w:rPr>
          <w:rFonts w:ascii="Times New Roman" w:hAnsi="Times New Roman" w:cs="Times New Roman"/>
        </w:rPr>
        <w:t xml:space="preserve"> </w:t>
      </w:r>
      <w:r w:rsidRPr="00D21D27">
        <w:rPr>
          <w:rFonts w:ascii="Times New Roman" w:hAnsi="Times New Roman" w:cs="Times New Roman"/>
        </w:rPr>
        <w:t>Participants who presented with one or more mild symptoms but did not fit the symptomatic case definition and reported no care seeking or changes to behavior</w:t>
      </w:r>
      <w:r w:rsidR="002B300B">
        <w:rPr>
          <w:rFonts w:ascii="Times New Roman" w:hAnsi="Times New Roman" w:cs="Times New Roman"/>
        </w:rPr>
        <w:t>.</w:t>
      </w:r>
    </w:p>
    <w:p w14:paraId="3ACC4B2F" w14:textId="5B44662C" w:rsidR="00C34B50" w:rsidRDefault="00C34B50" w:rsidP="00D307FE">
      <w:pPr>
        <w:rPr>
          <w:rFonts w:ascii="Times New Roman" w:hAnsi="Times New Roman" w:cs="Times New Roman"/>
        </w:rPr>
      </w:pPr>
      <w:r w:rsidRPr="00C34B50">
        <w:rPr>
          <w:rFonts w:ascii="Times New Roman" w:hAnsi="Times New Roman" w:cs="Times New Roman"/>
          <w:i/>
          <w:iCs/>
        </w:rPr>
        <w:t>Asymptomatic:</w:t>
      </w:r>
      <w:r>
        <w:rPr>
          <w:rFonts w:ascii="Times New Roman" w:hAnsi="Times New Roman" w:cs="Times New Roman"/>
        </w:rPr>
        <w:t xml:space="preserve"> </w:t>
      </w:r>
      <w:r w:rsidRPr="00D21D27">
        <w:rPr>
          <w:rFonts w:ascii="Times New Roman" w:hAnsi="Times New Roman" w:cs="Times New Roman"/>
        </w:rPr>
        <w:t xml:space="preserve">Participants </w:t>
      </w:r>
      <w:r>
        <w:rPr>
          <w:rFonts w:ascii="Times New Roman" w:hAnsi="Times New Roman" w:cs="Times New Roman"/>
        </w:rPr>
        <w:t>with no</w:t>
      </w:r>
      <w:r w:rsidRPr="00D21D27">
        <w:rPr>
          <w:rFonts w:ascii="Times New Roman" w:hAnsi="Times New Roman" w:cs="Times New Roman"/>
        </w:rPr>
        <w:t xml:space="preserve"> symptoms at the time of sampling</w:t>
      </w:r>
      <w:r>
        <w:rPr>
          <w:rFonts w:ascii="Times New Roman" w:hAnsi="Times New Roman" w:cs="Times New Roman"/>
        </w:rPr>
        <w:t>.</w:t>
      </w:r>
    </w:p>
    <w:p w14:paraId="6A109733" w14:textId="07997B4D" w:rsidR="00584DE2" w:rsidRDefault="00584DE2" w:rsidP="00D307FE">
      <w:pPr>
        <w:rPr>
          <w:rFonts w:ascii="Times New Roman" w:hAnsi="Times New Roman" w:cs="Times New Roman"/>
        </w:rPr>
      </w:pPr>
    </w:p>
    <w:p w14:paraId="261BE0D6" w14:textId="5CB98B0D" w:rsidR="00584DE2" w:rsidRDefault="00584DE2" w:rsidP="00D307FE">
      <w:pPr>
        <w:rPr>
          <w:rFonts w:ascii="Times New Roman" w:hAnsi="Times New Roman" w:cs="Times New Roman"/>
        </w:rPr>
      </w:pPr>
    </w:p>
    <w:p w14:paraId="55185CCB" w14:textId="612346B3" w:rsidR="00584DE2" w:rsidRDefault="00584DE2" w:rsidP="00D307FE">
      <w:pPr>
        <w:rPr>
          <w:rFonts w:ascii="Times New Roman" w:hAnsi="Times New Roman" w:cs="Times New Roman"/>
        </w:rPr>
      </w:pPr>
    </w:p>
    <w:p w14:paraId="215C3338" w14:textId="1200571A" w:rsidR="00584DE2" w:rsidRDefault="00584DE2" w:rsidP="00D307FE">
      <w:pPr>
        <w:rPr>
          <w:rFonts w:ascii="Times New Roman" w:hAnsi="Times New Roman" w:cs="Times New Roman"/>
        </w:rPr>
      </w:pPr>
    </w:p>
    <w:p w14:paraId="321A489A" w14:textId="77777777" w:rsidR="00584DE2" w:rsidRPr="00C34B50" w:rsidRDefault="00584DE2" w:rsidP="00D307FE">
      <w:pPr>
        <w:rPr>
          <w:b/>
          <w:bCs/>
        </w:rPr>
      </w:pPr>
    </w:p>
    <w:p w14:paraId="616AF6A8" w14:textId="404212D3" w:rsidR="00C054F5" w:rsidRPr="00DF3548" w:rsidRDefault="00DF3548" w:rsidP="004E49F1">
      <w:pPr>
        <w:keepNext/>
        <w:rPr>
          <w:b/>
          <w:bCs/>
        </w:rPr>
      </w:pPr>
      <w:r w:rsidRPr="00DF3548">
        <w:rPr>
          <w:b/>
          <w:bCs/>
        </w:rPr>
        <w:t xml:space="preserve">Supplementary </w:t>
      </w:r>
      <w:r w:rsidR="002B300B">
        <w:rPr>
          <w:b/>
          <w:bCs/>
        </w:rPr>
        <w:t>M</w:t>
      </w:r>
      <w:r w:rsidRPr="00DF3548">
        <w:rPr>
          <w:b/>
          <w:bCs/>
        </w:rPr>
        <w:t>aterial C. Score card for line intensity on the STANDARD Q COVID-19 Ag test</w:t>
      </w:r>
      <w:r w:rsidR="00C054F5">
        <w:rPr>
          <w:b/>
          <w:bCs/>
        </w:rPr>
        <w:t xml:space="preserve"> (0 refers to no visible test line, or negative score)</w:t>
      </w:r>
      <w:r w:rsidR="00656F87">
        <w:rPr>
          <w:b/>
          <w:bCs/>
        </w:rPr>
        <w:t xml:space="preserve"> for nasal and saliva.</w:t>
      </w:r>
    </w:p>
    <w:p w14:paraId="16A6187D" w14:textId="23E13562" w:rsidR="00893E53" w:rsidRDefault="00DF3548" w:rsidP="00D307FE">
      <w:pPr>
        <w:rPr>
          <w:b/>
          <w:bCs/>
        </w:rPr>
        <w:sectPr w:rsidR="00893E53" w:rsidSect="004E49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F3548">
        <w:rPr>
          <w:noProof/>
        </w:rPr>
        <w:drawing>
          <wp:inline distT="0" distB="0" distL="0" distR="0" wp14:anchorId="51C475E9" wp14:editId="78EC5B22">
            <wp:extent cx="2733440" cy="729715"/>
            <wp:effectExtent l="0" t="0" r="0" b="0"/>
            <wp:docPr id="16" name="Picture 7" descr="A picture containing 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CB48E2F-9B1B-2B5F-EE6A-AEBE7FEB45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7" descr="A picture containing icon&#10;&#10;Description automatically generated">
                      <a:extLst>
                        <a:ext uri="{FF2B5EF4-FFF2-40B4-BE49-F238E27FC236}">
                          <a16:creationId xmlns:a16="http://schemas.microsoft.com/office/drawing/2014/main" id="{3CB48E2F-9B1B-2B5F-EE6A-AEBE7FEB45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t="60694" r="356" b="578"/>
                    <a:stretch/>
                  </pic:blipFill>
                  <pic:spPr>
                    <a:xfrm>
                      <a:off x="0" y="0"/>
                      <a:ext cx="2733440" cy="7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E775F" w14:textId="500BF1AD" w:rsidR="00602296" w:rsidRDefault="00584DE2" w:rsidP="00D307FE">
      <w:r w:rsidRPr="004E49F1">
        <w:rPr>
          <w:b/>
          <w:bCs/>
        </w:rPr>
        <w:lastRenderedPageBreak/>
        <w:t>Supplementary Material D</w:t>
      </w:r>
      <w:r>
        <w:t>. Specimens for which there was a high viral load in the NP</w:t>
      </w:r>
      <w:r w:rsidR="002B300B">
        <w:t>S</w:t>
      </w:r>
      <w:r>
        <w:t xml:space="preserve"> but a negative </w:t>
      </w:r>
      <w:r w:rsidR="004E49F1">
        <w:t xml:space="preserve">test result from the antigen test conducted on the </w:t>
      </w:r>
      <w:r w:rsidR="002B300B">
        <w:t>ANS specimen</w:t>
      </w:r>
      <w:r w:rsidR="004E49F1">
        <w:t>.</w:t>
      </w:r>
      <w:r w:rsidR="00023A76">
        <w:t xml:space="preserve"> For binary test results, 1 = positive, 0 = negative. Test line intensity for </w:t>
      </w:r>
      <w:r w:rsidR="002B300B">
        <w:t>STANDARD</w:t>
      </w:r>
      <w:r w:rsidR="00023A76">
        <w:t xml:space="preserve"> Q </w:t>
      </w:r>
      <w:r w:rsidR="004634A6">
        <w:t>N</w:t>
      </w:r>
      <w:r w:rsidR="00023A76">
        <w:t xml:space="preserve">asal and </w:t>
      </w:r>
      <w:r w:rsidR="004634A6">
        <w:t>S</w:t>
      </w:r>
      <w:r w:rsidR="00023A76">
        <w:t>aliva tests were reported according to scale shown in Supplementary Material C</w:t>
      </w:r>
      <w:r w:rsidR="004634A6">
        <w:t xml:space="preserve"> (0-4)</w:t>
      </w:r>
      <w:r w:rsidR="00023A76">
        <w:t>.  Lumira Signal refers to signal output</w:t>
      </w:r>
      <w:r w:rsidR="00D87495">
        <w:t xml:space="preserve"> from</w:t>
      </w:r>
      <w:r w:rsidR="004634A6">
        <w:t xml:space="preserve"> the</w:t>
      </w:r>
      <w:r w:rsidR="00D87495">
        <w:t xml:space="preserve"> LumiraDx instrument</w:t>
      </w:r>
      <w:r w:rsidR="00023A76">
        <w:t>.</w:t>
      </w:r>
    </w:p>
    <w:tbl>
      <w:tblPr>
        <w:tblW w:w="128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525"/>
        <w:gridCol w:w="1313"/>
        <w:gridCol w:w="1076"/>
        <w:gridCol w:w="1676"/>
        <w:gridCol w:w="30"/>
        <w:gridCol w:w="1553"/>
        <w:gridCol w:w="788"/>
        <w:gridCol w:w="919"/>
        <w:gridCol w:w="525"/>
        <w:gridCol w:w="919"/>
        <w:gridCol w:w="656"/>
        <w:gridCol w:w="656"/>
        <w:gridCol w:w="1182"/>
        <w:gridCol w:w="11"/>
      </w:tblGrid>
      <w:tr w:rsidR="00023A76" w:rsidRPr="00A44AFD" w14:paraId="2CD43DAB" w14:textId="77777777" w:rsidTr="00893E53">
        <w:trPr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5C9EE" w14:textId="75434B97" w:rsidR="00023A76" w:rsidRPr="006A071C" w:rsidRDefault="004634A6" w:rsidP="00A44A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Participant ID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08FF8" w14:textId="57F42720" w:rsidR="00023A76" w:rsidRPr="006A071C" w:rsidRDefault="004634A6" w:rsidP="00A44A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V</w:t>
            </w:r>
            <w:r w:rsidR="00023A76" w:rsidRPr="006A071C">
              <w:rPr>
                <w:rFonts w:ascii="Arial" w:eastAsia="Times New Roman" w:hAnsi="Arial" w:cs="Arial"/>
                <w:sz w:val="16"/>
                <w:szCs w:val="16"/>
              </w:rPr>
              <w:t>isit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#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C039A" w14:textId="6B670515" w:rsidR="00023A76" w:rsidRPr="006A071C" w:rsidRDefault="00023A76" w:rsidP="00A44A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PCR N gene, Ct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2F44E" w14:textId="77777777" w:rsidR="00023A76" w:rsidRPr="006A071C" w:rsidRDefault="00023A76" w:rsidP="00A44AFD">
            <w:pPr>
              <w:spacing w:after="0" w:line="240" w:lineRule="auto"/>
              <w:rPr>
                <w:rFonts w:ascii="Roboto" w:eastAsia="Times New Roman" w:hAnsi="Roboto" w:cs="Arial"/>
                <w:sz w:val="16"/>
                <w:szCs w:val="16"/>
              </w:rPr>
            </w:pPr>
            <w:r w:rsidRPr="006A071C">
              <w:rPr>
                <w:rFonts w:ascii="Roboto" w:eastAsia="Times New Roman" w:hAnsi="Roboto" w:cs="Arial"/>
                <w:sz w:val="16"/>
                <w:szCs w:val="16"/>
              </w:rPr>
              <w:t>Viral genome copies/mL</w:t>
            </w:r>
          </w:p>
        </w:tc>
        <w:tc>
          <w:tcPr>
            <w:tcW w:w="17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30125" w14:textId="34118D71" w:rsidR="00023A76" w:rsidRPr="006A071C" w:rsidRDefault="004634A6" w:rsidP="00A44A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Sequencing clade</w:t>
            </w:r>
          </w:p>
        </w:tc>
        <w:tc>
          <w:tcPr>
            <w:tcW w:w="1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FB3BE" w14:textId="77777777" w:rsidR="00023A76" w:rsidRPr="006A071C" w:rsidRDefault="00023A76" w:rsidP="00A44A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N-antigen sense mutations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F6EEC" w14:textId="290FA3CE" w:rsidR="00023A76" w:rsidRPr="006A071C" w:rsidRDefault="004634A6" w:rsidP="00A44A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STANDARD</w:t>
            </w:r>
            <w:r w:rsidRPr="006A071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23A76" w:rsidRPr="006A071C">
              <w:rPr>
                <w:rFonts w:ascii="Arial" w:eastAsia="Times New Roman" w:hAnsi="Arial" w:cs="Arial"/>
                <w:sz w:val="16"/>
                <w:szCs w:val="16"/>
              </w:rPr>
              <w:t>Q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Saliva Result</w:t>
            </w:r>
            <w:r w:rsidR="00023A76" w:rsidRPr="006A071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F009D" w14:textId="5DF96D62" w:rsidR="00023A76" w:rsidRPr="004634A6" w:rsidRDefault="004634A6" w:rsidP="00A44A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634A6">
              <w:rPr>
                <w:rFonts w:ascii="Arial" w:eastAsia="Times New Roman" w:hAnsi="Arial" w:cs="Arial"/>
                <w:sz w:val="16"/>
                <w:szCs w:val="16"/>
              </w:rPr>
              <w:t xml:space="preserve">STANDARD </w:t>
            </w:r>
            <w:r w:rsidR="00023A76" w:rsidRPr="004634A6">
              <w:rPr>
                <w:rFonts w:ascii="Arial" w:eastAsia="Times New Roman" w:hAnsi="Arial" w:cs="Arial"/>
                <w:sz w:val="16"/>
                <w:szCs w:val="16"/>
              </w:rPr>
              <w:t>Q</w:t>
            </w:r>
            <w:r w:rsidRPr="004634A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</w:t>
            </w:r>
            <w:r w:rsidRPr="004634A6">
              <w:rPr>
                <w:rFonts w:ascii="Arial" w:eastAsia="Times New Roman" w:hAnsi="Arial" w:cs="Arial"/>
                <w:sz w:val="16"/>
                <w:szCs w:val="16"/>
              </w:rPr>
              <w:t xml:space="preserve">aliva </w:t>
            </w:r>
            <w:r w:rsidR="00023A76" w:rsidRPr="004634A6">
              <w:rPr>
                <w:rFonts w:ascii="Arial" w:eastAsia="Times New Roman" w:hAnsi="Arial" w:cs="Arial"/>
                <w:sz w:val="16"/>
                <w:szCs w:val="16"/>
              </w:rPr>
              <w:t xml:space="preserve">Intensity 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77FAC" w14:textId="37EEEF26" w:rsidR="00023A76" w:rsidRPr="006A071C" w:rsidRDefault="00023A76" w:rsidP="00A44A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Lumira</w:t>
            </w:r>
            <w:r w:rsidR="004634A6">
              <w:rPr>
                <w:rFonts w:ascii="Arial" w:eastAsia="Times New Roman" w:hAnsi="Arial" w:cs="Arial"/>
                <w:sz w:val="16"/>
                <w:szCs w:val="16"/>
              </w:rPr>
              <w:t xml:space="preserve"> Result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9AE0C" w14:textId="67C8E62F" w:rsidR="00023A76" w:rsidRPr="006A071C" w:rsidRDefault="00023A76" w:rsidP="00A44A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Lumira Signal</w:t>
            </w:r>
            <w:r w:rsidR="004634A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6BD8D" w14:textId="44E63D6A" w:rsidR="00023A76" w:rsidRPr="006A071C" w:rsidRDefault="004634A6" w:rsidP="00A44A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STANDARD </w:t>
            </w:r>
            <w:r w:rsidR="00023A76" w:rsidRPr="006A071C">
              <w:rPr>
                <w:rFonts w:ascii="Arial" w:eastAsia="Times New Roman" w:hAnsi="Arial" w:cs="Arial"/>
                <w:sz w:val="16"/>
                <w:szCs w:val="16"/>
              </w:rPr>
              <w:t>Q Nasal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Result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2B718" w14:textId="621F637D" w:rsidR="00023A76" w:rsidRPr="006A071C" w:rsidRDefault="004634A6" w:rsidP="00A44A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STANDARD</w:t>
            </w:r>
            <w:r w:rsidRPr="006A071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23A76" w:rsidRPr="006A071C">
              <w:rPr>
                <w:rFonts w:ascii="Arial" w:eastAsia="Times New Roman" w:hAnsi="Arial" w:cs="Arial"/>
                <w:sz w:val="16"/>
                <w:szCs w:val="16"/>
              </w:rPr>
              <w:t>Q Nasal Intensity</w:t>
            </w:r>
          </w:p>
        </w:tc>
        <w:tc>
          <w:tcPr>
            <w:tcW w:w="11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6EAA3" w14:textId="17DAAF00" w:rsidR="00023A76" w:rsidRPr="006A071C" w:rsidRDefault="00023A76" w:rsidP="00A44A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Antigen Concentration, pg/mL in Standard Q buffer</w:t>
            </w:r>
          </w:p>
        </w:tc>
      </w:tr>
      <w:tr w:rsidR="00023A76" w:rsidRPr="00A44AFD" w14:paraId="0B88DDF3" w14:textId="77777777" w:rsidTr="00893E53">
        <w:trPr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E836A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CC-088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45F7D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8B50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22.2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62542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30188058</w:t>
            </w:r>
          </w:p>
        </w:tc>
        <w:tc>
          <w:tcPr>
            <w:tcW w:w="17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05302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Gamma, V3</w:t>
            </w:r>
          </w:p>
        </w:tc>
        <w:tc>
          <w:tcPr>
            <w:tcW w:w="1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D3B49" w14:textId="61E2FA68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P80R,</w:t>
            </w:r>
            <w:r w:rsidR="00B6217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R203K,</w:t>
            </w:r>
            <w:r w:rsidR="00B6217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G204R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824E7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C9366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F95F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8B30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1181.6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97B13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345B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67810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29.2</w:t>
            </w:r>
          </w:p>
        </w:tc>
      </w:tr>
      <w:tr w:rsidR="00023A76" w:rsidRPr="00A44AFD" w14:paraId="73E4C88E" w14:textId="77777777" w:rsidTr="00893E53">
        <w:trPr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7687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CC-209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FE8D0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73A09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23.5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A32C0" w14:textId="6C254129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2627412</w:t>
            </w:r>
          </w:p>
        </w:tc>
        <w:tc>
          <w:tcPr>
            <w:tcW w:w="17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9D486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not available</w:t>
            </w:r>
          </w:p>
        </w:tc>
        <w:tc>
          <w:tcPr>
            <w:tcW w:w="1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B24A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not available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9B37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6E12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877D9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AA223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252.4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AFE8A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3EE90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4030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0.0</w:t>
            </w:r>
          </w:p>
        </w:tc>
      </w:tr>
      <w:tr w:rsidR="00023A76" w:rsidRPr="00A44AFD" w14:paraId="436B7105" w14:textId="77777777" w:rsidTr="00893E53">
        <w:trPr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EE59A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CC-135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AFBB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788DD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23.7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A3EA2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10720679</w:t>
            </w:r>
          </w:p>
        </w:tc>
        <w:tc>
          <w:tcPr>
            <w:tcW w:w="17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1971A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Gamma, V3</w:t>
            </w:r>
          </w:p>
        </w:tc>
        <w:tc>
          <w:tcPr>
            <w:tcW w:w="1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EC0DF" w14:textId="5ABD3E2A" w:rsidR="00023A76" w:rsidRPr="00C032F9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P80R,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R203K,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G204R,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T391I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A1196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19AF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27F66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E3017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518.5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7B97E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4207F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F5639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20.6</w:t>
            </w:r>
          </w:p>
        </w:tc>
      </w:tr>
      <w:tr w:rsidR="00023A76" w:rsidRPr="00A44AFD" w14:paraId="49201467" w14:textId="77777777" w:rsidTr="00893E53">
        <w:trPr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B9C0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CC-017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D1F12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E401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23.8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D967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10225694</w:t>
            </w:r>
          </w:p>
        </w:tc>
        <w:tc>
          <w:tcPr>
            <w:tcW w:w="17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1FA1E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Gamma, V3</w:t>
            </w:r>
          </w:p>
        </w:tc>
        <w:tc>
          <w:tcPr>
            <w:tcW w:w="1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53527" w14:textId="69C935AA" w:rsidR="00023A76" w:rsidRPr="00C032F9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P80R,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R203K,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G204R,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Q240L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4F482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4E2CF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E1942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BCEC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245.9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8349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609E1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5B6BC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0.0</w:t>
            </w:r>
          </w:p>
        </w:tc>
      </w:tr>
      <w:tr w:rsidR="00023A76" w:rsidRPr="00A44AFD" w14:paraId="57AA8F37" w14:textId="77777777" w:rsidTr="00893E53">
        <w:trPr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B7F8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CC-163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8E651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E18A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25.4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4A4F2" w14:textId="6BCB9BE2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3267859</w:t>
            </w:r>
          </w:p>
        </w:tc>
        <w:tc>
          <w:tcPr>
            <w:tcW w:w="17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8AF6F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Gamma, V3</w:t>
            </w:r>
          </w:p>
        </w:tc>
        <w:tc>
          <w:tcPr>
            <w:tcW w:w="1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EEECB" w14:textId="309C41D2" w:rsidR="00023A76" w:rsidRPr="00C032F9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P80R,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R203K,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G204R,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P344L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BC7CD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CC61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7FFD2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E2694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555.1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AEF60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E4091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FDCE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4.2</w:t>
            </w:r>
          </w:p>
        </w:tc>
      </w:tr>
      <w:tr w:rsidR="00023A76" w:rsidRPr="00A44AFD" w14:paraId="36FF0A89" w14:textId="77777777" w:rsidTr="00893E53">
        <w:trPr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51037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CC-114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BE2A7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7104D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25.9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934B6" w14:textId="340507DC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2319762</w:t>
            </w:r>
          </w:p>
        </w:tc>
        <w:tc>
          <w:tcPr>
            <w:tcW w:w="17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802AF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Gamma, V3</w:t>
            </w:r>
          </w:p>
        </w:tc>
        <w:tc>
          <w:tcPr>
            <w:tcW w:w="1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BC1E0" w14:textId="3A8AB28F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P80R,</w:t>
            </w:r>
            <w:r w:rsidR="00B6217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R203K,</w:t>
            </w:r>
            <w:r w:rsidR="00B6217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G204Q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9811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A63F0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8CF84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DF94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321.6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12297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8AFC1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B6219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258.9</w:t>
            </w:r>
          </w:p>
        </w:tc>
      </w:tr>
      <w:tr w:rsidR="00023A76" w:rsidRPr="00A44AFD" w14:paraId="2D34FB07" w14:textId="77777777" w:rsidTr="00893E53">
        <w:trPr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3FF1C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CC-043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ED11A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A2139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25.7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95EB3" w14:textId="545B8DFC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2593367</w:t>
            </w:r>
          </w:p>
        </w:tc>
        <w:tc>
          <w:tcPr>
            <w:tcW w:w="17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2CE72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Gamma, V3</w:t>
            </w:r>
          </w:p>
        </w:tc>
        <w:tc>
          <w:tcPr>
            <w:tcW w:w="1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6C7F3" w14:textId="30C1802F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P80R,</w:t>
            </w:r>
            <w:r w:rsidR="00B6217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R203K,</w:t>
            </w:r>
            <w:r w:rsidR="00B6217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G204R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19BA1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C4DF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8252C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6C90D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293.5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BB6D0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12127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1BBF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0.0</w:t>
            </w:r>
          </w:p>
        </w:tc>
      </w:tr>
      <w:tr w:rsidR="00023A76" w:rsidRPr="00A44AFD" w14:paraId="0CF94D85" w14:textId="77777777" w:rsidTr="00893E53">
        <w:trPr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EFE87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CC-054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769B7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7A8A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25.9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E9A29" w14:textId="179BEF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2341293</w:t>
            </w:r>
          </w:p>
        </w:tc>
        <w:tc>
          <w:tcPr>
            <w:tcW w:w="170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D024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Gamma, V3</w:t>
            </w:r>
          </w:p>
        </w:tc>
        <w:tc>
          <w:tcPr>
            <w:tcW w:w="15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CCFC8" w14:textId="7EA7782A" w:rsidR="00023A76" w:rsidRPr="00C032F9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P80R,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T135I,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R203K,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G204R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C06C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C889D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1A8B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2E286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780.1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931A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2C0FD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28447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84.8</w:t>
            </w:r>
          </w:p>
        </w:tc>
      </w:tr>
      <w:tr w:rsidR="003F6CF2" w:rsidRPr="00A44AFD" w14:paraId="111882A3" w14:textId="77777777" w:rsidTr="00893E53">
        <w:trPr>
          <w:gridAfter w:val="1"/>
          <w:wAfter w:w="11" w:type="dxa"/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FA3DC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IND-037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E0B44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6B066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27.1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A32E4" w14:textId="4BA05B63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1017678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F15C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Gamma, V3</w:t>
            </w:r>
          </w:p>
        </w:tc>
        <w:tc>
          <w:tcPr>
            <w:tcW w:w="1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3D2BB" w14:textId="0754196D" w:rsidR="00023A76" w:rsidRPr="00C032F9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P80R,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R203K,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G204R,</w:t>
            </w:r>
            <w:r w:rsidR="00B62176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 w:rsidRPr="00C032F9">
              <w:rPr>
                <w:rFonts w:ascii="Arial" w:eastAsia="Times New Roman" w:hAnsi="Arial" w:cs="Arial"/>
                <w:sz w:val="16"/>
                <w:szCs w:val="16"/>
                <w:lang w:val="pt-BR"/>
              </w:rPr>
              <w:t>S413I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81C70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7B99F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8E6C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AF85F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661.4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753D1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743C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014BE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39.9</w:t>
            </w:r>
          </w:p>
        </w:tc>
      </w:tr>
      <w:tr w:rsidR="00893E53" w:rsidRPr="00A44AFD" w14:paraId="2C34FC42" w14:textId="77777777" w:rsidTr="00893E53">
        <w:trPr>
          <w:gridAfter w:val="1"/>
          <w:wAfter w:w="11" w:type="dxa"/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850DF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CC-009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37AE9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A1E70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29.5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EA49F" w14:textId="60921020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717496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E645D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not available</w:t>
            </w:r>
          </w:p>
        </w:tc>
        <w:tc>
          <w:tcPr>
            <w:tcW w:w="1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D46B0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not available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D8E01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D7B74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5E8BC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E34BC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1690.2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9F23A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E846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AE58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79.1</w:t>
            </w:r>
          </w:p>
        </w:tc>
      </w:tr>
      <w:tr w:rsidR="003F6CF2" w:rsidRPr="00A44AFD" w14:paraId="7A940226" w14:textId="77777777" w:rsidTr="00893E53">
        <w:trPr>
          <w:gridAfter w:val="1"/>
          <w:wAfter w:w="11" w:type="dxa"/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E4613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CC-200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2EF11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B4A8C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29.6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798E0" w14:textId="453DB5D4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158489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0B62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not available</w:t>
            </w:r>
          </w:p>
        </w:tc>
        <w:tc>
          <w:tcPr>
            <w:tcW w:w="1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985EE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not available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3F46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3A6FA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98809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47220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255.9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AF996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5D6A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93C8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0.0</w:t>
            </w:r>
          </w:p>
        </w:tc>
      </w:tr>
      <w:tr w:rsidR="003F6CF2" w:rsidRPr="00A44AFD" w14:paraId="79CECBE4" w14:textId="77777777" w:rsidTr="00893E53">
        <w:trPr>
          <w:gridAfter w:val="1"/>
          <w:wAfter w:w="11" w:type="dxa"/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3565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CC-029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49FED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C30D2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34.3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9C92C" w14:textId="2E6BD6EB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16670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77181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not available</w:t>
            </w:r>
          </w:p>
        </w:tc>
        <w:tc>
          <w:tcPr>
            <w:tcW w:w="1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A3781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not available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0414F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62753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F7AC4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55BFD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243.4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6C7E2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F142C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5CB8E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0.0</w:t>
            </w:r>
          </w:p>
        </w:tc>
      </w:tr>
      <w:tr w:rsidR="003F6CF2" w:rsidRPr="00A44AFD" w14:paraId="240B5CF3" w14:textId="77777777" w:rsidTr="00893E53">
        <w:trPr>
          <w:gridAfter w:val="1"/>
          <w:wAfter w:w="11" w:type="dxa"/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0EAB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CC-082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8E56A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EDF9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33.6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4298D" w14:textId="6AC688BB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10755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AD891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not available</w:t>
            </w:r>
          </w:p>
        </w:tc>
        <w:tc>
          <w:tcPr>
            <w:tcW w:w="1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3246C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not available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8EC5F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0C7A3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78ADC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7012D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185.7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4DA5C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9F269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56AB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7.6</w:t>
            </w:r>
          </w:p>
        </w:tc>
      </w:tr>
      <w:tr w:rsidR="003F6CF2" w:rsidRPr="00A44AFD" w14:paraId="1B66C657" w14:textId="77777777" w:rsidTr="00893E53">
        <w:trPr>
          <w:gridAfter w:val="1"/>
          <w:wAfter w:w="11" w:type="dxa"/>
          <w:trHeight w:val="318"/>
        </w:trPr>
        <w:tc>
          <w:tcPr>
            <w:tcW w:w="10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99CC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CC-149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0A1F0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647E0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33.5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01BFE" w14:textId="1CB7BFB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11497</w:t>
            </w:r>
          </w:p>
        </w:tc>
        <w:tc>
          <w:tcPr>
            <w:tcW w:w="16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E9AEB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not available</w:t>
            </w:r>
          </w:p>
        </w:tc>
        <w:tc>
          <w:tcPr>
            <w:tcW w:w="15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9F354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not available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89BB5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A3F74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110AA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94D8E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232.2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12DE9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AF7B8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E30E7" w14:textId="77777777" w:rsidR="00023A76" w:rsidRPr="006A071C" w:rsidRDefault="00023A76" w:rsidP="00A44A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A071C">
              <w:rPr>
                <w:rFonts w:ascii="Arial" w:eastAsia="Times New Roman" w:hAnsi="Arial" w:cs="Arial"/>
                <w:sz w:val="16"/>
                <w:szCs w:val="16"/>
              </w:rPr>
              <w:t>0.0</w:t>
            </w:r>
          </w:p>
        </w:tc>
      </w:tr>
    </w:tbl>
    <w:p w14:paraId="0ED2BB82" w14:textId="45702771" w:rsidR="00A44AFD" w:rsidRDefault="00A44AFD" w:rsidP="00D307FE"/>
    <w:p w14:paraId="382428E6" w14:textId="77777777" w:rsidR="00790892" w:rsidRPr="00D307FE" w:rsidRDefault="00790892" w:rsidP="00D307FE"/>
    <w:sectPr w:rsidR="00790892" w:rsidRPr="00D307FE" w:rsidSect="00893E53">
      <w:endnotePr>
        <w:numFmt w:val="decimal"/>
      </w:end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4558" w14:textId="77777777" w:rsidR="00AA7855" w:rsidRPr="00CA5555" w:rsidRDefault="00AA7855" w:rsidP="00CA5555">
      <w:pPr>
        <w:pStyle w:val="Footer"/>
      </w:pPr>
    </w:p>
  </w:endnote>
  <w:endnote w:type="continuationSeparator" w:id="0">
    <w:p w14:paraId="635181E3" w14:textId="77777777" w:rsidR="00AA7855" w:rsidRPr="00CA5555" w:rsidRDefault="00AA7855" w:rsidP="00CA5555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B4D4" w14:textId="77777777" w:rsidR="00253C0B" w:rsidRDefault="00253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83087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0F91D" w14:textId="2BB6CD31" w:rsidR="001D1D81" w:rsidRPr="00BC75D0" w:rsidRDefault="001D1D81">
        <w:pPr>
          <w:pStyle w:val="Footer"/>
          <w:jc w:val="right"/>
          <w:rPr>
            <w:rFonts w:ascii="Times New Roman" w:hAnsi="Times New Roman" w:cs="Times New Roman"/>
          </w:rPr>
        </w:pPr>
        <w:r w:rsidRPr="00BC75D0">
          <w:rPr>
            <w:rFonts w:ascii="Times New Roman" w:hAnsi="Times New Roman" w:cs="Times New Roman"/>
          </w:rPr>
          <w:fldChar w:fldCharType="begin"/>
        </w:r>
        <w:r w:rsidRPr="00BC75D0">
          <w:rPr>
            <w:rFonts w:ascii="Times New Roman" w:hAnsi="Times New Roman" w:cs="Times New Roman"/>
          </w:rPr>
          <w:instrText xml:space="preserve"> PAGE   \* MERGEFORMAT </w:instrText>
        </w:r>
        <w:r w:rsidRPr="00BC75D0">
          <w:rPr>
            <w:rFonts w:ascii="Times New Roman" w:hAnsi="Times New Roman" w:cs="Times New Roman"/>
          </w:rPr>
          <w:fldChar w:fldCharType="separate"/>
        </w:r>
        <w:r w:rsidR="000B40D5">
          <w:rPr>
            <w:rFonts w:ascii="Times New Roman" w:hAnsi="Times New Roman" w:cs="Times New Roman"/>
            <w:noProof/>
          </w:rPr>
          <w:t>20</w:t>
        </w:r>
        <w:r w:rsidRPr="00BC75D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8DC0884" w14:textId="77777777" w:rsidR="001D1D81" w:rsidRDefault="001D1D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8CCF" w14:textId="77777777" w:rsidR="00253C0B" w:rsidRDefault="00253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76FC" w14:textId="77777777" w:rsidR="00AA7855" w:rsidRDefault="00AA7855" w:rsidP="00BC75D0">
      <w:pPr>
        <w:spacing w:after="0" w:line="240" w:lineRule="auto"/>
      </w:pPr>
      <w:r>
        <w:separator/>
      </w:r>
    </w:p>
  </w:footnote>
  <w:footnote w:type="continuationSeparator" w:id="0">
    <w:p w14:paraId="52474E3F" w14:textId="77777777" w:rsidR="00AA7855" w:rsidRDefault="00AA7855" w:rsidP="00BC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A85E" w14:textId="77777777" w:rsidR="00253C0B" w:rsidRDefault="00253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89EB" w14:textId="60831B4B" w:rsidR="00855D07" w:rsidRPr="00761E1D" w:rsidRDefault="00000000" w:rsidP="003C061F">
    <w:pPr>
      <w:spacing w:after="0"/>
      <w:rPr>
        <w:rFonts w:ascii="Times New Roman" w:hAnsi="Times New Roman" w:cs="Times New Roman"/>
        <w:i/>
        <w:iCs/>
      </w:rPr>
    </w:pPr>
    <w:sdt>
      <w:sdtPr>
        <w:rPr>
          <w:rFonts w:ascii="Times New Roman" w:hAnsi="Times New Roman" w:cs="Times New Roman"/>
          <w:b/>
          <w:bCs/>
          <w:i/>
          <w:iCs/>
        </w:rPr>
        <w:id w:val="608326959"/>
        <w:docPartObj>
          <w:docPartGallery w:val="Watermarks"/>
          <w:docPartUnique/>
        </w:docPartObj>
      </w:sdtPr>
      <w:sdtContent>
        <w:r>
          <w:rPr>
            <w:rFonts w:ascii="Times New Roman" w:hAnsi="Times New Roman" w:cs="Times New Roman"/>
            <w:b/>
            <w:bCs/>
            <w:i/>
            <w:iCs/>
            <w:noProof/>
          </w:rPr>
          <w:pict w14:anchorId="49CCB8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55D07" w:rsidRPr="00761E1D">
      <w:rPr>
        <w:rFonts w:ascii="Times New Roman" w:hAnsi="Times New Roman" w:cs="Times New Roman"/>
        <w:b/>
        <w:bCs/>
        <w:i/>
        <w:iCs/>
      </w:rPr>
      <w:t>Running head:</w:t>
    </w:r>
    <w:r w:rsidR="003C061F" w:rsidRPr="00761E1D">
      <w:rPr>
        <w:rFonts w:ascii="Times New Roman" w:hAnsi="Times New Roman" w:cs="Times New Roman"/>
        <w:i/>
        <w:iCs/>
      </w:rPr>
      <w:tab/>
    </w:r>
    <w:r w:rsidR="00761E1D" w:rsidRPr="00761E1D">
      <w:rPr>
        <w:rFonts w:ascii="Times New Roman" w:hAnsi="Times New Roman" w:cs="Times New Roman"/>
        <w:i/>
        <w:iCs/>
      </w:rPr>
      <w:t>Antigen concentration and performance study</w:t>
    </w:r>
    <w:r w:rsidR="003C061F" w:rsidRPr="00761E1D">
      <w:rPr>
        <w:rFonts w:ascii="Times New Roman" w:hAnsi="Times New Roman" w:cs="Times New Roman"/>
        <w:i/>
        <w:iCs/>
      </w:rPr>
      <w:tab/>
    </w:r>
    <w:r w:rsidR="003C061F" w:rsidRPr="00761E1D">
      <w:rPr>
        <w:rFonts w:ascii="Times New Roman" w:hAnsi="Times New Roman" w:cs="Times New Roman"/>
        <w:i/>
        <w:iCs/>
      </w:rPr>
      <w:tab/>
    </w:r>
    <w:r w:rsidR="003C061F" w:rsidRPr="00761E1D">
      <w:rPr>
        <w:rFonts w:ascii="Times New Roman" w:hAnsi="Times New Roman" w:cs="Times New Roman"/>
        <w:i/>
        <w:iCs/>
      </w:rPr>
      <w:tab/>
    </w:r>
  </w:p>
  <w:p w14:paraId="2C3C0E8E" w14:textId="21C01B8C" w:rsidR="00855D07" w:rsidRPr="00855D07" w:rsidRDefault="00EF16D2" w:rsidP="00855D07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Version </w:t>
    </w:r>
    <w:r w:rsidR="00656F87">
      <w:rPr>
        <w:rFonts w:ascii="Times New Roman" w:hAnsi="Times New Roman" w:cs="Times New Roman"/>
      </w:rPr>
      <w:t>2; 31 May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8077" w14:textId="77777777" w:rsidR="00253C0B" w:rsidRDefault="00253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0E8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8EE9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86FB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14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64C3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729D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AE0F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4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306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A2A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D7FDF"/>
    <w:multiLevelType w:val="hybridMultilevel"/>
    <w:tmpl w:val="0BC4B220"/>
    <w:lvl w:ilvl="0" w:tplc="542A615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D42BA"/>
    <w:multiLevelType w:val="hybridMultilevel"/>
    <w:tmpl w:val="A3A2F9E6"/>
    <w:lvl w:ilvl="0" w:tplc="E18C446E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C00E6"/>
    <w:multiLevelType w:val="hybridMultilevel"/>
    <w:tmpl w:val="AEE89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D15D8"/>
    <w:multiLevelType w:val="hybridMultilevel"/>
    <w:tmpl w:val="7B2A61CA"/>
    <w:lvl w:ilvl="0" w:tplc="86E6C54C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EA3463"/>
    <w:multiLevelType w:val="hybridMultilevel"/>
    <w:tmpl w:val="F58C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87A96"/>
    <w:multiLevelType w:val="hybridMultilevel"/>
    <w:tmpl w:val="43C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D6D30"/>
    <w:multiLevelType w:val="hybridMultilevel"/>
    <w:tmpl w:val="F1C0F3F8"/>
    <w:lvl w:ilvl="0" w:tplc="A1D850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62417"/>
    <w:multiLevelType w:val="hybridMultilevel"/>
    <w:tmpl w:val="DF28C3DA"/>
    <w:lvl w:ilvl="0" w:tplc="2EAE1544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13C4A"/>
    <w:multiLevelType w:val="hybridMultilevel"/>
    <w:tmpl w:val="E160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240AD"/>
    <w:multiLevelType w:val="hybridMultilevel"/>
    <w:tmpl w:val="D03E5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64113"/>
    <w:multiLevelType w:val="hybridMultilevel"/>
    <w:tmpl w:val="5242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B5C14"/>
    <w:multiLevelType w:val="hybridMultilevel"/>
    <w:tmpl w:val="5B38E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82843"/>
    <w:multiLevelType w:val="hybridMultilevel"/>
    <w:tmpl w:val="BE44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22A99"/>
    <w:multiLevelType w:val="hybridMultilevel"/>
    <w:tmpl w:val="1494DE84"/>
    <w:lvl w:ilvl="0" w:tplc="A232D3A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51DF4"/>
    <w:multiLevelType w:val="hybridMultilevel"/>
    <w:tmpl w:val="B4AE1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055CF"/>
    <w:multiLevelType w:val="hybridMultilevel"/>
    <w:tmpl w:val="80BABC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E094469"/>
    <w:multiLevelType w:val="hybridMultilevel"/>
    <w:tmpl w:val="126E7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B165F"/>
    <w:multiLevelType w:val="hybridMultilevel"/>
    <w:tmpl w:val="E918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D0032"/>
    <w:multiLevelType w:val="hybridMultilevel"/>
    <w:tmpl w:val="1C7AE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63BB2"/>
    <w:multiLevelType w:val="hybridMultilevel"/>
    <w:tmpl w:val="75221782"/>
    <w:lvl w:ilvl="0" w:tplc="108629A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44936"/>
    <w:multiLevelType w:val="hybridMultilevel"/>
    <w:tmpl w:val="DD3E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D0AC8"/>
    <w:multiLevelType w:val="hybridMultilevel"/>
    <w:tmpl w:val="AECE9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75029">
    <w:abstractNumId w:val="18"/>
  </w:num>
  <w:num w:numId="2" w16cid:durableId="1930039585">
    <w:abstractNumId w:val="30"/>
  </w:num>
  <w:num w:numId="3" w16cid:durableId="1615483940">
    <w:abstractNumId w:val="19"/>
  </w:num>
  <w:num w:numId="4" w16cid:durableId="10298949">
    <w:abstractNumId w:val="15"/>
  </w:num>
  <w:num w:numId="5" w16cid:durableId="2022271316">
    <w:abstractNumId w:val="25"/>
  </w:num>
  <w:num w:numId="6" w16cid:durableId="1133865044">
    <w:abstractNumId w:val="22"/>
  </w:num>
  <w:num w:numId="7" w16cid:durableId="1759599198">
    <w:abstractNumId w:val="16"/>
  </w:num>
  <w:num w:numId="8" w16cid:durableId="1463577867">
    <w:abstractNumId w:val="11"/>
  </w:num>
  <w:num w:numId="9" w16cid:durableId="886068226">
    <w:abstractNumId w:val="10"/>
  </w:num>
  <w:num w:numId="10" w16cid:durableId="590161022">
    <w:abstractNumId w:val="23"/>
  </w:num>
  <w:num w:numId="11" w16cid:durableId="66002903">
    <w:abstractNumId w:val="28"/>
  </w:num>
  <w:num w:numId="12" w16cid:durableId="2031056315">
    <w:abstractNumId w:val="20"/>
  </w:num>
  <w:num w:numId="13" w16cid:durableId="248388703">
    <w:abstractNumId w:val="29"/>
  </w:num>
  <w:num w:numId="14" w16cid:durableId="1724134257">
    <w:abstractNumId w:val="13"/>
  </w:num>
  <w:num w:numId="15" w16cid:durableId="1646817180">
    <w:abstractNumId w:val="17"/>
  </w:num>
  <w:num w:numId="16" w16cid:durableId="578444366">
    <w:abstractNumId w:val="31"/>
  </w:num>
  <w:num w:numId="17" w16cid:durableId="1441804485">
    <w:abstractNumId w:val="9"/>
  </w:num>
  <w:num w:numId="18" w16cid:durableId="547037662">
    <w:abstractNumId w:val="7"/>
  </w:num>
  <w:num w:numId="19" w16cid:durableId="1091196609">
    <w:abstractNumId w:val="6"/>
  </w:num>
  <w:num w:numId="20" w16cid:durableId="1320227505">
    <w:abstractNumId w:val="5"/>
  </w:num>
  <w:num w:numId="21" w16cid:durableId="1413695032">
    <w:abstractNumId w:val="4"/>
  </w:num>
  <w:num w:numId="22" w16cid:durableId="629937754">
    <w:abstractNumId w:val="8"/>
  </w:num>
  <w:num w:numId="23" w16cid:durableId="2001470022">
    <w:abstractNumId w:val="3"/>
  </w:num>
  <w:num w:numId="24" w16cid:durableId="1102651284">
    <w:abstractNumId w:val="2"/>
  </w:num>
  <w:num w:numId="25" w16cid:durableId="1609115780">
    <w:abstractNumId w:val="1"/>
  </w:num>
  <w:num w:numId="26" w16cid:durableId="412168082">
    <w:abstractNumId w:val="0"/>
  </w:num>
  <w:num w:numId="27" w16cid:durableId="32269136">
    <w:abstractNumId w:val="12"/>
  </w:num>
  <w:num w:numId="28" w16cid:durableId="950935151">
    <w:abstractNumId w:val="26"/>
  </w:num>
  <w:num w:numId="29" w16cid:durableId="1420954365">
    <w:abstractNumId w:val="27"/>
  </w:num>
  <w:num w:numId="30" w16cid:durableId="57871686">
    <w:abstractNumId w:val="14"/>
  </w:num>
  <w:num w:numId="31" w16cid:durableId="792745764">
    <w:abstractNumId w:val="21"/>
  </w:num>
  <w:num w:numId="32" w16cid:durableId="8962850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D0"/>
    <w:rsid w:val="00000EAF"/>
    <w:rsid w:val="00002B5A"/>
    <w:rsid w:val="000049E9"/>
    <w:rsid w:val="000051AC"/>
    <w:rsid w:val="00013A84"/>
    <w:rsid w:val="000159CD"/>
    <w:rsid w:val="000236B5"/>
    <w:rsid w:val="00023A76"/>
    <w:rsid w:val="00024E1A"/>
    <w:rsid w:val="00034BD6"/>
    <w:rsid w:val="0003535A"/>
    <w:rsid w:val="00035977"/>
    <w:rsid w:val="0003604E"/>
    <w:rsid w:val="000378BA"/>
    <w:rsid w:val="00042507"/>
    <w:rsid w:val="000435C7"/>
    <w:rsid w:val="000456DE"/>
    <w:rsid w:val="00045879"/>
    <w:rsid w:val="00061142"/>
    <w:rsid w:val="00065421"/>
    <w:rsid w:val="0006696E"/>
    <w:rsid w:val="0007504E"/>
    <w:rsid w:val="0007530E"/>
    <w:rsid w:val="00077471"/>
    <w:rsid w:val="00081B09"/>
    <w:rsid w:val="0009155D"/>
    <w:rsid w:val="00091A12"/>
    <w:rsid w:val="000925E9"/>
    <w:rsid w:val="000935FD"/>
    <w:rsid w:val="00094F27"/>
    <w:rsid w:val="000A078F"/>
    <w:rsid w:val="000A68D4"/>
    <w:rsid w:val="000B0BFE"/>
    <w:rsid w:val="000B40D5"/>
    <w:rsid w:val="000B4220"/>
    <w:rsid w:val="000B527E"/>
    <w:rsid w:val="000B7EAC"/>
    <w:rsid w:val="000C58E7"/>
    <w:rsid w:val="000C5E63"/>
    <w:rsid w:val="000D4C4B"/>
    <w:rsid w:val="000D53BF"/>
    <w:rsid w:val="000E19AB"/>
    <w:rsid w:val="000E3613"/>
    <w:rsid w:val="000F0989"/>
    <w:rsid w:val="000F1026"/>
    <w:rsid w:val="000F3144"/>
    <w:rsid w:val="000F41A6"/>
    <w:rsid w:val="000F5B5D"/>
    <w:rsid w:val="0010054B"/>
    <w:rsid w:val="00100F86"/>
    <w:rsid w:val="001014E9"/>
    <w:rsid w:val="0010369E"/>
    <w:rsid w:val="00105B7F"/>
    <w:rsid w:val="00122B7E"/>
    <w:rsid w:val="001254BC"/>
    <w:rsid w:val="001355A0"/>
    <w:rsid w:val="001370FD"/>
    <w:rsid w:val="001439D4"/>
    <w:rsid w:val="00144148"/>
    <w:rsid w:val="00146510"/>
    <w:rsid w:val="001500B3"/>
    <w:rsid w:val="0015377A"/>
    <w:rsid w:val="00155FFF"/>
    <w:rsid w:val="00156265"/>
    <w:rsid w:val="00161150"/>
    <w:rsid w:val="0016393A"/>
    <w:rsid w:val="001677D0"/>
    <w:rsid w:val="0017134A"/>
    <w:rsid w:val="00174771"/>
    <w:rsid w:val="00174A65"/>
    <w:rsid w:val="00183A83"/>
    <w:rsid w:val="00186AD0"/>
    <w:rsid w:val="00191FDF"/>
    <w:rsid w:val="001920AB"/>
    <w:rsid w:val="0019670A"/>
    <w:rsid w:val="001A1E39"/>
    <w:rsid w:val="001A2003"/>
    <w:rsid w:val="001A7A65"/>
    <w:rsid w:val="001B1F94"/>
    <w:rsid w:val="001B2060"/>
    <w:rsid w:val="001C208B"/>
    <w:rsid w:val="001D08EB"/>
    <w:rsid w:val="001D1D81"/>
    <w:rsid w:val="001D2E52"/>
    <w:rsid w:val="001D3DF3"/>
    <w:rsid w:val="001D5B70"/>
    <w:rsid w:val="001F21DC"/>
    <w:rsid w:val="001F2624"/>
    <w:rsid w:val="001F2DB1"/>
    <w:rsid w:val="001F3F5A"/>
    <w:rsid w:val="00201448"/>
    <w:rsid w:val="002040E2"/>
    <w:rsid w:val="00204871"/>
    <w:rsid w:val="0020579C"/>
    <w:rsid w:val="00206080"/>
    <w:rsid w:val="00206CB8"/>
    <w:rsid w:val="00213BE7"/>
    <w:rsid w:val="0021492D"/>
    <w:rsid w:val="0021766D"/>
    <w:rsid w:val="00224D01"/>
    <w:rsid w:val="002262B5"/>
    <w:rsid w:val="00226E91"/>
    <w:rsid w:val="0023387E"/>
    <w:rsid w:val="00237954"/>
    <w:rsid w:val="00242D6B"/>
    <w:rsid w:val="00242F06"/>
    <w:rsid w:val="00245135"/>
    <w:rsid w:val="00253C0B"/>
    <w:rsid w:val="00254DCD"/>
    <w:rsid w:val="002550B0"/>
    <w:rsid w:val="00256494"/>
    <w:rsid w:val="0026059A"/>
    <w:rsid w:val="00264881"/>
    <w:rsid w:val="00266048"/>
    <w:rsid w:val="00267403"/>
    <w:rsid w:val="002674AD"/>
    <w:rsid w:val="00267650"/>
    <w:rsid w:val="00276F02"/>
    <w:rsid w:val="00276F2B"/>
    <w:rsid w:val="002816D9"/>
    <w:rsid w:val="0028176F"/>
    <w:rsid w:val="002817D2"/>
    <w:rsid w:val="0028466C"/>
    <w:rsid w:val="00285944"/>
    <w:rsid w:val="002906AD"/>
    <w:rsid w:val="00290A97"/>
    <w:rsid w:val="00290BDC"/>
    <w:rsid w:val="0029153E"/>
    <w:rsid w:val="0029517C"/>
    <w:rsid w:val="00295613"/>
    <w:rsid w:val="002960A7"/>
    <w:rsid w:val="00296713"/>
    <w:rsid w:val="002A2813"/>
    <w:rsid w:val="002A342B"/>
    <w:rsid w:val="002A3819"/>
    <w:rsid w:val="002A5896"/>
    <w:rsid w:val="002A6076"/>
    <w:rsid w:val="002B28DE"/>
    <w:rsid w:val="002B300B"/>
    <w:rsid w:val="002B7757"/>
    <w:rsid w:val="002C06DE"/>
    <w:rsid w:val="002C79B8"/>
    <w:rsid w:val="002D2841"/>
    <w:rsid w:val="002D390F"/>
    <w:rsid w:val="002D3CE4"/>
    <w:rsid w:val="002E0DBF"/>
    <w:rsid w:val="002E30D1"/>
    <w:rsid w:val="002E6734"/>
    <w:rsid w:val="00301FD2"/>
    <w:rsid w:val="00303F79"/>
    <w:rsid w:val="00304712"/>
    <w:rsid w:val="00306E2D"/>
    <w:rsid w:val="00307F3D"/>
    <w:rsid w:val="00315DBB"/>
    <w:rsid w:val="0031601F"/>
    <w:rsid w:val="00317F8B"/>
    <w:rsid w:val="003208D5"/>
    <w:rsid w:val="00322341"/>
    <w:rsid w:val="00324380"/>
    <w:rsid w:val="003243C9"/>
    <w:rsid w:val="00327731"/>
    <w:rsid w:val="00327C5D"/>
    <w:rsid w:val="003313A5"/>
    <w:rsid w:val="00333517"/>
    <w:rsid w:val="00341F0D"/>
    <w:rsid w:val="003437FD"/>
    <w:rsid w:val="00350B95"/>
    <w:rsid w:val="00351863"/>
    <w:rsid w:val="00351D3A"/>
    <w:rsid w:val="00352419"/>
    <w:rsid w:val="00353603"/>
    <w:rsid w:val="00356148"/>
    <w:rsid w:val="00356E82"/>
    <w:rsid w:val="00361753"/>
    <w:rsid w:val="0036578F"/>
    <w:rsid w:val="00366EF1"/>
    <w:rsid w:val="0036739C"/>
    <w:rsid w:val="00371195"/>
    <w:rsid w:val="00371F64"/>
    <w:rsid w:val="00372646"/>
    <w:rsid w:val="00373C82"/>
    <w:rsid w:val="00380D33"/>
    <w:rsid w:val="003872E2"/>
    <w:rsid w:val="00392760"/>
    <w:rsid w:val="00394E47"/>
    <w:rsid w:val="003A008A"/>
    <w:rsid w:val="003A0E34"/>
    <w:rsid w:val="003A1D38"/>
    <w:rsid w:val="003A31B5"/>
    <w:rsid w:val="003A3A0A"/>
    <w:rsid w:val="003A4BED"/>
    <w:rsid w:val="003B33B7"/>
    <w:rsid w:val="003B42C3"/>
    <w:rsid w:val="003B7479"/>
    <w:rsid w:val="003C061F"/>
    <w:rsid w:val="003C0FEC"/>
    <w:rsid w:val="003C4AF3"/>
    <w:rsid w:val="003C5606"/>
    <w:rsid w:val="003C59E4"/>
    <w:rsid w:val="003C6368"/>
    <w:rsid w:val="003C64B5"/>
    <w:rsid w:val="003D0208"/>
    <w:rsid w:val="003D0233"/>
    <w:rsid w:val="003D25C1"/>
    <w:rsid w:val="003D4BB7"/>
    <w:rsid w:val="003E28C0"/>
    <w:rsid w:val="003E2D0C"/>
    <w:rsid w:val="003E5A50"/>
    <w:rsid w:val="003E5C46"/>
    <w:rsid w:val="003F07D0"/>
    <w:rsid w:val="003F19B8"/>
    <w:rsid w:val="003F6CF2"/>
    <w:rsid w:val="0040050B"/>
    <w:rsid w:val="00406C20"/>
    <w:rsid w:val="004133AF"/>
    <w:rsid w:val="0041563A"/>
    <w:rsid w:val="00423533"/>
    <w:rsid w:val="00425AC8"/>
    <w:rsid w:val="00431F6E"/>
    <w:rsid w:val="004337C0"/>
    <w:rsid w:val="00446F98"/>
    <w:rsid w:val="00447B02"/>
    <w:rsid w:val="004506C5"/>
    <w:rsid w:val="004530F7"/>
    <w:rsid w:val="00454B7F"/>
    <w:rsid w:val="00454CED"/>
    <w:rsid w:val="00455966"/>
    <w:rsid w:val="004604DE"/>
    <w:rsid w:val="00463107"/>
    <w:rsid w:val="004634A6"/>
    <w:rsid w:val="004671B9"/>
    <w:rsid w:val="00472BFC"/>
    <w:rsid w:val="00473371"/>
    <w:rsid w:val="00474679"/>
    <w:rsid w:val="00475227"/>
    <w:rsid w:val="00475AA9"/>
    <w:rsid w:val="0047638D"/>
    <w:rsid w:val="00477C6B"/>
    <w:rsid w:val="00480DA8"/>
    <w:rsid w:val="00486360"/>
    <w:rsid w:val="00486CB1"/>
    <w:rsid w:val="004873B2"/>
    <w:rsid w:val="00491116"/>
    <w:rsid w:val="00492215"/>
    <w:rsid w:val="00492A48"/>
    <w:rsid w:val="004A6EC5"/>
    <w:rsid w:val="004B6A7F"/>
    <w:rsid w:val="004B70D5"/>
    <w:rsid w:val="004D1B76"/>
    <w:rsid w:val="004D268D"/>
    <w:rsid w:val="004D569B"/>
    <w:rsid w:val="004D6275"/>
    <w:rsid w:val="004E19DF"/>
    <w:rsid w:val="004E49F1"/>
    <w:rsid w:val="004E53D3"/>
    <w:rsid w:val="004F16DE"/>
    <w:rsid w:val="004F1CCF"/>
    <w:rsid w:val="004F31E2"/>
    <w:rsid w:val="004F31E5"/>
    <w:rsid w:val="004F3B4A"/>
    <w:rsid w:val="004F46F4"/>
    <w:rsid w:val="00503AA1"/>
    <w:rsid w:val="00505523"/>
    <w:rsid w:val="00506D39"/>
    <w:rsid w:val="005129AB"/>
    <w:rsid w:val="005152AE"/>
    <w:rsid w:val="00515EE4"/>
    <w:rsid w:val="005215A7"/>
    <w:rsid w:val="00525759"/>
    <w:rsid w:val="00526860"/>
    <w:rsid w:val="00532537"/>
    <w:rsid w:val="00533C08"/>
    <w:rsid w:val="005358B2"/>
    <w:rsid w:val="00535AB1"/>
    <w:rsid w:val="00536FD7"/>
    <w:rsid w:val="0054327C"/>
    <w:rsid w:val="0054339E"/>
    <w:rsid w:val="00546087"/>
    <w:rsid w:val="005504D7"/>
    <w:rsid w:val="00551CD2"/>
    <w:rsid w:val="005529C2"/>
    <w:rsid w:val="00555213"/>
    <w:rsid w:val="005555DA"/>
    <w:rsid w:val="0055753B"/>
    <w:rsid w:val="005577A2"/>
    <w:rsid w:val="005823F6"/>
    <w:rsid w:val="00583FDC"/>
    <w:rsid w:val="00584DE2"/>
    <w:rsid w:val="00591CC6"/>
    <w:rsid w:val="005960D8"/>
    <w:rsid w:val="0059638A"/>
    <w:rsid w:val="005A0C6C"/>
    <w:rsid w:val="005A0E39"/>
    <w:rsid w:val="005A55A8"/>
    <w:rsid w:val="005A579B"/>
    <w:rsid w:val="005A5B86"/>
    <w:rsid w:val="005A6EEC"/>
    <w:rsid w:val="005A7E5C"/>
    <w:rsid w:val="005B2D9D"/>
    <w:rsid w:val="005B3360"/>
    <w:rsid w:val="005B430B"/>
    <w:rsid w:val="005B4DE3"/>
    <w:rsid w:val="005B5C1F"/>
    <w:rsid w:val="005B64D5"/>
    <w:rsid w:val="005C21C7"/>
    <w:rsid w:val="005C5FFD"/>
    <w:rsid w:val="005C6A03"/>
    <w:rsid w:val="005C7C2C"/>
    <w:rsid w:val="005D1FB2"/>
    <w:rsid w:val="005D4200"/>
    <w:rsid w:val="005D73C8"/>
    <w:rsid w:val="005E1DEB"/>
    <w:rsid w:val="005E2637"/>
    <w:rsid w:val="005E2869"/>
    <w:rsid w:val="005F14D0"/>
    <w:rsid w:val="005F4081"/>
    <w:rsid w:val="005F53BF"/>
    <w:rsid w:val="005F54FF"/>
    <w:rsid w:val="00602296"/>
    <w:rsid w:val="00606087"/>
    <w:rsid w:val="006077FD"/>
    <w:rsid w:val="006105B7"/>
    <w:rsid w:val="00610D44"/>
    <w:rsid w:val="00615FBD"/>
    <w:rsid w:val="006172B1"/>
    <w:rsid w:val="00617F31"/>
    <w:rsid w:val="0062389F"/>
    <w:rsid w:val="006302F6"/>
    <w:rsid w:val="00633958"/>
    <w:rsid w:val="00635190"/>
    <w:rsid w:val="00636465"/>
    <w:rsid w:val="00637AA9"/>
    <w:rsid w:val="0064235D"/>
    <w:rsid w:val="00643786"/>
    <w:rsid w:val="00643C58"/>
    <w:rsid w:val="00644F3E"/>
    <w:rsid w:val="00646819"/>
    <w:rsid w:val="00646C3B"/>
    <w:rsid w:val="006470C4"/>
    <w:rsid w:val="00650D03"/>
    <w:rsid w:val="00653606"/>
    <w:rsid w:val="0065577C"/>
    <w:rsid w:val="00656F87"/>
    <w:rsid w:val="00670D18"/>
    <w:rsid w:val="006762D0"/>
    <w:rsid w:val="0067648C"/>
    <w:rsid w:val="006821DF"/>
    <w:rsid w:val="00682731"/>
    <w:rsid w:val="00684C77"/>
    <w:rsid w:val="00686329"/>
    <w:rsid w:val="00687E41"/>
    <w:rsid w:val="00690C5C"/>
    <w:rsid w:val="00691A02"/>
    <w:rsid w:val="0069516B"/>
    <w:rsid w:val="006952D5"/>
    <w:rsid w:val="00696E09"/>
    <w:rsid w:val="006A071C"/>
    <w:rsid w:val="006A1D75"/>
    <w:rsid w:val="006A3FB0"/>
    <w:rsid w:val="006A6BFE"/>
    <w:rsid w:val="006B0F7F"/>
    <w:rsid w:val="006B1951"/>
    <w:rsid w:val="006B2B6C"/>
    <w:rsid w:val="006C44AC"/>
    <w:rsid w:val="006C5BD7"/>
    <w:rsid w:val="006C70C5"/>
    <w:rsid w:val="006D1939"/>
    <w:rsid w:val="006D315F"/>
    <w:rsid w:val="006D370E"/>
    <w:rsid w:val="006D4F51"/>
    <w:rsid w:val="006E061B"/>
    <w:rsid w:val="006E4DCA"/>
    <w:rsid w:val="006E5A56"/>
    <w:rsid w:val="006F0E5D"/>
    <w:rsid w:val="006F166B"/>
    <w:rsid w:val="00710F89"/>
    <w:rsid w:val="00711234"/>
    <w:rsid w:val="00712F0C"/>
    <w:rsid w:val="00713E06"/>
    <w:rsid w:val="00714A3F"/>
    <w:rsid w:val="00721DC1"/>
    <w:rsid w:val="00723714"/>
    <w:rsid w:val="00725A8F"/>
    <w:rsid w:val="00726159"/>
    <w:rsid w:val="00727EB2"/>
    <w:rsid w:val="007309AB"/>
    <w:rsid w:val="00731C13"/>
    <w:rsid w:val="00734762"/>
    <w:rsid w:val="0074200D"/>
    <w:rsid w:val="00742A84"/>
    <w:rsid w:val="00746630"/>
    <w:rsid w:val="0075359F"/>
    <w:rsid w:val="00761145"/>
    <w:rsid w:val="00761E1D"/>
    <w:rsid w:val="0076250E"/>
    <w:rsid w:val="00772349"/>
    <w:rsid w:val="007725C5"/>
    <w:rsid w:val="00774868"/>
    <w:rsid w:val="00780063"/>
    <w:rsid w:val="00782876"/>
    <w:rsid w:val="007848DB"/>
    <w:rsid w:val="007850FC"/>
    <w:rsid w:val="007853B4"/>
    <w:rsid w:val="00785531"/>
    <w:rsid w:val="00785564"/>
    <w:rsid w:val="007901D8"/>
    <w:rsid w:val="00790892"/>
    <w:rsid w:val="0079650A"/>
    <w:rsid w:val="007966C1"/>
    <w:rsid w:val="007A618B"/>
    <w:rsid w:val="007B152C"/>
    <w:rsid w:val="007B38C2"/>
    <w:rsid w:val="007B5B8C"/>
    <w:rsid w:val="007C094D"/>
    <w:rsid w:val="007C2DA9"/>
    <w:rsid w:val="007C343F"/>
    <w:rsid w:val="007C39A9"/>
    <w:rsid w:val="007C5C25"/>
    <w:rsid w:val="007C6CB6"/>
    <w:rsid w:val="007D12FB"/>
    <w:rsid w:val="007D35DC"/>
    <w:rsid w:val="007E51F5"/>
    <w:rsid w:val="007F6EDE"/>
    <w:rsid w:val="00800882"/>
    <w:rsid w:val="00800B85"/>
    <w:rsid w:val="00801433"/>
    <w:rsid w:val="00804BD0"/>
    <w:rsid w:val="00807EC0"/>
    <w:rsid w:val="0081078F"/>
    <w:rsid w:val="0081143B"/>
    <w:rsid w:val="00816390"/>
    <w:rsid w:val="008201AB"/>
    <w:rsid w:val="00821F8B"/>
    <w:rsid w:val="008232AE"/>
    <w:rsid w:val="008306CA"/>
    <w:rsid w:val="00835FCD"/>
    <w:rsid w:val="00836DBF"/>
    <w:rsid w:val="008414C7"/>
    <w:rsid w:val="00841ACB"/>
    <w:rsid w:val="00850A0E"/>
    <w:rsid w:val="00850E74"/>
    <w:rsid w:val="00851590"/>
    <w:rsid w:val="008531CD"/>
    <w:rsid w:val="00853EA2"/>
    <w:rsid w:val="0085501A"/>
    <w:rsid w:val="00855D07"/>
    <w:rsid w:val="00863FEE"/>
    <w:rsid w:val="0087311E"/>
    <w:rsid w:val="008768C2"/>
    <w:rsid w:val="00876BA6"/>
    <w:rsid w:val="00885B15"/>
    <w:rsid w:val="008861C9"/>
    <w:rsid w:val="00891A86"/>
    <w:rsid w:val="00892EB8"/>
    <w:rsid w:val="00893602"/>
    <w:rsid w:val="00893C83"/>
    <w:rsid w:val="00893E53"/>
    <w:rsid w:val="00894BA7"/>
    <w:rsid w:val="008978C7"/>
    <w:rsid w:val="008A1836"/>
    <w:rsid w:val="008A284A"/>
    <w:rsid w:val="008A29E8"/>
    <w:rsid w:val="008B074B"/>
    <w:rsid w:val="008B11B9"/>
    <w:rsid w:val="008B12A6"/>
    <w:rsid w:val="008B1343"/>
    <w:rsid w:val="008B234A"/>
    <w:rsid w:val="008B4B54"/>
    <w:rsid w:val="008B50E6"/>
    <w:rsid w:val="008B7CDA"/>
    <w:rsid w:val="008C172A"/>
    <w:rsid w:val="008C17FE"/>
    <w:rsid w:val="008C2A99"/>
    <w:rsid w:val="008D0E44"/>
    <w:rsid w:val="008D17EF"/>
    <w:rsid w:val="008D569E"/>
    <w:rsid w:val="008D7D80"/>
    <w:rsid w:val="008E05DA"/>
    <w:rsid w:val="008E4A94"/>
    <w:rsid w:val="008F0AC0"/>
    <w:rsid w:val="008F17BA"/>
    <w:rsid w:val="008F1960"/>
    <w:rsid w:val="008F270B"/>
    <w:rsid w:val="008F2C26"/>
    <w:rsid w:val="008F38A1"/>
    <w:rsid w:val="008F4515"/>
    <w:rsid w:val="008F613E"/>
    <w:rsid w:val="008F6806"/>
    <w:rsid w:val="00901B92"/>
    <w:rsid w:val="00904B53"/>
    <w:rsid w:val="00905038"/>
    <w:rsid w:val="009063CF"/>
    <w:rsid w:val="00906622"/>
    <w:rsid w:val="00915556"/>
    <w:rsid w:val="0091568E"/>
    <w:rsid w:val="009165CB"/>
    <w:rsid w:val="009361FE"/>
    <w:rsid w:val="009446AC"/>
    <w:rsid w:val="00947795"/>
    <w:rsid w:val="00951333"/>
    <w:rsid w:val="0095337B"/>
    <w:rsid w:val="00955E7C"/>
    <w:rsid w:val="00956134"/>
    <w:rsid w:val="00957C62"/>
    <w:rsid w:val="0096070B"/>
    <w:rsid w:val="009624B1"/>
    <w:rsid w:val="00964801"/>
    <w:rsid w:val="009662D1"/>
    <w:rsid w:val="009678B6"/>
    <w:rsid w:val="00972A72"/>
    <w:rsid w:val="00975B3F"/>
    <w:rsid w:val="00983584"/>
    <w:rsid w:val="00986BCA"/>
    <w:rsid w:val="009875BE"/>
    <w:rsid w:val="00987E73"/>
    <w:rsid w:val="009922F6"/>
    <w:rsid w:val="009949D6"/>
    <w:rsid w:val="00995F92"/>
    <w:rsid w:val="009A0FDE"/>
    <w:rsid w:val="009A2331"/>
    <w:rsid w:val="009A5926"/>
    <w:rsid w:val="009A731C"/>
    <w:rsid w:val="009B4B02"/>
    <w:rsid w:val="009B6164"/>
    <w:rsid w:val="009C2646"/>
    <w:rsid w:val="009C399F"/>
    <w:rsid w:val="009C5064"/>
    <w:rsid w:val="009C5654"/>
    <w:rsid w:val="009C61AB"/>
    <w:rsid w:val="009C77B1"/>
    <w:rsid w:val="009D06E6"/>
    <w:rsid w:val="009D478A"/>
    <w:rsid w:val="009E1EF5"/>
    <w:rsid w:val="009E3008"/>
    <w:rsid w:val="009E48E5"/>
    <w:rsid w:val="009E6241"/>
    <w:rsid w:val="009E7024"/>
    <w:rsid w:val="009F497C"/>
    <w:rsid w:val="009F727D"/>
    <w:rsid w:val="00A0441D"/>
    <w:rsid w:val="00A073AB"/>
    <w:rsid w:val="00A10458"/>
    <w:rsid w:val="00A10C17"/>
    <w:rsid w:val="00A11D49"/>
    <w:rsid w:val="00A13C1F"/>
    <w:rsid w:val="00A142AC"/>
    <w:rsid w:val="00A16638"/>
    <w:rsid w:val="00A16A8B"/>
    <w:rsid w:val="00A317C5"/>
    <w:rsid w:val="00A32176"/>
    <w:rsid w:val="00A3342F"/>
    <w:rsid w:val="00A34E57"/>
    <w:rsid w:val="00A35CF9"/>
    <w:rsid w:val="00A3703A"/>
    <w:rsid w:val="00A378DB"/>
    <w:rsid w:val="00A37900"/>
    <w:rsid w:val="00A37B84"/>
    <w:rsid w:val="00A42699"/>
    <w:rsid w:val="00A44AFD"/>
    <w:rsid w:val="00A52CC5"/>
    <w:rsid w:val="00A52E9A"/>
    <w:rsid w:val="00A5378D"/>
    <w:rsid w:val="00A539B7"/>
    <w:rsid w:val="00A705F9"/>
    <w:rsid w:val="00A71770"/>
    <w:rsid w:val="00A74057"/>
    <w:rsid w:val="00A7531F"/>
    <w:rsid w:val="00A77187"/>
    <w:rsid w:val="00A810A5"/>
    <w:rsid w:val="00A83857"/>
    <w:rsid w:val="00A94816"/>
    <w:rsid w:val="00AA1A2D"/>
    <w:rsid w:val="00AA2DE8"/>
    <w:rsid w:val="00AA4AD0"/>
    <w:rsid w:val="00AA6D7A"/>
    <w:rsid w:val="00AA7855"/>
    <w:rsid w:val="00AB1625"/>
    <w:rsid w:val="00AB2AB3"/>
    <w:rsid w:val="00AB48CC"/>
    <w:rsid w:val="00AC2577"/>
    <w:rsid w:val="00AC3B69"/>
    <w:rsid w:val="00AC4983"/>
    <w:rsid w:val="00AC49A6"/>
    <w:rsid w:val="00AC4E85"/>
    <w:rsid w:val="00AC5465"/>
    <w:rsid w:val="00AC602C"/>
    <w:rsid w:val="00AD1AB7"/>
    <w:rsid w:val="00AD2C9D"/>
    <w:rsid w:val="00AD3094"/>
    <w:rsid w:val="00AD64BB"/>
    <w:rsid w:val="00AD7F9B"/>
    <w:rsid w:val="00AE0AE4"/>
    <w:rsid w:val="00AE2E88"/>
    <w:rsid w:val="00AF5D64"/>
    <w:rsid w:val="00B006C5"/>
    <w:rsid w:val="00B0193B"/>
    <w:rsid w:val="00B0228A"/>
    <w:rsid w:val="00B03E72"/>
    <w:rsid w:val="00B07D5F"/>
    <w:rsid w:val="00B2043A"/>
    <w:rsid w:val="00B20C91"/>
    <w:rsid w:val="00B22982"/>
    <w:rsid w:val="00B23483"/>
    <w:rsid w:val="00B23D4F"/>
    <w:rsid w:val="00B248C7"/>
    <w:rsid w:val="00B24C8F"/>
    <w:rsid w:val="00B33242"/>
    <w:rsid w:val="00B352F1"/>
    <w:rsid w:val="00B3663E"/>
    <w:rsid w:val="00B46BCA"/>
    <w:rsid w:val="00B5288A"/>
    <w:rsid w:val="00B602B6"/>
    <w:rsid w:val="00B62176"/>
    <w:rsid w:val="00B653FD"/>
    <w:rsid w:val="00B66044"/>
    <w:rsid w:val="00B71B77"/>
    <w:rsid w:val="00B72137"/>
    <w:rsid w:val="00B73D04"/>
    <w:rsid w:val="00B76210"/>
    <w:rsid w:val="00B7727D"/>
    <w:rsid w:val="00B815D6"/>
    <w:rsid w:val="00B82C94"/>
    <w:rsid w:val="00B87F44"/>
    <w:rsid w:val="00B9191D"/>
    <w:rsid w:val="00BA1693"/>
    <w:rsid w:val="00BA562B"/>
    <w:rsid w:val="00BA5986"/>
    <w:rsid w:val="00BB0BE9"/>
    <w:rsid w:val="00BB1C30"/>
    <w:rsid w:val="00BB382A"/>
    <w:rsid w:val="00BB58C5"/>
    <w:rsid w:val="00BC1A03"/>
    <w:rsid w:val="00BC1B87"/>
    <w:rsid w:val="00BC39F9"/>
    <w:rsid w:val="00BC4AEB"/>
    <w:rsid w:val="00BC50A0"/>
    <w:rsid w:val="00BC6C78"/>
    <w:rsid w:val="00BC6E44"/>
    <w:rsid w:val="00BC75D0"/>
    <w:rsid w:val="00BD7561"/>
    <w:rsid w:val="00BE293E"/>
    <w:rsid w:val="00BE2A57"/>
    <w:rsid w:val="00BE2FF0"/>
    <w:rsid w:val="00BE628D"/>
    <w:rsid w:val="00BF0813"/>
    <w:rsid w:val="00BF137D"/>
    <w:rsid w:val="00BF1F19"/>
    <w:rsid w:val="00BF40E1"/>
    <w:rsid w:val="00BF4457"/>
    <w:rsid w:val="00BF583A"/>
    <w:rsid w:val="00BF61D5"/>
    <w:rsid w:val="00C0077B"/>
    <w:rsid w:val="00C008EC"/>
    <w:rsid w:val="00C02EDD"/>
    <w:rsid w:val="00C032F9"/>
    <w:rsid w:val="00C054F5"/>
    <w:rsid w:val="00C11D6E"/>
    <w:rsid w:val="00C13575"/>
    <w:rsid w:val="00C13C1F"/>
    <w:rsid w:val="00C21952"/>
    <w:rsid w:val="00C221B7"/>
    <w:rsid w:val="00C24880"/>
    <w:rsid w:val="00C249CB"/>
    <w:rsid w:val="00C24D11"/>
    <w:rsid w:val="00C268EA"/>
    <w:rsid w:val="00C30BC4"/>
    <w:rsid w:val="00C327DD"/>
    <w:rsid w:val="00C34B50"/>
    <w:rsid w:val="00C34D49"/>
    <w:rsid w:val="00C40186"/>
    <w:rsid w:val="00C40671"/>
    <w:rsid w:val="00C41C14"/>
    <w:rsid w:val="00C41D95"/>
    <w:rsid w:val="00C458E3"/>
    <w:rsid w:val="00C46826"/>
    <w:rsid w:val="00C46FED"/>
    <w:rsid w:val="00C51373"/>
    <w:rsid w:val="00C53099"/>
    <w:rsid w:val="00C63975"/>
    <w:rsid w:val="00C74554"/>
    <w:rsid w:val="00C753C6"/>
    <w:rsid w:val="00C77817"/>
    <w:rsid w:val="00C85490"/>
    <w:rsid w:val="00C86D7C"/>
    <w:rsid w:val="00C870FA"/>
    <w:rsid w:val="00C87ED2"/>
    <w:rsid w:val="00C91AF5"/>
    <w:rsid w:val="00C940E8"/>
    <w:rsid w:val="00C9693A"/>
    <w:rsid w:val="00C974B3"/>
    <w:rsid w:val="00CA5555"/>
    <w:rsid w:val="00CA593D"/>
    <w:rsid w:val="00CA61EB"/>
    <w:rsid w:val="00CB2DD8"/>
    <w:rsid w:val="00CB5D12"/>
    <w:rsid w:val="00CB5F7F"/>
    <w:rsid w:val="00CB692B"/>
    <w:rsid w:val="00CB74EA"/>
    <w:rsid w:val="00CB7D72"/>
    <w:rsid w:val="00CC10DF"/>
    <w:rsid w:val="00CC3CF8"/>
    <w:rsid w:val="00CC7A4B"/>
    <w:rsid w:val="00CD03B7"/>
    <w:rsid w:val="00CD514E"/>
    <w:rsid w:val="00CD6EE5"/>
    <w:rsid w:val="00CD6FA4"/>
    <w:rsid w:val="00CE5806"/>
    <w:rsid w:val="00CF7A08"/>
    <w:rsid w:val="00D019A2"/>
    <w:rsid w:val="00D0309B"/>
    <w:rsid w:val="00D06ED6"/>
    <w:rsid w:val="00D13F3E"/>
    <w:rsid w:val="00D20579"/>
    <w:rsid w:val="00D20A22"/>
    <w:rsid w:val="00D21D27"/>
    <w:rsid w:val="00D307FE"/>
    <w:rsid w:val="00D311FF"/>
    <w:rsid w:val="00D336E0"/>
    <w:rsid w:val="00D35344"/>
    <w:rsid w:val="00D37261"/>
    <w:rsid w:val="00D41676"/>
    <w:rsid w:val="00D4218D"/>
    <w:rsid w:val="00D44ADB"/>
    <w:rsid w:val="00D44CD8"/>
    <w:rsid w:val="00D46201"/>
    <w:rsid w:val="00D4668F"/>
    <w:rsid w:val="00D5128A"/>
    <w:rsid w:val="00D53CB7"/>
    <w:rsid w:val="00D556E4"/>
    <w:rsid w:val="00D565D1"/>
    <w:rsid w:val="00D63706"/>
    <w:rsid w:val="00D63DD4"/>
    <w:rsid w:val="00D645EA"/>
    <w:rsid w:val="00D64EA2"/>
    <w:rsid w:val="00D713DA"/>
    <w:rsid w:val="00D84C63"/>
    <w:rsid w:val="00D87495"/>
    <w:rsid w:val="00D9473A"/>
    <w:rsid w:val="00D96232"/>
    <w:rsid w:val="00DB2DEC"/>
    <w:rsid w:val="00DB3669"/>
    <w:rsid w:val="00DB4772"/>
    <w:rsid w:val="00DC1F4A"/>
    <w:rsid w:val="00DC2899"/>
    <w:rsid w:val="00DC2F6B"/>
    <w:rsid w:val="00DC44AB"/>
    <w:rsid w:val="00DC64A8"/>
    <w:rsid w:val="00DD408A"/>
    <w:rsid w:val="00DD7617"/>
    <w:rsid w:val="00DD7910"/>
    <w:rsid w:val="00DE1C26"/>
    <w:rsid w:val="00DE4D04"/>
    <w:rsid w:val="00DF3548"/>
    <w:rsid w:val="00E00941"/>
    <w:rsid w:val="00E0117D"/>
    <w:rsid w:val="00E01684"/>
    <w:rsid w:val="00E01984"/>
    <w:rsid w:val="00E02C7A"/>
    <w:rsid w:val="00E06096"/>
    <w:rsid w:val="00E06BFA"/>
    <w:rsid w:val="00E106CE"/>
    <w:rsid w:val="00E10AF2"/>
    <w:rsid w:val="00E129DE"/>
    <w:rsid w:val="00E14D92"/>
    <w:rsid w:val="00E158DA"/>
    <w:rsid w:val="00E227C8"/>
    <w:rsid w:val="00E23A0A"/>
    <w:rsid w:val="00E25D26"/>
    <w:rsid w:val="00E26960"/>
    <w:rsid w:val="00E279D6"/>
    <w:rsid w:val="00E339C8"/>
    <w:rsid w:val="00E346B1"/>
    <w:rsid w:val="00E36D91"/>
    <w:rsid w:val="00E41833"/>
    <w:rsid w:val="00E4507E"/>
    <w:rsid w:val="00E506C2"/>
    <w:rsid w:val="00E55E51"/>
    <w:rsid w:val="00E57F9C"/>
    <w:rsid w:val="00E678A0"/>
    <w:rsid w:val="00E7446A"/>
    <w:rsid w:val="00E75108"/>
    <w:rsid w:val="00E75C93"/>
    <w:rsid w:val="00E76219"/>
    <w:rsid w:val="00E8016F"/>
    <w:rsid w:val="00E82555"/>
    <w:rsid w:val="00E8404A"/>
    <w:rsid w:val="00E9481D"/>
    <w:rsid w:val="00E94855"/>
    <w:rsid w:val="00EA1CF5"/>
    <w:rsid w:val="00EA2506"/>
    <w:rsid w:val="00EA2E0C"/>
    <w:rsid w:val="00EA374F"/>
    <w:rsid w:val="00EB180D"/>
    <w:rsid w:val="00EB1E52"/>
    <w:rsid w:val="00EB212F"/>
    <w:rsid w:val="00EB25FE"/>
    <w:rsid w:val="00EB4415"/>
    <w:rsid w:val="00EB50BB"/>
    <w:rsid w:val="00EC2A54"/>
    <w:rsid w:val="00EC5705"/>
    <w:rsid w:val="00ED0814"/>
    <w:rsid w:val="00ED222E"/>
    <w:rsid w:val="00ED318A"/>
    <w:rsid w:val="00ED4CF0"/>
    <w:rsid w:val="00ED56EB"/>
    <w:rsid w:val="00ED6852"/>
    <w:rsid w:val="00EE11EC"/>
    <w:rsid w:val="00EE2B68"/>
    <w:rsid w:val="00EE3041"/>
    <w:rsid w:val="00EE3137"/>
    <w:rsid w:val="00EE465F"/>
    <w:rsid w:val="00EE6533"/>
    <w:rsid w:val="00EF1345"/>
    <w:rsid w:val="00EF16D2"/>
    <w:rsid w:val="00EF2874"/>
    <w:rsid w:val="00EF71ED"/>
    <w:rsid w:val="00F0038F"/>
    <w:rsid w:val="00F0385F"/>
    <w:rsid w:val="00F04990"/>
    <w:rsid w:val="00F069B6"/>
    <w:rsid w:val="00F06BA9"/>
    <w:rsid w:val="00F06C36"/>
    <w:rsid w:val="00F13216"/>
    <w:rsid w:val="00F13F38"/>
    <w:rsid w:val="00F1509A"/>
    <w:rsid w:val="00F1699A"/>
    <w:rsid w:val="00F178C0"/>
    <w:rsid w:val="00F23C62"/>
    <w:rsid w:val="00F246BC"/>
    <w:rsid w:val="00F24854"/>
    <w:rsid w:val="00F26D4B"/>
    <w:rsid w:val="00F332DE"/>
    <w:rsid w:val="00F338CE"/>
    <w:rsid w:val="00F34AC3"/>
    <w:rsid w:val="00F35601"/>
    <w:rsid w:val="00F40F75"/>
    <w:rsid w:val="00F413D4"/>
    <w:rsid w:val="00F431AB"/>
    <w:rsid w:val="00F435FE"/>
    <w:rsid w:val="00F4576C"/>
    <w:rsid w:val="00F47247"/>
    <w:rsid w:val="00F509F7"/>
    <w:rsid w:val="00F5539D"/>
    <w:rsid w:val="00F64D7A"/>
    <w:rsid w:val="00F7467A"/>
    <w:rsid w:val="00F7675D"/>
    <w:rsid w:val="00F76CBB"/>
    <w:rsid w:val="00F77299"/>
    <w:rsid w:val="00F77E84"/>
    <w:rsid w:val="00F81333"/>
    <w:rsid w:val="00F83716"/>
    <w:rsid w:val="00F85D9C"/>
    <w:rsid w:val="00F930A2"/>
    <w:rsid w:val="00F933A4"/>
    <w:rsid w:val="00FA01F6"/>
    <w:rsid w:val="00FA142C"/>
    <w:rsid w:val="00FA5777"/>
    <w:rsid w:val="00FA6C5F"/>
    <w:rsid w:val="00FA7566"/>
    <w:rsid w:val="00FB6105"/>
    <w:rsid w:val="00FB6E12"/>
    <w:rsid w:val="00FC0708"/>
    <w:rsid w:val="00FC1161"/>
    <w:rsid w:val="00FD2AD2"/>
    <w:rsid w:val="00FD3BB7"/>
    <w:rsid w:val="00FE0398"/>
    <w:rsid w:val="00FE0610"/>
    <w:rsid w:val="00FE2C83"/>
    <w:rsid w:val="00FF0CDC"/>
    <w:rsid w:val="00FF0EF8"/>
    <w:rsid w:val="00FF4EA0"/>
    <w:rsid w:val="00FF5B8F"/>
    <w:rsid w:val="64CB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763FE"/>
  <w15:chartTrackingRefBased/>
  <w15:docId w15:val="{898F46B4-3A36-4804-B13E-94D63065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79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A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BC7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75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5D0"/>
  </w:style>
  <w:style w:type="paragraph" w:styleId="Footer">
    <w:name w:val="footer"/>
    <w:basedOn w:val="Normal"/>
    <w:link w:val="FooterChar"/>
    <w:uiPriority w:val="99"/>
    <w:unhideWhenUsed/>
    <w:rsid w:val="00BC7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5D0"/>
  </w:style>
  <w:style w:type="paragraph" w:styleId="EndnoteText">
    <w:name w:val="endnote text"/>
    <w:basedOn w:val="Normal"/>
    <w:link w:val="EndnoteTextChar"/>
    <w:uiPriority w:val="99"/>
    <w:unhideWhenUsed/>
    <w:rsid w:val="00CA555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A55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CA555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55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B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BB7"/>
    <w:rPr>
      <w:b/>
      <w:bCs/>
      <w:sz w:val="20"/>
      <w:szCs w:val="20"/>
    </w:rPr>
  </w:style>
  <w:style w:type="character" w:customStyle="1" w:styleId="ListParagraphChar">
    <w:name w:val="List Paragraph Char"/>
    <w:aliases w:val="Bullet List Char,FooterText Char"/>
    <w:link w:val="ListParagraph"/>
    <w:uiPriority w:val="34"/>
    <w:locked/>
    <w:rsid w:val="00FD3BB7"/>
  </w:style>
  <w:style w:type="paragraph" w:styleId="NormalWeb">
    <w:name w:val="Normal (Web)"/>
    <w:basedOn w:val="Normal"/>
    <w:uiPriority w:val="99"/>
    <w:unhideWhenUsed/>
    <w:rsid w:val="00C7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B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8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1D8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E0AE4"/>
    <w:rPr>
      <w:color w:val="605E5C"/>
      <w:shd w:val="clear" w:color="auto" w:fill="E1DFDD"/>
    </w:rPr>
  </w:style>
  <w:style w:type="character" w:customStyle="1" w:styleId="ref-journal">
    <w:name w:val="ref-journal"/>
    <w:basedOn w:val="DefaultParagraphFont"/>
    <w:rsid w:val="00CC10DF"/>
  </w:style>
  <w:style w:type="paragraph" w:styleId="Bibliography">
    <w:name w:val="Bibliography"/>
    <w:basedOn w:val="Normal"/>
    <w:next w:val="Normal"/>
    <w:uiPriority w:val="37"/>
    <w:unhideWhenUsed/>
    <w:rsid w:val="00CC10DF"/>
    <w:pPr>
      <w:tabs>
        <w:tab w:val="left" w:pos="384"/>
      </w:tabs>
      <w:spacing w:after="240" w:line="240" w:lineRule="auto"/>
      <w:ind w:left="384" w:hanging="384"/>
    </w:pPr>
  </w:style>
  <w:style w:type="character" w:styleId="LineNumber">
    <w:name w:val="line number"/>
    <w:basedOn w:val="DefaultParagraphFont"/>
    <w:uiPriority w:val="99"/>
    <w:unhideWhenUsed/>
    <w:rsid w:val="005B2D9D"/>
    <w:rPr>
      <w:rFonts w:ascii="Times New Roman" w:hAnsi="Times New Roman"/>
      <w:sz w:val="22"/>
    </w:rPr>
  </w:style>
  <w:style w:type="character" w:customStyle="1" w:styleId="docsum-pmid">
    <w:name w:val="docsum-pmid"/>
    <w:basedOn w:val="DefaultParagraphFont"/>
    <w:rsid w:val="00682731"/>
  </w:style>
  <w:style w:type="paragraph" w:styleId="FootnoteText">
    <w:name w:val="footnote text"/>
    <w:basedOn w:val="Normal"/>
    <w:link w:val="FootnoteTextChar"/>
    <w:uiPriority w:val="99"/>
    <w:semiHidden/>
    <w:unhideWhenUsed/>
    <w:rsid w:val="005552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2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521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50A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B1EA-98C2-40D3-BA59-F349A36E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Zobrist</dc:creator>
  <cp:keywords/>
  <dc:description/>
  <cp:lastModifiedBy>Gonzalo Domingo</cp:lastModifiedBy>
  <cp:revision>4</cp:revision>
  <dcterms:created xsi:type="dcterms:W3CDTF">2022-07-23T14:34:00Z</dcterms:created>
  <dcterms:modified xsi:type="dcterms:W3CDTF">2022-07-23T16:12:00Z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id="Qa3NBNLt"/&gt;&lt;style id="http://www.zotero.org/styles/american-medical-association" hasBibliography="1" bibliographyStyleHasBeenSet="1"/&gt;&lt;prefs&gt;&lt;pref name="fieldType" value="Field"/&gt;&lt;/prefs&gt;&lt;/data</vt:lpwstr>
  </property>
  <property fmtid="{D5CDD505-2E9C-101B-9397-08002B2CF9AE}" pid="3" name="ZOTERO_PREF_2">
    <vt:lpwstr>&gt;</vt:lpwstr>
  </property>
</Properties>
</file>