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5AD3" w14:textId="4FC6C67C" w:rsidR="00595C45" w:rsidRPr="00CE1175" w:rsidRDefault="00AF51EE">
      <w:pPr>
        <w:rPr>
          <w:rFonts w:ascii="Times New Roman" w:hAnsi="Times New Roman" w:cs="Times New Roman"/>
          <w:b/>
        </w:rPr>
      </w:pPr>
      <w:r w:rsidRPr="00CE1175">
        <w:rPr>
          <w:rFonts w:ascii="Times New Roman" w:hAnsi="Times New Roman" w:cs="Times New Roman"/>
          <w:b/>
        </w:rPr>
        <w:t>Supplemental Results</w:t>
      </w:r>
    </w:p>
    <w:p w14:paraId="17B951E0" w14:textId="3B86B526" w:rsidR="00AF51EE" w:rsidRPr="00CE1175" w:rsidRDefault="00AF51EE">
      <w:pPr>
        <w:rPr>
          <w:rFonts w:ascii="Times New Roman" w:hAnsi="Times New Roman" w:cs="Times New Roman"/>
        </w:rPr>
      </w:pPr>
    </w:p>
    <w:p w14:paraId="6BA4563A" w14:textId="77777777" w:rsidR="00AF51EE" w:rsidRPr="00CE1175" w:rsidRDefault="00AF51EE" w:rsidP="00AF51EE">
      <w:pPr>
        <w:spacing w:line="360" w:lineRule="auto"/>
        <w:rPr>
          <w:rFonts w:ascii="Times New Roman" w:hAnsi="Times New Roman" w:cs="Times New Roman"/>
          <w:b/>
        </w:rPr>
      </w:pPr>
      <w:r w:rsidRPr="00CE1175">
        <w:rPr>
          <w:rFonts w:ascii="Times New Roman" w:hAnsi="Times New Roman" w:cs="Times New Roman"/>
          <w:b/>
        </w:rPr>
        <w:t>Assessment of TSLEs and control phenotypes in relation to TRS and time since PTSD diagnosis</w:t>
      </w:r>
    </w:p>
    <w:p w14:paraId="1A8CCDC8" w14:textId="64BACDC2" w:rsidR="00AF51EE" w:rsidRPr="00CE1175" w:rsidRDefault="00AF51EE" w:rsidP="00AF51EE">
      <w:pPr>
        <w:spacing w:line="360" w:lineRule="auto"/>
        <w:rPr>
          <w:rFonts w:ascii="Times New Roman" w:hAnsi="Times New Roman" w:cs="Times New Roman"/>
        </w:rPr>
      </w:pPr>
      <w:r w:rsidRPr="00CE1175">
        <w:rPr>
          <w:rFonts w:ascii="Times New Roman" w:hAnsi="Times New Roman" w:cs="Times New Roman"/>
          <w:bCs/>
        </w:rPr>
        <w:t>To gain a more in-depth understanding of each TSLE/control and their relationship to PTSD, we calculated the average time since PTSD diagnosis that each individual was exposed to TSLEs/controls. In total, there were 16 TSLEs and 7 controls that had sufficient cases (&gt;5) and matching time data to report (</w:t>
      </w:r>
      <w:r w:rsidRPr="00CE1175">
        <w:rPr>
          <w:rFonts w:ascii="Times New Roman" w:hAnsi="Times New Roman" w:cs="Times New Roman"/>
          <w:b/>
          <w:bCs/>
        </w:rPr>
        <w:t xml:space="preserve">Supplementary Figure </w:t>
      </w:r>
      <w:r w:rsidR="000A7C52" w:rsidRPr="00CE1175">
        <w:rPr>
          <w:rFonts w:ascii="Times New Roman" w:hAnsi="Times New Roman" w:cs="Times New Roman"/>
          <w:b/>
          <w:bCs/>
        </w:rPr>
        <w:t>7</w:t>
      </w:r>
      <w:r w:rsidRPr="00CE1175">
        <w:rPr>
          <w:rFonts w:ascii="Times New Roman" w:hAnsi="Times New Roman" w:cs="Times New Roman"/>
          <w:bCs/>
        </w:rPr>
        <w:t>). For two of our positive controls: grief 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>=-64.52, SE=332.05) and stress 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 xml:space="preserve">=-70.82, SE=571.67), </w:t>
      </w:r>
      <w:r w:rsidRPr="00CE1175">
        <w:rPr>
          <w:rFonts w:ascii="Times New Roman" w:hAnsi="Times New Roman" w:cs="Times New Roman"/>
        </w:rPr>
        <w:t xml:space="preserve">the average days since PTSD diagnosis was closest to zero days out of all phenotypes (except homelessness: </w:t>
      </w:r>
      <w:r w:rsidRPr="00CE1175">
        <w:rPr>
          <w:rFonts w:ascii="Times New Roman" w:hAnsi="Times New Roman" w:cs="Times New Roman"/>
          <w:bCs/>
        </w:rPr>
        <w:t>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>=-2.33, SE=341.19)</w:t>
      </w:r>
      <w:r w:rsidRPr="00CE1175">
        <w:rPr>
          <w:rFonts w:ascii="Times New Roman" w:hAnsi="Times New Roman" w:cs="Times New Roman"/>
        </w:rPr>
        <w:t>, meaning they were likely reported together at the time of the hospital visit. S</w:t>
      </w:r>
      <w:r w:rsidRPr="00CE1175">
        <w:rPr>
          <w:rFonts w:ascii="Times New Roman" w:hAnsi="Times New Roman" w:cs="Times New Roman"/>
          <w:bCs/>
        </w:rPr>
        <w:t>leep disorders 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>=238.20, SE=1694.64) w</w:t>
      </w:r>
      <w:r w:rsidR="00C97369" w:rsidRPr="00CE1175">
        <w:rPr>
          <w:rFonts w:ascii="Times New Roman" w:hAnsi="Times New Roman" w:cs="Times New Roman"/>
          <w:bCs/>
        </w:rPr>
        <w:t>ere</w:t>
      </w:r>
      <w:r w:rsidRPr="00CE1175">
        <w:rPr>
          <w:rFonts w:ascii="Times New Roman" w:hAnsi="Times New Roman" w:cs="Times New Roman"/>
          <w:bCs/>
        </w:rPr>
        <w:t xml:space="preserve"> farther from zero than the other positive controls, and had a large average standard error.  </w:t>
      </w:r>
      <w:r w:rsidRPr="00CE1175">
        <w:rPr>
          <w:rFonts w:ascii="Times New Roman" w:hAnsi="Times New Roman" w:cs="Times New Roman"/>
        </w:rPr>
        <w:t>Our negative controls -vaginal birth 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>=-1252.00, SE=1246.53</w:t>
      </w:r>
      <w:r w:rsidRPr="00CE1175">
        <w:rPr>
          <w:rFonts w:ascii="Times New Roman" w:hAnsi="Times New Roman" w:cs="Times New Roman"/>
        </w:rPr>
        <w:t>), pregnancy 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>=402.62, SE=1741.56</w:t>
      </w:r>
      <w:r w:rsidRPr="00CE1175">
        <w:rPr>
          <w:rFonts w:ascii="Times New Roman" w:hAnsi="Times New Roman" w:cs="Times New Roman"/>
        </w:rPr>
        <w:t>)- and null controls -physical exam 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>=-33.29, SE=2441.82</w:t>
      </w:r>
      <w:r w:rsidRPr="00CE1175">
        <w:rPr>
          <w:rFonts w:ascii="Times New Roman" w:hAnsi="Times New Roman" w:cs="Times New Roman"/>
        </w:rPr>
        <w:t>), flu vaccination (</w:t>
      </w:r>
      <w:proofErr w:type="spellStart"/>
      <w:r w:rsidRPr="00CE1175">
        <w:rPr>
          <w:rFonts w:ascii="Times New Roman" w:hAnsi="Times New Roman" w:cs="Times New Roman"/>
          <w:bCs/>
        </w:rPr>
        <w:t>average</w:t>
      </w:r>
      <w:r w:rsidRPr="00CE1175">
        <w:rPr>
          <w:rFonts w:ascii="Times New Roman" w:hAnsi="Times New Roman" w:cs="Times New Roman"/>
          <w:bCs/>
          <w:vertAlign w:val="subscript"/>
        </w:rPr>
        <w:t>days</w:t>
      </w:r>
      <w:proofErr w:type="spellEnd"/>
      <w:r w:rsidRPr="00CE1175">
        <w:rPr>
          <w:rFonts w:ascii="Times New Roman" w:hAnsi="Times New Roman" w:cs="Times New Roman"/>
          <w:bCs/>
        </w:rPr>
        <w:t>=76.50, SE=717.93</w:t>
      </w:r>
      <w:r w:rsidRPr="00CE1175">
        <w:rPr>
          <w:rFonts w:ascii="Times New Roman" w:hAnsi="Times New Roman" w:cs="Times New Roman"/>
        </w:rPr>
        <w:t>)- were less conclusive in their time-dependent relationship to PTSD diagnosis due to their large average standard errors (</w:t>
      </w:r>
      <w:r w:rsidRPr="00CE1175">
        <w:rPr>
          <w:rFonts w:ascii="Times New Roman" w:hAnsi="Times New Roman" w:cs="Times New Roman"/>
          <w:b/>
          <w:bCs/>
        </w:rPr>
        <w:t xml:space="preserve">Supplementary Figure </w:t>
      </w:r>
      <w:r w:rsidR="000A7C52" w:rsidRPr="00CE1175">
        <w:rPr>
          <w:rFonts w:ascii="Times New Roman" w:hAnsi="Times New Roman" w:cs="Times New Roman"/>
          <w:b/>
          <w:bCs/>
        </w:rPr>
        <w:t>7</w:t>
      </w:r>
      <w:r w:rsidRPr="00CE1175">
        <w:rPr>
          <w:rFonts w:ascii="Times New Roman" w:hAnsi="Times New Roman" w:cs="Times New Roman"/>
          <w:bCs/>
        </w:rPr>
        <w:t>)</w:t>
      </w:r>
      <w:r w:rsidRPr="00CE1175">
        <w:rPr>
          <w:rFonts w:ascii="Times New Roman" w:hAnsi="Times New Roman" w:cs="Times New Roman"/>
        </w:rPr>
        <w:t xml:space="preserve">. </w:t>
      </w:r>
    </w:p>
    <w:p w14:paraId="26BF3BE9" w14:textId="77777777" w:rsidR="00AF51EE" w:rsidRPr="00CE1175" w:rsidRDefault="00AF51EE" w:rsidP="00AF51EE">
      <w:pPr>
        <w:spacing w:line="360" w:lineRule="auto"/>
        <w:rPr>
          <w:rFonts w:ascii="Times New Roman" w:hAnsi="Times New Roman" w:cs="Times New Roman"/>
        </w:rPr>
      </w:pPr>
    </w:p>
    <w:p w14:paraId="116A33B6" w14:textId="4FB90A43" w:rsidR="00AF51EE" w:rsidRPr="00AF51EE" w:rsidRDefault="00AF51EE" w:rsidP="00AF51EE">
      <w:pPr>
        <w:spacing w:line="360" w:lineRule="auto"/>
        <w:rPr>
          <w:rFonts w:ascii="Times New Roman" w:hAnsi="Times New Roman" w:cs="Times New Roman"/>
          <w:bCs/>
        </w:rPr>
      </w:pPr>
      <w:r w:rsidRPr="00CE1175">
        <w:rPr>
          <w:rFonts w:ascii="Times New Roman" w:hAnsi="Times New Roman" w:cs="Times New Roman"/>
          <w:bCs/>
        </w:rPr>
        <w:t>To further understand how TSLEs are recorded and distributed in our biobank population, we used our TRS</w:t>
      </w:r>
      <w:r w:rsidRPr="00CE1175">
        <w:rPr>
          <w:rFonts w:ascii="Times New Roman" w:hAnsi="Times New Roman" w:cs="Times New Roman"/>
          <w:bCs/>
          <w:vertAlign w:val="subscript"/>
        </w:rPr>
        <w:t xml:space="preserve"> </w:t>
      </w:r>
      <w:r w:rsidRPr="00CE1175">
        <w:rPr>
          <w:rFonts w:ascii="Times New Roman" w:hAnsi="Times New Roman" w:cs="Times New Roman"/>
          <w:bCs/>
        </w:rPr>
        <w:t>to assess individuals with psychiatric diagnoses and Obstetrician-Gynecologists (OB-GYN) visits. We compared the TRS</w:t>
      </w:r>
      <w:r w:rsidRPr="00CE1175">
        <w:rPr>
          <w:rFonts w:ascii="Times New Roman" w:hAnsi="Times New Roman" w:cs="Times New Roman"/>
          <w:bCs/>
          <w:vertAlign w:val="subscript"/>
        </w:rPr>
        <w:t xml:space="preserve"> </w:t>
      </w:r>
      <w:r w:rsidRPr="00CE1175">
        <w:rPr>
          <w:rFonts w:ascii="Times New Roman" w:hAnsi="Times New Roman" w:cs="Times New Roman"/>
          <w:bCs/>
        </w:rPr>
        <w:t>between individuals with at least 1 psychiatric diagnosis (using ICD10 codes) and patients without any psychiatric diagnosis (</w:t>
      </w:r>
      <w:r w:rsidRPr="00CE1175">
        <w:rPr>
          <w:rFonts w:ascii="Times New Roman" w:hAnsi="Times New Roman" w:cs="Times New Roman"/>
          <w:b/>
          <w:bCs/>
        </w:rPr>
        <w:t xml:space="preserve">Supplementary Figure </w:t>
      </w:r>
      <w:r w:rsidR="000A7C52" w:rsidRPr="00CE1175">
        <w:rPr>
          <w:rFonts w:ascii="Times New Roman" w:hAnsi="Times New Roman" w:cs="Times New Roman"/>
          <w:b/>
          <w:bCs/>
        </w:rPr>
        <w:t>8</w:t>
      </w:r>
      <w:r w:rsidRPr="00CE1175">
        <w:rPr>
          <w:rFonts w:ascii="Times New Roman" w:hAnsi="Times New Roman" w:cs="Times New Roman"/>
          <w:bCs/>
        </w:rPr>
        <w:t>). We found that in both TRS (TRS</w:t>
      </w:r>
      <w:r w:rsidR="00387AA8" w:rsidRPr="00CE1175">
        <w:rPr>
          <w:rFonts w:ascii="Times New Roman" w:hAnsi="Times New Roman" w:cs="Times New Roman"/>
          <w:bCs/>
          <w:vertAlign w:val="subscript"/>
        </w:rPr>
        <w:t>EN</w:t>
      </w:r>
      <w:r w:rsidRPr="00CE1175">
        <w:rPr>
          <w:rFonts w:ascii="Times New Roman" w:hAnsi="Times New Roman" w:cs="Times New Roman"/>
        </w:rPr>
        <w:t>,</w:t>
      </w:r>
      <w:r w:rsidR="00387AA8" w:rsidRPr="00CE1175">
        <w:rPr>
          <w:rFonts w:ascii="Times New Roman" w:hAnsi="Times New Roman" w:cs="Times New Roman"/>
        </w:rPr>
        <w:t xml:space="preserve"> </w:t>
      </w:r>
      <w:r w:rsidRPr="00CE1175">
        <w:rPr>
          <w:rFonts w:ascii="Times New Roman" w:hAnsi="Times New Roman" w:cs="Times New Roman"/>
        </w:rPr>
        <w:t>TRS</w:t>
      </w:r>
      <w:r w:rsidR="00387AA8" w:rsidRPr="00CE1175">
        <w:rPr>
          <w:rFonts w:ascii="Times New Roman" w:hAnsi="Times New Roman" w:cs="Times New Roman"/>
          <w:vertAlign w:val="subscript"/>
        </w:rPr>
        <w:t>FREQ</w:t>
      </w:r>
      <w:r w:rsidRPr="00CE1175">
        <w:rPr>
          <w:rFonts w:ascii="Times New Roman" w:hAnsi="Times New Roman" w:cs="Times New Roman"/>
        </w:rPr>
        <w:t>), individuals with at least 1 psychiatric diagnosis had significantly (p&lt;2.2x10</w:t>
      </w:r>
      <w:r w:rsidRPr="00CE1175">
        <w:rPr>
          <w:rFonts w:ascii="Times New Roman" w:hAnsi="Times New Roman" w:cs="Times New Roman"/>
          <w:vertAlign w:val="superscript"/>
        </w:rPr>
        <w:t>-16</w:t>
      </w:r>
      <w:r w:rsidRPr="00CE1175">
        <w:rPr>
          <w:rFonts w:ascii="Times New Roman" w:hAnsi="Times New Roman" w:cs="Times New Roman"/>
        </w:rPr>
        <w:t>) higher average TRS (</w:t>
      </w:r>
      <w:r w:rsidRPr="00CE1175">
        <w:rPr>
          <w:rFonts w:ascii="Times New Roman" w:hAnsi="Times New Roman" w:cs="Times New Roman"/>
          <w:bCs/>
        </w:rPr>
        <w:t>TRS</w:t>
      </w:r>
      <w:r w:rsidR="00387AA8" w:rsidRPr="00CE1175">
        <w:rPr>
          <w:rFonts w:ascii="Times New Roman" w:hAnsi="Times New Roman" w:cs="Times New Roman"/>
          <w:bCs/>
          <w:vertAlign w:val="subscript"/>
        </w:rPr>
        <w:t>EN</w:t>
      </w:r>
      <w:r w:rsidRPr="00CE1175">
        <w:rPr>
          <w:rFonts w:ascii="Times New Roman" w:hAnsi="Times New Roman" w:cs="Times New Roman"/>
          <w:bCs/>
        </w:rPr>
        <w:t>=0.480-1.923,</w:t>
      </w:r>
      <w:r w:rsidRPr="00CE1175">
        <w:rPr>
          <w:rFonts w:ascii="Times New Roman" w:hAnsi="Times New Roman" w:cs="Times New Roman"/>
        </w:rPr>
        <w:t xml:space="preserve"> TRS</w:t>
      </w:r>
      <w:r w:rsidR="00387AA8" w:rsidRPr="00CE1175">
        <w:rPr>
          <w:rFonts w:ascii="Times New Roman" w:hAnsi="Times New Roman" w:cs="Times New Roman"/>
          <w:vertAlign w:val="subscript"/>
        </w:rPr>
        <w:t>FREQ</w:t>
      </w:r>
      <w:r w:rsidRPr="00CE1175">
        <w:rPr>
          <w:rFonts w:ascii="Times New Roman" w:hAnsi="Times New Roman" w:cs="Times New Roman"/>
        </w:rPr>
        <w:t>=1.213-4.619) than individuals without a psychiatric diagnosis (</w:t>
      </w:r>
      <w:r w:rsidRPr="00CE1175">
        <w:rPr>
          <w:rFonts w:ascii="Times New Roman" w:hAnsi="Times New Roman" w:cs="Times New Roman"/>
          <w:bCs/>
        </w:rPr>
        <w:t>TRS</w:t>
      </w:r>
      <w:r w:rsidR="00387AA8" w:rsidRPr="00CE1175">
        <w:rPr>
          <w:rFonts w:ascii="Times New Roman" w:hAnsi="Times New Roman" w:cs="Times New Roman"/>
          <w:bCs/>
          <w:vertAlign w:val="subscript"/>
        </w:rPr>
        <w:t>EN</w:t>
      </w:r>
      <w:r w:rsidRPr="00CE1175">
        <w:rPr>
          <w:rFonts w:ascii="Times New Roman" w:hAnsi="Times New Roman" w:cs="Times New Roman"/>
          <w:bCs/>
        </w:rPr>
        <w:t>=0.275-1.409,</w:t>
      </w:r>
      <w:r w:rsidRPr="00CE1175">
        <w:rPr>
          <w:rFonts w:ascii="Times New Roman" w:hAnsi="Times New Roman" w:cs="Times New Roman"/>
        </w:rPr>
        <w:t xml:space="preserve"> TRS</w:t>
      </w:r>
      <w:r w:rsidR="00387AA8" w:rsidRPr="00CE1175">
        <w:rPr>
          <w:rFonts w:ascii="Times New Roman" w:hAnsi="Times New Roman" w:cs="Times New Roman"/>
          <w:vertAlign w:val="subscript"/>
        </w:rPr>
        <w:t>FREQ</w:t>
      </w:r>
      <w:r w:rsidRPr="00CE1175">
        <w:rPr>
          <w:rFonts w:ascii="Times New Roman" w:hAnsi="Times New Roman" w:cs="Times New Roman"/>
        </w:rPr>
        <w:t xml:space="preserve">=0.714-3.576). Similarly, we compared individuals with at least 1 visit to an OB-GYN to individuals without an OB-GYN visit </w:t>
      </w:r>
      <w:r w:rsidRPr="00CE1175">
        <w:rPr>
          <w:rFonts w:ascii="Times New Roman" w:hAnsi="Times New Roman" w:cs="Times New Roman"/>
          <w:bCs/>
        </w:rPr>
        <w:t>(</w:t>
      </w:r>
      <w:r w:rsidRPr="00CE1175">
        <w:rPr>
          <w:rFonts w:ascii="Times New Roman" w:hAnsi="Times New Roman" w:cs="Times New Roman"/>
          <w:b/>
          <w:bCs/>
        </w:rPr>
        <w:t xml:space="preserve">Supplementary Figure </w:t>
      </w:r>
      <w:r w:rsidR="000A7C52" w:rsidRPr="00CE1175">
        <w:rPr>
          <w:rFonts w:ascii="Times New Roman" w:hAnsi="Times New Roman" w:cs="Times New Roman"/>
          <w:b/>
          <w:bCs/>
        </w:rPr>
        <w:t>8</w:t>
      </w:r>
      <w:r w:rsidRPr="00CE1175">
        <w:rPr>
          <w:rFonts w:ascii="Times New Roman" w:hAnsi="Times New Roman" w:cs="Times New Roman"/>
          <w:bCs/>
        </w:rPr>
        <w:t>)</w:t>
      </w:r>
      <w:r w:rsidRPr="00CE1175">
        <w:rPr>
          <w:rFonts w:ascii="Times New Roman" w:hAnsi="Times New Roman" w:cs="Times New Roman"/>
        </w:rPr>
        <w:t>, and found that individuals who visited an OB-GYN experienced a significantly higher average TRS (</w:t>
      </w:r>
      <w:r w:rsidRPr="00CE1175">
        <w:rPr>
          <w:rFonts w:ascii="Times New Roman" w:hAnsi="Times New Roman" w:cs="Times New Roman"/>
          <w:bCs/>
        </w:rPr>
        <w:t>TRS</w:t>
      </w:r>
      <w:r w:rsidR="00387AA8" w:rsidRPr="00CE1175">
        <w:rPr>
          <w:rFonts w:ascii="Times New Roman" w:hAnsi="Times New Roman" w:cs="Times New Roman"/>
          <w:bCs/>
          <w:vertAlign w:val="subscript"/>
        </w:rPr>
        <w:t>EN</w:t>
      </w:r>
      <w:r w:rsidRPr="00CE1175">
        <w:rPr>
          <w:rFonts w:ascii="Times New Roman" w:hAnsi="Times New Roman" w:cs="Times New Roman"/>
          <w:bCs/>
        </w:rPr>
        <w:t>=0.838-2.024,</w:t>
      </w:r>
      <w:r w:rsidRPr="00CE1175">
        <w:rPr>
          <w:rFonts w:ascii="Times New Roman" w:hAnsi="Times New Roman" w:cs="Times New Roman"/>
        </w:rPr>
        <w:t xml:space="preserve"> TRS</w:t>
      </w:r>
      <w:r w:rsidR="00387AA8" w:rsidRPr="00CE1175">
        <w:rPr>
          <w:rFonts w:ascii="Times New Roman" w:hAnsi="Times New Roman" w:cs="Times New Roman"/>
          <w:vertAlign w:val="subscript"/>
        </w:rPr>
        <w:t>FREQ</w:t>
      </w:r>
      <w:r w:rsidRPr="00CE1175">
        <w:rPr>
          <w:rFonts w:ascii="Times New Roman" w:hAnsi="Times New Roman" w:cs="Times New Roman"/>
        </w:rPr>
        <w:t>=2.057-5.067) than those who never visited an OB-GYN (</w:t>
      </w:r>
      <w:r w:rsidRPr="00CE1175">
        <w:rPr>
          <w:rFonts w:ascii="Times New Roman" w:hAnsi="Times New Roman" w:cs="Times New Roman"/>
          <w:bCs/>
        </w:rPr>
        <w:t>TRS</w:t>
      </w:r>
      <w:r w:rsidR="00387AA8" w:rsidRPr="00CE1175">
        <w:rPr>
          <w:rFonts w:ascii="Times New Roman" w:hAnsi="Times New Roman" w:cs="Times New Roman"/>
          <w:bCs/>
          <w:vertAlign w:val="subscript"/>
        </w:rPr>
        <w:t>EN</w:t>
      </w:r>
      <w:r w:rsidRPr="00CE1175">
        <w:rPr>
          <w:rFonts w:ascii="Times New Roman" w:hAnsi="Times New Roman" w:cs="Times New Roman"/>
          <w:bCs/>
        </w:rPr>
        <w:t>=0.259-1.543,</w:t>
      </w:r>
      <w:r w:rsidRPr="00CE1175">
        <w:rPr>
          <w:rFonts w:ascii="Times New Roman" w:hAnsi="Times New Roman" w:cs="Times New Roman"/>
        </w:rPr>
        <w:t xml:space="preserve"> TRS</w:t>
      </w:r>
      <w:r w:rsidR="00387AA8" w:rsidRPr="00CE1175">
        <w:rPr>
          <w:rFonts w:ascii="Times New Roman" w:hAnsi="Times New Roman" w:cs="Times New Roman"/>
          <w:vertAlign w:val="subscript"/>
        </w:rPr>
        <w:t>FREQ</w:t>
      </w:r>
      <w:r w:rsidRPr="00CE1175">
        <w:rPr>
          <w:rFonts w:ascii="Times New Roman" w:hAnsi="Times New Roman" w:cs="Times New Roman"/>
        </w:rPr>
        <w:t>=0.713-3.755).</w:t>
      </w:r>
    </w:p>
    <w:p w14:paraId="39E0442D" w14:textId="77777777" w:rsidR="00AF51EE" w:rsidRPr="00AF51EE" w:rsidRDefault="00AF51EE">
      <w:pPr>
        <w:rPr>
          <w:rFonts w:ascii="Times New Roman" w:hAnsi="Times New Roman" w:cs="Times New Roman"/>
        </w:rPr>
      </w:pPr>
    </w:p>
    <w:sectPr w:rsidR="00AF51EE" w:rsidRPr="00AF51EE" w:rsidSect="006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FAC"/>
    <w:multiLevelType w:val="hybridMultilevel"/>
    <w:tmpl w:val="259C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7C64"/>
    <w:multiLevelType w:val="hybridMultilevel"/>
    <w:tmpl w:val="E29A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36"/>
    <w:multiLevelType w:val="hybridMultilevel"/>
    <w:tmpl w:val="0B24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EDB"/>
    <w:multiLevelType w:val="hybridMultilevel"/>
    <w:tmpl w:val="BA80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7379"/>
    <w:multiLevelType w:val="hybridMultilevel"/>
    <w:tmpl w:val="CC5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2F97"/>
    <w:multiLevelType w:val="hybridMultilevel"/>
    <w:tmpl w:val="9604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487072">
    <w:abstractNumId w:val="3"/>
  </w:num>
  <w:num w:numId="2" w16cid:durableId="34039778">
    <w:abstractNumId w:val="1"/>
  </w:num>
  <w:num w:numId="3" w16cid:durableId="589848617">
    <w:abstractNumId w:val="4"/>
  </w:num>
  <w:num w:numId="4" w16cid:durableId="1997030167">
    <w:abstractNumId w:val="2"/>
  </w:num>
  <w:num w:numId="5" w16cid:durableId="58215212">
    <w:abstractNumId w:val="0"/>
  </w:num>
  <w:num w:numId="6" w16cid:durableId="1127745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EE"/>
    <w:rsid w:val="000A7C52"/>
    <w:rsid w:val="00387AA8"/>
    <w:rsid w:val="00671E4D"/>
    <w:rsid w:val="006F5498"/>
    <w:rsid w:val="00893BFC"/>
    <w:rsid w:val="00AC5F62"/>
    <w:rsid w:val="00AF51EE"/>
    <w:rsid w:val="00B85A32"/>
    <w:rsid w:val="00C97369"/>
    <w:rsid w:val="00CE1175"/>
    <w:rsid w:val="00E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C89AD"/>
  <w15:chartTrackingRefBased/>
  <w15:docId w15:val="{9DE9AAE0-1AE5-BB4A-BAB8-6BA91E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1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51EE"/>
    <w:rPr>
      <w:color w:val="808080"/>
    </w:rPr>
  </w:style>
  <w:style w:type="paragraph" w:styleId="NormalWeb">
    <w:name w:val="Normal (Web)"/>
    <w:basedOn w:val="Normal"/>
    <w:uiPriority w:val="99"/>
    <w:unhideWhenUsed/>
    <w:rsid w:val="00AF51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5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E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F51EE"/>
  </w:style>
  <w:style w:type="paragraph" w:styleId="BalloonText">
    <w:name w:val="Balloon Text"/>
    <w:basedOn w:val="Normal"/>
    <w:link w:val="BalloonTextChar"/>
    <w:uiPriority w:val="99"/>
    <w:semiHidden/>
    <w:unhideWhenUsed/>
    <w:rsid w:val="00AF51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E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F51EE"/>
  </w:style>
  <w:style w:type="paragraph" w:styleId="Header">
    <w:name w:val="header"/>
    <w:basedOn w:val="Normal"/>
    <w:link w:val="HeaderChar"/>
    <w:uiPriority w:val="99"/>
    <w:unhideWhenUsed/>
    <w:rsid w:val="00AF5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EE"/>
  </w:style>
  <w:style w:type="paragraph" w:styleId="Footer">
    <w:name w:val="footer"/>
    <w:basedOn w:val="Normal"/>
    <w:link w:val="FooterChar"/>
    <w:uiPriority w:val="99"/>
    <w:unhideWhenUsed/>
    <w:rsid w:val="00AF5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EE"/>
  </w:style>
  <w:style w:type="table" w:styleId="ListTable6Colorful-Accent3">
    <w:name w:val="List Table 6 Colorful Accent 3"/>
    <w:basedOn w:val="TableNormal"/>
    <w:uiPriority w:val="51"/>
    <w:rsid w:val="00AF51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AF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AF51EE"/>
    <w:pPr>
      <w:tabs>
        <w:tab w:val="left" w:pos="380"/>
      </w:tabs>
      <w:spacing w:line="480" w:lineRule="auto"/>
      <w:ind w:left="384" w:hanging="384"/>
    </w:pPr>
  </w:style>
  <w:style w:type="character" w:styleId="Strong">
    <w:name w:val="Strong"/>
    <w:basedOn w:val="DefaultParagraphFont"/>
    <w:uiPriority w:val="22"/>
    <w:qFormat/>
    <w:rsid w:val="00AF51EE"/>
    <w:rPr>
      <w:b/>
      <w:bCs/>
    </w:rPr>
  </w:style>
  <w:style w:type="character" w:styleId="Emphasis">
    <w:name w:val="Emphasis"/>
    <w:basedOn w:val="DefaultParagraphFont"/>
    <w:uiPriority w:val="20"/>
    <w:qFormat/>
    <w:rsid w:val="00AF51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5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Marchese</dc:creator>
  <cp:keywords/>
  <dc:description/>
  <cp:lastModifiedBy>Microsoft Office User</cp:lastModifiedBy>
  <cp:revision>5</cp:revision>
  <dcterms:created xsi:type="dcterms:W3CDTF">2022-02-08T20:55:00Z</dcterms:created>
  <dcterms:modified xsi:type="dcterms:W3CDTF">2022-05-28T18:16:00Z</dcterms:modified>
</cp:coreProperties>
</file>