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CC79" w14:textId="77777777" w:rsidR="007F2844" w:rsidRDefault="007F2844" w:rsidP="00AE286A">
      <w:pPr>
        <w:jc w:val="center"/>
        <w:rPr>
          <w:sz w:val="32"/>
          <w:szCs w:val="32"/>
        </w:rPr>
      </w:pPr>
    </w:p>
    <w:p w14:paraId="0C6FB451" w14:textId="243D42C7" w:rsidR="00C356B1" w:rsidRDefault="008C10C7" w:rsidP="00AE286A">
      <w:pPr>
        <w:jc w:val="center"/>
        <w:rPr>
          <w:sz w:val="32"/>
          <w:szCs w:val="32"/>
        </w:rPr>
      </w:pPr>
      <w:r>
        <w:rPr>
          <w:sz w:val="32"/>
          <w:szCs w:val="32"/>
        </w:rPr>
        <w:t>Mask</w:t>
      </w:r>
      <w:r w:rsidR="00042344">
        <w:rPr>
          <w:sz w:val="32"/>
          <w:szCs w:val="32"/>
        </w:rPr>
        <w:t>s</w:t>
      </w:r>
      <w:r>
        <w:rPr>
          <w:sz w:val="32"/>
          <w:szCs w:val="32"/>
        </w:rPr>
        <w:t xml:space="preserve"> Do No More Than Prevent Transmission</w:t>
      </w:r>
      <w:r w:rsidR="00456CB8">
        <w:rPr>
          <w:sz w:val="32"/>
          <w:szCs w:val="32"/>
        </w:rPr>
        <w:t>:</w:t>
      </w:r>
    </w:p>
    <w:p w14:paraId="5D379E30" w14:textId="7EA2ADE9" w:rsidR="00456CB8" w:rsidRDefault="00456CB8" w:rsidP="00AE286A">
      <w:pPr>
        <w:jc w:val="center"/>
        <w:rPr>
          <w:sz w:val="28"/>
          <w:szCs w:val="28"/>
        </w:rPr>
      </w:pPr>
      <w:r>
        <w:rPr>
          <w:sz w:val="28"/>
          <w:szCs w:val="28"/>
        </w:rPr>
        <w:t xml:space="preserve">Theory and Data </w:t>
      </w:r>
      <w:r w:rsidRPr="00C356B1">
        <w:rPr>
          <w:sz w:val="28"/>
          <w:szCs w:val="28"/>
        </w:rPr>
        <w:t>Undermine the Variolation Hypothesis</w:t>
      </w:r>
    </w:p>
    <w:p w14:paraId="41F6B10A" w14:textId="77777777" w:rsidR="00456CB8" w:rsidRDefault="00456CB8" w:rsidP="00AE286A">
      <w:pPr>
        <w:jc w:val="center"/>
        <w:rPr>
          <w:sz w:val="32"/>
          <w:szCs w:val="32"/>
        </w:rPr>
      </w:pPr>
    </w:p>
    <w:p w14:paraId="15824153" w14:textId="793446B0" w:rsidR="00C356B1" w:rsidRDefault="008C10C7" w:rsidP="000D0E01">
      <w:pPr>
        <w:jc w:val="center"/>
        <w:rPr>
          <w:sz w:val="24"/>
          <w:szCs w:val="24"/>
        </w:rPr>
      </w:pPr>
      <w:r>
        <w:rPr>
          <w:sz w:val="28"/>
          <w:szCs w:val="28"/>
        </w:rPr>
        <w:t>Supplementa</w:t>
      </w:r>
      <w:r w:rsidR="00D11B85">
        <w:rPr>
          <w:sz w:val="28"/>
          <w:szCs w:val="28"/>
        </w:rPr>
        <w:t>l</w:t>
      </w:r>
      <w:r>
        <w:rPr>
          <w:sz w:val="28"/>
          <w:szCs w:val="28"/>
        </w:rPr>
        <w:t xml:space="preserve"> Material</w:t>
      </w:r>
    </w:p>
    <w:p w14:paraId="17CA17B5" w14:textId="77777777" w:rsidR="008C10C7" w:rsidRDefault="008C10C7">
      <w:pPr>
        <w:rPr>
          <w:sz w:val="24"/>
          <w:szCs w:val="24"/>
        </w:rPr>
      </w:pPr>
    </w:p>
    <w:p w14:paraId="6F0A16A0" w14:textId="380A49F6" w:rsidR="008C10C7" w:rsidRPr="007201F2" w:rsidRDefault="007201F2">
      <w:pPr>
        <w:rPr>
          <w:sz w:val="24"/>
          <w:szCs w:val="24"/>
          <w:u w:val="single"/>
        </w:rPr>
      </w:pPr>
      <w:r w:rsidRPr="007201F2">
        <w:rPr>
          <w:sz w:val="24"/>
          <w:szCs w:val="24"/>
          <w:u w:val="single"/>
        </w:rPr>
        <w:t>Sections</w:t>
      </w:r>
    </w:p>
    <w:p w14:paraId="7DC4249A" w14:textId="75E85B25" w:rsidR="007201F2" w:rsidRDefault="007201F2" w:rsidP="007201F2">
      <w:pPr>
        <w:pStyle w:val="ListParagraph"/>
        <w:numPr>
          <w:ilvl w:val="0"/>
          <w:numId w:val="12"/>
        </w:numPr>
        <w:ind w:left="360" w:hanging="360"/>
        <w:rPr>
          <w:i/>
          <w:sz w:val="24"/>
          <w:szCs w:val="24"/>
        </w:rPr>
      </w:pPr>
      <w:r w:rsidRPr="007201F2">
        <w:rPr>
          <w:i/>
          <w:sz w:val="24"/>
          <w:szCs w:val="24"/>
        </w:rPr>
        <w:t>Calculations for projecting infection risk</w:t>
      </w:r>
    </w:p>
    <w:p w14:paraId="32485E8A" w14:textId="1C5B8A56" w:rsidR="006A2F8E" w:rsidRDefault="006A2F8E" w:rsidP="006A2F8E">
      <w:pPr>
        <w:pStyle w:val="ListParagraph"/>
        <w:numPr>
          <w:ilvl w:val="0"/>
          <w:numId w:val="12"/>
        </w:numPr>
        <w:ind w:left="360" w:hanging="360"/>
        <w:rPr>
          <w:i/>
          <w:sz w:val="24"/>
          <w:szCs w:val="24"/>
        </w:rPr>
      </w:pPr>
      <w:r w:rsidRPr="006A2F8E">
        <w:rPr>
          <w:i/>
          <w:sz w:val="24"/>
          <w:szCs w:val="24"/>
        </w:rPr>
        <w:t>Within-host model equations and parameterization</w:t>
      </w:r>
      <w:r w:rsidR="008C3237">
        <w:rPr>
          <w:i/>
          <w:sz w:val="24"/>
          <w:szCs w:val="24"/>
        </w:rPr>
        <w:t>s</w:t>
      </w:r>
    </w:p>
    <w:p w14:paraId="7ED6D423" w14:textId="5F392049" w:rsidR="008449A6" w:rsidRPr="006A2F8E" w:rsidRDefault="008449A6" w:rsidP="006A2F8E">
      <w:pPr>
        <w:pStyle w:val="ListParagraph"/>
        <w:numPr>
          <w:ilvl w:val="0"/>
          <w:numId w:val="12"/>
        </w:numPr>
        <w:ind w:left="360" w:hanging="360"/>
        <w:rPr>
          <w:i/>
          <w:sz w:val="24"/>
          <w:szCs w:val="24"/>
        </w:rPr>
      </w:pPr>
      <w:r>
        <w:rPr>
          <w:i/>
          <w:sz w:val="24"/>
          <w:szCs w:val="24"/>
        </w:rPr>
        <w:t xml:space="preserve">Within-host model simplifications that demonstrate the reason for insensitivity of disease severity to inoculum dose at low doses </w:t>
      </w:r>
    </w:p>
    <w:p w14:paraId="2DE0283E" w14:textId="2199F66C" w:rsidR="00174797" w:rsidRPr="00174797" w:rsidRDefault="00A91500" w:rsidP="00174797">
      <w:pPr>
        <w:pStyle w:val="ListParagraph"/>
        <w:numPr>
          <w:ilvl w:val="0"/>
          <w:numId w:val="12"/>
        </w:numPr>
        <w:tabs>
          <w:tab w:val="left" w:pos="360"/>
        </w:tabs>
        <w:ind w:left="360" w:hanging="360"/>
        <w:rPr>
          <w:i/>
          <w:sz w:val="24"/>
          <w:szCs w:val="24"/>
        </w:rPr>
      </w:pPr>
      <w:r>
        <w:rPr>
          <w:i/>
          <w:sz w:val="24"/>
          <w:szCs w:val="24"/>
        </w:rPr>
        <w:t>Calculation</w:t>
      </w:r>
      <w:r w:rsidR="00174797" w:rsidRPr="00174797">
        <w:rPr>
          <w:i/>
          <w:sz w:val="24"/>
          <w:szCs w:val="24"/>
        </w:rPr>
        <w:t xml:space="preserve"> of transmission bottleneck sizes </w:t>
      </w:r>
    </w:p>
    <w:p w14:paraId="14252DF3" w14:textId="77777777" w:rsidR="006A377F" w:rsidRDefault="00FF4367" w:rsidP="006A377F">
      <w:pPr>
        <w:pStyle w:val="ListParagraph"/>
        <w:numPr>
          <w:ilvl w:val="0"/>
          <w:numId w:val="12"/>
        </w:numPr>
        <w:ind w:left="360" w:hanging="360"/>
        <w:rPr>
          <w:i/>
          <w:sz w:val="24"/>
          <w:szCs w:val="24"/>
        </w:rPr>
      </w:pPr>
      <w:r>
        <w:rPr>
          <w:i/>
          <w:sz w:val="24"/>
          <w:szCs w:val="24"/>
        </w:rPr>
        <w:t>Reanalysis of Chan et al. (2020) Clinical Infectious Diseases</w:t>
      </w:r>
    </w:p>
    <w:p w14:paraId="4A77CAB7" w14:textId="77777777" w:rsidR="006A377F" w:rsidRDefault="006A377F" w:rsidP="006A377F">
      <w:pPr>
        <w:pStyle w:val="ListParagraph"/>
        <w:numPr>
          <w:ilvl w:val="0"/>
          <w:numId w:val="12"/>
        </w:numPr>
        <w:ind w:left="360" w:hanging="360"/>
        <w:rPr>
          <w:i/>
          <w:sz w:val="24"/>
          <w:szCs w:val="24"/>
        </w:rPr>
      </w:pPr>
      <w:r w:rsidRPr="006A377F">
        <w:rPr>
          <w:i/>
          <w:sz w:val="24"/>
          <w:szCs w:val="24"/>
        </w:rPr>
        <w:t>Analysis of weight loss data in contact animals from Ganti et al. (2022) PLoS Pathogens</w:t>
      </w:r>
    </w:p>
    <w:p w14:paraId="542ADE83" w14:textId="0C524042" w:rsidR="006A377F" w:rsidRPr="006A377F" w:rsidRDefault="006A377F" w:rsidP="006A377F">
      <w:pPr>
        <w:pStyle w:val="ListParagraph"/>
        <w:numPr>
          <w:ilvl w:val="0"/>
          <w:numId w:val="12"/>
        </w:numPr>
        <w:ind w:left="360" w:hanging="360"/>
        <w:rPr>
          <w:i/>
          <w:sz w:val="24"/>
          <w:szCs w:val="24"/>
        </w:rPr>
      </w:pPr>
      <w:r w:rsidRPr="006A377F">
        <w:rPr>
          <w:i/>
          <w:sz w:val="24"/>
          <w:szCs w:val="24"/>
        </w:rPr>
        <w:t xml:space="preserve">Further analysis of Dabisch et al. (2021) PLoS Pathogens </w:t>
      </w:r>
    </w:p>
    <w:p w14:paraId="2CB1A05A" w14:textId="79BF0A4F" w:rsidR="007201F2" w:rsidRDefault="007201F2">
      <w:pPr>
        <w:rPr>
          <w:sz w:val="24"/>
          <w:szCs w:val="24"/>
        </w:rPr>
      </w:pPr>
    </w:p>
    <w:p w14:paraId="30FB7801" w14:textId="3A378938" w:rsidR="007201F2" w:rsidRDefault="007201F2">
      <w:pPr>
        <w:rPr>
          <w:sz w:val="24"/>
          <w:szCs w:val="24"/>
        </w:rPr>
      </w:pPr>
    </w:p>
    <w:p w14:paraId="7F97EE6D" w14:textId="42445175" w:rsidR="007201F2" w:rsidRDefault="007201F2">
      <w:pPr>
        <w:rPr>
          <w:sz w:val="24"/>
          <w:szCs w:val="24"/>
        </w:rPr>
      </w:pPr>
    </w:p>
    <w:p w14:paraId="51F5C527" w14:textId="426FD706" w:rsidR="001C4D5C" w:rsidRDefault="001C4D5C">
      <w:pPr>
        <w:rPr>
          <w:sz w:val="24"/>
          <w:szCs w:val="24"/>
        </w:rPr>
      </w:pPr>
    </w:p>
    <w:p w14:paraId="5798D71F" w14:textId="6E383A41" w:rsidR="001C4D5C" w:rsidRDefault="001C4D5C">
      <w:pPr>
        <w:rPr>
          <w:sz w:val="24"/>
          <w:szCs w:val="24"/>
        </w:rPr>
      </w:pPr>
    </w:p>
    <w:p w14:paraId="7E1FC7B8" w14:textId="495431E8" w:rsidR="001C4D5C" w:rsidRDefault="001C4D5C">
      <w:pPr>
        <w:rPr>
          <w:sz w:val="24"/>
          <w:szCs w:val="24"/>
        </w:rPr>
      </w:pPr>
    </w:p>
    <w:p w14:paraId="3E0B5C0F" w14:textId="5FC737A6" w:rsidR="001C4D5C" w:rsidRDefault="001C4D5C">
      <w:pPr>
        <w:rPr>
          <w:sz w:val="24"/>
          <w:szCs w:val="24"/>
        </w:rPr>
      </w:pPr>
    </w:p>
    <w:p w14:paraId="78AEBEF5" w14:textId="56D0CEF2" w:rsidR="001C4D5C" w:rsidRDefault="001C4D5C">
      <w:pPr>
        <w:rPr>
          <w:sz w:val="24"/>
          <w:szCs w:val="24"/>
        </w:rPr>
      </w:pPr>
    </w:p>
    <w:p w14:paraId="239FFA33" w14:textId="1A152288" w:rsidR="001C4D5C" w:rsidRDefault="001C4D5C">
      <w:pPr>
        <w:rPr>
          <w:sz w:val="24"/>
          <w:szCs w:val="24"/>
        </w:rPr>
      </w:pPr>
    </w:p>
    <w:p w14:paraId="37DA8BCE" w14:textId="763CF888" w:rsidR="001C4D5C" w:rsidRDefault="001C4D5C">
      <w:pPr>
        <w:rPr>
          <w:sz w:val="24"/>
          <w:szCs w:val="24"/>
        </w:rPr>
      </w:pPr>
    </w:p>
    <w:p w14:paraId="1C177FE8" w14:textId="044336E2" w:rsidR="001C4D5C" w:rsidRDefault="001C4D5C">
      <w:pPr>
        <w:rPr>
          <w:sz w:val="24"/>
          <w:szCs w:val="24"/>
        </w:rPr>
      </w:pPr>
    </w:p>
    <w:p w14:paraId="219D2025" w14:textId="77777777" w:rsidR="001C4D5C" w:rsidRDefault="001C4D5C">
      <w:pPr>
        <w:rPr>
          <w:sz w:val="24"/>
          <w:szCs w:val="24"/>
        </w:rPr>
      </w:pPr>
    </w:p>
    <w:p w14:paraId="37692C23" w14:textId="58CF1B39" w:rsidR="007201F2" w:rsidRDefault="007201F2">
      <w:pPr>
        <w:rPr>
          <w:sz w:val="24"/>
          <w:szCs w:val="24"/>
        </w:rPr>
      </w:pPr>
    </w:p>
    <w:p w14:paraId="1C5448C1" w14:textId="77777777" w:rsidR="007201F2" w:rsidRDefault="007201F2">
      <w:pPr>
        <w:rPr>
          <w:sz w:val="24"/>
          <w:szCs w:val="24"/>
        </w:rPr>
      </w:pPr>
    </w:p>
    <w:p w14:paraId="5DE1DDC5" w14:textId="09A2E56A" w:rsidR="00D83DAD" w:rsidRPr="007201F2" w:rsidRDefault="00D83DAD" w:rsidP="007201F2">
      <w:pPr>
        <w:pStyle w:val="ListParagraph"/>
        <w:numPr>
          <w:ilvl w:val="0"/>
          <w:numId w:val="13"/>
        </w:numPr>
        <w:tabs>
          <w:tab w:val="left" w:pos="360"/>
        </w:tabs>
        <w:ind w:left="360" w:hanging="360"/>
        <w:rPr>
          <w:i/>
          <w:sz w:val="24"/>
          <w:szCs w:val="24"/>
        </w:rPr>
      </w:pPr>
      <w:r w:rsidRPr="007201F2">
        <w:rPr>
          <w:i/>
          <w:sz w:val="24"/>
          <w:szCs w:val="24"/>
        </w:rPr>
        <w:lastRenderedPageBreak/>
        <w:t>Calculations for projecting infection</w:t>
      </w:r>
      <w:r w:rsidR="00FE04BD" w:rsidRPr="007201F2">
        <w:rPr>
          <w:i/>
          <w:sz w:val="24"/>
          <w:szCs w:val="24"/>
        </w:rPr>
        <w:t xml:space="preserve"> risk</w:t>
      </w:r>
    </w:p>
    <w:p w14:paraId="1EA04885" w14:textId="1F06AE00" w:rsidR="00C36469" w:rsidRDefault="00282908" w:rsidP="00042344">
      <w:pPr>
        <w:jc w:val="both"/>
        <w:rPr>
          <w:sz w:val="24"/>
          <w:szCs w:val="24"/>
        </w:rPr>
      </w:pPr>
      <w:r>
        <w:rPr>
          <w:sz w:val="24"/>
          <w:szCs w:val="24"/>
        </w:rPr>
        <w:t xml:space="preserve">We use </w:t>
      </w:r>
      <w:r w:rsidR="00FE04BD">
        <w:rPr>
          <w:sz w:val="24"/>
          <w:szCs w:val="24"/>
        </w:rPr>
        <w:t xml:space="preserve">a </w:t>
      </w:r>
      <w:r>
        <w:rPr>
          <w:sz w:val="24"/>
          <w:szCs w:val="24"/>
        </w:rPr>
        <w:t>branching process</w:t>
      </w:r>
      <w:r w:rsidR="00FE04BD">
        <w:rPr>
          <w:sz w:val="24"/>
          <w:szCs w:val="24"/>
        </w:rPr>
        <w:t xml:space="preserve"> approach </w:t>
      </w:r>
      <w:r>
        <w:rPr>
          <w:sz w:val="24"/>
          <w:szCs w:val="24"/>
        </w:rPr>
        <w:t>to calculate the probability of an individual becoming infected, given an initial number of infected cell</w:t>
      </w:r>
      <w:r w:rsidR="007201F2">
        <w:rPr>
          <w:sz w:val="24"/>
          <w:szCs w:val="24"/>
        </w:rPr>
        <w:t>s</w:t>
      </w:r>
      <w:r w:rsidR="00FE04BD">
        <w:rPr>
          <w:sz w:val="24"/>
          <w:szCs w:val="24"/>
        </w:rPr>
        <w:t>. This initial number corresponds to the number of cells infected via i</w:t>
      </w:r>
      <w:r>
        <w:rPr>
          <w:sz w:val="24"/>
          <w:szCs w:val="24"/>
        </w:rPr>
        <w:t>nocul</w:t>
      </w:r>
      <w:r w:rsidR="00FE04BD">
        <w:rPr>
          <w:sz w:val="24"/>
          <w:szCs w:val="24"/>
        </w:rPr>
        <w:t>um virus, rather than through local within-host rounds of replication</w:t>
      </w:r>
      <w:r>
        <w:rPr>
          <w:sz w:val="24"/>
          <w:szCs w:val="24"/>
        </w:rPr>
        <w:t xml:space="preserve">. To </w:t>
      </w:r>
      <w:r w:rsidR="00FE04BD">
        <w:rPr>
          <w:sz w:val="24"/>
          <w:szCs w:val="24"/>
        </w:rPr>
        <w:t xml:space="preserve">calculate infection risk using this approach, </w:t>
      </w:r>
      <w:r w:rsidR="007201F2">
        <w:rPr>
          <w:sz w:val="24"/>
          <w:szCs w:val="24"/>
        </w:rPr>
        <w:t>we need to specify an “</w:t>
      </w:r>
      <w:r>
        <w:rPr>
          <w:sz w:val="24"/>
          <w:szCs w:val="24"/>
        </w:rPr>
        <w:t>offspring distribution”: a distribution that quantifies the number of infected cells a single infected cell generates.</w:t>
      </w:r>
      <w:r w:rsidR="00FE04BD">
        <w:rPr>
          <w:sz w:val="24"/>
          <w:szCs w:val="24"/>
        </w:rPr>
        <w:t xml:space="preserve"> We further need to parameterize this distribution.</w:t>
      </w:r>
      <w:r>
        <w:rPr>
          <w:sz w:val="24"/>
          <w:szCs w:val="24"/>
        </w:rPr>
        <w:t xml:space="preserve"> Based on previous studies using branching processes to quantify probabilities of disease emergence</w:t>
      </w:r>
      <w:r w:rsidR="00FE04BD">
        <w:rPr>
          <w:sz w:val="24"/>
          <w:szCs w:val="24"/>
        </w:rPr>
        <w:t xml:space="preserve"> following spillover</w:t>
      </w:r>
      <w:r w:rsidR="007201F2">
        <w:rPr>
          <w:sz w:val="24"/>
          <w:szCs w:val="24"/>
        </w:rPr>
        <w:fldChar w:fldCharType="begin"/>
      </w:r>
      <w:r w:rsidR="007201F2">
        <w:rPr>
          <w:sz w:val="24"/>
          <w:szCs w:val="24"/>
        </w:rPr>
        <w:instrText xml:space="preserve"> ADDIN ZOTERO_ITEM CSL_CITATION {"citationID":"qrmqGsVi","properties":{"formattedCitation":"\\super 1\\nosupersub{}","plainCitation":"1","noteIndex":0},"citationItems":[{"id":314,"uris":["http://zotero.org/users/1469428/items/QK8W8SZV"],"itemData":{"id":314,"type":"article-journal","abstract":"Population-level analyses often use average quantities to describe heterogeneous systems, particularly when variation does not arise from identifiable groups. A prominent example, central to our current understanding of epidemic spread, is the basic reproductive number, R 0, which is defined as the mean number of infections caused by an infected individual in a susceptible population. Population estimates of R 0 can obscure considerable individual variation in infectiousness, as highlighted during the global emergence of severe acute respiratory syndrome (SARS) by numerous 'superspreading events' in which certain individuals infected unusually large numbers of secondary cases. For diseases transmitted by non-sexual direct contacts, such as SARS or smallpox, individual variation is difficult to measure empirically, and thus its importance for outbreak dynamics has been unclear. Here we present an integrated theoretical and statistical analysis of the influence of individual variation in infectiousness on disease emergence. Using contact tracing data from eight directly transmitted diseases, we show that the distribution of individual infectiousness around R 0 is often highly skewed. Model predictions accounting for this variation differ sharply from average-based approaches, with disease extinction more likely and outbreaks rarer but more explosive. Using these models, we explore implications for outbreak control, showing that individual-specific control measures outperform population-wide measures. Moreover, the dramatic improvements achieved through targeted control policies emphasize the need to identify predictive correlates of higher infectiousness. Our findings indicate that superspreading is a normal feature of disease spread, and to frame ongoing discussion we propose a rigorous definition for superspreading events and a method to predict their frequency.","container-title":"Nature","DOI":"10.1038/nature04153","ISSN":"0028-0836","issue":"7066","journalAbbreviation":"Nature","language":"en","page":"355-359","source":"www.nature.com","title":"Superspreading and the effect of individual variation on disease emergence","volume":"438","author":[{"family":"Lloyd-Smith","given":"J. O."},{"family":"Schreiber","given":"S. J."},{"family":"Kopp","given":"P. E."},{"family":"Getz","given":"W. M."}],"issued":{"date-parts":[["2005",11,17]]}}}],"schema":"https://github.com/citation-style-language/schema/raw/master/csl-citation.json"} </w:instrText>
      </w:r>
      <w:r w:rsidR="007201F2">
        <w:rPr>
          <w:sz w:val="24"/>
          <w:szCs w:val="24"/>
        </w:rPr>
        <w:fldChar w:fldCharType="separate"/>
      </w:r>
      <w:r w:rsidR="007201F2" w:rsidRPr="007201F2">
        <w:rPr>
          <w:rFonts w:ascii="Calibri" w:hAnsi="Calibri" w:cs="Calibri"/>
          <w:sz w:val="24"/>
          <w:szCs w:val="24"/>
          <w:vertAlign w:val="superscript"/>
        </w:rPr>
        <w:t>1</w:t>
      </w:r>
      <w:r w:rsidR="007201F2">
        <w:rPr>
          <w:sz w:val="24"/>
          <w:szCs w:val="24"/>
        </w:rPr>
        <w:fldChar w:fldCharType="end"/>
      </w:r>
      <w:r>
        <w:rPr>
          <w:sz w:val="24"/>
          <w:szCs w:val="24"/>
        </w:rPr>
        <w:t xml:space="preserve">, we use a negative binomial distribution, parameterized with a mean and overdispersion parameter </w:t>
      </w:r>
      <w:r w:rsidRPr="00FE04BD">
        <w:rPr>
          <w:i/>
          <w:sz w:val="24"/>
          <w:szCs w:val="24"/>
        </w:rPr>
        <w:t>k</w:t>
      </w:r>
      <w:r w:rsidR="007201F2">
        <w:rPr>
          <w:sz w:val="24"/>
          <w:szCs w:val="24"/>
        </w:rPr>
        <w:t>.</w:t>
      </w:r>
      <w:r>
        <w:rPr>
          <w:sz w:val="24"/>
          <w:szCs w:val="24"/>
        </w:rPr>
        <w:t xml:space="preserve"> </w:t>
      </w:r>
      <w:r w:rsidR="00FE04BD">
        <w:rPr>
          <w:sz w:val="24"/>
          <w:szCs w:val="24"/>
        </w:rPr>
        <w:t>In the context of within-host infection establishment, t</w:t>
      </w:r>
      <w:r>
        <w:rPr>
          <w:sz w:val="24"/>
          <w:szCs w:val="24"/>
        </w:rPr>
        <w:t>he mean of this distribution corresponds to the within-h</w:t>
      </w:r>
      <w:r w:rsidR="00FE04BD">
        <w:rPr>
          <w:sz w:val="24"/>
          <w:szCs w:val="24"/>
        </w:rPr>
        <w:t xml:space="preserve">ost basic reproduction number </w:t>
      </w:r>
      <w:r w:rsidR="00FE04BD" w:rsidRPr="00BF42AC">
        <w:rPr>
          <w:i/>
          <w:sz w:val="24"/>
          <w:szCs w:val="24"/>
        </w:rPr>
        <w:t>R</w:t>
      </w:r>
      <w:r w:rsidR="00FE04BD">
        <w:rPr>
          <w:sz w:val="24"/>
          <w:szCs w:val="24"/>
          <w:vertAlign w:val="subscript"/>
        </w:rPr>
        <w:t>0,</w:t>
      </w:r>
      <w:r w:rsidR="00FE04BD" w:rsidRPr="00BF42AC">
        <w:rPr>
          <w:sz w:val="24"/>
          <w:szCs w:val="24"/>
          <w:vertAlign w:val="subscript"/>
        </w:rPr>
        <w:t xml:space="preserve"> within</w:t>
      </w:r>
      <w:r>
        <w:rPr>
          <w:sz w:val="24"/>
          <w:szCs w:val="24"/>
        </w:rPr>
        <w:t xml:space="preserve">. The overdispersion parameter ranges from 0 to </w:t>
      </w:r>
      <w:r w:rsidR="00FE04BD">
        <w:rPr>
          <w:rFonts w:cstheme="minorHAnsi"/>
          <w:sz w:val="24"/>
          <w:szCs w:val="24"/>
        </w:rPr>
        <w:t>∞</w:t>
      </w:r>
      <w:r>
        <w:rPr>
          <w:sz w:val="24"/>
          <w:szCs w:val="24"/>
        </w:rPr>
        <w:t xml:space="preserve">, with lower values of </w:t>
      </w:r>
      <w:r w:rsidRPr="00FE04BD">
        <w:rPr>
          <w:i/>
          <w:sz w:val="24"/>
          <w:szCs w:val="24"/>
        </w:rPr>
        <w:t>k</w:t>
      </w:r>
      <w:r>
        <w:rPr>
          <w:sz w:val="24"/>
          <w:szCs w:val="24"/>
        </w:rPr>
        <w:t xml:space="preserve"> corresponding to more </w:t>
      </w:r>
      <w:r w:rsidR="00FE04BD">
        <w:rPr>
          <w:sz w:val="24"/>
          <w:szCs w:val="24"/>
        </w:rPr>
        <w:t xml:space="preserve">cell-to-cell </w:t>
      </w:r>
      <w:r>
        <w:rPr>
          <w:sz w:val="24"/>
          <w:szCs w:val="24"/>
        </w:rPr>
        <w:t xml:space="preserve">heterogeneity. </w:t>
      </w:r>
    </w:p>
    <w:p w14:paraId="3E30A9F5" w14:textId="66FE3A63" w:rsidR="00C70B9E" w:rsidRDefault="00FE04BD" w:rsidP="00042344">
      <w:pPr>
        <w:jc w:val="both"/>
        <w:rPr>
          <w:sz w:val="24"/>
          <w:szCs w:val="24"/>
        </w:rPr>
      </w:pPr>
      <w:r>
        <w:rPr>
          <w:sz w:val="24"/>
          <w:szCs w:val="24"/>
        </w:rPr>
        <w:t>To ensure the robustness of our results, w</w:t>
      </w:r>
      <w:r w:rsidR="00282908">
        <w:rPr>
          <w:sz w:val="24"/>
          <w:szCs w:val="24"/>
        </w:rPr>
        <w:t xml:space="preserve">e consider </w:t>
      </w:r>
      <w:r>
        <w:rPr>
          <w:sz w:val="24"/>
          <w:szCs w:val="24"/>
        </w:rPr>
        <w:t xml:space="preserve">multiple different parameterizations of this negative binomial distribution. We consider </w:t>
      </w:r>
      <w:r w:rsidR="00282908">
        <w:rPr>
          <w:sz w:val="24"/>
          <w:szCs w:val="24"/>
        </w:rPr>
        <w:t xml:space="preserve">three different values for </w:t>
      </w:r>
      <w:r w:rsidRPr="00BF42AC">
        <w:rPr>
          <w:i/>
          <w:sz w:val="24"/>
          <w:szCs w:val="24"/>
        </w:rPr>
        <w:t>R</w:t>
      </w:r>
      <w:r>
        <w:rPr>
          <w:sz w:val="24"/>
          <w:szCs w:val="24"/>
          <w:vertAlign w:val="subscript"/>
        </w:rPr>
        <w:t>0,</w:t>
      </w:r>
      <w:r w:rsidRPr="00BF42AC">
        <w:rPr>
          <w:sz w:val="24"/>
          <w:szCs w:val="24"/>
          <w:vertAlign w:val="subscript"/>
        </w:rPr>
        <w:t xml:space="preserve"> within</w:t>
      </w:r>
      <w:r w:rsidR="00282908">
        <w:rPr>
          <w:sz w:val="24"/>
          <w:szCs w:val="24"/>
        </w:rPr>
        <w:t xml:space="preserve">: </w:t>
      </w:r>
      <w:r>
        <w:rPr>
          <w:sz w:val="24"/>
          <w:szCs w:val="24"/>
        </w:rPr>
        <w:t xml:space="preserve">7.4, </w:t>
      </w:r>
      <w:r w:rsidR="00C36469">
        <w:rPr>
          <w:sz w:val="24"/>
          <w:szCs w:val="24"/>
        </w:rPr>
        <w:t>2.6</w:t>
      </w:r>
      <w:r w:rsidR="00282908">
        <w:rPr>
          <w:sz w:val="24"/>
          <w:szCs w:val="24"/>
        </w:rPr>
        <w:t>, and 14.9</w:t>
      </w:r>
      <w:r w:rsidR="007201F2">
        <w:rPr>
          <w:sz w:val="24"/>
          <w:szCs w:val="24"/>
        </w:rPr>
        <w:t xml:space="preserve">. </w:t>
      </w:r>
      <w:r w:rsidR="007201F2" w:rsidRPr="00BF42AC">
        <w:rPr>
          <w:i/>
          <w:sz w:val="24"/>
          <w:szCs w:val="24"/>
        </w:rPr>
        <w:t>R</w:t>
      </w:r>
      <w:r w:rsidR="007201F2">
        <w:rPr>
          <w:sz w:val="24"/>
          <w:szCs w:val="24"/>
          <w:vertAlign w:val="subscript"/>
        </w:rPr>
        <w:t>0,</w:t>
      </w:r>
      <w:r w:rsidR="007201F2" w:rsidRPr="00BF42AC">
        <w:rPr>
          <w:sz w:val="24"/>
          <w:szCs w:val="24"/>
          <w:vertAlign w:val="subscript"/>
        </w:rPr>
        <w:t xml:space="preserve"> within</w:t>
      </w:r>
      <w:r w:rsidR="007201F2">
        <w:rPr>
          <w:sz w:val="24"/>
          <w:szCs w:val="24"/>
        </w:rPr>
        <w:t xml:space="preserve"> = 7.4</w:t>
      </w:r>
      <w:r w:rsidR="00282908">
        <w:rPr>
          <w:sz w:val="24"/>
          <w:szCs w:val="24"/>
        </w:rPr>
        <w:t xml:space="preserve"> correspond</w:t>
      </w:r>
      <w:r w:rsidR="007201F2">
        <w:rPr>
          <w:sz w:val="24"/>
          <w:szCs w:val="24"/>
        </w:rPr>
        <w:t xml:space="preserve">s </w:t>
      </w:r>
      <w:r w:rsidR="00282908">
        <w:rPr>
          <w:sz w:val="24"/>
          <w:szCs w:val="24"/>
        </w:rPr>
        <w:t>to the mean</w:t>
      </w:r>
      <w:r>
        <w:rPr>
          <w:sz w:val="24"/>
          <w:szCs w:val="24"/>
        </w:rPr>
        <w:t xml:space="preserve"> value of</w:t>
      </w:r>
      <w:r w:rsidR="00282908">
        <w:rPr>
          <w:sz w:val="24"/>
          <w:szCs w:val="24"/>
        </w:rPr>
        <w:t xml:space="preserve"> </w:t>
      </w:r>
      <w:r w:rsidRPr="00BF42AC">
        <w:rPr>
          <w:i/>
          <w:sz w:val="24"/>
          <w:szCs w:val="24"/>
        </w:rPr>
        <w:t>R</w:t>
      </w:r>
      <w:r>
        <w:rPr>
          <w:sz w:val="24"/>
          <w:szCs w:val="24"/>
          <w:vertAlign w:val="subscript"/>
        </w:rPr>
        <w:t>0,</w:t>
      </w:r>
      <w:r w:rsidRPr="00BF42AC">
        <w:rPr>
          <w:sz w:val="24"/>
          <w:szCs w:val="24"/>
          <w:vertAlign w:val="subscript"/>
        </w:rPr>
        <w:t xml:space="preserve"> within</w:t>
      </w:r>
      <w:r>
        <w:rPr>
          <w:sz w:val="24"/>
          <w:szCs w:val="24"/>
        </w:rPr>
        <w:t xml:space="preserve"> </w:t>
      </w:r>
      <w:r w:rsidR="00282908">
        <w:rPr>
          <w:sz w:val="24"/>
          <w:szCs w:val="24"/>
        </w:rPr>
        <w:t xml:space="preserve">estimated </w:t>
      </w:r>
      <w:r>
        <w:rPr>
          <w:sz w:val="24"/>
          <w:szCs w:val="24"/>
        </w:rPr>
        <w:t>for SARS-CoV-2</w:t>
      </w:r>
      <w:r>
        <w:rPr>
          <w:sz w:val="24"/>
          <w:szCs w:val="24"/>
        </w:rPr>
        <w:fldChar w:fldCharType="begin"/>
      </w:r>
      <w:r w:rsidR="007201F2">
        <w:rPr>
          <w:sz w:val="24"/>
          <w:szCs w:val="24"/>
        </w:rPr>
        <w:instrText xml:space="preserve"> ADDIN ZOTERO_ITEM CSL_CITATION {"citationID":"g6TWkuQX","properties":{"formattedCitation":"\\super 2\\nosupersub{}","plainCitation":"2","noteIndex":0},"citationItems":[{"id":7473,"uris":["http://zotero.org/users/1469428/items/M7RFXC59"],"itemData":{"id":7473,"type":"article-journal","abstract":"The within-host viral kinetics of SARS-CoV-2 infection and how they relate to a person’s infectiousness are not well understood. This limits our ability to quantify the impact of interventions on viral transmission. Here, we develop viral dynamic models of SARS-CoV-2 infection and fit them to data to estimate key within-host parameters such as the infected cell half-life and the within-host reproductive number. We then develop a model linking viral load (VL) to infectiousness and show a person’s infectiousness increases sublinearly with VL and that the logarithm of the VL in the upper respiratory tract is a better surrogate of infectiousness than the VL itself. Using data on VL and the predicted infectiousness, we further incorporated data on antigen and RT-PCR tests and compared their usefulness in detecting infection and preventing transmission. We found that RT-PCR tests perform better than antigen tests assuming equal testing frequency; however, more frequent antigen testing may perform equally well with RT-PCR tests at a lower cost but with many more false-negative tests. Overall, our models provide a quantitative framework for inferring the impact of therapeutics and vaccines that lower VL on the infectiousness of individuals and for evaluating rapid testing strategies.","container-title":"Proceedings of the National Academy of Sciences","DOI":"10.1073/pnas.2111477118","ISSN":"0027-8424, 1091-6490","issue":"49","journalAbbreviation":"Proc Natl Acad Sci USA","language":"en","page":"e2111477118","source":"DOI.org (Crossref)","title":"In vivo kinetics of SARS-CoV-2 infection and its relationship with a person’s infectiousness","volume":"118","author":[{"family":"Ke","given":"Ruian"},{"family":"Zitzmann","given":"Carolin"},{"family":"Ho","given":"David D."},{"family":"Ribeiro","given":"Ruy M."},{"family":"Perelson","given":"Alan S."}],"issued":{"date-parts":[["2021",12,7]]}}}],"schema":"https://github.com/citation-style-language/schema/raw/master/csl-citation.json"} </w:instrText>
      </w:r>
      <w:r>
        <w:rPr>
          <w:sz w:val="24"/>
          <w:szCs w:val="24"/>
        </w:rPr>
        <w:fldChar w:fldCharType="separate"/>
      </w:r>
      <w:r w:rsidR="007201F2" w:rsidRPr="007201F2">
        <w:rPr>
          <w:rFonts w:ascii="Calibri" w:hAnsi="Calibri" w:cs="Calibri"/>
          <w:sz w:val="24"/>
          <w:szCs w:val="24"/>
          <w:vertAlign w:val="superscript"/>
        </w:rPr>
        <w:t>2</w:t>
      </w:r>
      <w:r>
        <w:rPr>
          <w:sz w:val="24"/>
          <w:szCs w:val="24"/>
        </w:rPr>
        <w:fldChar w:fldCharType="end"/>
      </w:r>
      <w:r w:rsidR="007201F2">
        <w:rPr>
          <w:sz w:val="24"/>
          <w:szCs w:val="24"/>
        </w:rPr>
        <w:t xml:space="preserve">. </w:t>
      </w:r>
      <w:r w:rsidR="007201F2" w:rsidRPr="00BF42AC">
        <w:rPr>
          <w:i/>
          <w:sz w:val="24"/>
          <w:szCs w:val="24"/>
        </w:rPr>
        <w:t>R</w:t>
      </w:r>
      <w:r w:rsidR="007201F2">
        <w:rPr>
          <w:sz w:val="24"/>
          <w:szCs w:val="24"/>
          <w:vertAlign w:val="subscript"/>
        </w:rPr>
        <w:t>0,</w:t>
      </w:r>
      <w:r w:rsidR="007201F2" w:rsidRPr="00BF42AC">
        <w:rPr>
          <w:sz w:val="24"/>
          <w:szCs w:val="24"/>
          <w:vertAlign w:val="subscript"/>
        </w:rPr>
        <w:t xml:space="preserve"> within</w:t>
      </w:r>
      <w:r w:rsidR="007201F2">
        <w:rPr>
          <w:sz w:val="24"/>
          <w:szCs w:val="24"/>
        </w:rPr>
        <w:t xml:space="preserve"> = 2.6 and </w:t>
      </w:r>
      <w:r w:rsidR="007201F2" w:rsidRPr="00BF42AC">
        <w:rPr>
          <w:i/>
          <w:sz w:val="24"/>
          <w:szCs w:val="24"/>
        </w:rPr>
        <w:t>R</w:t>
      </w:r>
      <w:r w:rsidR="007201F2">
        <w:rPr>
          <w:sz w:val="24"/>
          <w:szCs w:val="24"/>
          <w:vertAlign w:val="subscript"/>
        </w:rPr>
        <w:t>0,</w:t>
      </w:r>
      <w:r w:rsidR="007201F2" w:rsidRPr="00BF42AC">
        <w:rPr>
          <w:sz w:val="24"/>
          <w:szCs w:val="24"/>
          <w:vertAlign w:val="subscript"/>
        </w:rPr>
        <w:t xml:space="preserve"> within</w:t>
      </w:r>
      <w:r w:rsidR="007201F2">
        <w:rPr>
          <w:sz w:val="24"/>
          <w:szCs w:val="24"/>
        </w:rPr>
        <w:t xml:space="preserve"> = 14.9 correspond to</w:t>
      </w:r>
      <w:r w:rsidR="00282908">
        <w:rPr>
          <w:sz w:val="24"/>
          <w:szCs w:val="24"/>
        </w:rPr>
        <w:t xml:space="preserve"> </w:t>
      </w:r>
      <w:r>
        <w:rPr>
          <w:sz w:val="24"/>
          <w:szCs w:val="24"/>
        </w:rPr>
        <w:t xml:space="preserve">the lowest </w:t>
      </w:r>
      <w:r w:rsidR="00282908">
        <w:rPr>
          <w:sz w:val="24"/>
          <w:szCs w:val="24"/>
        </w:rPr>
        <w:t>and the</w:t>
      </w:r>
      <w:r w:rsidR="00C36469">
        <w:rPr>
          <w:sz w:val="24"/>
          <w:szCs w:val="24"/>
        </w:rPr>
        <w:t xml:space="preserve"> highest value</w:t>
      </w:r>
      <w:r>
        <w:rPr>
          <w:sz w:val="24"/>
          <w:szCs w:val="24"/>
        </w:rPr>
        <w:t>s</w:t>
      </w:r>
      <w:r w:rsidR="00C36469">
        <w:rPr>
          <w:sz w:val="24"/>
          <w:szCs w:val="24"/>
        </w:rPr>
        <w:t xml:space="preserve"> of</w:t>
      </w:r>
      <w:r w:rsidR="00282908">
        <w:rPr>
          <w:sz w:val="24"/>
          <w:szCs w:val="24"/>
        </w:rPr>
        <w:t xml:space="preserve"> </w:t>
      </w:r>
      <w:r w:rsidRPr="00BF42AC">
        <w:rPr>
          <w:i/>
          <w:sz w:val="24"/>
          <w:szCs w:val="24"/>
        </w:rPr>
        <w:t>R</w:t>
      </w:r>
      <w:r>
        <w:rPr>
          <w:sz w:val="24"/>
          <w:szCs w:val="24"/>
          <w:vertAlign w:val="subscript"/>
        </w:rPr>
        <w:t>0,</w:t>
      </w:r>
      <w:r w:rsidRPr="00BF42AC">
        <w:rPr>
          <w:sz w:val="24"/>
          <w:szCs w:val="24"/>
          <w:vertAlign w:val="subscript"/>
        </w:rPr>
        <w:t xml:space="preserve"> within</w:t>
      </w:r>
      <w:r>
        <w:rPr>
          <w:sz w:val="24"/>
          <w:szCs w:val="24"/>
        </w:rPr>
        <w:t xml:space="preserve"> </w:t>
      </w:r>
      <w:r w:rsidR="00C36469">
        <w:rPr>
          <w:sz w:val="24"/>
          <w:szCs w:val="24"/>
        </w:rPr>
        <w:t xml:space="preserve">estimated </w:t>
      </w:r>
      <w:r w:rsidR="007201F2">
        <w:rPr>
          <w:sz w:val="24"/>
          <w:szCs w:val="24"/>
        </w:rPr>
        <w:t>in this study</w:t>
      </w:r>
      <w:r w:rsidR="00C36469">
        <w:rPr>
          <w:sz w:val="24"/>
          <w:szCs w:val="24"/>
        </w:rPr>
        <w:t>.</w:t>
      </w:r>
      <w:r w:rsidR="008331FB">
        <w:rPr>
          <w:sz w:val="24"/>
          <w:szCs w:val="24"/>
        </w:rPr>
        <w:t xml:space="preserve"> </w:t>
      </w:r>
      <w:r w:rsidR="00C36469">
        <w:rPr>
          <w:sz w:val="24"/>
          <w:szCs w:val="24"/>
        </w:rPr>
        <w:t xml:space="preserve">We </w:t>
      </w:r>
      <w:r>
        <w:rPr>
          <w:sz w:val="24"/>
          <w:szCs w:val="24"/>
        </w:rPr>
        <w:t xml:space="preserve">also </w:t>
      </w:r>
      <w:r w:rsidR="00C36469">
        <w:rPr>
          <w:sz w:val="24"/>
          <w:szCs w:val="24"/>
        </w:rPr>
        <w:t xml:space="preserve">consider </w:t>
      </w:r>
      <w:r w:rsidR="00A27063">
        <w:rPr>
          <w:sz w:val="24"/>
          <w:szCs w:val="24"/>
        </w:rPr>
        <w:t>five</w:t>
      </w:r>
      <w:r w:rsidR="00C36469">
        <w:rPr>
          <w:sz w:val="24"/>
          <w:szCs w:val="24"/>
        </w:rPr>
        <w:t xml:space="preserve"> different values for </w:t>
      </w:r>
      <w:r>
        <w:rPr>
          <w:sz w:val="24"/>
          <w:szCs w:val="24"/>
        </w:rPr>
        <w:t xml:space="preserve">the overdispersion parameter </w:t>
      </w:r>
      <w:r w:rsidR="00C36469" w:rsidRPr="00FE04BD">
        <w:rPr>
          <w:i/>
          <w:sz w:val="24"/>
          <w:szCs w:val="24"/>
        </w:rPr>
        <w:t>k</w:t>
      </w:r>
      <w:r w:rsidR="00C36469">
        <w:rPr>
          <w:sz w:val="24"/>
          <w:szCs w:val="24"/>
        </w:rPr>
        <w:t xml:space="preserve">: </w:t>
      </w:r>
      <w:r w:rsidR="00C36469" w:rsidRPr="008331FB">
        <w:rPr>
          <w:i/>
          <w:sz w:val="24"/>
          <w:szCs w:val="24"/>
        </w:rPr>
        <w:t>k</w:t>
      </w:r>
      <w:r w:rsidR="00C36469">
        <w:rPr>
          <w:sz w:val="24"/>
          <w:szCs w:val="24"/>
        </w:rPr>
        <w:t xml:space="preserve"> = </w:t>
      </w:r>
      <w:r w:rsidR="008331FB">
        <w:rPr>
          <w:rFonts w:cstheme="minorHAnsi"/>
          <w:sz w:val="24"/>
          <w:szCs w:val="24"/>
        </w:rPr>
        <w:t>∞</w:t>
      </w:r>
      <w:r w:rsidR="008331FB">
        <w:rPr>
          <w:sz w:val="24"/>
          <w:szCs w:val="24"/>
        </w:rPr>
        <w:t xml:space="preserve"> </w:t>
      </w:r>
      <w:r w:rsidR="00C36469">
        <w:rPr>
          <w:sz w:val="24"/>
          <w:szCs w:val="24"/>
        </w:rPr>
        <w:t xml:space="preserve"> (corresponding to </w:t>
      </w:r>
      <w:r w:rsidR="008331FB">
        <w:rPr>
          <w:sz w:val="24"/>
          <w:szCs w:val="24"/>
        </w:rPr>
        <w:t xml:space="preserve">no cell-to-cell heterogeneity and </w:t>
      </w:r>
      <w:r w:rsidR="007201F2">
        <w:rPr>
          <w:sz w:val="24"/>
          <w:szCs w:val="24"/>
        </w:rPr>
        <w:t xml:space="preserve">resulting </w:t>
      </w:r>
      <w:r w:rsidR="008331FB">
        <w:rPr>
          <w:sz w:val="24"/>
          <w:szCs w:val="24"/>
        </w:rPr>
        <w:t xml:space="preserve">in a </w:t>
      </w:r>
      <w:r w:rsidR="00C36469">
        <w:rPr>
          <w:sz w:val="24"/>
          <w:szCs w:val="24"/>
        </w:rPr>
        <w:t>Poisson distributi</w:t>
      </w:r>
      <w:r w:rsidR="00166FFF">
        <w:rPr>
          <w:sz w:val="24"/>
          <w:szCs w:val="24"/>
        </w:rPr>
        <w:t>on</w:t>
      </w:r>
      <w:r w:rsidR="007201F2">
        <w:rPr>
          <w:sz w:val="24"/>
          <w:szCs w:val="24"/>
        </w:rPr>
        <w:t xml:space="preserve"> for offspring</w:t>
      </w:r>
      <w:r w:rsidR="00166FFF">
        <w:rPr>
          <w:sz w:val="24"/>
          <w:szCs w:val="24"/>
        </w:rPr>
        <w:t xml:space="preserve">), </w:t>
      </w:r>
      <w:r w:rsidR="00166FFF" w:rsidRPr="008331FB">
        <w:rPr>
          <w:i/>
          <w:sz w:val="24"/>
          <w:szCs w:val="24"/>
        </w:rPr>
        <w:t>k</w:t>
      </w:r>
      <w:r w:rsidR="00166FFF">
        <w:rPr>
          <w:sz w:val="24"/>
          <w:szCs w:val="24"/>
        </w:rPr>
        <w:t xml:space="preserve"> = 1 (</w:t>
      </w:r>
      <w:r w:rsidR="007201F2">
        <w:rPr>
          <w:sz w:val="24"/>
          <w:szCs w:val="24"/>
        </w:rPr>
        <w:t>resulting in</w:t>
      </w:r>
      <w:r w:rsidR="008331FB">
        <w:rPr>
          <w:sz w:val="24"/>
          <w:szCs w:val="24"/>
        </w:rPr>
        <w:t xml:space="preserve"> a </w:t>
      </w:r>
      <w:r w:rsidR="00166FFF">
        <w:rPr>
          <w:sz w:val="24"/>
          <w:szCs w:val="24"/>
        </w:rPr>
        <w:t>geometric</w:t>
      </w:r>
      <w:r w:rsidR="00023717">
        <w:rPr>
          <w:sz w:val="24"/>
          <w:szCs w:val="24"/>
        </w:rPr>
        <w:t xml:space="preserve"> distribution</w:t>
      </w:r>
      <w:r w:rsidR="007201F2">
        <w:rPr>
          <w:sz w:val="24"/>
          <w:szCs w:val="24"/>
        </w:rPr>
        <w:t xml:space="preserve"> for offspring</w:t>
      </w:r>
      <w:r w:rsidR="00023717">
        <w:rPr>
          <w:sz w:val="24"/>
          <w:szCs w:val="24"/>
        </w:rPr>
        <w:t xml:space="preserve">), </w:t>
      </w:r>
      <w:r w:rsidR="00C36469" w:rsidRPr="008331FB">
        <w:rPr>
          <w:i/>
          <w:sz w:val="24"/>
          <w:szCs w:val="24"/>
        </w:rPr>
        <w:t>k</w:t>
      </w:r>
      <w:r w:rsidR="00C36469">
        <w:rPr>
          <w:sz w:val="24"/>
          <w:szCs w:val="24"/>
        </w:rPr>
        <w:t xml:space="preserve"> = 0.1</w:t>
      </w:r>
      <w:r w:rsidR="00023717">
        <w:rPr>
          <w:sz w:val="24"/>
          <w:szCs w:val="24"/>
        </w:rPr>
        <w:t>,</w:t>
      </w:r>
      <w:r w:rsidR="008331FB">
        <w:rPr>
          <w:sz w:val="24"/>
          <w:szCs w:val="24"/>
        </w:rPr>
        <w:t xml:space="preserve"> </w:t>
      </w:r>
      <w:r w:rsidR="00A27063" w:rsidRPr="008331FB">
        <w:rPr>
          <w:i/>
          <w:sz w:val="24"/>
          <w:szCs w:val="24"/>
        </w:rPr>
        <w:t>k</w:t>
      </w:r>
      <w:r w:rsidR="00A27063">
        <w:rPr>
          <w:sz w:val="24"/>
          <w:szCs w:val="24"/>
        </w:rPr>
        <w:t xml:space="preserve"> = 0.01, </w:t>
      </w:r>
      <w:r w:rsidR="008331FB">
        <w:rPr>
          <w:sz w:val="24"/>
          <w:szCs w:val="24"/>
        </w:rPr>
        <w:t>and</w:t>
      </w:r>
      <w:r w:rsidR="00023717">
        <w:rPr>
          <w:sz w:val="24"/>
          <w:szCs w:val="24"/>
        </w:rPr>
        <w:t xml:space="preserve"> </w:t>
      </w:r>
      <w:r w:rsidR="00023717" w:rsidRPr="008331FB">
        <w:rPr>
          <w:i/>
          <w:sz w:val="24"/>
          <w:szCs w:val="24"/>
        </w:rPr>
        <w:t>k</w:t>
      </w:r>
      <w:r w:rsidR="00023717">
        <w:rPr>
          <w:sz w:val="24"/>
          <w:szCs w:val="24"/>
        </w:rPr>
        <w:t xml:space="preserve"> = 0.01</w:t>
      </w:r>
      <w:r w:rsidR="008331FB">
        <w:rPr>
          <w:sz w:val="24"/>
          <w:szCs w:val="24"/>
        </w:rPr>
        <w:t xml:space="preserve"> (corresponding to extreme cell-to-cell heterogeneity in offspring numbers)</w:t>
      </w:r>
      <w:r w:rsidR="00C36469">
        <w:rPr>
          <w:sz w:val="24"/>
          <w:szCs w:val="24"/>
        </w:rPr>
        <w:t xml:space="preserve">. </w:t>
      </w:r>
      <w:r w:rsidR="008331FB">
        <w:rPr>
          <w:sz w:val="24"/>
          <w:szCs w:val="24"/>
        </w:rPr>
        <w:t xml:space="preserve">With three different </w:t>
      </w:r>
      <w:r w:rsidR="008331FB" w:rsidRPr="00BF42AC">
        <w:rPr>
          <w:i/>
          <w:sz w:val="24"/>
          <w:szCs w:val="24"/>
        </w:rPr>
        <w:t>R</w:t>
      </w:r>
      <w:r w:rsidR="008331FB">
        <w:rPr>
          <w:sz w:val="24"/>
          <w:szCs w:val="24"/>
          <w:vertAlign w:val="subscript"/>
        </w:rPr>
        <w:t>0,</w:t>
      </w:r>
      <w:r w:rsidR="008331FB" w:rsidRPr="00BF42AC">
        <w:rPr>
          <w:sz w:val="24"/>
          <w:szCs w:val="24"/>
          <w:vertAlign w:val="subscript"/>
        </w:rPr>
        <w:t xml:space="preserve"> within</w:t>
      </w:r>
      <w:r w:rsidR="008331FB">
        <w:rPr>
          <w:sz w:val="24"/>
          <w:szCs w:val="24"/>
        </w:rPr>
        <w:t xml:space="preserve"> values and </w:t>
      </w:r>
      <w:r w:rsidR="00A27063">
        <w:rPr>
          <w:sz w:val="24"/>
          <w:szCs w:val="24"/>
        </w:rPr>
        <w:t>five</w:t>
      </w:r>
      <w:r w:rsidR="008331FB">
        <w:rPr>
          <w:sz w:val="24"/>
          <w:szCs w:val="24"/>
        </w:rPr>
        <w:t xml:space="preserve"> different </w:t>
      </w:r>
      <w:r w:rsidR="008331FB" w:rsidRPr="008331FB">
        <w:rPr>
          <w:i/>
          <w:sz w:val="24"/>
          <w:szCs w:val="24"/>
        </w:rPr>
        <w:t>k</w:t>
      </w:r>
      <w:r w:rsidR="00A27063">
        <w:rPr>
          <w:sz w:val="24"/>
          <w:szCs w:val="24"/>
        </w:rPr>
        <w:t xml:space="preserve"> values, we thus consider 15</w:t>
      </w:r>
      <w:r w:rsidR="008331FB">
        <w:rPr>
          <w:sz w:val="24"/>
          <w:szCs w:val="24"/>
        </w:rPr>
        <w:t xml:space="preserve"> different negative binomial parameterizations that span the range of biologically plausible offspring distributions (Figure S1).</w:t>
      </w:r>
      <w:r w:rsidR="00C661C5">
        <w:rPr>
          <w:sz w:val="24"/>
          <w:szCs w:val="24"/>
        </w:rPr>
        <w:t xml:space="preserve"> </w:t>
      </w:r>
    </w:p>
    <w:p w14:paraId="5FCEFDE2" w14:textId="2D98137F" w:rsidR="006C31E8" w:rsidRDefault="001B2F9B" w:rsidP="00042344">
      <w:pPr>
        <w:jc w:val="both"/>
        <w:rPr>
          <w:sz w:val="24"/>
          <w:szCs w:val="24"/>
        </w:rPr>
      </w:pPr>
      <w:r>
        <w:rPr>
          <w:sz w:val="24"/>
          <w:szCs w:val="24"/>
        </w:rPr>
        <w:t>T</w:t>
      </w:r>
      <w:r w:rsidR="006C31E8">
        <w:rPr>
          <w:sz w:val="24"/>
          <w:szCs w:val="24"/>
        </w:rPr>
        <w:t>he probability of an infection establishing within a host (rather than going stochastically extinct) is given by:</w:t>
      </w:r>
    </w:p>
    <w:p w14:paraId="37E8EBFE" w14:textId="0BA7A2BB" w:rsidR="006C31E8" w:rsidRDefault="00740A88" w:rsidP="00042344">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infection</m:t>
              </m:r>
            </m:sub>
          </m:sSub>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p</m:t>
              </m:r>
            </m:e>
            <m:sub>
              <m:r>
                <m:rPr>
                  <m:sty m:val="p"/>
                </m:rPr>
                <w:rPr>
                  <w:rFonts w:ascii="Cambria Math" w:hAnsi="Cambria Math"/>
                  <w:sz w:val="24"/>
                  <w:szCs w:val="24"/>
                </w:rPr>
                <m:t>extinction</m:t>
              </m:r>
              <m:r>
                <w:rPr>
                  <w:rFonts w:ascii="Cambria Math" w:hAnsi="Cambria Math"/>
                  <w:sz w:val="24"/>
                  <w:szCs w:val="24"/>
                </w:rPr>
                <m:t>,1</m:t>
              </m:r>
            </m:sub>
            <m:sup>
              <m:r>
                <w:rPr>
                  <w:rFonts w:ascii="Cambria Math" w:hAnsi="Cambria Math"/>
                  <w:sz w:val="24"/>
                  <w:szCs w:val="24"/>
                </w:rPr>
                <m:t>n</m:t>
              </m:r>
            </m:sup>
          </m:sSubSup>
        </m:oMath>
      </m:oMathPara>
    </w:p>
    <w:p w14:paraId="153F68D7" w14:textId="42F46DBB" w:rsidR="001B2F9B" w:rsidRDefault="00824CAB" w:rsidP="00042344">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extinction</m:t>
            </m:r>
            <m:r>
              <w:rPr>
                <w:rFonts w:ascii="Cambria Math" w:hAnsi="Cambria Math"/>
                <w:sz w:val="24"/>
                <w:szCs w:val="24"/>
              </w:rPr>
              <m:t>,1</m:t>
            </m:r>
          </m:sub>
        </m:sSub>
      </m:oMath>
      <w:r>
        <w:rPr>
          <w:rFonts w:eastAsiaTheme="minorEastAsia"/>
          <w:sz w:val="24"/>
          <w:szCs w:val="24"/>
        </w:rPr>
        <w:t xml:space="preserve">is the probability that </w:t>
      </w:r>
      <w:r w:rsidR="007201F2">
        <w:rPr>
          <w:rFonts w:eastAsiaTheme="minorEastAsia"/>
          <w:sz w:val="24"/>
          <w:szCs w:val="24"/>
        </w:rPr>
        <w:t>the</w:t>
      </w:r>
      <w:r>
        <w:rPr>
          <w:rFonts w:eastAsiaTheme="minorEastAsia"/>
          <w:sz w:val="24"/>
          <w:szCs w:val="24"/>
        </w:rPr>
        <w:t xml:space="preserve"> </w:t>
      </w:r>
      <w:r w:rsidR="007201F2">
        <w:rPr>
          <w:rFonts w:eastAsiaTheme="minorEastAsia"/>
          <w:sz w:val="24"/>
          <w:szCs w:val="24"/>
        </w:rPr>
        <w:t xml:space="preserve">lineage stemming from an </w:t>
      </w:r>
      <w:r>
        <w:rPr>
          <w:rFonts w:eastAsiaTheme="minorEastAsia"/>
          <w:sz w:val="24"/>
          <w:szCs w:val="24"/>
        </w:rPr>
        <w:t xml:space="preserve">initially infected cell goes stochastically extinct, and the exponent </w:t>
      </w:r>
      <w:r w:rsidRPr="00824CAB">
        <w:rPr>
          <w:rFonts w:eastAsiaTheme="minorEastAsia"/>
          <w:i/>
          <w:sz w:val="24"/>
          <w:szCs w:val="24"/>
        </w:rPr>
        <w:t>n</w:t>
      </w:r>
      <w:r>
        <w:rPr>
          <w:rFonts w:eastAsiaTheme="minorEastAsia"/>
          <w:sz w:val="24"/>
          <w:szCs w:val="24"/>
        </w:rPr>
        <w:t xml:space="preserve"> is the inoculum dose (</w:t>
      </w:r>
      <w:r w:rsidR="007201F2">
        <w:rPr>
          <w:rFonts w:eastAsiaTheme="minorEastAsia"/>
          <w:sz w:val="24"/>
          <w:szCs w:val="24"/>
        </w:rPr>
        <w:t xml:space="preserve">operationally </w:t>
      </w:r>
      <w:r>
        <w:rPr>
          <w:rFonts w:eastAsiaTheme="minorEastAsia"/>
          <w:sz w:val="24"/>
          <w:szCs w:val="24"/>
        </w:rPr>
        <w:t>defined as the initial number of infected cells).</w:t>
      </w:r>
      <w:r w:rsidR="00D54A27">
        <w:rPr>
          <w:rFonts w:eastAsiaTheme="minorEastAsia"/>
          <w:sz w:val="24"/>
          <w:szCs w:val="24"/>
        </w:rPr>
        <w:t xml:space="preserve"> The value of </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extinction</m:t>
            </m:r>
            <m:r>
              <w:rPr>
                <w:rFonts w:ascii="Cambria Math" w:hAnsi="Cambria Math"/>
                <w:sz w:val="24"/>
                <w:szCs w:val="24"/>
              </w:rPr>
              <m:t>,1</m:t>
            </m:r>
          </m:sub>
        </m:sSub>
      </m:oMath>
      <w:r w:rsidR="00D54A27">
        <w:rPr>
          <w:rFonts w:eastAsiaTheme="minorEastAsia"/>
          <w:sz w:val="24"/>
          <w:szCs w:val="24"/>
        </w:rPr>
        <w:t xml:space="preserve"> is</w:t>
      </w:r>
      <w:r w:rsidR="001B2F9B" w:rsidRPr="001B2F9B">
        <w:rPr>
          <w:sz w:val="24"/>
          <w:szCs w:val="24"/>
        </w:rPr>
        <w:t xml:space="preserve"> </w:t>
      </w:r>
      <w:r w:rsidR="001B2F9B">
        <w:rPr>
          <w:sz w:val="24"/>
          <w:szCs w:val="24"/>
        </w:rPr>
        <w:t>calculated numerically using a branching process approach, under a parameterized offspring distribution. F</w:t>
      </w:r>
      <w:r w:rsidR="00023717">
        <w:rPr>
          <w:sz w:val="24"/>
          <w:szCs w:val="24"/>
        </w:rPr>
        <w:t xml:space="preserve">or </w:t>
      </w:r>
      <w:r w:rsidR="001B2F9B">
        <w:rPr>
          <w:sz w:val="24"/>
          <w:szCs w:val="24"/>
        </w:rPr>
        <w:t xml:space="preserve">a </w:t>
      </w:r>
      <w:r w:rsidR="00023717">
        <w:rPr>
          <w:sz w:val="24"/>
          <w:szCs w:val="24"/>
        </w:rPr>
        <w:t xml:space="preserve">negative binomial </w:t>
      </w:r>
      <w:r w:rsidR="001B2F9B">
        <w:rPr>
          <w:sz w:val="24"/>
          <w:szCs w:val="24"/>
        </w:rPr>
        <w:t xml:space="preserve">offspring </w:t>
      </w:r>
      <w:r w:rsidR="00023717">
        <w:rPr>
          <w:sz w:val="24"/>
          <w:szCs w:val="24"/>
        </w:rPr>
        <w:t xml:space="preserve">distribution, the </w:t>
      </w:r>
      <w:r w:rsidR="001B2F9B">
        <w:rPr>
          <w:sz w:val="24"/>
          <w:szCs w:val="24"/>
        </w:rPr>
        <w:t xml:space="preserve">probability generating function </w:t>
      </w:r>
      <w:r w:rsidR="00023717">
        <w:rPr>
          <w:sz w:val="24"/>
          <w:szCs w:val="24"/>
        </w:rPr>
        <w:t>is given by</w:t>
      </w:r>
      <w:r w:rsidR="001B2F9B">
        <w:rPr>
          <w:sz w:val="24"/>
          <w:szCs w:val="24"/>
        </w:rPr>
        <w:fldChar w:fldCharType="begin"/>
      </w:r>
      <w:r w:rsidR="007201F2">
        <w:rPr>
          <w:sz w:val="24"/>
          <w:szCs w:val="24"/>
        </w:rPr>
        <w:instrText xml:space="preserve"> ADDIN ZOTERO_ITEM CSL_CITATION {"citationID":"dfUbvTqA","properties":{"formattedCitation":"\\super 1\\nosupersub{}","plainCitation":"1","noteIndex":0},"citationItems":[{"id":314,"uris":["http://zotero.org/users/1469428/items/QK8W8SZV"],"itemData":{"id":314,"type":"article-journal","abstract":"Population-level analyses often use average quantities to describe heterogeneous systems, particularly when variation does not arise from identifiable groups. A prominent example, central to our current understanding of epidemic spread, is the basic reproductive number, R 0, which is defined as the mean number of infections caused by an infected individual in a susceptible population. Population estimates of R 0 can obscure considerable individual variation in infectiousness, as highlighted during the global emergence of severe acute respiratory syndrome (SARS) by numerous 'superspreading events' in which certain individuals infected unusually large numbers of secondary cases. For diseases transmitted by non-sexual direct contacts, such as SARS or smallpox, individual variation is difficult to measure empirically, and thus its importance for outbreak dynamics has been unclear. Here we present an integrated theoretical and statistical analysis of the influence of individual variation in infectiousness on disease emergence. Using contact tracing data from eight directly transmitted diseases, we show that the distribution of individual infectiousness around R 0 is often highly skewed. Model predictions accounting for this variation differ sharply from average-based approaches, with disease extinction more likely and outbreaks rarer but more explosive. Using these models, we explore implications for outbreak control, showing that individual-specific control measures outperform population-wide measures. Moreover, the dramatic improvements achieved through targeted control policies emphasize the need to identify predictive correlates of higher infectiousness. Our findings indicate that superspreading is a normal feature of disease spread, and to frame ongoing discussion we propose a rigorous definition for superspreading events and a method to predict their frequency.","container-title":"Nature","DOI":"10.1038/nature04153","ISSN":"0028-0836","issue":"7066","journalAbbreviation":"Nature","language":"en","page":"355-359","source":"www.nature.com","title":"Superspreading and the effect of individual variation on disease emergence","volume":"438","author":[{"family":"Lloyd-Smith","given":"J. O."},{"family":"Schreiber","given":"S. J."},{"family":"Kopp","given":"P. E."},{"family":"Getz","given":"W. M."}],"issued":{"date-parts":[["2005",11,17]]}}}],"schema":"https://github.com/citation-style-language/schema/raw/master/csl-citation.json"} </w:instrText>
      </w:r>
      <w:r w:rsidR="001B2F9B">
        <w:rPr>
          <w:sz w:val="24"/>
          <w:szCs w:val="24"/>
        </w:rPr>
        <w:fldChar w:fldCharType="separate"/>
      </w:r>
      <w:r w:rsidR="007201F2" w:rsidRPr="007201F2">
        <w:rPr>
          <w:rFonts w:ascii="Calibri" w:hAnsi="Calibri" w:cs="Calibri"/>
          <w:sz w:val="24"/>
          <w:szCs w:val="24"/>
          <w:vertAlign w:val="superscript"/>
        </w:rPr>
        <w:t>1</w:t>
      </w:r>
      <w:r w:rsidR="001B2F9B">
        <w:rPr>
          <w:sz w:val="24"/>
          <w:szCs w:val="24"/>
        </w:rPr>
        <w:fldChar w:fldCharType="end"/>
      </w:r>
      <w:r w:rsidR="000E3BE3">
        <w:rPr>
          <w:sz w:val="24"/>
          <w:szCs w:val="24"/>
        </w:rPr>
        <w:t xml:space="preserve">: </w:t>
      </w:r>
    </w:p>
    <w:p w14:paraId="0E2CF2C1" w14:textId="34B90409" w:rsidR="001B2F9B" w:rsidRDefault="001B2F9B" w:rsidP="00042344">
      <w:pPr>
        <w:jc w:val="both"/>
        <w:rPr>
          <w:sz w:val="24"/>
          <w:szCs w:val="24"/>
        </w:rPr>
      </w:pPr>
      <m:oMathPara>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r>
                            <m:rPr>
                              <m:sty m:val="p"/>
                            </m:rPr>
                            <w:rPr>
                              <w:rFonts w:ascii="Cambria Math" w:hAnsi="Cambria Math"/>
                              <w:sz w:val="24"/>
                              <w:szCs w:val="24"/>
                            </w:rPr>
                            <m:t>within</m:t>
                          </m:r>
                        </m:sub>
                      </m:sSub>
                    </m:num>
                    <m:den>
                      <m:r>
                        <w:rPr>
                          <w:rFonts w:ascii="Cambria Math" w:hAnsi="Cambria Math"/>
                          <w:sz w:val="24"/>
                          <w:szCs w:val="24"/>
                        </w:rPr>
                        <m:t>k</m:t>
                      </m:r>
                    </m:den>
                  </m:f>
                  <m:r>
                    <w:rPr>
                      <w:rFonts w:ascii="Cambria Math" w:hAnsi="Cambria Math"/>
                      <w:sz w:val="24"/>
                      <w:szCs w:val="24"/>
                    </w:rPr>
                    <m:t>(1-s)</m:t>
                  </m:r>
                </m:e>
              </m:d>
            </m:e>
            <m:sup>
              <m:r>
                <w:rPr>
                  <w:rFonts w:ascii="Cambria Math" w:hAnsi="Cambria Math"/>
                  <w:sz w:val="24"/>
                  <w:szCs w:val="24"/>
                </w:rPr>
                <m:t>-k</m:t>
              </m:r>
            </m:sup>
          </m:sSup>
        </m:oMath>
      </m:oMathPara>
    </w:p>
    <w:p w14:paraId="1192EF0C" w14:textId="7CBC1264" w:rsidR="00F1367A" w:rsidRDefault="00E753CD" w:rsidP="00042344">
      <w:pPr>
        <w:jc w:val="both"/>
        <w:rPr>
          <w:sz w:val="24"/>
          <w:szCs w:val="24"/>
        </w:rPr>
      </w:pPr>
      <w:r>
        <w:rPr>
          <w:sz w:val="24"/>
          <w:szCs w:val="24"/>
        </w:rPr>
        <w:t>The</w:t>
      </w:r>
      <w:r w:rsidR="000E3BE3">
        <w:rPr>
          <w:sz w:val="24"/>
          <w:szCs w:val="24"/>
        </w:rPr>
        <w:t xml:space="preserve"> solution to </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extinction</m:t>
            </m:r>
            <m:r>
              <w:rPr>
                <w:rFonts w:ascii="Cambria Math" w:hAnsi="Cambria Math"/>
                <w:sz w:val="24"/>
                <w:szCs w:val="24"/>
              </w:rPr>
              <m:t>,1</m:t>
            </m:r>
          </m:sub>
        </m:sSub>
      </m:oMath>
      <w:r w:rsidR="007201F2">
        <w:rPr>
          <w:rFonts w:eastAsiaTheme="minorEastAsia"/>
          <w:sz w:val="24"/>
          <w:szCs w:val="24"/>
        </w:rPr>
        <w:t xml:space="preserve"> </w:t>
      </w:r>
      <w:r w:rsidR="000E3BE3">
        <w:rPr>
          <w:sz w:val="24"/>
          <w:szCs w:val="24"/>
        </w:rPr>
        <w:t xml:space="preserve">is given by the unique solution </w:t>
      </w:r>
      <m:oMath>
        <m:r>
          <w:rPr>
            <w:rFonts w:ascii="Cambria Math" w:hAnsi="Cambria Math"/>
            <w:sz w:val="24"/>
            <w:szCs w:val="24"/>
          </w:rPr>
          <m:t>q=g</m:t>
        </m:r>
        <m:d>
          <m:dPr>
            <m:ctrlPr>
              <w:rPr>
                <w:rFonts w:ascii="Cambria Math" w:hAnsi="Cambria Math"/>
                <w:i/>
                <w:sz w:val="24"/>
                <w:szCs w:val="24"/>
              </w:rPr>
            </m:ctrlPr>
          </m:dPr>
          <m:e>
            <m:r>
              <w:rPr>
                <w:rFonts w:ascii="Cambria Math" w:hAnsi="Cambria Math"/>
                <w:sz w:val="24"/>
                <w:szCs w:val="24"/>
              </w:rPr>
              <m:t>q</m:t>
            </m:r>
          </m:e>
        </m:d>
      </m:oMath>
      <w:r w:rsidR="001B2F9B">
        <w:rPr>
          <w:sz w:val="24"/>
          <w:szCs w:val="24"/>
        </w:rPr>
        <w:t xml:space="preserve"> </w:t>
      </w:r>
      <w:r w:rsidR="000E3BE3">
        <w:rPr>
          <w:sz w:val="24"/>
          <w:szCs w:val="24"/>
        </w:rPr>
        <w:t xml:space="preserve">on the interval (0,1). </w:t>
      </w:r>
      <w:r w:rsidR="002E584F">
        <w:rPr>
          <w:sz w:val="24"/>
          <w:szCs w:val="24"/>
        </w:rPr>
        <w:t>We confirmed our branching process results through stochastic simulations.</w:t>
      </w:r>
    </w:p>
    <w:p w14:paraId="7B8158EA" w14:textId="418699D6" w:rsidR="00C70B9E" w:rsidRDefault="009F3222" w:rsidP="00C70B9E">
      <w:pPr>
        <w:rPr>
          <w:sz w:val="24"/>
          <w:szCs w:val="24"/>
        </w:rPr>
      </w:pPr>
      <w:r>
        <w:rPr>
          <w:noProof/>
          <w:sz w:val="24"/>
          <w:szCs w:val="24"/>
        </w:rPr>
        <w:lastRenderedPageBreak/>
        <w:drawing>
          <wp:inline distT="0" distB="0" distL="0" distR="0" wp14:anchorId="63C8799C" wp14:editId="7AC7825A">
            <wp:extent cx="5935980" cy="360922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1_final.jpg"/>
                    <pic:cNvPicPr/>
                  </pic:nvPicPr>
                  <pic:blipFill rotWithShape="1">
                    <a:blip r:embed="rId8">
                      <a:extLst>
                        <a:ext uri="{28A0092B-C50C-407E-A947-70E740481C1C}">
                          <a14:useLocalDpi xmlns:a14="http://schemas.microsoft.com/office/drawing/2010/main" val="0"/>
                        </a:ext>
                      </a:extLst>
                    </a:blip>
                    <a:srcRect l="8975" t="-1" r="7948" b="421"/>
                    <a:stretch/>
                  </pic:blipFill>
                  <pic:spPr bwMode="auto">
                    <a:xfrm>
                      <a:off x="0" y="0"/>
                      <a:ext cx="5942727" cy="3613325"/>
                    </a:xfrm>
                    <a:prstGeom prst="rect">
                      <a:avLst/>
                    </a:prstGeom>
                    <a:ln>
                      <a:noFill/>
                    </a:ln>
                    <a:extLst>
                      <a:ext uri="{53640926-AAD7-44D8-BBD7-CCE9431645EC}">
                        <a14:shadowObscured xmlns:a14="http://schemas.microsoft.com/office/drawing/2010/main"/>
                      </a:ext>
                    </a:extLst>
                  </pic:spPr>
                </pic:pic>
              </a:graphicData>
            </a:graphic>
          </wp:inline>
        </w:drawing>
      </w:r>
    </w:p>
    <w:p w14:paraId="2C3D011F" w14:textId="70610358" w:rsidR="00C70B9E" w:rsidRPr="001B2F9B" w:rsidRDefault="00C70B9E" w:rsidP="00042344">
      <w:pPr>
        <w:jc w:val="both"/>
      </w:pPr>
      <w:r w:rsidRPr="001B2F9B">
        <w:rPr>
          <w:b/>
        </w:rPr>
        <w:t>Figure S1</w:t>
      </w:r>
      <w:r w:rsidRPr="00042344">
        <w:rPr>
          <w:b/>
        </w:rPr>
        <w:t>. Offspring distributions considered in the calculation of infection risk.</w:t>
      </w:r>
      <w:r w:rsidRPr="001B2F9B">
        <w:t xml:space="preserve"> Rows correspond to </w:t>
      </w:r>
      <w:r w:rsidR="007201F2">
        <w:t xml:space="preserve">the </w:t>
      </w:r>
      <w:r w:rsidRPr="001B2F9B">
        <w:t xml:space="preserve">low, mean, and high </w:t>
      </w:r>
      <w:r w:rsidRPr="001B2F9B">
        <w:rPr>
          <w:i/>
        </w:rPr>
        <w:t>R</w:t>
      </w:r>
      <w:r w:rsidRPr="001B2F9B">
        <w:rPr>
          <w:vertAlign w:val="subscript"/>
        </w:rPr>
        <w:t>0, within</w:t>
      </w:r>
      <w:r w:rsidRPr="001B2F9B">
        <w:t xml:space="preserve"> values considered. Columns correspond to the level of cell-to-cell heterogeneity considered, ranging from no cell-to-cell heterogeneity (</w:t>
      </w:r>
      <w:r w:rsidRPr="00AA1AB6">
        <w:rPr>
          <w:i/>
        </w:rPr>
        <w:t>k</w:t>
      </w:r>
      <w:r w:rsidRPr="001B2F9B">
        <w:t xml:space="preserve"> = </w:t>
      </w:r>
      <w:r w:rsidR="00AA1AB6">
        <w:rPr>
          <w:rFonts w:cstheme="minorHAnsi"/>
          <w:sz w:val="24"/>
          <w:szCs w:val="24"/>
        </w:rPr>
        <w:t>∞</w:t>
      </w:r>
      <w:r w:rsidRPr="001B2F9B">
        <w:t>) to extreme heterogeneity (</w:t>
      </w:r>
      <w:r w:rsidRPr="00AA1AB6">
        <w:rPr>
          <w:i/>
        </w:rPr>
        <w:t>k</w:t>
      </w:r>
      <w:r w:rsidRPr="001B2F9B">
        <w:t xml:space="preserve"> = 0.0</w:t>
      </w:r>
      <w:r w:rsidR="009F3222">
        <w:t>0</w:t>
      </w:r>
      <w:r w:rsidRPr="001B2F9B">
        <w:t>1)</w:t>
      </w:r>
      <w:r w:rsidR="0070745A">
        <w:t>, according to the same color scheme as Figure 1 in the main text</w:t>
      </w:r>
      <w:r w:rsidRPr="001B2F9B">
        <w:t xml:space="preserve">. Each panel title includes the distribution’s parameterization, consisting of </w:t>
      </w:r>
      <w:r w:rsidRPr="001B2F9B">
        <w:rPr>
          <w:i/>
        </w:rPr>
        <w:t>R</w:t>
      </w:r>
      <w:r w:rsidRPr="001B2F9B">
        <w:rPr>
          <w:vertAlign w:val="subscript"/>
        </w:rPr>
        <w:t>0, within</w:t>
      </w:r>
      <w:r w:rsidRPr="001B2F9B">
        <w:t xml:space="preserve"> and the overdispersion parameter </w:t>
      </w:r>
      <w:r w:rsidRPr="00AA1AB6">
        <w:rPr>
          <w:i/>
        </w:rPr>
        <w:t>k</w:t>
      </w:r>
      <w:r w:rsidRPr="001B2F9B">
        <w:t>. Each panel title further includes the percentage of cells that are responsible for generating 80% of secondary infected cells</w:t>
      </w:r>
      <w:r w:rsidR="00AA1AB6">
        <w:t xml:space="preserve"> (written as </w:t>
      </w:r>
      <w:r w:rsidR="00AA1AB6" w:rsidRPr="00AA1AB6">
        <w:rPr>
          <w:i/>
        </w:rPr>
        <w:t>x</w:t>
      </w:r>
      <w:r w:rsidR="00AA1AB6">
        <w:t xml:space="preserve">/80, where the percentage is </w:t>
      </w:r>
      <w:r w:rsidR="00AA1AB6" w:rsidRPr="00AA1AB6">
        <w:rPr>
          <w:i/>
        </w:rPr>
        <w:t>x</w:t>
      </w:r>
      <w:r w:rsidR="00AA1AB6">
        <w:t>)</w:t>
      </w:r>
      <w:r w:rsidRPr="001B2F9B">
        <w:t>. This percentage is commonly used in the epidemiological literature to report the extent of transmission heterogeneity. We calculated this percentage using a previously described approach</w:t>
      </w:r>
      <w:r w:rsidRPr="001B2F9B">
        <w:fldChar w:fldCharType="begin"/>
      </w:r>
      <w:r w:rsidR="006E66E4">
        <w:instrText xml:space="preserve"> ADDIN ZOTERO_ITEM CSL_CITATION {"citationID":"6LOCyoqT","properties":{"formattedCitation":"\\super 3\\nosupersub{}","plainCitation":"3","noteIndex":0},"citationItems":[{"id":6157,"uris":["http://zotero.org/users/1469428/items/XR9NEQQF"],"itemData":{"id":6157,"type":"article-journal","abstract":"Background:\n              A novel coronavirus disease (COVID-19) outbreak has now spread to a number of countries worldwide. While sustained transmission chains of human-to-human transmission suggest high basic reproduction number\n              R\n              0\n              , variation in the number of secondary transmissions (often characterised by so-called superspreading events) may be large as some countries have observed fewer local transmissions than others.\n            \n            \n              Methods:\n              We quantified individual-level variation in COVID-19 transmission by applying a mathematical model to observed outbreak sizes in affected countries. We extracted the number of imported and local cases in the affected countries from the World Health Organization situation report and applied a branching process model where the number of secondary transmissions was assumed to follow a negative-binomial distribution.\n            \n            \n              Results:\n              Our model suggested a high degree of individual-level variation in the transmission of COVID-19. Within the current consensus range of\n              R\n              0\n              (2-3), the overdispersion parameter\n              k\n              of a negative-binomial distribution was estimated to be around 0.1 (median estimate 0.1; 95% CrI: 0.05-0.2 for R0 = 2.5), suggesting that 80% of secondary transmissions may have been caused by a small fraction of infectious individuals (~10%). A joint estimation yielded likely ranges for\n              R\n              0\n              and\n              k\n              (95% CrIs:\n              R\n              0\n              1.4-12;\n              k\n              0.04-0.2); however, the upper bound of\n              R\n              0\n              was not well informed by the model and data, which did not notably differ from that of the prior distribution.\n            \n            \n              Conclusions:\n              Our finding of a highly-overdispersed offspring distribution highlights a potential benefit to focusing intervention efforts on superspreading. As most infected individuals do not contribute to the expansion of an epidemic, the effective reproduction number could be drastically reduced by preventing relatively rare superspreading events.","container-title":"Wellcome Open Research","DOI":"10.12688/wellcomeopenres.15842.1","ISSN":"2398-502X","journalAbbreviation":"Wellcome Open Res","language":"en","page":"67","source":"DOI.org (Crossref)","title":"Estimating the overdispersion in COVID-19 transmission using outbreak sizes outside China","volume":"5","author":[{"family":"Endo","given":"Akira"},{"literal":"Centre for the Mathematical Modelling of Infectious Diseases COVID-19 Working Group"},{"family":"Abbott","given":"Sam"},{"family":"Kucharski","given":"Adam J."},{"family":"Funk","given":"Sebastian"}],"issued":{"date-parts":[["2020",4,9]]}}}],"schema":"https://github.com/citation-style-language/schema/raw/master/csl-citation.json"} </w:instrText>
      </w:r>
      <w:r w:rsidRPr="001B2F9B">
        <w:fldChar w:fldCharType="separate"/>
      </w:r>
      <w:r w:rsidR="006E66E4" w:rsidRPr="006E66E4">
        <w:rPr>
          <w:rFonts w:ascii="Calibri" w:hAnsi="Calibri" w:cs="Calibri"/>
          <w:szCs w:val="24"/>
          <w:vertAlign w:val="superscript"/>
        </w:rPr>
        <w:t>3</w:t>
      </w:r>
      <w:r w:rsidRPr="001B2F9B">
        <w:fldChar w:fldCharType="end"/>
      </w:r>
      <w:r w:rsidRPr="001B2F9B">
        <w:t>.</w:t>
      </w:r>
    </w:p>
    <w:p w14:paraId="30E48D58" w14:textId="1CE22038" w:rsidR="00F1367A" w:rsidRDefault="00F1367A"/>
    <w:p w14:paraId="6588BD6E" w14:textId="29FAC1DD" w:rsidR="00D11B85" w:rsidRPr="008C3237" w:rsidRDefault="00D11B85" w:rsidP="008C3237">
      <w:pPr>
        <w:pStyle w:val="ListParagraph"/>
        <w:numPr>
          <w:ilvl w:val="0"/>
          <w:numId w:val="13"/>
        </w:numPr>
        <w:ind w:left="360" w:hanging="360"/>
        <w:rPr>
          <w:i/>
          <w:sz w:val="24"/>
          <w:szCs w:val="24"/>
        </w:rPr>
      </w:pPr>
      <w:r w:rsidRPr="008C3237">
        <w:rPr>
          <w:i/>
          <w:sz w:val="24"/>
          <w:szCs w:val="24"/>
        </w:rPr>
        <w:t>Within-host model equations and parameterization</w:t>
      </w:r>
      <w:r w:rsidR="008C3237">
        <w:rPr>
          <w:i/>
          <w:sz w:val="24"/>
          <w:szCs w:val="24"/>
        </w:rPr>
        <w:t>s</w:t>
      </w:r>
    </w:p>
    <w:p w14:paraId="7120270E" w14:textId="7CFA71B5" w:rsidR="00D11B85" w:rsidRDefault="00FB4670" w:rsidP="00A27063">
      <w:pPr>
        <w:jc w:val="both"/>
        <w:rPr>
          <w:sz w:val="24"/>
          <w:szCs w:val="24"/>
        </w:rPr>
      </w:pPr>
      <w:r>
        <w:rPr>
          <w:sz w:val="24"/>
          <w:szCs w:val="24"/>
        </w:rPr>
        <w:t>The</w:t>
      </w:r>
      <w:r w:rsidR="00D11B85">
        <w:rPr>
          <w:sz w:val="24"/>
          <w:szCs w:val="24"/>
        </w:rPr>
        <w:t xml:space="preserve"> within-host model formulation we use builds on a recently published </w:t>
      </w:r>
      <w:r w:rsidR="00867CBF">
        <w:rPr>
          <w:sz w:val="24"/>
          <w:szCs w:val="24"/>
        </w:rPr>
        <w:t>model that was parameterized</w:t>
      </w:r>
      <w:r w:rsidR="00097873">
        <w:rPr>
          <w:sz w:val="24"/>
          <w:szCs w:val="24"/>
        </w:rPr>
        <w:t xml:space="preserve"> by a combination of empirical</w:t>
      </w:r>
      <w:r w:rsidR="00867CBF">
        <w:rPr>
          <w:sz w:val="24"/>
          <w:szCs w:val="24"/>
        </w:rPr>
        <w:t xml:space="preserve"> estimates and fits to viral load data from SARS-CoV-2 infected individuals</w:t>
      </w:r>
      <w:r w:rsidR="006E66E4">
        <w:rPr>
          <w:sz w:val="24"/>
          <w:szCs w:val="24"/>
        </w:rPr>
        <w:fldChar w:fldCharType="begin"/>
      </w:r>
      <w:r w:rsidR="007201F2">
        <w:rPr>
          <w:sz w:val="24"/>
          <w:szCs w:val="24"/>
        </w:rPr>
        <w:instrText xml:space="preserve"> ADDIN ZOTERO_ITEM CSL_CITATION {"citationID":"3TPCVuAI","properties":{"formattedCitation":"\\super 2\\nosupersub{}","plainCitation":"2","noteIndex":0},"citationItems":[{"id":7473,"uris":["http://zotero.org/users/1469428/items/M7RFXC59"],"itemData":{"id":7473,"type":"article-journal","abstract":"The within-host viral kinetics of SARS-CoV-2 infection and how they relate to a person’s infectiousness are not well understood. This limits our ability to quantify the impact of interventions on viral transmission. Here, we develop viral dynamic models of SARS-CoV-2 infection and fit them to data to estimate key within-host parameters such as the infected cell half-life and the within-host reproductive number. We then develop a model linking viral load (VL) to infectiousness and show a person’s infectiousness increases sublinearly with VL and that the logarithm of the VL in the upper respiratory tract is a better surrogate of infectiousness than the VL itself. Using data on VL and the predicted infectiousness, we further incorporated data on antigen and RT-PCR tests and compared their usefulness in detecting infection and preventing transmission. We found that RT-PCR tests perform better than antigen tests assuming equal testing frequency; however, more frequent antigen testing may perform equally well with RT-PCR tests at a lower cost but with many more false-negative tests. Overall, our models provide a quantitative framework for inferring the impact of therapeutics and vaccines that lower VL on the infectiousness of individuals and for evaluating rapid testing strategies.","container-title":"Proceedings of the National Academy of Sciences","DOI":"10.1073/pnas.2111477118","ISSN":"0027-8424, 1091-6490","issue":"49","journalAbbreviation":"Proc Natl Acad Sci USA","language":"en","page":"e2111477118","source":"DOI.org (Crossref)","title":"In vivo kinetics of SARS-CoV-2 infection and its relationship with a person’s infectiousness","volume":"118","author":[{"family":"Ke","given":"Ruian"},{"family":"Zitzmann","given":"Carolin"},{"family":"Ho","given":"David D."},{"family":"Ribeiro","given":"Ruy M."},{"family":"Perelson","given":"Alan S."}],"issued":{"date-parts":[["2021",12,7]]}}}],"schema":"https://github.com/citation-style-language/schema/raw/master/csl-citation.json"} </w:instrText>
      </w:r>
      <w:r w:rsidR="006E66E4">
        <w:rPr>
          <w:sz w:val="24"/>
          <w:szCs w:val="24"/>
        </w:rPr>
        <w:fldChar w:fldCharType="separate"/>
      </w:r>
      <w:r w:rsidR="007201F2" w:rsidRPr="007201F2">
        <w:rPr>
          <w:rFonts w:ascii="Calibri" w:hAnsi="Calibri" w:cs="Calibri"/>
          <w:sz w:val="24"/>
          <w:szCs w:val="24"/>
          <w:vertAlign w:val="superscript"/>
        </w:rPr>
        <w:t>2</w:t>
      </w:r>
      <w:r w:rsidR="006E66E4">
        <w:rPr>
          <w:sz w:val="24"/>
          <w:szCs w:val="24"/>
        </w:rPr>
        <w:fldChar w:fldCharType="end"/>
      </w:r>
      <w:r w:rsidR="00867CBF">
        <w:rPr>
          <w:sz w:val="24"/>
          <w:szCs w:val="24"/>
        </w:rPr>
        <w:t>.</w:t>
      </w:r>
      <w:r w:rsidR="006E66E4">
        <w:rPr>
          <w:sz w:val="24"/>
          <w:szCs w:val="24"/>
        </w:rPr>
        <w:t xml:space="preserve"> Based on existing within-host model structures for acute respiratory infections such as influenza</w:t>
      </w:r>
      <w:r w:rsidR="006E66E4">
        <w:rPr>
          <w:sz w:val="24"/>
          <w:szCs w:val="24"/>
        </w:rPr>
        <w:fldChar w:fldCharType="begin"/>
      </w:r>
      <w:r w:rsidR="006E66E4">
        <w:rPr>
          <w:sz w:val="24"/>
          <w:szCs w:val="24"/>
        </w:rPr>
        <w:instrText xml:space="preserve"> ADDIN ZOTERO_ITEM CSL_CITATION {"citationID":"KsxYo2Mz","properties":{"formattedCitation":"\\super 4\\nosupersub{}","plainCitation":"4","noteIndex":0},"citationItems":[{"id":494,"uris":["http://zotero.org/users/1469428/items/VJCBJCGB"],"itemData":{"id":494,"type":"article-journal","abstract":"Author SummaryInfluenza, commonly referred to as the flu, is a contagious respiratory illness caused by influenza virus infections. Although most infected subjects with intact immune systems are able to clear the virus without developing serious flu complications, the mechanisms underlying viral control are not fully understood. In this paper, we address this question by developing mathematical models that include both innate and adaptive immune responses, and fitting them to experimental data from horses infected with equine influenza virus. We find that the innate immune response, such as natural killer cell-mediated infected cell killing and interferon's antiviral effect, can explain the first rapid viral decline and subsequent second peak viremia, and that the adaptive immune response is needed to eventually clear the virus. This study improves our understanding of influenza virus dynamics and may provide more information for future research in influenza pathogenesis, treatment, and vaccination.","container-title":"PLoS Comput Biol","DOI":"10.1371/journal.pcbi.1002588","issue":"6","journalAbbreviation":"PLoS Comput Biol","page":"e1002588","source":"PLoS Journals","title":"Modeling Within-Host Dynamics of Influenza Virus Infection Including Immune Responses","volume":"8","author":[{"family":"Pawelek","given":"Kasia A."},{"family":"Huynh","given":"Giao T."},{"family":"Quinlivan","given":"Michelle"},{"family":"Cullinane","given":"Ann"},{"family":"Rong","given":"Libin"},{"family":"Perelson","given":"Alan S."}],"issued":{"date-parts":[["2012",6,28]]}}}],"schema":"https://github.com/citation-style-language/schema/raw/master/csl-citation.json"} </w:instrText>
      </w:r>
      <w:r w:rsidR="006E66E4">
        <w:rPr>
          <w:sz w:val="24"/>
          <w:szCs w:val="24"/>
        </w:rPr>
        <w:fldChar w:fldCharType="separate"/>
      </w:r>
      <w:r w:rsidR="006E66E4" w:rsidRPr="006E66E4">
        <w:rPr>
          <w:rFonts w:ascii="Calibri" w:hAnsi="Calibri" w:cs="Calibri"/>
          <w:sz w:val="24"/>
          <w:szCs w:val="24"/>
          <w:vertAlign w:val="superscript"/>
        </w:rPr>
        <w:t>4</w:t>
      </w:r>
      <w:r w:rsidR="006E66E4">
        <w:rPr>
          <w:sz w:val="24"/>
          <w:szCs w:val="24"/>
        </w:rPr>
        <w:fldChar w:fldCharType="end"/>
      </w:r>
      <w:r w:rsidR="006E66E4">
        <w:rPr>
          <w:sz w:val="24"/>
          <w:szCs w:val="24"/>
        </w:rPr>
        <w:t>, the published SARS-CoV-2 model is given by</w:t>
      </w:r>
      <w:r w:rsidR="006E66E4">
        <w:rPr>
          <w:sz w:val="24"/>
          <w:szCs w:val="24"/>
        </w:rPr>
        <w:fldChar w:fldCharType="begin"/>
      </w:r>
      <w:r w:rsidR="007201F2">
        <w:rPr>
          <w:sz w:val="24"/>
          <w:szCs w:val="24"/>
        </w:rPr>
        <w:instrText xml:space="preserve"> ADDIN ZOTERO_ITEM CSL_CITATION {"citationID":"fL8IINqb","properties":{"formattedCitation":"\\super 2\\nosupersub{}","plainCitation":"2","noteIndex":0},"citationItems":[{"id":7473,"uris":["http://zotero.org/users/1469428/items/M7RFXC59"],"itemData":{"id":7473,"type":"article-journal","abstract":"The within-host viral kinetics of SARS-CoV-2 infection and how they relate to a person’s infectiousness are not well understood. This limits our ability to quantify the impact of interventions on viral transmission. Here, we develop viral dynamic models of SARS-CoV-2 infection and fit them to data to estimate key within-host parameters such as the infected cell half-life and the within-host reproductive number. We then develop a model linking viral load (VL) to infectiousness and show a person’s infectiousness increases sublinearly with VL and that the logarithm of the VL in the upper respiratory tract is a better surrogate of infectiousness than the VL itself. Using data on VL and the predicted infectiousness, we further incorporated data on antigen and RT-PCR tests and compared their usefulness in detecting infection and preventing transmission. We found that RT-PCR tests perform better than antigen tests assuming equal testing frequency; however, more frequent antigen testing may perform equally well with RT-PCR tests at a lower cost but with many more false-negative tests. Overall, our models provide a quantitative framework for inferring the impact of therapeutics and vaccines that lower VL on the infectiousness of individuals and for evaluating rapid testing strategies.","container-title":"Proceedings of the National Academy of Sciences","DOI":"10.1073/pnas.2111477118","ISSN":"0027-8424, 1091-6490","issue":"49","journalAbbreviation":"Proc Natl Acad Sci USA","language":"en","page":"e2111477118","source":"DOI.org (Crossref)","title":"In vivo kinetics of SARS-CoV-2 infection and its relationship with a person’s infectiousness","volume":"118","author":[{"family":"Ke","given":"Ruian"},{"family":"Zitzmann","given":"Carolin"},{"family":"Ho","given":"David D."},{"family":"Ribeiro","given":"Ruy M."},{"family":"Perelson","given":"Alan S."}],"issued":{"date-parts":[["2021",12,7]]}}}],"schema":"https://github.com/citation-style-language/schema/raw/master/csl-citation.json"} </w:instrText>
      </w:r>
      <w:r w:rsidR="006E66E4">
        <w:rPr>
          <w:sz w:val="24"/>
          <w:szCs w:val="24"/>
        </w:rPr>
        <w:fldChar w:fldCharType="separate"/>
      </w:r>
      <w:r w:rsidR="007201F2" w:rsidRPr="007201F2">
        <w:rPr>
          <w:rFonts w:ascii="Calibri" w:hAnsi="Calibri" w:cs="Calibri"/>
          <w:sz w:val="24"/>
          <w:szCs w:val="24"/>
          <w:vertAlign w:val="superscript"/>
        </w:rPr>
        <w:t>2</w:t>
      </w:r>
      <w:r w:rsidR="006E66E4">
        <w:rPr>
          <w:sz w:val="24"/>
          <w:szCs w:val="24"/>
        </w:rPr>
        <w:fldChar w:fldCharType="end"/>
      </w:r>
      <w:r w:rsidR="006E66E4">
        <w:rPr>
          <w:sz w:val="24"/>
          <w:szCs w:val="24"/>
        </w:rPr>
        <w:t>:</w:t>
      </w:r>
    </w:p>
    <w:p w14:paraId="3B0F0129" w14:textId="5CFA5D90" w:rsidR="006E66E4" w:rsidRPr="006E66E4" w:rsidRDefault="00740A88">
      <w:pPr>
        <w:rPr>
          <w:rFonts w:eastAsiaTheme="minorEastAsia"/>
          <w:sz w:val="24"/>
          <w:szCs w:val="24"/>
        </w:rPr>
      </w:pPr>
      <m:oMathPara>
        <m:oMath>
          <m:f>
            <m:fPr>
              <m:type m:val="lin"/>
              <m:ctrlPr>
                <w:rPr>
                  <w:rFonts w:ascii="Cambria Math" w:hAnsi="Cambria Math"/>
                  <w:i/>
                  <w:sz w:val="24"/>
                  <w:szCs w:val="24"/>
                </w:rPr>
              </m:ctrlPr>
            </m:fPr>
            <m:num>
              <m:r>
                <w:rPr>
                  <w:rFonts w:ascii="Cambria Math" w:hAnsi="Cambria Math"/>
                  <w:sz w:val="24"/>
                  <w:szCs w:val="24"/>
                </w:rPr>
                <m:t>dT</m:t>
              </m:r>
            </m:num>
            <m:den>
              <m:r>
                <w:rPr>
                  <w:rFonts w:ascii="Cambria Math" w:hAnsi="Cambria Math"/>
                  <w:sz w:val="24"/>
                  <w:szCs w:val="24"/>
                </w:rPr>
                <m:t>dt=-βVT-</m:t>
              </m:r>
              <m:r>
                <m:rPr>
                  <m:sty m:val="p"/>
                </m:rPr>
                <w:rPr>
                  <w:rFonts w:ascii="Cambria Math" w:hAnsi="Cambria Math"/>
                  <w:sz w:val="24"/>
                  <w:szCs w:val="24"/>
                </w:rPr>
                <m:t>Φ</m:t>
              </m:r>
              <m:r>
                <w:rPr>
                  <w:rFonts w:ascii="Cambria Math" w:hAnsi="Cambria Math"/>
                  <w:sz w:val="24"/>
                  <w:szCs w:val="24"/>
                </w:rPr>
                <m:t>IT+ρR</m:t>
              </m:r>
            </m:den>
          </m:f>
        </m:oMath>
      </m:oMathPara>
    </w:p>
    <w:p w14:paraId="6E55FF2C" w14:textId="46889FDD" w:rsidR="006E66E4" w:rsidRPr="006E66E4" w:rsidRDefault="00740A88" w:rsidP="006E66E4">
      <w:pPr>
        <w:rPr>
          <w:rFonts w:eastAsiaTheme="minorEastAsia"/>
          <w:sz w:val="24"/>
          <w:szCs w:val="24"/>
        </w:rPr>
      </w:pPr>
      <m:oMathPara>
        <m:oMath>
          <m:f>
            <m:fPr>
              <m:type m:val="lin"/>
              <m:ctrlPr>
                <w:rPr>
                  <w:rFonts w:ascii="Cambria Math" w:hAnsi="Cambria Math"/>
                  <w:i/>
                  <w:sz w:val="24"/>
                  <w:szCs w:val="24"/>
                </w:rPr>
              </m:ctrlPr>
            </m:fPr>
            <m:num>
              <m:r>
                <w:rPr>
                  <w:rFonts w:ascii="Cambria Math" w:hAnsi="Cambria Math"/>
                  <w:sz w:val="24"/>
                  <w:szCs w:val="24"/>
                </w:rPr>
                <m:t>dR</m:t>
              </m:r>
            </m:num>
            <m:den>
              <m:r>
                <w:rPr>
                  <w:rFonts w:ascii="Cambria Math" w:hAnsi="Cambria Math"/>
                  <w:sz w:val="24"/>
                  <w:szCs w:val="24"/>
                </w:rPr>
                <m:t>dt=</m:t>
              </m:r>
              <m:r>
                <m:rPr>
                  <m:sty m:val="p"/>
                </m:rPr>
                <w:rPr>
                  <w:rFonts w:ascii="Cambria Math" w:hAnsi="Cambria Math"/>
                  <w:sz w:val="24"/>
                  <w:szCs w:val="24"/>
                </w:rPr>
                <m:t>Φ</m:t>
              </m:r>
              <m:r>
                <w:rPr>
                  <w:rFonts w:ascii="Cambria Math" w:hAnsi="Cambria Math"/>
                  <w:sz w:val="24"/>
                  <w:szCs w:val="24"/>
                </w:rPr>
                <m:t>IT-ρR</m:t>
              </m:r>
            </m:den>
          </m:f>
        </m:oMath>
      </m:oMathPara>
    </w:p>
    <w:p w14:paraId="2C7BF4F7" w14:textId="3B60ACA6" w:rsidR="006E66E4" w:rsidRPr="006E66E4" w:rsidRDefault="00740A88" w:rsidP="006E66E4">
      <w:pPr>
        <w:rPr>
          <w:rFonts w:eastAsiaTheme="minorEastAsia"/>
          <w:sz w:val="24"/>
          <w:szCs w:val="24"/>
        </w:rPr>
      </w:pPr>
      <m:oMathPara>
        <m:oMath>
          <m:f>
            <m:fPr>
              <m:type m:val="lin"/>
              <m:ctrlPr>
                <w:rPr>
                  <w:rFonts w:ascii="Cambria Math" w:hAnsi="Cambria Math"/>
                  <w:i/>
                  <w:sz w:val="24"/>
                  <w:szCs w:val="24"/>
                </w:rPr>
              </m:ctrlPr>
            </m:fPr>
            <m:num>
              <m:r>
                <w:rPr>
                  <w:rFonts w:ascii="Cambria Math" w:hAnsi="Cambria Math"/>
                  <w:sz w:val="24"/>
                  <w:szCs w:val="24"/>
                </w:rPr>
                <m:t>dE</m:t>
              </m:r>
            </m:num>
            <m:den>
              <m:r>
                <w:rPr>
                  <w:rFonts w:ascii="Cambria Math" w:hAnsi="Cambria Math"/>
                  <w:sz w:val="24"/>
                  <w:szCs w:val="24"/>
                </w:rPr>
                <m:t>dt=βVT-kE</m:t>
              </m:r>
            </m:den>
          </m:f>
        </m:oMath>
      </m:oMathPara>
    </w:p>
    <w:p w14:paraId="60187FB6" w14:textId="14CB26A2" w:rsidR="006E66E4" w:rsidRPr="006E66E4" w:rsidRDefault="00740A88" w:rsidP="006E66E4">
      <w:pPr>
        <w:rPr>
          <w:rFonts w:eastAsiaTheme="minorEastAsia"/>
          <w:sz w:val="24"/>
          <w:szCs w:val="24"/>
        </w:rPr>
      </w:pPr>
      <m:oMathPara>
        <m:oMath>
          <m:f>
            <m:fPr>
              <m:type m:val="lin"/>
              <m:ctrlPr>
                <w:rPr>
                  <w:rFonts w:ascii="Cambria Math" w:hAnsi="Cambria Math"/>
                  <w:i/>
                  <w:sz w:val="24"/>
                  <w:szCs w:val="24"/>
                </w:rPr>
              </m:ctrlPr>
            </m:fPr>
            <m:num>
              <m:r>
                <w:rPr>
                  <w:rFonts w:ascii="Cambria Math" w:hAnsi="Cambria Math"/>
                  <w:sz w:val="24"/>
                  <w:szCs w:val="24"/>
                </w:rPr>
                <m:t>dI</m:t>
              </m:r>
            </m:num>
            <m:den>
              <m:r>
                <w:rPr>
                  <w:rFonts w:ascii="Cambria Math" w:hAnsi="Cambria Math"/>
                  <w:sz w:val="24"/>
                  <w:szCs w:val="24"/>
                </w:rPr>
                <m:t>dt=kE-δI</m:t>
              </m:r>
            </m:den>
          </m:f>
        </m:oMath>
      </m:oMathPara>
    </w:p>
    <w:p w14:paraId="1EBFBE58" w14:textId="445640CF" w:rsidR="006E66E4" w:rsidRDefault="00740A88" w:rsidP="006E66E4">
      <w:pPr>
        <w:rPr>
          <w:sz w:val="24"/>
          <w:szCs w:val="24"/>
        </w:rPr>
      </w:pPr>
      <m:oMathPara>
        <m:oMath>
          <m:f>
            <m:fPr>
              <m:type m:val="lin"/>
              <m:ctrlPr>
                <w:rPr>
                  <w:rFonts w:ascii="Cambria Math" w:hAnsi="Cambria Math"/>
                  <w:i/>
                  <w:sz w:val="24"/>
                  <w:szCs w:val="24"/>
                </w:rPr>
              </m:ctrlPr>
            </m:fPr>
            <m:num>
              <m:r>
                <w:rPr>
                  <w:rFonts w:ascii="Cambria Math" w:hAnsi="Cambria Math"/>
                  <w:sz w:val="24"/>
                  <w:szCs w:val="24"/>
                </w:rPr>
                <m:t>dV</m:t>
              </m:r>
            </m:num>
            <m:den>
              <m:r>
                <w:rPr>
                  <w:rFonts w:ascii="Cambria Math" w:hAnsi="Cambria Math"/>
                  <w:sz w:val="24"/>
                  <w:szCs w:val="24"/>
                </w:rPr>
                <m:t>dt=πI-cV</m:t>
              </m:r>
            </m:den>
          </m:f>
        </m:oMath>
      </m:oMathPara>
    </w:p>
    <w:p w14:paraId="3A14B3F8" w14:textId="77777777" w:rsidR="00D27785" w:rsidRDefault="006E66E4" w:rsidP="00A27063">
      <w:pPr>
        <w:jc w:val="both"/>
        <w:rPr>
          <w:sz w:val="24"/>
          <w:szCs w:val="24"/>
        </w:rPr>
      </w:pPr>
      <w:r>
        <w:rPr>
          <w:sz w:val="24"/>
          <w:szCs w:val="24"/>
        </w:rPr>
        <w:t>The variables correspond to:</w:t>
      </w:r>
    </w:p>
    <w:p w14:paraId="42FC8F16" w14:textId="6E0A09D8" w:rsidR="00D27785" w:rsidRDefault="006E66E4" w:rsidP="00A27063">
      <w:pPr>
        <w:jc w:val="both"/>
        <w:rPr>
          <w:sz w:val="24"/>
          <w:szCs w:val="24"/>
        </w:rPr>
      </w:pPr>
      <w:r w:rsidRPr="00167F54">
        <w:rPr>
          <w:i/>
          <w:sz w:val="24"/>
          <w:szCs w:val="24"/>
        </w:rPr>
        <w:t>T</w:t>
      </w:r>
      <w:r>
        <w:rPr>
          <w:sz w:val="24"/>
          <w:szCs w:val="24"/>
        </w:rPr>
        <w:t xml:space="preserve"> = uninfected target cells that are </w:t>
      </w:r>
      <w:r w:rsidR="00D27785">
        <w:rPr>
          <w:sz w:val="24"/>
          <w:szCs w:val="24"/>
        </w:rPr>
        <w:t>susceptible to viral infection;</w:t>
      </w:r>
    </w:p>
    <w:p w14:paraId="3FBC36F3" w14:textId="77777777" w:rsidR="00D27785" w:rsidRDefault="006E66E4" w:rsidP="00A27063">
      <w:pPr>
        <w:jc w:val="both"/>
        <w:rPr>
          <w:sz w:val="24"/>
          <w:szCs w:val="24"/>
        </w:rPr>
      </w:pPr>
      <w:r w:rsidRPr="00167F54">
        <w:rPr>
          <w:i/>
          <w:sz w:val="24"/>
          <w:szCs w:val="24"/>
        </w:rPr>
        <w:t>R</w:t>
      </w:r>
      <w:r>
        <w:rPr>
          <w:sz w:val="24"/>
          <w:szCs w:val="24"/>
        </w:rPr>
        <w:t xml:space="preserve"> = uninfected target cells that are refractory to viral infection</w:t>
      </w:r>
      <w:r w:rsidR="00167F54">
        <w:rPr>
          <w:sz w:val="24"/>
          <w:szCs w:val="24"/>
        </w:rPr>
        <w:t xml:space="preserve"> due to being in an anti-viral state</w:t>
      </w:r>
      <w:r w:rsidR="00D27785">
        <w:rPr>
          <w:sz w:val="24"/>
          <w:szCs w:val="24"/>
        </w:rPr>
        <w:t>;</w:t>
      </w:r>
    </w:p>
    <w:p w14:paraId="01FB1321" w14:textId="77777777" w:rsidR="00D27785" w:rsidRDefault="00167F54" w:rsidP="00A27063">
      <w:pPr>
        <w:jc w:val="both"/>
        <w:rPr>
          <w:sz w:val="24"/>
          <w:szCs w:val="24"/>
        </w:rPr>
      </w:pPr>
      <w:r w:rsidRPr="00167F54">
        <w:rPr>
          <w:i/>
          <w:sz w:val="24"/>
          <w:szCs w:val="24"/>
        </w:rPr>
        <w:t>E</w:t>
      </w:r>
      <w:r>
        <w:rPr>
          <w:sz w:val="24"/>
          <w:szCs w:val="24"/>
        </w:rPr>
        <w:t xml:space="preserve"> = infected cells that are not yet producing viral progeny (that is, cells in their eclipse phase)</w:t>
      </w:r>
      <w:r w:rsidR="00D27785">
        <w:rPr>
          <w:sz w:val="24"/>
          <w:szCs w:val="24"/>
        </w:rPr>
        <w:t>;</w:t>
      </w:r>
    </w:p>
    <w:p w14:paraId="13457E2D" w14:textId="77777777" w:rsidR="00D27785" w:rsidRDefault="00167F54" w:rsidP="00A27063">
      <w:pPr>
        <w:jc w:val="both"/>
        <w:rPr>
          <w:sz w:val="24"/>
          <w:szCs w:val="24"/>
        </w:rPr>
      </w:pPr>
      <w:r w:rsidRPr="00167F54">
        <w:rPr>
          <w:i/>
          <w:sz w:val="24"/>
          <w:szCs w:val="24"/>
        </w:rPr>
        <w:t>I</w:t>
      </w:r>
      <w:r>
        <w:rPr>
          <w:sz w:val="24"/>
          <w:szCs w:val="24"/>
        </w:rPr>
        <w:t xml:space="preserve"> = infected cells that are activ</w:t>
      </w:r>
      <w:r w:rsidR="00D27785">
        <w:rPr>
          <w:sz w:val="24"/>
          <w:szCs w:val="24"/>
        </w:rPr>
        <w:t>ely producing viral progeny;</w:t>
      </w:r>
    </w:p>
    <w:p w14:paraId="086F0571" w14:textId="6764EDB1" w:rsidR="00D27785" w:rsidRDefault="00167F54" w:rsidP="00A27063">
      <w:pPr>
        <w:jc w:val="both"/>
        <w:rPr>
          <w:sz w:val="24"/>
          <w:szCs w:val="24"/>
        </w:rPr>
      </w:pPr>
      <w:r w:rsidRPr="00167F54">
        <w:rPr>
          <w:i/>
          <w:sz w:val="24"/>
          <w:szCs w:val="24"/>
        </w:rPr>
        <w:t>V</w:t>
      </w:r>
      <w:r>
        <w:rPr>
          <w:sz w:val="24"/>
          <w:szCs w:val="24"/>
        </w:rPr>
        <w:t xml:space="preserve"> = free virus. </w:t>
      </w:r>
    </w:p>
    <w:p w14:paraId="47FC9153" w14:textId="383470EC" w:rsidR="00167F54" w:rsidRDefault="00D27785" w:rsidP="00A27063">
      <w:pPr>
        <w:jc w:val="both"/>
        <w:rPr>
          <w:sz w:val="24"/>
          <w:szCs w:val="24"/>
        </w:rPr>
      </w:pPr>
      <w:r w:rsidRPr="00D27785">
        <w:rPr>
          <w:sz w:val="24"/>
          <w:szCs w:val="24"/>
        </w:rPr>
        <w:t>The number of uninfected target cells that are susceptible to viral infection</w:t>
      </w:r>
      <w:r>
        <w:rPr>
          <w:i/>
          <w:sz w:val="24"/>
          <w:szCs w:val="24"/>
        </w:rPr>
        <w:t xml:space="preserve"> </w:t>
      </w:r>
      <w:r w:rsidR="00167F54" w:rsidRPr="007E00C2">
        <w:rPr>
          <w:i/>
          <w:sz w:val="24"/>
          <w:szCs w:val="24"/>
        </w:rPr>
        <w:t>T</w:t>
      </w:r>
      <w:r w:rsidR="00167F54">
        <w:rPr>
          <w:sz w:val="24"/>
          <w:szCs w:val="24"/>
        </w:rPr>
        <w:t xml:space="preserve"> decreases with cells becoming infected and with cells entering a refractory anti-viral state, and increases with refractory cells becoming re-susceptible to infection.</w:t>
      </w:r>
      <w:r>
        <w:rPr>
          <w:sz w:val="24"/>
          <w:szCs w:val="24"/>
        </w:rPr>
        <w:t xml:space="preserve"> The number of refractory cells</w:t>
      </w:r>
      <w:r w:rsidR="00167F54">
        <w:rPr>
          <w:sz w:val="24"/>
          <w:szCs w:val="24"/>
        </w:rPr>
        <w:t xml:space="preserve"> </w:t>
      </w:r>
      <w:r w:rsidR="00167F54" w:rsidRPr="007E00C2">
        <w:rPr>
          <w:i/>
          <w:sz w:val="24"/>
          <w:szCs w:val="24"/>
        </w:rPr>
        <w:t>R</w:t>
      </w:r>
      <w:r w:rsidR="00167F54">
        <w:rPr>
          <w:sz w:val="24"/>
          <w:szCs w:val="24"/>
        </w:rPr>
        <w:t xml:space="preserve"> increases with cells entering a refractory anti-viral state, and decreases with refractory cells becoming re-susceptible to infection.</w:t>
      </w:r>
      <w:r>
        <w:rPr>
          <w:sz w:val="24"/>
          <w:szCs w:val="24"/>
        </w:rPr>
        <w:t xml:space="preserve"> The number of eclipse phase cells</w:t>
      </w:r>
      <w:r w:rsidR="00167F54">
        <w:rPr>
          <w:sz w:val="24"/>
          <w:szCs w:val="24"/>
        </w:rPr>
        <w:t xml:space="preserve"> </w:t>
      </w:r>
      <w:r w:rsidR="00167F54" w:rsidRPr="007E00C2">
        <w:rPr>
          <w:i/>
          <w:sz w:val="24"/>
          <w:szCs w:val="24"/>
        </w:rPr>
        <w:t>E</w:t>
      </w:r>
      <w:r w:rsidR="00167F54">
        <w:rPr>
          <w:sz w:val="24"/>
          <w:szCs w:val="24"/>
        </w:rPr>
        <w:t xml:space="preserve"> increases with cells becoming infected and decreases with cells transitioning to being productively infected.</w:t>
      </w:r>
      <w:r>
        <w:rPr>
          <w:sz w:val="24"/>
          <w:szCs w:val="24"/>
        </w:rPr>
        <w:t xml:space="preserve"> The number of actively producing infected cells</w:t>
      </w:r>
      <w:r w:rsidR="00167F54">
        <w:rPr>
          <w:sz w:val="24"/>
          <w:szCs w:val="24"/>
        </w:rPr>
        <w:t xml:space="preserve"> </w:t>
      </w:r>
      <w:r w:rsidR="00167F54" w:rsidRPr="007E00C2">
        <w:rPr>
          <w:i/>
          <w:sz w:val="24"/>
          <w:szCs w:val="24"/>
        </w:rPr>
        <w:t>I</w:t>
      </w:r>
      <w:r w:rsidR="00167F54">
        <w:rPr>
          <w:sz w:val="24"/>
          <w:szCs w:val="24"/>
        </w:rPr>
        <w:t xml:space="preserve"> increases with cells transitioning to being productively infected and decreases with infected cell death.</w:t>
      </w:r>
      <w:r>
        <w:rPr>
          <w:sz w:val="24"/>
          <w:szCs w:val="24"/>
        </w:rPr>
        <w:t xml:space="preserve"> The concentration of free virus</w:t>
      </w:r>
      <w:r w:rsidR="00167F54">
        <w:rPr>
          <w:sz w:val="24"/>
          <w:szCs w:val="24"/>
        </w:rPr>
        <w:t xml:space="preserve"> </w:t>
      </w:r>
      <w:r w:rsidR="00167F54" w:rsidRPr="007E00C2">
        <w:rPr>
          <w:i/>
          <w:sz w:val="24"/>
          <w:szCs w:val="24"/>
        </w:rPr>
        <w:t>V</w:t>
      </w:r>
      <w:r w:rsidR="00167F54">
        <w:rPr>
          <w:sz w:val="24"/>
          <w:szCs w:val="24"/>
        </w:rPr>
        <w:t xml:space="preserve"> increases with viral progeny produced from productively infected cells and decreases with viral clearance. In this model, innate immune mediators, such as interferons, are not explicitly modeled, but are assumed to be in quasi-steady-state with </w:t>
      </w:r>
      <w:r w:rsidR="007E00C2">
        <w:rPr>
          <w:sz w:val="24"/>
          <w:szCs w:val="24"/>
        </w:rPr>
        <w:t>productively infected</w:t>
      </w:r>
      <w:r w:rsidR="00167F54">
        <w:rPr>
          <w:sz w:val="24"/>
          <w:szCs w:val="24"/>
        </w:rPr>
        <w:t xml:space="preserve"> cells, such that their concentration at any point in time is proportional to </w:t>
      </w:r>
      <w:r w:rsidR="007E00C2" w:rsidRPr="007E00C2">
        <w:rPr>
          <w:i/>
          <w:sz w:val="24"/>
          <w:szCs w:val="24"/>
        </w:rPr>
        <w:t>I</w:t>
      </w:r>
      <w:r w:rsidR="00167F54">
        <w:rPr>
          <w:sz w:val="24"/>
          <w:szCs w:val="24"/>
        </w:rPr>
        <w:t xml:space="preserve">. </w:t>
      </w:r>
      <w:r w:rsidR="007E00C2">
        <w:rPr>
          <w:sz w:val="24"/>
          <w:szCs w:val="24"/>
        </w:rPr>
        <w:t xml:space="preserve">The term </w:t>
      </w:r>
      <m:oMath>
        <m:r>
          <m:rPr>
            <m:sty m:val="p"/>
          </m:rPr>
          <w:rPr>
            <w:rFonts w:ascii="Cambria Math" w:hAnsi="Cambria Math"/>
            <w:sz w:val="24"/>
            <w:szCs w:val="24"/>
          </w:rPr>
          <m:t>Φ</m:t>
        </m:r>
        <m:r>
          <w:rPr>
            <w:rFonts w:ascii="Cambria Math" w:hAnsi="Cambria Math"/>
            <w:sz w:val="24"/>
            <w:szCs w:val="24"/>
          </w:rPr>
          <m:t>IT</m:t>
        </m:r>
      </m:oMath>
      <w:r w:rsidR="007E00C2">
        <w:rPr>
          <w:sz w:val="24"/>
          <w:szCs w:val="24"/>
        </w:rPr>
        <w:t xml:space="preserve"> thus represents susceptible target cells becoming refractory to infection by contact with innate immune mediators (rather than productively infected cells per se). </w:t>
      </w:r>
    </w:p>
    <w:p w14:paraId="466D9D0D" w14:textId="3D8A01F8" w:rsidR="004944ED" w:rsidRDefault="006E66E4" w:rsidP="00A27063">
      <w:pPr>
        <w:jc w:val="both"/>
        <w:rPr>
          <w:rFonts w:eastAsiaTheme="minorEastAsia"/>
          <w:sz w:val="24"/>
          <w:szCs w:val="24"/>
        </w:rPr>
      </w:pPr>
      <w:r>
        <w:rPr>
          <w:sz w:val="24"/>
          <w:szCs w:val="24"/>
        </w:rPr>
        <w:t>We further phenomenologically incorporate the adaptive (cellular) immune response, based on a previously described approach</w:t>
      </w:r>
      <w:r>
        <w:rPr>
          <w:sz w:val="24"/>
          <w:szCs w:val="24"/>
        </w:rPr>
        <w:fldChar w:fldCharType="begin"/>
      </w:r>
      <w:r w:rsidR="004944ED">
        <w:rPr>
          <w:sz w:val="24"/>
          <w:szCs w:val="24"/>
        </w:rPr>
        <w:instrText xml:space="preserve"> ADDIN ZOTERO_ITEM CSL_CITATION {"citationID":"6TEC9ChN","properties":{"formattedCitation":"\\super 4\\nosupersub{}","plainCitation":"4","noteIndex":0},"citationItems":[{"id":494,"uris":["http://zotero.org/users/1469428/items/VJCBJCGB"],"itemData":{"id":494,"type":"article-journal","abstract":"Author SummaryInfluenza, commonly referred to as the flu, is a contagious respiratory illness caused by influenza virus infections. Although most infected subjects with intact immune systems are able to clear the virus without developing serious flu complications, the mechanisms underlying viral control are not fully understood. In this paper, we address this question by developing mathematical models that include both innate and adaptive immune responses, and fitting them to experimental data from horses infected with equine influenza virus. We find that the innate immune response, such as natural killer cell-mediated infected cell killing and interferon's antiviral effect, can explain the first rapid viral decline and subsequent second peak viremia, and that the adaptive immune response is needed to eventually clear the virus. This study improves our understanding of influenza virus dynamics and may provide more information for future research in influenza pathogenesis, treatment, and vaccination.","container-title":"PLoS Comput Biol","DOI":"10.1371/journal.pcbi.1002588","issue":"6","journalAbbreviation":"PLoS Comput Biol","page":"e1002588","source":"PLoS Journals","title":"Modeling Within-Host Dynamics of Influenza Virus Infection Including Immune Responses","volume":"8","author":[{"family":"Pawelek","given":"Kasia A."},{"family":"Huynh","given":"Giao T."},{"family":"Quinlivan","given":"Michelle"},{"family":"Cullinane","given":"Ann"},{"family":"Rong","given":"Libin"},{"family":"Perelson","given":"Alan S."}],"issued":{"date-parts":[["2012",6,28]]}}}],"schema":"https://github.com/citation-style-language/schema/raw/master/csl-citation.json"} </w:instrText>
      </w:r>
      <w:r>
        <w:rPr>
          <w:sz w:val="24"/>
          <w:szCs w:val="24"/>
        </w:rPr>
        <w:fldChar w:fldCharType="separate"/>
      </w:r>
      <w:r w:rsidRPr="006E66E4">
        <w:rPr>
          <w:rFonts w:ascii="Calibri" w:hAnsi="Calibri" w:cs="Calibri"/>
          <w:sz w:val="24"/>
          <w:szCs w:val="24"/>
          <w:vertAlign w:val="superscript"/>
        </w:rPr>
        <w:t>4</w:t>
      </w:r>
      <w:r>
        <w:rPr>
          <w:sz w:val="24"/>
          <w:szCs w:val="24"/>
        </w:rPr>
        <w:fldChar w:fldCharType="end"/>
      </w:r>
      <w:r>
        <w:rPr>
          <w:sz w:val="24"/>
          <w:szCs w:val="24"/>
        </w:rPr>
        <w:t>, by</w:t>
      </w:r>
      <w:r w:rsidR="007E00C2">
        <w:rPr>
          <w:sz w:val="24"/>
          <w:szCs w:val="24"/>
        </w:rPr>
        <w:t xml:space="preserve"> letting the infected cell death rate </w:t>
      </w:r>
      <w:r w:rsidR="007E00C2" w:rsidRPr="007E00C2">
        <w:rPr>
          <w:rFonts w:ascii="Symbol" w:hAnsi="Symbol"/>
          <w:i/>
          <w:sz w:val="24"/>
          <w:szCs w:val="24"/>
        </w:rPr>
        <w:t></w:t>
      </w:r>
      <w:r w:rsidR="007E00C2">
        <w:rPr>
          <w:sz w:val="24"/>
          <w:szCs w:val="24"/>
        </w:rPr>
        <w:t xml:space="preserve"> depend on the time since infection. Specifically, we let </w:t>
      </w:r>
      <m:oMath>
        <m:r>
          <w:rPr>
            <w:rFonts w:ascii="Cambria Math" w:hAnsi="Cambria Math"/>
            <w:sz w:val="24"/>
            <w:szCs w:val="24"/>
          </w:rPr>
          <m:t>δ(t)=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I</m:t>
            </m:r>
          </m:sub>
        </m:sSub>
      </m:oMath>
      <w:r w:rsidR="007E00C2">
        <w:rPr>
          <w:rFonts w:eastAsiaTheme="minorEastAsia"/>
          <w:sz w:val="24"/>
          <w:szCs w:val="24"/>
        </w:rPr>
        <w:t xml:space="preserve"> when </w:t>
      </w:r>
      <m:oMath>
        <m:r>
          <w:rPr>
            <w:rFonts w:ascii="Cambria Math" w:eastAsiaTheme="minorEastAsia" w:hAnsi="Cambria Math"/>
            <w:sz w:val="24"/>
            <w:szCs w:val="24"/>
          </w:rPr>
          <m:t>t&lt;μ</m:t>
        </m:r>
      </m:oMath>
      <w:r w:rsidR="007E00C2">
        <w:rPr>
          <w:rFonts w:eastAsiaTheme="minorEastAsia"/>
          <w:sz w:val="24"/>
          <w:szCs w:val="24"/>
        </w:rPr>
        <w:t xml:space="preserve">, and </w:t>
      </w:r>
      <m:oMath>
        <m:r>
          <w:rPr>
            <w:rFonts w:ascii="Cambria Math" w:hAnsi="Cambria Math"/>
            <w:sz w:val="24"/>
            <w:szCs w:val="24"/>
          </w:rPr>
          <m:t>δ(t)=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I</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σ(t-μ)</m:t>
            </m:r>
          </m:sup>
        </m:sSup>
      </m:oMath>
      <w:r w:rsidR="007E00C2">
        <w:rPr>
          <w:rFonts w:eastAsiaTheme="minorEastAsia"/>
          <w:sz w:val="24"/>
          <w:szCs w:val="24"/>
        </w:rPr>
        <w:t xml:space="preserve"> when </w:t>
      </w:r>
      <m:oMath>
        <m:r>
          <w:rPr>
            <w:rFonts w:ascii="Cambria Math" w:eastAsiaTheme="minorEastAsia" w:hAnsi="Cambria Math"/>
            <w:sz w:val="24"/>
            <w:szCs w:val="24"/>
          </w:rPr>
          <m:t>t≥μ</m:t>
        </m:r>
      </m:oMath>
      <w:r w:rsidR="007E00C2">
        <w:rPr>
          <w:rFonts w:eastAsiaTheme="minorEastAsia"/>
          <w:sz w:val="24"/>
          <w:szCs w:val="24"/>
        </w:rPr>
        <w:t xml:space="preserve">, where </w:t>
      </w:r>
      <w:r w:rsidR="007E00C2" w:rsidRPr="00D27785">
        <w:rPr>
          <w:rFonts w:eastAsiaTheme="minorEastAsia"/>
          <w:i/>
          <w:sz w:val="24"/>
          <w:szCs w:val="24"/>
        </w:rPr>
        <w:t>t</w:t>
      </w:r>
      <w:r w:rsidR="007E00C2">
        <w:rPr>
          <w:rFonts w:eastAsiaTheme="minorEastAsia"/>
          <w:sz w:val="24"/>
          <w:szCs w:val="24"/>
        </w:rPr>
        <w:t xml:space="preserve"> denotes</w:t>
      </w:r>
      <w:r w:rsidR="00D27785">
        <w:rPr>
          <w:rFonts w:eastAsiaTheme="minorEastAsia"/>
          <w:sz w:val="24"/>
          <w:szCs w:val="24"/>
        </w:rPr>
        <w:t xml:space="preserve"> the</w:t>
      </w:r>
      <w:r w:rsidR="007E00C2">
        <w:rPr>
          <w:rFonts w:eastAsiaTheme="minorEastAsia"/>
          <w:sz w:val="24"/>
          <w:szCs w:val="24"/>
        </w:rPr>
        <w:t xml:space="preserve"> time since infection and the parameter </w:t>
      </w:r>
      <w:r w:rsidR="007E00C2" w:rsidRPr="007E00C2">
        <w:rPr>
          <w:rFonts w:ascii="Symbol" w:eastAsiaTheme="minorEastAsia" w:hAnsi="Symbol"/>
          <w:i/>
          <w:sz w:val="24"/>
          <w:szCs w:val="24"/>
        </w:rPr>
        <w:t></w:t>
      </w:r>
      <w:r w:rsidR="007E00C2">
        <w:rPr>
          <w:rFonts w:eastAsiaTheme="minorEastAsia"/>
          <w:sz w:val="24"/>
          <w:szCs w:val="24"/>
        </w:rPr>
        <w:t xml:space="preserve"> quantifies the time at which the T-cell immune response starts.</w:t>
      </w:r>
      <w:r w:rsidR="003D5288">
        <w:rPr>
          <w:rFonts w:eastAsiaTheme="minorEastAsia"/>
          <w:sz w:val="24"/>
          <w:szCs w:val="24"/>
        </w:rPr>
        <w:t xml:space="preserve"> We further extend the model to simulate tissue damage</w:t>
      </w:r>
      <w:r w:rsidR="004944ED">
        <w:rPr>
          <w:rFonts w:eastAsiaTheme="minorEastAsia"/>
          <w:sz w:val="24"/>
          <w:szCs w:val="24"/>
        </w:rPr>
        <w:t>:</w:t>
      </w:r>
    </w:p>
    <w:p w14:paraId="66724131" w14:textId="43877A97" w:rsidR="004944ED" w:rsidRPr="004944ED" w:rsidRDefault="00740A88" w:rsidP="004944ED">
      <w:pPr>
        <w:rPr>
          <w:rFonts w:eastAsiaTheme="minorEastAsia"/>
          <w:sz w:val="24"/>
          <w:szCs w:val="24"/>
        </w:rPr>
      </w:pPr>
      <m:oMathPara>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dt=αI</m:t>
              </m:r>
              <m:r>
                <m:rPr>
                  <m:sty m:val="p"/>
                </m:rPr>
                <w:rPr>
                  <w:rFonts w:ascii="Cambria Math" w:hAnsi="Cambria Math"/>
                  <w:sz w:val="24"/>
                  <w:szCs w:val="24"/>
                </w:rPr>
                <m:t>Λ</m:t>
              </m:r>
              <m:r>
                <w:rPr>
                  <w:rFonts w:ascii="Cambria Math" w:hAnsi="Cambria Math"/>
                  <w:sz w:val="24"/>
                  <w:szCs w:val="24"/>
                </w:rPr>
                <m:t>+ωI-γD</m:t>
              </m:r>
            </m:den>
          </m:f>
        </m:oMath>
      </m:oMathPara>
    </w:p>
    <w:p w14:paraId="27CE6042" w14:textId="3C0D4F36" w:rsidR="004944ED" w:rsidRDefault="004944ED" w:rsidP="00A27063">
      <w:pPr>
        <w:jc w:val="both"/>
        <w:rPr>
          <w:rFonts w:eastAsiaTheme="minorEastAsia"/>
          <w:sz w:val="24"/>
          <w:szCs w:val="24"/>
        </w:rPr>
      </w:pPr>
      <w:r>
        <w:rPr>
          <w:rFonts w:eastAsiaTheme="minorEastAsia"/>
          <w:sz w:val="24"/>
          <w:szCs w:val="24"/>
        </w:rPr>
        <w:t>This tissue damage equation is based on existing equations used for simulating symptom development and tissue damage in within-host models</w:t>
      </w:r>
      <w:r>
        <w:rPr>
          <w:rFonts w:eastAsiaTheme="minorEastAsia"/>
          <w:sz w:val="24"/>
          <w:szCs w:val="24"/>
        </w:rPr>
        <w:fldChar w:fldCharType="begin"/>
      </w:r>
      <w:r w:rsidR="00D27785">
        <w:rPr>
          <w:rFonts w:eastAsiaTheme="minorEastAsia"/>
          <w:sz w:val="24"/>
          <w:szCs w:val="24"/>
        </w:rPr>
        <w:instrText xml:space="preserve"> ADDIN ZOTERO_ITEM CSL_CITATION {"citationID":"ksK9sK2T","properties":{"formattedCitation":"\\super 5\\uc0\\u8211{}7\\nosupersub{}","plainCitation":"5–7","noteIndex":0},"citationItems":[{"id":8773,"uris":["http://zotero.org/users/1469428/items/ECE257QD"],"itemData":{"id":8773,"type":"article-journal","abstract":"Some viral infections culminate in very different outcomes in different individuals. They can be rapidly cleared in some, cause persistent infection in others, and cause mortality from immunopathology in yet others. The conventional view is that the different outcomes arise as a consequence of the complex interactions between a large number of different factors (virus, different immune cells, and cytokines). Here, we identify a simple dynamical motif comprising the essential interactions between antigens and CD8 T cells and posit it as predominantly determining the outcomes. Viral antigen can activate CD8 T cells, which in turn, can kill infected cells. Sustained antigen stimulation, however, can cause CD8 T-cell exhaustion, compromising effector function. Using mathematical modeling, we show that the motif comprising these interactions recapitulates all of the outcomes observed. The motif presents a conceptual framework to understand the variable outcomes of infection. It also explains a number of confounding experimental observations, including the variation in outcomes with the viral inoculum size, the evolutionary advantage of exhaustion in preventing lethal pathology, the ability of natural killer (NK) cells to act as rheostats tuning outcomes, and the role of the innate immune response in the spontaneous clearance of hepatitis C. Interventions that modulate the interactions in the motif may present routes to clear persistent infections or limit immunopathology.","container-title":"Proceedings of the National Academy of Sciences of the United States of America","DOI":"10.1073/pnas.1902178116","ISSN":"1091-6490","issue":"35","journalAbbreviation":"Proc Natl Acad Sci U S A","language":"eng","note":"PMID: 31413198\nPMCID: PMC6717250","page":"17393-17398","source":"PubMed","title":"A dynamical motif comprising the interactions between antigens and CD8 T cells may underlie the outcomes of viral infections","volume":"116","author":[{"family":"Baral","given":"Subhasish"},{"family":"Antia","given":"Rustom"},{"family":"Dixit","given":"Narendra M."}],"issued":{"date-parts":[["2019",8,27]]}}},{"id":777,"uris":["http://zotero.org/users/1469428/items/92BACIUX"],"itemData":{"id":777,"type":"article-journal","abstract":"Influenza virus kinetics (VK) is used as a surrogate of infectiousness, while the natural history of influenza is described by symptom dynamics (SD). We used an original virus kinetics/symptom dynamics (VKSD) model to characterize human influenza virus infection and illness, based on a population approach. We combined structural equations and a statistical model to describe intra- and interindividual variability. The structural equations described influenza based on the target epithelial cells, the virus, the innate host response, and systemic symptoms. The model was fitted to individual VK and SD data obtained from 44 volunteers experimentally challenged with influenza A/H1N1 virus. Infection and illness parameters were calculated from best-fitted model estimates. We predicted that the cytokine level and NK cell activity would peak at days 2.2 and 4.2 after inoculation, respectively. Infectiousness, measured as the area under the VK curve above a viral titer threshold, lasted between 7.0 and 1.3 days and was 15 times lower in participants without systemic symptoms than in those with systemic symptoms (P &lt; 0.001). The latent period, defined as the time between inoculation and infectiousness, varied from 0.7 to 1.9 days. The incubation period, defined as the time from inoculation to first symptoms, varied from 1.0 to 2.4 days. Our approach extends previous work by including the innate response and providing realistic estimates of infection and illness parameters, taking into account the strong interindividual variability. This approach could help to optimize studies of influenza VK and SD and to predict the effect of antivirals on infectiousness and symptoms.","container-title":"Journal of Virology","DOI":"10.1128/JVI.01318-10","ISSN":"0022-538X, 1098-5514","issue":"6","journalAbbreviation":"J. Virol.","language":"en","note":"PMID: 21191031","page":"2764-2770","source":"jvi.asm.org","title":"Population modeling of influenza A/H1N1 virus kinetics and symptom dynamics","volume":"85","author":[{"family":"Canini","given":"Laetitia"},{"family":"Carrat","given":"Fabrice"}],"issued":{"date-parts":[["2011",3,15]]}}},{"id":7213,"uris":["http://zotero.org/users/1469428/items/43IMDHJH"],"itemData":{"id":7213,"type":"report","abstract":"Abstract\n          SARS-CoV-2 infection results in highly heterogeneous outcomes, from cure without symptoms to acute respiratory distress and death. While immunological correlates of disease severity have been identified, how they act together to determine the outcomes is unknown. Here, using a new mathematical model of within-host SARS-CoV-2 infection, we analyze diverse clinical datasets and predict that a subtle interplay between innate and CD8 T-cell responses underlies disease heterogeneity. Our model considers essential features of these immune arms and immunopathology from cytokines and effector cells. Model predictions provided excellent fits to patient data and, by varying the strength and timing of the immune arms, quantitatively recapitulated viral load changes in mild, moderate, and severe disease, and death. Additionally, they explained several confounding observations, including viral recrudescence after symptom loss, prolonged viral positivity before cure, and mortality despite declining viral loads. Together, a robust conceptual understanding of COVID-19 outcomes emerges, bearing implications for interventions.\n          \n            Teaser\n            Modeling explains how a subtle interplay between innate immune and CD8 T-cell responses determines the severity of COVID-19.","genre":"preprint","language":"en","note":"DOI: 10.1101/2021.06.15.21258935","publisher":"Infectious Diseases (except HIV/AIDS)","source":"DOI.org (Crossref)","title":"The relative strength and timing of innate immune and CD8 T-cell responses underlie the heterogeneous outcomes of SARS-CoV-2 infection","URL":"http://medrxiv.org/lookup/doi/10.1101/2021.06.15.21258935","author":[{"family":"Chatterjee","given":"Budhaditya"},{"family":"Sandhu","given":"Harshbir Singh"},{"family":"Dixit","given":"Narendra M."}],"accessed":{"date-parts":[["2021",10,4]]},"issued":{"date-parts":[["2021",6,21]]}}}],"schema":"https://github.com/citation-style-language/schema/raw/master/csl-citation.json"} </w:instrText>
      </w:r>
      <w:r>
        <w:rPr>
          <w:rFonts w:eastAsiaTheme="minorEastAsia"/>
          <w:sz w:val="24"/>
          <w:szCs w:val="24"/>
        </w:rPr>
        <w:fldChar w:fldCharType="separate"/>
      </w:r>
      <w:r w:rsidR="00D27785" w:rsidRPr="00D27785">
        <w:rPr>
          <w:rFonts w:ascii="Calibri" w:hAnsi="Calibri" w:cs="Calibri"/>
          <w:sz w:val="24"/>
          <w:szCs w:val="24"/>
          <w:vertAlign w:val="superscript"/>
        </w:rPr>
        <w:t>5–7</w:t>
      </w:r>
      <w:r>
        <w:rPr>
          <w:rFonts w:eastAsiaTheme="minorEastAsia"/>
          <w:sz w:val="24"/>
          <w:szCs w:val="24"/>
        </w:rPr>
        <w:fldChar w:fldCharType="end"/>
      </w:r>
      <w:r>
        <w:rPr>
          <w:rFonts w:eastAsiaTheme="minorEastAsia"/>
          <w:sz w:val="24"/>
          <w:szCs w:val="24"/>
        </w:rPr>
        <w:t xml:space="preserve">. The variable </w:t>
      </w:r>
      <m:oMath>
        <m:r>
          <m:rPr>
            <m:sty m:val="p"/>
          </m:rPr>
          <w:rPr>
            <w:rFonts w:ascii="Cambria Math" w:hAnsi="Cambria Math"/>
            <w:sz w:val="24"/>
            <w:szCs w:val="24"/>
          </w:rPr>
          <m:t>Λ</m:t>
        </m:r>
      </m:oMath>
      <w:r>
        <w:rPr>
          <w:rFonts w:eastAsiaTheme="minorEastAsia"/>
          <w:sz w:val="24"/>
          <w:szCs w:val="24"/>
        </w:rPr>
        <w:t xml:space="preserve"> represents relative T-cells levels, with </w:t>
      </w:r>
      <m:oMath>
        <m:r>
          <m:rPr>
            <m:sty m:val="p"/>
          </m:rPr>
          <w:rPr>
            <w:rFonts w:ascii="Cambria Math" w:hAnsi="Cambria Math"/>
            <w:sz w:val="24"/>
            <w:szCs w:val="24"/>
          </w:rPr>
          <m:t>Λ(t)=1</m:t>
        </m:r>
      </m:oMath>
      <w:r>
        <w:rPr>
          <w:rFonts w:eastAsiaTheme="minorEastAsia"/>
          <w:sz w:val="24"/>
          <w:szCs w:val="24"/>
        </w:rPr>
        <w:t xml:space="preserve"> when </w:t>
      </w:r>
      <m:oMath>
        <m:r>
          <w:rPr>
            <w:rFonts w:ascii="Cambria Math" w:eastAsiaTheme="minorEastAsia" w:hAnsi="Cambria Math"/>
            <w:sz w:val="24"/>
            <w:szCs w:val="24"/>
          </w:rPr>
          <m:t>t&lt;μ</m:t>
        </m:r>
      </m:oMath>
      <w:r>
        <w:rPr>
          <w:rFonts w:eastAsiaTheme="minorEastAsia"/>
          <w:sz w:val="24"/>
          <w:szCs w:val="24"/>
        </w:rPr>
        <w:t xml:space="preserve">, and </w:t>
      </w:r>
      <m:oMath>
        <m:r>
          <m:rPr>
            <m:sty m:val="p"/>
          </m:rPr>
          <w:rPr>
            <w:rFonts w:ascii="Cambria Math" w:hAnsi="Cambria Math"/>
            <w:sz w:val="24"/>
            <w:szCs w:val="24"/>
          </w:rPr>
          <m:t>Λ</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σ(t-μ)</m:t>
            </m:r>
          </m:sup>
        </m:sSup>
      </m:oMath>
      <w:r>
        <w:rPr>
          <w:rFonts w:eastAsiaTheme="minorEastAsia"/>
          <w:sz w:val="24"/>
          <w:szCs w:val="24"/>
        </w:rPr>
        <w:t xml:space="preserve"> when </w:t>
      </w:r>
      <m:oMath>
        <m:r>
          <w:rPr>
            <w:rFonts w:ascii="Cambria Math" w:eastAsiaTheme="minorEastAsia" w:hAnsi="Cambria Math"/>
            <w:sz w:val="24"/>
            <w:szCs w:val="24"/>
          </w:rPr>
          <m:t>t≥μ</m:t>
        </m:r>
      </m:oMath>
      <w:r>
        <w:rPr>
          <w:rFonts w:eastAsiaTheme="minorEastAsia"/>
          <w:sz w:val="24"/>
          <w:szCs w:val="24"/>
        </w:rPr>
        <w:t xml:space="preserve">. The equation captures tissue damage arising from the killing of infected cells by T-cells and from proinflammatory cytokines, and resolving at a constant rate. </w:t>
      </w:r>
      <w:r w:rsidR="0099797D">
        <w:rPr>
          <w:rFonts w:eastAsiaTheme="minorEastAsia"/>
          <w:sz w:val="24"/>
          <w:szCs w:val="24"/>
        </w:rPr>
        <w:t>Finally</w:t>
      </w:r>
      <w:r w:rsidR="00D27785">
        <w:rPr>
          <w:rFonts w:eastAsiaTheme="minorEastAsia"/>
          <w:sz w:val="24"/>
          <w:szCs w:val="24"/>
        </w:rPr>
        <w:t xml:space="preserve">, as in </w:t>
      </w:r>
      <w:r w:rsidR="00D27785">
        <w:rPr>
          <w:rFonts w:eastAsiaTheme="minorEastAsia"/>
          <w:sz w:val="24"/>
          <w:szCs w:val="24"/>
        </w:rPr>
        <w:fldChar w:fldCharType="begin"/>
      </w:r>
      <w:r w:rsidR="00D27785">
        <w:rPr>
          <w:rFonts w:eastAsiaTheme="minorEastAsia"/>
          <w:sz w:val="24"/>
          <w:szCs w:val="24"/>
        </w:rPr>
        <w:instrText xml:space="preserve"> ADDIN ZOTERO_ITEM CSL_CITATION {"citationID":"UmomUyih","properties":{"formattedCitation":"\\super 7\\nosupersub{}","plainCitation":"7","noteIndex":0},"citationItems":[{"id":7213,"uris":["http://zotero.org/users/1469428/items/43IMDHJH"],"itemData":{"id":7213,"type":"report","abstract":"Abstract\n          SARS-CoV-2 infection results in highly heterogeneous outcomes, from cure without symptoms to acute respiratory distress and death. While immunological correlates of disease severity have been identified, how they act together to determine the outcomes is unknown. Here, using a new mathematical model of within-host SARS-CoV-2 infection, we analyze diverse clinical datasets and predict that a subtle interplay between innate and CD8 T-cell responses underlies disease heterogeneity. Our model considers essential features of these immune arms and immunopathology from cytokines and effector cells. Model predictions provided excellent fits to patient data and, by varying the strength and timing of the immune arms, quantitatively recapitulated viral load changes in mild, moderate, and severe disease, and death. Additionally, they explained several confounding observations, including viral recrudescence after symptom loss, prolonged viral positivity before cure, and mortality despite declining viral loads. Together, a robust conceptual understanding of COVID-19 outcomes emerges, bearing implications for interventions.\n          \n            Teaser\n            Modeling explains how a subtle interplay between innate immune and CD8 T-cell responses determines the severity of COVID-19.","genre":"preprint","language":"en","note":"DOI: 10.1101/2021.06.15.21258935","publisher":"Infectious Diseases (except HIV/AIDS)","source":"DOI.org (Crossref)","title":"The relative strength and timing of innate immune and CD8 T-cell responses underlie the heterogeneous outcomes of SARS-CoV-2 infection","URL":"http://medrxiv.org/lookup/doi/10.1101/2021.06.15.21258935","author":[{"family":"Chatterjee","given":"Budhaditya"},{"family":"Sandhu","given":"Harshbir Singh"},{"family":"Dixit","given":"Narendra M."}],"accessed":{"date-parts":[["2021",10,4]]},"issued":{"date-parts":[["2021",6,21]]}}}],"schema":"https://github.com/citation-style-language/schema/raw/master/csl-citation.json"} </w:instrText>
      </w:r>
      <w:r w:rsidR="00D27785">
        <w:rPr>
          <w:rFonts w:eastAsiaTheme="minorEastAsia"/>
          <w:sz w:val="24"/>
          <w:szCs w:val="24"/>
        </w:rPr>
        <w:fldChar w:fldCharType="separate"/>
      </w:r>
      <w:r w:rsidR="00D27785" w:rsidRPr="00D27785">
        <w:rPr>
          <w:rFonts w:ascii="Calibri" w:hAnsi="Calibri" w:cs="Calibri"/>
          <w:sz w:val="24"/>
          <w:szCs w:val="24"/>
          <w:vertAlign w:val="superscript"/>
        </w:rPr>
        <w:t>7</w:t>
      </w:r>
      <w:r w:rsidR="00D27785">
        <w:rPr>
          <w:rFonts w:eastAsiaTheme="minorEastAsia"/>
          <w:sz w:val="24"/>
          <w:szCs w:val="24"/>
        </w:rPr>
        <w:fldChar w:fldCharType="end"/>
      </w:r>
      <w:r w:rsidR="0099797D">
        <w:rPr>
          <w:rFonts w:eastAsiaTheme="minorEastAsia"/>
          <w:sz w:val="24"/>
          <w:szCs w:val="24"/>
        </w:rPr>
        <w:t xml:space="preserve">, we summarize the severity of an infection by integrating over tissue damage </w:t>
      </w:r>
      <w:r w:rsidR="00DE174E">
        <w:rPr>
          <w:rFonts w:eastAsiaTheme="minorEastAsia"/>
          <w:sz w:val="24"/>
          <w:szCs w:val="24"/>
        </w:rPr>
        <w:t>over the course of an infection:</w:t>
      </w:r>
    </w:p>
    <w:p w14:paraId="114F2617" w14:textId="4C28C321" w:rsidR="00DE174E" w:rsidRDefault="00592CF9" w:rsidP="004944ED">
      <w:pPr>
        <w:rPr>
          <w:sz w:val="24"/>
          <w:szCs w:val="24"/>
        </w:rPr>
      </w:pPr>
      <m:oMathPara>
        <m:oMath>
          <m:r>
            <m:rPr>
              <m:sty m:val="p"/>
            </m:rPr>
            <w:rPr>
              <w:rFonts w:ascii="Cambria Math" w:hAnsi="Cambria Math"/>
              <w:sz w:val="24"/>
              <w:szCs w:val="24"/>
            </w:rPr>
            <m:t>disease severity</m:t>
          </m:r>
          <m:r>
            <w:rPr>
              <w:rFonts w:ascii="Cambria Math" w:hAnsi="Cambria Math"/>
              <w:sz w:val="24"/>
              <w:szCs w:val="24"/>
            </w:rPr>
            <m:t xml:space="preserve">= </m:t>
          </m:r>
          <m:nary>
            <m:naryPr>
              <m:limLoc m:val="undOvr"/>
              <m:subHide m:val="1"/>
              <m:supHide m:val="1"/>
              <m:ctrlPr>
                <w:rPr>
                  <w:rFonts w:ascii="Cambria Math" w:hAnsi="Cambria Math"/>
                  <w:i/>
                  <w:sz w:val="24"/>
                  <w:szCs w:val="24"/>
                </w:rPr>
              </m:ctrlPr>
            </m:naryPr>
            <m:sub/>
            <m:sup/>
            <m:e>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m:t>
              </m:r>
            </m:e>
          </m:nary>
        </m:oMath>
      </m:oMathPara>
    </w:p>
    <w:p w14:paraId="6DF4A384" w14:textId="12EBB48A" w:rsidR="002E593F" w:rsidRDefault="00B705FD" w:rsidP="00A27063">
      <w:pPr>
        <w:jc w:val="both"/>
        <w:rPr>
          <w:sz w:val="24"/>
          <w:szCs w:val="24"/>
        </w:rPr>
      </w:pPr>
      <w:r>
        <w:rPr>
          <w:sz w:val="24"/>
          <w:szCs w:val="24"/>
        </w:rPr>
        <w:lastRenderedPageBreak/>
        <w:t>Our baseline parameterization of this within-host model is provided in Table S1.</w:t>
      </w:r>
      <w:r w:rsidR="000621F4">
        <w:rPr>
          <w:sz w:val="24"/>
          <w:szCs w:val="24"/>
        </w:rPr>
        <w:t xml:space="preserve"> </w:t>
      </w:r>
      <w:r w:rsidR="002E593F">
        <w:rPr>
          <w:sz w:val="24"/>
          <w:szCs w:val="24"/>
        </w:rPr>
        <w:t>Figure S2 shows the dynamics of the model variables not shown in Figure 2 (</w:t>
      </w:r>
      <w:r w:rsidR="002E593F" w:rsidRPr="002E593F">
        <w:rPr>
          <w:i/>
          <w:sz w:val="24"/>
          <w:szCs w:val="24"/>
        </w:rPr>
        <w:t>T</w:t>
      </w:r>
      <w:r w:rsidR="002E593F">
        <w:rPr>
          <w:sz w:val="24"/>
          <w:szCs w:val="24"/>
        </w:rPr>
        <w:t xml:space="preserve">, </w:t>
      </w:r>
      <w:r w:rsidR="002E593F" w:rsidRPr="002E593F">
        <w:rPr>
          <w:i/>
          <w:sz w:val="24"/>
          <w:szCs w:val="24"/>
        </w:rPr>
        <w:t>R</w:t>
      </w:r>
      <w:r w:rsidR="002E593F">
        <w:rPr>
          <w:sz w:val="24"/>
          <w:szCs w:val="24"/>
        </w:rPr>
        <w:t xml:space="preserve">, </w:t>
      </w:r>
      <w:r w:rsidR="002E593F" w:rsidRPr="002E593F">
        <w:rPr>
          <w:i/>
          <w:sz w:val="24"/>
          <w:szCs w:val="24"/>
        </w:rPr>
        <w:t>E</w:t>
      </w:r>
      <w:r w:rsidR="002E593F">
        <w:rPr>
          <w:sz w:val="24"/>
          <w:szCs w:val="24"/>
        </w:rPr>
        <w:t xml:space="preserve">, </w:t>
      </w:r>
      <w:r w:rsidR="002E593F" w:rsidRPr="002E593F">
        <w:rPr>
          <w:i/>
          <w:sz w:val="24"/>
          <w:szCs w:val="24"/>
        </w:rPr>
        <w:t>I</w:t>
      </w:r>
      <w:r w:rsidR="002E593F">
        <w:rPr>
          <w:sz w:val="24"/>
          <w:szCs w:val="24"/>
        </w:rPr>
        <w:t xml:space="preserve">). </w:t>
      </w:r>
    </w:p>
    <w:p w14:paraId="7AC58339" w14:textId="25FF8EB9" w:rsidR="00F648CB" w:rsidRDefault="00F648CB" w:rsidP="006E66E4">
      <w:pPr>
        <w:rPr>
          <w:sz w:val="24"/>
          <w:szCs w:val="24"/>
        </w:rPr>
      </w:pPr>
    </w:p>
    <w:p w14:paraId="5D5C7605" w14:textId="44D6C33A" w:rsidR="002E593F" w:rsidRDefault="00B42CED" w:rsidP="006E66E4">
      <w:pPr>
        <w:rPr>
          <w:sz w:val="24"/>
          <w:szCs w:val="24"/>
        </w:rPr>
      </w:pPr>
      <w:r w:rsidRPr="00B42CED">
        <w:rPr>
          <w:noProof/>
          <w:sz w:val="24"/>
          <w:szCs w:val="24"/>
        </w:rPr>
        <w:drawing>
          <wp:inline distT="0" distB="0" distL="0" distR="0" wp14:anchorId="6B9AA5AE" wp14:editId="325C6E84">
            <wp:extent cx="5943600" cy="380482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04826"/>
                    </a:xfrm>
                    <a:prstGeom prst="rect">
                      <a:avLst/>
                    </a:prstGeom>
                    <a:noFill/>
                    <a:ln>
                      <a:noFill/>
                    </a:ln>
                  </pic:spPr>
                </pic:pic>
              </a:graphicData>
            </a:graphic>
          </wp:inline>
        </w:drawing>
      </w:r>
    </w:p>
    <w:p w14:paraId="433D8670" w14:textId="2A5B57F2" w:rsidR="00D27785" w:rsidRDefault="00D27785" w:rsidP="006E66E4">
      <w:pPr>
        <w:rPr>
          <w:sz w:val="24"/>
          <w:szCs w:val="24"/>
        </w:rPr>
      </w:pPr>
    </w:p>
    <w:p w14:paraId="5EEE650B" w14:textId="77777777" w:rsidR="00D27785" w:rsidRPr="00985BFE" w:rsidRDefault="00D27785" w:rsidP="00A27063">
      <w:pPr>
        <w:jc w:val="both"/>
      </w:pPr>
      <w:r w:rsidRPr="00985BFE">
        <w:rPr>
          <w:b/>
        </w:rPr>
        <w:t>Table S1.</w:t>
      </w:r>
      <w:r w:rsidRPr="00985BFE">
        <w:t xml:space="preserve"> Model parameters and initial conditions. Baseline model parameter values are provided, along with their sources. Specified sources include Ke et al.</w:t>
      </w:r>
      <w:r w:rsidRPr="00985BFE">
        <w:fldChar w:fldCharType="begin"/>
      </w:r>
      <w:r>
        <w:instrText xml:space="preserve"> ADDIN ZOTERO_ITEM CSL_CITATION {"citationID":"yamx6qwz","properties":{"formattedCitation":"\\super 2\\nosupersub{}","plainCitation":"2","noteIndex":0},"citationItems":[{"id":7473,"uris":["http://zotero.org/users/1469428/items/M7RFXC59"],"itemData":{"id":7473,"type":"article-journal","abstract":"The within-host viral kinetics of SARS-CoV-2 infection and how they relate to a person’s infectiousness are not well understood. This limits our ability to quantify the impact of interventions on viral transmission. Here, we develop viral dynamic models of SARS-CoV-2 infection and fit them to data to estimate key within-host parameters such as the infected cell half-life and the within-host reproductive number. We then develop a model linking viral load (VL) to infectiousness and show a person’s infectiousness increases sublinearly with VL and that the logarithm of the VL in the upper respiratory tract is a better surrogate of infectiousness than the VL itself. Using data on VL and the predicted infectiousness, we further incorporated data on antigen and RT-PCR tests and compared their usefulness in detecting infection and preventing transmission. We found that RT-PCR tests perform better than antigen tests assuming equal testing frequency; however, more frequent antigen testing may perform equally well with RT-PCR tests at a lower cost but with many more false-negative tests. Overall, our models provide a quantitative framework for inferring the impact of therapeutics and vaccines that lower VL on the infectiousness of individuals and for evaluating rapid testing strategies.","container-title":"Proceedings of the National Academy of Sciences","DOI":"10.1073/pnas.2111477118","ISSN":"0027-8424, 1091-6490","issue":"49","journalAbbreviation":"Proc Natl Acad Sci USA","language":"en","page":"e2111477118","source":"DOI.org (Crossref)","title":"In vivo kinetics of SARS-CoV-2 infection and its relationship with a person’s infectiousness","volume":"118","author":[{"family":"Ke","given":"Ruian"},{"family":"Zitzmann","given":"Carolin"},{"family":"Ho","given":"David D."},{"family":"Ribeiro","given":"Ruy M."},{"family":"Perelson","given":"Alan S."}],"issued":{"date-parts":[["2021",12,7]]}}}],"schema":"https://github.com/citation-style-language/schema/raw/master/csl-citation.json"} </w:instrText>
      </w:r>
      <w:r w:rsidRPr="00985BFE">
        <w:fldChar w:fldCharType="separate"/>
      </w:r>
      <w:r w:rsidRPr="007201F2">
        <w:rPr>
          <w:rFonts w:ascii="Calibri" w:hAnsi="Calibri" w:cs="Calibri"/>
          <w:szCs w:val="24"/>
          <w:vertAlign w:val="superscript"/>
        </w:rPr>
        <w:t>2</w:t>
      </w:r>
      <w:r w:rsidRPr="00985BFE">
        <w:fldChar w:fldCharType="end"/>
      </w:r>
      <w:r w:rsidRPr="00985BFE">
        <w:t>, Pawelek et al.</w:t>
      </w:r>
      <w:r w:rsidRPr="00985BFE">
        <w:fldChar w:fldCharType="begin"/>
      </w:r>
      <w:r w:rsidRPr="00985BFE">
        <w:instrText xml:space="preserve"> ADDIN ZOTERO_ITEM CSL_CITATION {"citationID":"iKfl882a","properties":{"formattedCitation":"\\super 4\\nosupersub{}","plainCitation":"4","noteIndex":0},"citationItems":[{"id":494,"uris":["http://zotero.org/users/1469428/items/VJCBJCGB"],"itemData":{"id":494,"type":"article-journal","abstract":"Author SummaryInfluenza, commonly referred to as the flu, is a contagious respiratory illness caused by influenza virus infections. Although most infected subjects with intact immune systems are able to clear the virus without developing serious flu complications, the mechanisms underlying viral control are not fully understood. In this paper, we address this question by developing mathematical models that include both innate and adaptive immune responses, and fitting them to experimental data from horses infected with equine influenza virus. We find that the innate immune response, such as natural killer cell-mediated infected cell killing and interferon's antiviral effect, can explain the first rapid viral decline and subsequent second peak viremia, and that the adaptive immune response is needed to eventually clear the virus. This study improves our understanding of influenza virus dynamics and may provide more information for future research in influenza pathogenesis, treatment, and vaccination.","container-title":"PLoS Comput Biol","DOI":"10.1371/journal.pcbi.1002588","issue":"6","journalAbbreviation":"PLoS Comput Biol","page":"e1002588","source":"PLoS Journals","title":"Modeling Within-Host Dynamics of Influenza Virus Infection Including Immune Responses","volume":"8","author":[{"family":"Pawelek","given":"Kasia A."},{"family":"Huynh","given":"Giao T."},{"family":"Quinlivan","given":"Michelle"},{"family":"Cullinane","given":"Ann"},{"family":"Rong","given":"Libin"},{"family":"Perelson","given":"Alan S."}],"issued":{"date-parts":[["2012",6,28]]}}}],"schema":"https://github.com/citation-style-language/schema/raw/master/csl-citation.json"} </w:instrText>
      </w:r>
      <w:r w:rsidRPr="00985BFE">
        <w:fldChar w:fldCharType="separate"/>
      </w:r>
      <w:r w:rsidRPr="00985BFE">
        <w:rPr>
          <w:rFonts w:ascii="Calibri" w:hAnsi="Calibri" w:cs="Calibri"/>
          <w:vertAlign w:val="superscript"/>
        </w:rPr>
        <w:t>4</w:t>
      </w:r>
      <w:r w:rsidRPr="00985BFE">
        <w:fldChar w:fldCharType="end"/>
      </w:r>
      <w:r w:rsidRPr="00985BFE">
        <w:t>, and Chatterjee et al.</w:t>
      </w:r>
      <w:r w:rsidRPr="00985BFE">
        <w:fldChar w:fldCharType="begin"/>
      </w:r>
      <w:r w:rsidRPr="00985BFE">
        <w:instrText xml:space="preserve"> ADDIN ZOTERO_ITEM CSL_CITATION {"citationID":"cjBnmnxo","properties":{"formattedCitation":"\\super 7\\nosupersub{}","plainCitation":"7","noteIndex":0},"citationItems":[{"id":7213,"uris":["http://zotero.org/users/1469428/items/43IMDHJH"],"itemData":{"id":7213,"type":"report","abstract":"Abstract\n          SARS-CoV-2 infection results in highly heterogeneous outcomes, from cure without symptoms to acute respiratory distress and death. While immunological correlates of disease severity have been identified, how they act together to determine the outcomes is unknown. Here, using a new mathematical model of within-host SARS-CoV-2 infection, we analyze diverse clinical datasets and predict that a subtle interplay between innate and CD8 T-cell responses underlies disease heterogeneity. Our model considers essential features of these immune arms and immunopathology from cytokines and effector cells. Model predictions provided excellent fits to patient data and, by varying the strength and timing of the immune arms, quantitatively recapitulated viral load changes in mild, moderate, and severe disease, and death. Additionally, they explained several confounding observations, including viral recrudescence after symptom loss, prolonged viral positivity before cure, and mortality despite declining viral loads. Together, a robust conceptual understanding of COVID-19 outcomes emerges, bearing implications for interventions.\n          \n            Teaser\n            Modeling explains how a subtle interplay between innate immune and CD8 T-cell responses determines the severity of COVID-19.","genre":"preprint","language":"en","note":"DOI: 10.1101/2021.06.15.21258935","publisher":"Infectious Diseases (except HIV/AIDS)","source":"DOI.org (Crossref)","title":"The relative strength and timing of innate immune and CD8 T-cell responses underlie the heterogeneous outcomes of SARS-CoV-2 infection","URL":"http://medrxiv.org/lookup/doi/10.1101/2021.06.15.21258935","author":[{"family":"Chatterjee","given":"Budhaditya"},{"family":"Sandhu","given":"Harshbir Singh"},{"family":"Dixit","given":"Narendra M."}],"accessed":{"date-parts":[["2021",10,4]]},"issued":{"date-parts":[["2021",6,21]]}}}],"schema":"https://github.com/citation-style-language/schema/raw/master/csl-citation.json"} </w:instrText>
      </w:r>
      <w:r w:rsidRPr="00985BFE">
        <w:fldChar w:fldCharType="separate"/>
      </w:r>
      <w:r w:rsidRPr="00985BFE">
        <w:rPr>
          <w:rFonts w:ascii="Calibri" w:hAnsi="Calibri" w:cs="Calibri"/>
          <w:vertAlign w:val="superscript"/>
        </w:rPr>
        <w:t>7</w:t>
      </w:r>
      <w:r w:rsidRPr="00985BFE">
        <w:fldChar w:fldCharType="end"/>
      </w:r>
      <w:r w:rsidRPr="00985BFE">
        <w:t>. For clarity, parameter descriptions are taken directly from source papers, where possible. Parameter standard deviations used in the modeling of interindividual variation are also provided.</w:t>
      </w:r>
      <w:r>
        <w:t xml:space="preserve"> As in </w:t>
      </w:r>
      <w:r w:rsidRPr="00985BFE">
        <w:t>Ke et al.</w:t>
      </w:r>
      <w:r w:rsidRPr="00985BFE">
        <w:fldChar w:fldCharType="begin"/>
      </w:r>
      <w:r>
        <w:instrText xml:space="preserve"> ADDIN ZOTERO_ITEM CSL_CITATION {"citationID":"OjoUbK5j","properties":{"formattedCitation":"\\super 2\\nosupersub{}","plainCitation":"2","noteIndex":0},"citationItems":[{"id":7473,"uris":["http://zotero.org/users/1469428/items/M7RFXC59"],"itemData":{"id":7473,"type":"article-journal","abstract":"The within-host viral kinetics of SARS-CoV-2 infection and how they relate to a person’s infectiousness are not well understood. This limits our ability to quantify the impact of interventions on viral transmission. Here, we develop viral dynamic models of SARS-CoV-2 infection and fit them to data to estimate key within-host parameters such as the infected cell half-life and the within-host reproductive number. We then develop a model linking viral load (VL) to infectiousness and show a person’s infectiousness increases sublinearly with VL and that the logarithm of the VL in the upper respiratory tract is a better surrogate of infectiousness than the VL itself. Using data on VL and the predicted infectiousness, we further incorporated data on antigen and RT-PCR tests and compared their usefulness in detecting infection and preventing transmission. We found that RT-PCR tests perform better than antigen tests assuming equal testing frequency; however, more frequent antigen testing may perform equally well with RT-PCR tests at a lower cost but with many more false-negative tests. Overall, our models provide a quantitative framework for inferring the impact of therapeutics and vaccines that lower VL on the infectiousness of individuals and for evaluating rapid testing strategies.","container-title":"Proceedings of the National Academy of Sciences","DOI":"10.1073/pnas.2111477118","ISSN":"0027-8424, 1091-6490","issue":"49","journalAbbreviation":"Proc Natl Acad Sci USA","language":"en","page":"e2111477118","source":"DOI.org (Crossref)","title":"In vivo kinetics of SARS-CoV-2 infection and its relationship with a person’s infectiousness","volume":"118","author":[{"family":"Ke","given":"Ruian"},{"family":"Zitzmann","given":"Carolin"},{"family":"Ho","given":"David D."},{"family":"Ribeiro","given":"Ruy M."},{"family":"Perelson","given":"Alan S."}],"issued":{"date-parts":[["2021",12,7]]}}}],"schema":"https://github.com/citation-style-language/schema/raw/master/csl-citation.json"} </w:instrText>
      </w:r>
      <w:r w:rsidRPr="00985BFE">
        <w:fldChar w:fldCharType="separate"/>
      </w:r>
      <w:r w:rsidRPr="007201F2">
        <w:rPr>
          <w:rFonts w:ascii="Calibri" w:hAnsi="Calibri" w:cs="Calibri"/>
          <w:szCs w:val="24"/>
          <w:vertAlign w:val="superscript"/>
        </w:rPr>
        <w:t>2</w:t>
      </w:r>
      <w:r w:rsidRPr="00985BFE">
        <w:fldChar w:fldCharType="end"/>
      </w:r>
      <w:r>
        <w:t>, these standard deviations are standard deviations of lognormal distributions.</w:t>
      </w:r>
    </w:p>
    <w:p w14:paraId="0D49AFEA" w14:textId="77777777" w:rsidR="00D27785" w:rsidRDefault="00D27785" w:rsidP="006E66E4">
      <w:pPr>
        <w:rPr>
          <w:sz w:val="24"/>
          <w:szCs w:val="24"/>
        </w:rPr>
      </w:pPr>
    </w:p>
    <w:p w14:paraId="5E3AC3CD" w14:textId="110316D4" w:rsidR="002E593F" w:rsidRDefault="002E593F" w:rsidP="006E66E4">
      <w:pPr>
        <w:rPr>
          <w:sz w:val="24"/>
          <w:szCs w:val="24"/>
        </w:rPr>
      </w:pPr>
      <w:r>
        <w:rPr>
          <w:sz w:val="24"/>
          <w:szCs w:val="24"/>
        </w:rPr>
        <w:lastRenderedPageBreak/>
        <w:t xml:space="preserve"> </w:t>
      </w:r>
      <w:r w:rsidR="001F58BD">
        <w:rPr>
          <w:noProof/>
          <w:sz w:val="24"/>
          <w:szCs w:val="24"/>
        </w:rPr>
        <w:drawing>
          <wp:inline distT="0" distB="0" distL="0" distR="0" wp14:anchorId="3E8F8D1F" wp14:editId="57176E43">
            <wp:extent cx="6065520" cy="3074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2_final.jpg"/>
                    <pic:cNvPicPr/>
                  </pic:nvPicPr>
                  <pic:blipFill rotWithShape="1">
                    <a:blip r:embed="rId10">
                      <a:extLst>
                        <a:ext uri="{28A0092B-C50C-407E-A947-70E740481C1C}">
                          <a14:useLocalDpi xmlns:a14="http://schemas.microsoft.com/office/drawing/2010/main" val="0"/>
                        </a:ext>
                      </a:extLst>
                    </a:blip>
                    <a:srcRect l="9102" r="6922" b="-1736"/>
                    <a:stretch/>
                  </pic:blipFill>
                  <pic:spPr bwMode="auto">
                    <a:xfrm>
                      <a:off x="0" y="0"/>
                      <a:ext cx="6079289" cy="3081411"/>
                    </a:xfrm>
                    <a:prstGeom prst="rect">
                      <a:avLst/>
                    </a:prstGeom>
                    <a:ln>
                      <a:noFill/>
                    </a:ln>
                    <a:extLst>
                      <a:ext uri="{53640926-AAD7-44D8-BBD7-CCE9431645EC}">
                        <a14:shadowObscured xmlns:a14="http://schemas.microsoft.com/office/drawing/2010/main"/>
                      </a:ext>
                    </a:extLst>
                  </pic:spPr>
                </pic:pic>
              </a:graphicData>
            </a:graphic>
          </wp:inline>
        </w:drawing>
      </w:r>
    </w:p>
    <w:p w14:paraId="4C3A392A" w14:textId="630F9D37" w:rsidR="002E593F" w:rsidRDefault="002E593F" w:rsidP="006E66E4">
      <w:pPr>
        <w:rPr>
          <w:sz w:val="24"/>
          <w:szCs w:val="24"/>
        </w:rPr>
      </w:pPr>
    </w:p>
    <w:p w14:paraId="08B4F890" w14:textId="78EC2E19" w:rsidR="002E593F" w:rsidRPr="001B2F9B" w:rsidRDefault="002E593F" w:rsidP="001F58BD">
      <w:pPr>
        <w:jc w:val="both"/>
      </w:pPr>
      <w:r w:rsidRPr="00CE0C4D">
        <w:rPr>
          <w:b/>
        </w:rPr>
        <w:t>Figure S</w:t>
      </w:r>
      <w:r w:rsidR="0029050C" w:rsidRPr="00CE0C4D">
        <w:rPr>
          <w:b/>
        </w:rPr>
        <w:t>2</w:t>
      </w:r>
      <w:r w:rsidRPr="00CE0C4D">
        <w:rPr>
          <w:b/>
        </w:rPr>
        <w:t>.</w:t>
      </w:r>
      <w:r w:rsidR="00AE0DF0" w:rsidRPr="00CE0C4D">
        <w:rPr>
          <w:b/>
        </w:rPr>
        <w:t xml:space="preserve"> Dynamics of the within-host model variables not shown in Figure 2.</w:t>
      </w:r>
      <w:r w:rsidR="00AE0DF0">
        <w:t xml:space="preserve"> (A) The dynamics of uninfected cells that are susceptible to infection. (B) The dynamics of uninfected cells that are refractory to infection. (C) The fraction of total target cells that are uninfected. (D) The nu</w:t>
      </w:r>
      <w:r w:rsidR="001F58BD">
        <w:t>mber of eclipse-phase infected</w:t>
      </w:r>
      <w:r w:rsidR="00AE0DF0">
        <w:t xml:space="preserve"> cells. (E) The number of productively</w:t>
      </w:r>
      <w:r w:rsidR="00592CF9">
        <w:t xml:space="preserve"> </w:t>
      </w:r>
      <w:r w:rsidR="00AE0DF0">
        <w:t xml:space="preserve">infected cells. (F) The infected cell death rate </w:t>
      </w:r>
      <w:r w:rsidR="00AE0DF0" w:rsidRPr="00AE0DF0">
        <w:rPr>
          <w:rFonts w:ascii="Symbol" w:hAnsi="Symbol"/>
          <w:i/>
        </w:rPr>
        <w:t></w:t>
      </w:r>
      <w:r w:rsidR="00AE0DF0">
        <w:t xml:space="preserve">.  </w:t>
      </w:r>
      <w:r w:rsidR="001F58BD">
        <w:t>Analogous to the color-coding in Figure 2 of the main text, yellow, orange, and red lines correspond to inoculum doses of 10, 10^</w:t>
      </w:r>
      <w:r w:rsidR="001F58BD" w:rsidRPr="001F58BD">
        <w:rPr>
          <w:vertAlign w:val="superscript"/>
        </w:rPr>
        <w:t>4</w:t>
      </w:r>
      <w:r w:rsidR="001F58BD">
        <w:t>, and 1.6x10</w:t>
      </w:r>
      <w:r w:rsidR="001F58BD" w:rsidRPr="001F58BD">
        <w:rPr>
          <w:vertAlign w:val="superscript"/>
        </w:rPr>
        <w:t>7</w:t>
      </w:r>
      <w:r w:rsidR="001F58BD">
        <w:t xml:space="preserve"> initially infected cells, respectively.</w:t>
      </w:r>
    </w:p>
    <w:p w14:paraId="26F0F9BD" w14:textId="3DABD23D" w:rsidR="002E593F" w:rsidRDefault="002E593F" w:rsidP="006E66E4">
      <w:pPr>
        <w:rPr>
          <w:sz w:val="24"/>
          <w:szCs w:val="24"/>
        </w:rPr>
      </w:pPr>
    </w:p>
    <w:p w14:paraId="0BC1D52F" w14:textId="0E5D0E62" w:rsidR="00B705FD" w:rsidRDefault="000621F4" w:rsidP="00133144">
      <w:pPr>
        <w:jc w:val="both"/>
        <w:rPr>
          <w:sz w:val="24"/>
          <w:szCs w:val="24"/>
        </w:rPr>
      </w:pPr>
      <w:r>
        <w:rPr>
          <w:sz w:val="24"/>
          <w:szCs w:val="24"/>
        </w:rPr>
        <w:t>Variation around the baseline model parameterization is introduced by sampling a subset of the model parameter values from log-normal distributions with the means given by the baseline parameterization and specified standard deviations</w:t>
      </w:r>
      <w:r w:rsidR="00391DDD">
        <w:rPr>
          <w:sz w:val="24"/>
          <w:szCs w:val="24"/>
        </w:rPr>
        <w:t xml:space="preserve"> (Table </w:t>
      </w:r>
      <w:r w:rsidR="00AE0DF0">
        <w:rPr>
          <w:sz w:val="24"/>
          <w:szCs w:val="24"/>
        </w:rPr>
        <w:t>S</w:t>
      </w:r>
      <w:r w:rsidR="00391DDD">
        <w:rPr>
          <w:sz w:val="24"/>
          <w:szCs w:val="24"/>
        </w:rPr>
        <w:t>1)</w:t>
      </w:r>
      <w:r>
        <w:rPr>
          <w:sz w:val="24"/>
          <w:szCs w:val="24"/>
        </w:rPr>
        <w:t>. Specifically, we consider interindividual variation in the parameters</w:t>
      </w:r>
      <w:r w:rsidR="00F648CB">
        <w:rPr>
          <w:sz w:val="24"/>
          <w:szCs w:val="24"/>
        </w:rPr>
        <w:t xml:space="preserve"> </w:t>
      </w:r>
      <w:r w:rsidR="00F648CB">
        <w:rPr>
          <w:rFonts w:ascii="Symbol" w:hAnsi="Symbol"/>
          <w:i/>
          <w:sz w:val="24"/>
          <w:szCs w:val="24"/>
        </w:rPr>
        <w:t></w:t>
      </w:r>
      <w:r w:rsidR="00F648CB">
        <w:rPr>
          <w:sz w:val="24"/>
          <w:szCs w:val="24"/>
        </w:rPr>
        <w:t>,</w:t>
      </w:r>
      <w:r>
        <w:rPr>
          <w:sz w:val="24"/>
          <w:szCs w:val="24"/>
        </w:rPr>
        <w:t xml:space="preserve"> </w:t>
      </w:r>
      <w:r w:rsidR="00671607" w:rsidRPr="00671607">
        <w:rPr>
          <w:rFonts w:ascii="Symbol" w:hAnsi="Symbol"/>
          <w:i/>
          <w:sz w:val="24"/>
          <w:szCs w:val="24"/>
        </w:rPr>
        <w:t></w:t>
      </w:r>
      <w:r w:rsidRPr="00671607">
        <w:rPr>
          <w:sz w:val="24"/>
          <w:szCs w:val="24"/>
          <w:vertAlign w:val="subscript"/>
        </w:rPr>
        <w:t>I</w:t>
      </w:r>
      <w:r>
        <w:rPr>
          <w:sz w:val="24"/>
          <w:szCs w:val="24"/>
        </w:rPr>
        <w:t xml:space="preserve">, </w:t>
      </w:r>
      <w:r w:rsidR="00671607" w:rsidRPr="00671607">
        <w:rPr>
          <w:rFonts w:ascii="Symbol" w:hAnsi="Symbol"/>
          <w:i/>
          <w:sz w:val="24"/>
          <w:szCs w:val="24"/>
        </w:rPr>
        <w:t></w:t>
      </w:r>
      <w:r>
        <w:rPr>
          <w:sz w:val="24"/>
          <w:szCs w:val="24"/>
        </w:rPr>
        <w:t xml:space="preserve">, </w:t>
      </w:r>
      <w:r w:rsidR="00671607" w:rsidRPr="00671607">
        <w:rPr>
          <w:rFonts w:ascii="Symbol" w:hAnsi="Symbol"/>
          <w:i/>
          <w:sz w:val="24"/>
          <w:szCs w:val="24"/>
        </w:rPr>
        <w:t></w:t>
      </w:r>
      <w:r>
        <w:rPr>
          <w:sz w:val="24"/>
          <w:szCs w:val="24"/>
        </w:rPr>
        <w:t xml:space="preserve">, and </w:t>
      </w:r>
      <w:r w:rsidRPr="00671607">
        <w:rPr>
          <w:rFonts w:ascii="Symbol" w:hAnsi="Symbol"/>
          <w:i/>
          <w:sz w:val="24"/>
          <w:szCs w:val="24"/>
        </w:rPr>
        <w:t></w:t>
      </w:r>
      <w:r>
        <w:rPr>
          <w:sz w:val="24"/>
          <w:szCs w:val="24"/>
        </w:rPr>
        <w:t xml:space="preserve">. </w:t>
      </w:r>
      <w:r w:rsidR="001F5085">
        <w:rPr>
          <w:sz w:val="24"/>
          <w:szCs w:val="24"/>
        </w:rPr>
        <w:t xml:space="preserve">Variation in </w:t>
      </w:r>
      <w:r w:rsidR="00671607" w:rsidRPr="00671607">
        <w:rPr>
          <w:rFonts w:ascii="Symbol" w:hAnsi="Symbol"/>
          <w:i/>
          <w:sz w:val="24"/>
          <w:szCs w:val="24"/>
        </w:rPr>
        <w:t></w:t>
      </w:r>
      <w:r w:rsidR="00592CF9">
        <w:rPr>
          <w:rFonts w:ascii="Symbol" w:hAnsi="Symbol"/>
          <w:iCs/>
          <w:sz w:val="24"/>
          <w:szCs w:val="24"/>
        </w:rPr>
        <w:t></w:t>
      </w:r>
      <w:r w:rsidR="001F5085">
        <w:rPr>
          <w:sz w:val="24"/>
          <w:szCs w:val="24"/>
        </w:rPr>
        <w:t xml:space="preserve">reflects interindividual variation in the strength of the innate immune response. </w:t>
      </w:r>
      <w:r>
        <w:rPr>
          <w:sz w:val="24"/>
          <w:szCs w:val="24"/>
        </w:rPr>
        <w:t>Variation in</w:t>
      </w:r>
      <w:r w:rsidR="001F5085">
        <w:rPr>
          <w:sz w:val="24"/>
          <w:szCs w:val="24"/>
        </w:rPr>
        <w:t xml:space="preserve"> </w:t>
      </w:r>
      <w:r w:rsidR="00671607" w:rsidRPr="00671607">
        <w:rPr>
          <w:rFonts w:ascii="Symbol" w:hAnsi="Symbol"/>
          <w:i/>
          <w:sz w:val="24"/>
          <w:szCs w:val="24"/>
        </w:rPr>
        <w:t></w:t>
      </w:r>
      <w:r w:rsidR="001F5085">
        <w:rPr>
          <w:sz w:val="24"/>
          <w:szCs w:val="24"/>
        </w:rPr>
        <w:t xml:space="preserve"> reflects interindividual variation in the speed at which the cellular immune response occurs. Variation in the other parameters reflects interindividual variation arising from other </w:t>
      </w:r>
      <w:r w:rsidR="00671607">
        <w:rPr>
          <w:sz w:val="24"/>
          <w:szCs w:val="24"/>
        </w:rPr>
        <w:t xml:space="preserve">host </w:t>
      </w:r>
      <w:r w:rsidR="001F5085">
        <w:rPr>
          <w:sz w:val="24"/>
          <w:szCs w:val="24"/>
        </w:rPr>
        <w:t>factors.</w:t>
      </w:r>
      <w:r w:rsidR="001E0DFF">
        <w:rPr>
          <w:sz w:val="24"/>
          <w:szCs w:val="24"/>
        </w:rPr>
        <w:t xml:space="preserve"> Figure S3 shows the viral load dynamics and the tissue damage dynamics from 10 indiv</w:t>
      </w:r>
      <w:r w:rsidR="00984F55">
        <w:rPr>
          <w:sz w:val="24"/>
          <w:szCs w:val="24"/>
        </w:rPr>
        <w:t xml:space="preserve">iduals, with the values for each of these </w:t>
      </w:r>
      <w:r w:rsidR="00CB025F">
        <w:rPr>
          <w:sz w:val="24"/>
          <w:szCs w:val="24"/>
        </w:rPr>
        <w:t>5</w:t>
      </w:r>
      <w:r w:rsidR="00984F55">
        <w:rPr>
          <w:sz w:val="24"/>
          <w:szCs w:val="24"/>
        </w:rPr>
        <w:t xml:space="preserve"> </w:t>
      </w:r>
      <w:r w:rsidR="001E0DFF">
        <w:rPr>
          <w:sz w:val="24"/>
          <w:szCs w:val="24"/>
        </w:rPr>
        <w:t>para</w:t>
      </w:r>
      <w:r w:rsidR="00984F55">
        <w:rPr>
          <w:sz w:val="24"/>
          <w:szCs w:val="24"/>
        </w:rPr>
        <w:t>meters drawn randomly from their specified</w:t>
      </w:r>
      <w:r w:rsidR="00CB025F">
        <w:rPr>
          <w:sz w:val="24"/>
          <w:szCs w:val="24"/>
        </w:rPr>
        <w:t xml:space="preserve"> log-normal distributions</w:t>
      </w:r>
      <w:r w:rsidR="00A478E1">
        <w:rPr>
          <w:sz w:val="24"/>
          <w:szCs w:val="24"/>
        </w:rPr>
        <w:t>.</w:t>
      </w:r>
    </w:p>
    <w:p w14:paraId="3E93CA66" w14:textId="5E8BFA0C" w:rsidR="001E0DFF" w:rsidRDefault="001E0DFF" w:rsidP="006E66E4">
      <w:pPr>
        <w:rPr>
          <w:sz w:val="24"/>
          <w:szCs w:val="24"/>
        </w:rPr>
      </w:pPr>
    </w:p>
    <w:p w14:paraId="3B0495F2" w14:textId="2F6F9A9B" w:rsidR="001E0DFF" w:rsidRDefault="00D92FB2" w:rsidP="006E66E4">
      <w:pPr>
        <w:rPr>
          <w:sz w:val="24"/>
          <w:szCs w:val="24"/>
        </w:rPr>
      </w:pPr>
      <w:r>
        <w:rPr>
          <w:noProof/>
          <w:sz w:val="24"/>
          <w:szCs w:val="24"/>
        </w:rPr>
        <w:lastRenderedPageBreak/>
        <w:drawing>
          <wp:inline distT="0" distB="0" distL="0" distR="0" wp14:anchorId="678AF43D" wp14:editId="65993F05">
            <wp:extent cx="6073140" cy="3155115"/>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3_final.jpg"/>
                    <pic:cNvPicPr/>
                  </pic:nvPicPr>
                  <pic:blipFill rotWithShape="1">
                    <a:blip r:embed="rId11">
                      <a:extLst>
                        <a:ext uri="{28A0092B-C50C-407E-A947-70E740481C1C}">
                          <a14:useLocalDpi xmlns:a14="http://schemas.microsoft.com/office/drawing/2010/main" val="0"/>
                        </a:ext>
                      </a:extLst>
                    </a:blip>
                    <a:srcRect l="6794" r="7821" b="1213"/>
                    <a:stretch/>
                  </pic:blipFill>
                  <pic:spPr bwMode="auto">
                    <a:xfrm>
                      <a:off x="0" y="0"/>
                      <a:ext cx="6079285" cy="3158307"/>
                    </a:xfrm>
                    <a:prstGeom prst="rect">
                      <a:avLst/>
                    </a:prstGeom>
                    <a:ln>
                      <a:noFill/>
                    </a:ln>
                    <a:extLst>
                      <a:ext uri="{53640926-AAD7-44D8-BBD7-CCE9431645EC}">
                        <a14:shadowObscured xmlns:a14="http://schemas.microsoft.com/office/drawing/2010/main"/>
                      </a:ext>
                    </a:extLst>
                  </pic:spPr>
                </pic:pic>
              </a:graphicData>
            </a:graphic>
          </wp:inline>
        </w:drawing>
      </w:r>
    </w:p>
    <w:p w14:paraId="3D656130" w14:textId="50B49D22" w:rsidR="001E0DFF" w:rsidRDefault="001E0DFF" w:rsidP="00D92FB2">
      <w:pPr>
        <w:jc w:val="both"/>
      </w:pPr>
      <w:r w:rsidRPr="001B2F9B">
        <w:rPr>
          <w:b/>
        </w:rPr>
        <w:t>Figure S</w:t>
      </w:r>
      <w:r>
        <w:rPr>
          <w:b/>
        </w:rPr>
        <w:t>3</w:t>
      </w:r>
      <w:r w:rsidRPr="00D92FB2">
        <w:rPr>
          <w:b/>
        </w:rPr>
        <w:t>. Viral load and tissue damage dynamics of 10 individuals.</w:t>
      </w:r>
      <w:r w:rsidR="00D92FB2">
        <w:t xml:space="preserve"> (First row) Viral load dynamics of individuals 1-5. (Second row) Corresponding tissue damage dynamics of individuals 1-5. (Third row) Viral load dynamics of individuals 6-10. (Fourth row) Corresponding tissue dynamics of individuals 6-10. Colored lines in each panel correspond to inoculum doses of 10 (yellow), 10</w:t>
      </w:r>
      <w:r w:rsidR="00D92FB2" w:rsidRPr="00D92FB2">
        <w:rPr>
          <w:vertAlign w:val="superscript"/>
        </w:rPr>
        <w:t>4</w:t>
      </w:r>
      <w:r w:rsidR="00D92FB2">
        <w:t xml:space="preserve"> (orange), and 1.6x10</w:t>
      </w:r>
      <w:r w:rsidR="00D92FB2" w:rsidRPr="00D92FB2">
        <w:rPr>
          <w:vertAlign w:val="superscript"/>
        </w:rPr>
        <w:t>7</w:t>
      </w:r>
      <w:r w:rsidR="00D92FB2">
        <w:t xml:space="preserve"> (red) initially infected cells.</w:t>
      </w:r>
    </w:p>
    <w:p w14:paraId="430B6507" w14:textId="77777777" w:rsidR="008449A6" w:rsidRPr="00F648CB" w:rsidRDefault="008449A6" w:rsidP="008449A6"/>
    <w:p w14:paraId="1D2C05CC" w14:textId="33E8EB16" w:rsidR="00985BFE" w:rsidRPr="00133144" w:rsidRDefault="008449A6" w:rsidP="00133144">
      <w:pPr>
        <w:pStyle w:val="ListParagraph"/>
        <w:numPr>
          <w:ilvl w:val="0"/>
          <w:numId w:val="13"/>
        </w:numPr>
        <w:ind w:left="360" w:hanging="360"/>
        <w:rPr>
          <w:i/>
          <w:sz w:val="24"/>
          <w:szCs w:val="24"/>
        </w:rPr>
      </w:pPr>
      <w:r w:rsidRPr="008449A6">
        <w:rPr>
          <w:i/>
          <w:sz w:val="24"/>
          <w:szCs w:val="24"/>
        </w:rPr>
        <w:t>Within-host model simplifications that demonstrate the reason for insensitivity of disease severity to inoculum dose at low</w:t>
      </w:r>
      <w:r w:rsidR="00133144">
        <w:rPr>
          <w:i/>
          <w:sz w:val="24"/>
          <w:szCs w:val="24"/>
        </w:rPr>
        <w:t xml:space="preserve"> to moderate</w:t>
      </w:r>
      <w:r w:rsidRPr="008449A6">
        <w:rPr>
          <w:i/>
          <w:sz w:val="24"/>
          <w:szCs w:val="24"/>
        </w:rPr>
        <w:t xml:space="preserve"> doses </w:t>
      </w:r>
    </w:p>
    <w:p w14:paraId="39E028BF" w14:textId="2DA003A3" w:rsidR="009C66C5" w:rsidRPr="00133144" w:rsidRDefault="009C66C5" w:rsidP="00133144">
      <w:pPr>
        <w:jc w:val="both"/>
      </w:pPr>
      <w:r>
        <w:t>As described in the above section, we model tissue damage according to the following equation:</w:t>
      </w:r>
      <m:oMath>
        <m:r>
          <m:rPr>
            <m:sty m:val="p"/>
          </m:rPr>
          <w:rPr>
            <w:rFonts w:ascii="Cambria Math" w:hAnsi="Cambria Math"/>
            <w:sz w:val="24"/>
            <w:szCs w:val="24"/>
          </w:rPr>
          <w:br/>
        </m:r>
      </m:oMath>
      <m:oMathPara>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dt=αI</m:t>
              </m:r>
              <m:r>
                <m:rPr>
                  <m:sty m:val="p"/>
                </m:rPr>
                <w:rPr>
                  <w:rFonts w:ascii="Cambria Math" w:hAnsi="Cambria Math"/>
                  <w:sz w:val="24"/>
                  <w:szCs w:val="24"/>
                </w:rPr>
                <m:t>Λ</m:t>
              </m:r>
              <m:r>
                <w:rPr>
                  <w:rFonts w:ascii="Cambria Math" w:hAnsi="Cambria Math"/>
                  <w:sz w:val="24"/>
                  <w:szCs w:val="24"/>
                </w:rPr>
                <m:t>+ωI-γD</m:t>
              </m:r>
            </m:den>
          </m:f>
        </m:oMath>
      </m:oMathPara>
    </w:p>
    <w:p w14:paraId="2345FCC7" w14:textId="24A65EED" w:rsidR="00680C0B" w:rsidRDefault="009C66C5" w:rsidP="00133144">
      <w:pPr>
        <w:jc w:val="both"/>
      </w:pPr>
      <w:r>
        <w:t>This equation is based on formulations in previously published studies, and includes the roles that T-cells and the innate immune response play in contributing to tissue damage and ultimately disease severity. To better understand why disease severity is insensitive to inoculum dose across a broad range of doses (from 1 initially infected cell to ~10</w:t>
      </w:r>
      <w:r w:rsidRPr="009C66C5">
        <w:rPr>
          <w:vertAlign w:val="superscript"/>
        </w:rPr>
        <w:t>6</w:t>
      </w:r>
      <w:r>
        <w:t xml:space="preserve"> initially infected cells), we can consider two separate simplifications of this equation. The first</w:t>
      </w:r>
      <w:r w:rsidR="00680C0B">
        <w:t xml:space="preserve"> simplification is one in which we assume that </w:t>
      </w:r>
      <w:r w:rsidR="00592CF9">
        <w:t xml:space="preserve">only </w:t>
      </w:r>
      <w:r w:rsidR="00680C0B">
        <w:t>the innate immune response contributes to tissue damage</w:t>
      </w:r>
      <w:r w:rsidR="00134B05">
        <w:t xml:space="preserve">: </w:t>
      </w:r>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dt=ωI-γD</m:t>
            </m:r>
          </m:den>
        </m:f>
      </m:oMath>
      <w:r w:rsidR="00680C0B">
        <w:t>. In this case, patterns of disease severity across inoculum doses qualitatively recapitulate the patterns shown in Figure 2 of the main text: disease severity is largely insensitive to inoculum dose until very high dose levels are reached (</w:t>
      </w:r>
      <w:r w:rsidR="00680C0B" w:rsidRPr="00680C0B">
        <w:rPr>
          <w:b/>
        </w:rPr>
        <w:t>Figure S4</w:t>
      </w:r>
      <w:r w:rsidR="00680C0B">
        <w:t xml:space="preserve">). Because T-cells do not contribute to tissue damage, absolute magnitudes of tissue damage are lower in Figure S4 than in Figure 2. </w:t>
      </w:r>
    </w:p>
    <w:p w14:paraId="19215066" w14:textId="55658D93" w:rsidR="00134B05" w:rsidRDefault="00134B05" w:rsidP="00133144">
      <w:pPr>
        <w:jc w:val="both"/>
      </w:pPr>
      <w:r>
        <w:t xml:space="preserve">The second simplification is one in which we assume that </w:t>
      </w:r>
      <w:r w:rsidR="00592CF9">
        <w:t xml:space="preserve">only </w:t>
      </w:r>
      <w:r>
        <w:t xml:space="preserve">the T-cell response contributes to tissue damage: </w:t>
      </w:r>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dt=αI</m:t>
            </m:r>
            <m:r>
              <m:rPr>
                <m:sty m:val="p"/>
              </m:rPr>
              <w:rPr>
                <w:rFonts w:ascii="Cambria Math" w:hAnsi="Cambria Math"/>
                <w:sz w:val="24"/>
                <w:szCs w:val="24"/>
              </w:rPr>
              <m:t>Λ</m:t>
            </m:r>
            <m:r>
              <w:rPr>
                <w:rFonts w:ascii="Cambria Math" w:hAnsi="Cambria Math"/>
                <w:sz w:val="24"/>
                <w:szCs w:val="24"/>
              </w:rPr>
              <m:t>-γD</m:t>
            </m:r>
          </m:den>
        </m:f>
      </m:oMath>
      <w:r>
        <w:t xml:space="preserve">. In this case, patterns of disease severity across inoculum doses similarly qualitatively recapitulate the patterns shown in Figure 2 of the main text: disease severity is largely </w:t>
      </w:r>
      <w:r>
        <w:lastRenderedPageBreak/>
        <w:t>insensitive to inoculum dose until very high dose levels are reached (</w:t>
      </w:r>
      <w:r w:rsidRPr="00680C0B">
        <w:rPr>
          <w:b/>
        </w:rPr>
        <w:t>Figure S</w:t>
      </w:r>
      <w:r>
        <w:rPr>
          <w:b/>
        </w:rPr>
        <w:t>5</w:t>
      </w:r>
      <w:r>
        <w:t xml:space="preserve">). Because the innate immune response does not contribute to tissue damage, absolute magnitudes of tissue damage are lower in Figure S5 than in Figure 2. </w:t>
      </w:r>
      <w:r w:rsidR="00A67E32">
        <w:t>We can understand this pattern because in this case, up to day 7, T-cells are only present at low numbers (</w:t>
      </w:r>
      <m:oMath>
        <m:r>
          <m:rPr>
            <m:sty m:val="p"/>
          </m:rPr>
          <w:rPr>
            <w:rFonts w:ascii="Cambria Math" w:hAnsi="Cambria Math"/>
            <w:sz w:val="24"/>
            <w:szCs w:val="24"/>
          </w:rPr>
          <m:t>Λ=1</m:t>
        </m:r>
      </m:oMath>
      <w:r w:rsidR="00A67E32">
        <w:t>), such that increases in tissue damage up to this time are proportional to the number of infected cells (</w:t>
      </w:r>
      <m:oMath>
        <m:r>
          <w:rPr>
            <w:rFonts w:ascii="Cambria Math" w:hAnsi="Cambria Math"/>
            <w:sz w:val="24"/>
            <w:szCs w:val="24"/>
          </w:rPr>
          <m:t>αI</m:t>
        </m:r>
      </m:oMath>
      <w:r w:rsidR="00A67E32">
        <w:t xml:space="preserve">). At </w:t>
      </w:r>
      <w:r w:rsidR="002E5DE9">
        <w:t>inoculum doses of &lt;10</w:t>
      </w:r>
      <w:r w:rsidR="00A67E32" w:rsidRPr="002E5DE9">
        <w:rPr>
          <w:vertAlign w:val="superscript"/>
        </w:rPr>
        <w:t>6</w:t>
      </w:r>
      <w:r w:rsidR="00A67E32">
        <w:t xml:space="preserve"> initially infected </w:t>
      </w:r>
      <w:r w:rsidR="002E5DE9">
        <w:t xml:space="preserve">cells, the dynamics of </w:t>
      </w:r>
      <w:r w:rsidR="00A67E32">
        <w:t>infected cells are quantitatively similar</w:t>
      </w:r>
      <w:r w:rsidR="002E5DE9">
        <w:t>, with the kinetics just offset (see Figure S2E).</w:t>
      </w:r>
      <w:r w:rsidR="00B91525">
        <w:t xml:space="preserve"> As such, </w:t>
      </w:r>
      <w:r w:rsidR="002E5DE9">
        <w:t xml:space="preserve">tissue damage dynamics will also be quantitatively similar, with kinetics just offset (Figure S5B). If we instead assume that </w:t>
      </w:r>
      <w:r w:rsidR="00B91525">
        <w:t xml:space="preserve">background levels of </w:t>
      </w:r>
      <w:r w:rsidR="002E5DE9">
        <w:t xml:space="preserve">T-cells </w:t>
      </w:r>
      <w:r w:rsidR="00B91525">
        <w:t xml:space="preserve">do not contribute to tissue damage, we can rewrite the equation for tissue damage as </w:t>
      </w:r>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dt=αI(</m:t>
            </m:r>
            <m:r>
              <m:rPr>
                <m:sty m:val="p"/>
              </m:rPr>
              <w:rPr>
                <w:rFonts w:ascii="Cambria Math" w:hAnsi="Cambria Math"/>
                <w:sz w:val="24"/>
                <w:szCs w:val="24"/>
              </w:rPr>
              <m:t>Λ-1)</m:t>
            </m:r>
            <m:r>
              <w:rPr>
                <w:rFonts w:ascii="Cambria Math" w:hAnsi="Cambria Math"/>
                <w:sz w:val="24"/>
                <w:szCs w:val="24"/>
              </w:rPr>
              <m:t>-γD</m:t>
            </m:r>
          </m:den>
        </m:f>
      </m:oMath>
      <w:r w:rsidR="00B91525">
        <w:t>. In this case, disease severity does not have a consistent or strong relationship with inoculum dose (</w:t>
      </w:r>
      <w:r w:rsidR="00B91525" w:rsidRPr="00B91525">
        <w:rPr>
          <w:b/>
        </w:rPr>
        <w:t>Figure S6</w:t>
      </w:r>
      <w:r w:rsidR="00B91525">
        <w:t>). The most prominent pattern in this case is a negative relationship between inoculum dose and disease severity. This can be understood in the context of viral kinetics: at higher inoculum doses, the viral infection is over earlier. As such, the number of infected cells after day 7 (once T-cells expand beyond their background levels) is lower at higher inoculum doses than at lower inoculum doses. Tissue damage, and associated disease severity, may therefore be lower at higher inoculum doses.</w:t>
      </w:r>
    </w:p>
    <w:p w14:paraId="4078806B" w14:textId="094F297D" w:rsidR="0099476E" w:rsidRDefault="00B91525" w:rsidP="00133144">
      <w:pPr>
        <w:jc w:val="both"/>
      </w:pPr>
      <w:r>
        <w:t xml:space="preserve">Together, </w:t>
      </w:r>
      <w:r w:rsidRPr="0099476E">
        <w:rPr>
          <w:b/>
        </w:rPr>
        <w:t>Figures S4-S6</w:t>
      </w:r>
      <w:r>
        <w:t xml:space="preserve"> indicate that our results shown in Figure 2C and 2D, </w:t>
      </w:r>
      <w:r w:rsidR="00FB7A60">
        <w:t>which show</w:t>
      </w:r>
      <w:r>
        <w:t xml:space="preserve"> that disease severity is insensitive to inoculum dose across a broad range of inoculum doses</w:t>
      </w:r>
      <w:r w:rsidR="0099476E">
        <w:t xml:space="preserve"> (1-approx. 10</w:t>
      </w:r>
      <w:r w:rsidR="0099476E" w:rsidRPr="0099476E">
        <w:rPr>
          <w:vertAlign w:val="superscript"/>
        </w:rPr>
        <w:t>6</w:t>
      </w:r>
      <w:r w:rsidR="0099476E">
        <w:t xml:space="preserve"> initially infected cells)</w:t>
      </w:r>
      <w:r w:rsidR="00FB7A60">
        <w:t>, are</w:t>
      </w:r>
      <w:r w:rsidR="0099476E">
        <w:t xml:space="preserve"> due to the ability of the host immune response to effectively regulate viral dynamics at these inoculum doses. At very high inoculum doses, however, the host immune response loses its ability to quickly regulate within-host viral dynamics, and as such, the number of infected cells is significantly higher, which results in higher interferon levels, and ultimately a higher level of interferon-induced pathology.</w:t>
      </w:r>
    </w:p>
    <w:p w14:paraId="2A4E04C2" w14:textId="22ADD8C4" w:rsidR="00680C0B" w:rsidRDefault="00680C0B"/>
    <w:p w14:paraId="02618D9B" w14:textId="6259073A" w:rsidR="00645A81" w:rsidRDefault="00645A81">
      <w:r>
        <w:rPr>
          <w:noProof/>
        </w:rPr>
        <w:drawing>
          <wp:inline distT="0" distB="0" distL="0" distR="0" wp14:anchorId="0C772FFD" wp14:editId="11E84A22">
            <wp:extent cx="5783580" cy="350779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4_noTcell.jpg"/>
                    <pic:cNvPicPr/>
                  </pic:nvPicPr>
                  <pic:blipFill rotWithShape="1">
                    <a:blip r:embed="rId12">
                      <a:extLst>
                        <a:ext uri="{28A0092B-C50C-407E-A947-70E740481C1C}">
                          <a14:useLocalDpi xmlns:a14="http://schemas.microsoft.com/office/drawing/2010/main" val="0"/>
                        </a:ext>
                      </a:extLst>
                    </a:blip>
                    <a:srcRect l="6025" r="7308" b="746"/>
                    <a:stretch/>
                  </pic:blipFill>
                  <pic:spPr bwMode="auto">
                    <a:xfrm>
                      <a:off x="0" y="0"/>
                      <a:ext cx="5792383" cy="3513132"/>
                    </a:xfrm>
                    <a:prstGeom prst="rect">
                      <a:avLst/>
                    </a:prstGeom>
                    <a:ln>
                      <a:noFill/>
                    </a:ln>
                    <a:extLst>
                      <a:ext uri="{53640926-AAD7-44D8-BBD7-CCE9431645EC}">
                        <a14:shadowObscured xmlns:a14="http://schemas.microsoft.com/office/drawing/2010/main"/>
                      </a:ext>
                    </a:extLst>
                  </pic:spPr>
                </pic:pic>
              </a:graphicData>
            </a:graphic>
          </wp:inline>
        </w:drawing>
      </w:r>
    </w:p>
    <w:p w14:paraId="392872B2" w14:textId="2ED0FE05" w:rsidR="009C66C5" w:rsidRDefault="00680C0B" w:rsidP="00645A81">
      <w:pPr>
        <w:jc w:val="both"/>
      </w:pPr>
      <w:r w:rsidRPr="00566000">
        <w:rPr>
          <w:b/>
          <w:noProof/>
        </w:rPr>
        <w:lastRenderedPageBreak/>
        <w:t xml:space="preserve">Figure </w:t>
      </w:r>
      <w:r>
        <w:rPr>
          <w:b/>
          <w:noProof/>
        </w:rPr>
        <w:t>S4</w:t>
      </w:r>
      <w:r w:rsidRPr="005835D4">
        <w:rPr>
          <w:b/>
          <w:noProof/>
        </w:rPr>
        <w:t>. The relationship between inoculum dose and the risk of developing severe disease for SARS-CoV-2</w:t>
      </w:r>
      <w:r>
        <w:rPr>
          <w:b/>
          <w:noProof/>
        </w:rPr>
        <w:t xml:space="preserve"> when only the innate immune response contributes to tissue damage</w:t>
      </w:r>
      <w:r w:rsidRPr="005835D4">
        <w:rPr>
          <w:b/>
          <w:noProof/>
        </w:rPr>
        <w:t xml:space="preserve">. </w:t>
      </w:r>
      <w:r>
        <w:rPr>
          <w:noProof/>
        </w:rPr>
        <w:t xml:space="preserve">(A) Viral dynamics, and (B) corresponding tissue damage dynamics, as in Figure 2, with the equation for tissue damage given instead by </w:t>
      </w:r>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dt=ωI-γD</m:t>
            </m:r>
          </m:den>
        </m:f>
      </m:oMath>
      <w:r>
        <w:rPr>
          <w:rFonts w:eastAsiaTheme="minorEastAsia"/>
          <w:noProof/>
          <w:sz w:val="24"/>
          <w:szCs w:val="24"/>
        </w:rPr>
        <w:t>.</w:t>
      </w:r>
      <w:r>
        <w:rPr>
          <w:noProof/>
        </w:rPr>
        <w:t xml:space="preserve"> (C) Disease severity of infection over a broad range of inoculum doses, as in Figure 2, with the equation for tissue damage instead given by </w:t>
      </w:r>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dt=ωI-γD</m:t>
            </m:r>
          </m:den>
        </m:f>
      </m:oMath>
      <w:r>
        <w:rPr>
          <w:rFonts w:eastAsiaTheme="minorEastAsia"/>
          <w:noProof/>
          <w:sz w:val="24"/>
          <w:szCs w:val="24"/>
        </w:rPr>
        <w:t>.</w:t>
      </w:r>
      <w:r>
        <w:rPr>
          <w:noProof/>
        </w:rPr>
        <w:t xml:space="preserve"> (D) Disease severity, for the baseline model parameterization (black) and 10 individuals (dashed gray), as in (C), in terms of fold change</w:t>
      </w:r>
      <w:r w:rsidR="00645A81">
        <w:rPr>
          <w:noProof/>
        </w:rPr>
        <w:t>. D</w:t>
      </w:r>
      <w:r>
        <w:rPr>
          <w:noProof/>
        </w:rPr>
        <w:t xml:space="preserve">isease severity values </w:t>
      </w:r>
      <w:r w:rsidR="00645A81">
        <w:rPr>
          <w:noProof/>
        </w:rPr>
        <w:t xml:space="preserve">used to calculated fold change are </w:t>
      </w:r>
      <w:r>
        <w:rPr>
          <w:noProof/>
        </w:rPr>
        <w:t>from panel (C).</w:t>
      </w:r>
    </w:p>
    <w:p w14:paraId="12AE52BF" w14:textId="44A92ACD" w:rsidR="008449A6" w:rsidRDefault="008449A6"/>
    <w:p w14:paraId="28DBC3E7" w14:textId="3D08D6AC" w:rsidR="008449A6" w:rsidRDefault="008449A6"/>
    <w:p w14:paraId="17205ABB" w14:textId="2E52A616" w:rsidR="00604012" w:rsidRDefault="00604012">
      <w:r>
        <w:rPr>
          <w:noProof/>
        </w:rPr>
        <w:drawing>
          <wp:inline distT="0" distB="0" distL="0" distR="0" wp14:anchorId="33BA6BE4" wp14:editId="535C5AF2">
            <wp:extent cx="5760720" cy="40383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S5_final.jpg"/>
                    <pic:cNvPicPr/>
                  </pic:nvPicPr>
                  <pic:blipFill rotWithShape="1">
                    <a:blip r:embed="rId13">
                      <a:extLst>
                        <a:ext uri="{28A0092B-C50C-407E-A947-70E740481C1C}">
                          <a14:useLocalDpi xmlns:a14="http://schemas.microsoft.com/office/drawing/2010/main" val="0"/>
                        </a:ext>
                      </a:extLst>
                    </a:blip>
                    <a:srcRect l="5385" r="6281" b="342"/>
                    <a:stretch/>
                  </pic:blipFill>
                  <pic:spPr bwMode="auto">
                    <a:xfrm>
                      <a:off x="0" y="0"/>
                      <a:ext cx="5766070" cy="4042107"/>
                    </a:xfrm>
                    <a:prstGeom prst="rect">
                      <a:avLst/>
                    </a:prstGeom>
                    <a:ln>
                      <a:noFill/>
                    </a:ln>
                    <a:extLst>
                      <a:ext uri="{53640926-AAD7-44D8-BBD7-CCE9431645EC}">
                        <a14:shadowObscured xmlns:a14="http://schemas.microsoft.com/office/drawing/2010/main"/>
                      </a:ext>
                    </a:extLst>
                  </pic:spPr>
                </pic:pic>
              </a:graphicData>
            </a:graphic>
          </wp:inline>
        </w:drawing>
      </w:r>
    </w:p>
    <w:p w14:paraId="1799E17E" w14:textId="6D4DF603" w:rsidR="00604012" w:rsidRDefault="00604012" w:rsidP="00604012">
      <w:pPr>
        <w:jc w:val="both"/>
        <w:rPr>
          <w:noProof/>
        </w:rPr>
      </w:pPr>
      <w:r w:rsidRPr="00566000">
        <w:rPr>
          <w:b/>
          <w:noProof/>
        </w:rPr>
        <w:t xml:space="preserve">Figure </w:t>
      </w:r>
      <w:r>
        <w:rPr>
          <w:b/>
          <w:noProof/>
        </w:rPr>
        <w:t>S5</w:t>
      </w:r>
      <w:r w:rsidRPr="005835D4">
        <w:rPr>
          <w:b/>
          <w:noProof/>
        </w:rPr>
        <w:t>. The relationship between inoculum dose and the risk of developing severe disease for SARS-CoV-2</w:t>
      </w:r>
      <w:r>
        <w:rPr>
          <w:b/>
          <w:noProof/>
        </w:rPr>
        <w:t xml:space="preserve"> when only the adaptive (T-cell) response contributes to tissue damage</w:t>
      </w:r>
      <w:r w:rsidRPr="005835D4">
        <w:rPr>
          <w:b/>
          <w:noProof/>
        </w:rPr>
        <w:t xml:space="preserve">. </w:t>
      </w:r>
      <w:r>
        <w:rPr>
          <w:noProof/>
        </w:rPr>
        <w:t xml:space="preserve">(A) Viral dynamics, and (B) corresponding tissue damage dynamics, as in Figure 2, with the equation for tissue damage given instead by </w:t>
      </w:r>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dt=αI</m:t>
            </m:r>
            <m:r>
              <m:rPr>
                <m:sty m:val="p"/>
              </m:rPr>
              <w:rPr>
                <w:rFonts w:ascii="Cambria Math" w:hAnsi="Cambria Math"/>
                <w:sz w:val="24"/>
                <w:szCs w:val="24"/>
              </w:rPr>
              <m:t>Λ</m:t>
            </m:r>
            <m:r>
              <w:rPr>
                <w:rFonts w:ascii="Cambria Math" w:hAnsi="Cambria Math"/>
                <w:sz w:val="24"/>
                <w:szCs w:val="24"/>
              </w:rPr>
              <m:t>-γD</m:t>
            </m:r>
          </m:den>
        </m:f>
      </m:oMath>
      <w:r>
        <w:rPr>
          <w:rFonts w:eastAsiaTheme="minorEastAsia"/>
          <w:noProof/>
          <w:sz w:val="24"/>
          <w:szCs w:val="24"/>
        </w:rPr>
        <w:t>.</w:t>
      </w:r>
      <w:r>
        <w:rPr>
          <w:noProof/>
        </w:rPr>
        <w:t xml:space="preserve"> (C) Disease severity of infection over a broad range of inoculum doses, as in Figure 2, with the equation for tissue damage instead given by </w:t>
      </w:r>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dt=αI</m:t>
            </m:r>
            <m:r>
              <m:rPr>
                <m:sty m:val="p"/>
              </m:rPr>
              <w:rPr>
                <w:rFonts w:ascii="Cambria Math" w:hAnsi="Cambria Math"/>
                <w:sz w:val="24"/>
                <w:szCs w:val="24"/>
              </w:rPr>
              <m:t>Λ</m:t>
            </m:r>
            <m:r>
              <w:rPr>
                <w:rFonts w:ascii="Cambria Math" w:hAnsi="Cambria Math"/>
                <w:sz w:val="24"/>
                <w:szCs w:val="24"/>
              </w:rPr>
              <m:t>-γD</m:t>
            </m:r>
          </m:den>
        </m:f>
      </m:oMath>
      <w:r>
        <w:rPr>
          <w:rFonts w:eastAsiaTheme="minorEastAsia"/>
          <w:noProof/>
          <w:sz w:val="24"/>
          <w:szCs w:val="24"/>
        </w:rPr>
        <w:t>.</w:t>
      </w:r>
      <w:r>
        <w:rPr>
          <w:noProof/>
        </w:rPr>
        <w:t xml:space="preserve"> (D) Disease severity, for the baseline model parameterization (black) and 10 individuals (dashed gray), as in (C), in terms of fold change. Disease severity values used to calculated fold change are from panel (C).</w:t>
      </w:r>
    </w:p>
    <w:p w14:paraId="62E3D21D" w14:textId="78713C59" w:rsidR="00B91525" w:rsidRDefault="00B91525" w:rsidP="00604012">
      <w:pPr>
        <w:jc w:val="both"/>
        <w:rPr>
          <w:noProof/>
        </w:rPr>
      </w:pPr>
    </w:p>
    <w:p w14:paraId="2B252BE7" w14:textId="6A1483C5" w:rsidR="00B91525" w:rsidRDefault="00B91525" w:rsidP="00604012">
      <w:pPr>
        <w:jc w:val="both"/>
        <w:rPr>
          <w:noProof/>
        </w:rPr>
      </w:pPr>
      <w:r>
        <w:rPr>
          <w:noProof/>
        </w:rPr>
        <w:lastRenderedPageBreak/>
        <w:drawing>
          <wp:inline distT="0" distB="0" distL="0" distR="0" wp14:anchorId="3010199F" wp14:editId="0ED22D32">
            <wp:extent cx="5928360" cy="409410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6_final.jpg"/>
                    <pic:cNvPicPr/>
                  </pic:nvPicPr>
                  <pic:blipFill rotWithShape="1">
                    <a:blip r:embed="rId14">
                      <a:extLst>
                        <a:ext uri="{28A0092B-C50C-407E-A947-70E740481C1C}">
                          <a14:useLocalDpi xmlns:a14="http://schemas.microsoft.com/office/drawing/2010/main" val="0"/>
                        </a:ext>
                      </a:extLst>
                    </a:blip>
                    <a:srcRect l="4487" r="6667"/>
                    <a:stretch/>
                  </pic:blipFill>
                  <pic:spPr bwMode="auto">
                    <a:xfrm>
                      <a:off x="0" y="0"/>
                      <a:ext cx="5935063" cy="4098733"/>
                    </a:xfrm>
                    <a:prstGeom prst="rect">
                      <a:avLst/>
                    </a:prstGeom>
                    <a:ln>
                      <a:noFill/>
                    </a:ln>
                    <a:extLst>
                      <a:ext uri="{53640926-AAD7-44D8-BBD7-CCE9431645EC}">
                        <a14:shadowObscured xmlns:a14="http://schemas.microsoft.com/office/drawing/2010/main"/>
                      </a:ext>
                    </a:extLst>
                  </pic:spPr>
                </pic:pic>
              </a:graphicData>
            </a:graphic>
          </wp:inline>
        </w:drawing>
      </w:r>
    </w:p>
    <w:p w14:paraId="45C83014" w14:textId="0435808F" w:rsidR="00B91525" w:rsidRDefault="00B91525" w:rsidP="00B91525">
      <w:pPr>
        <w:jc w:val="both"/>
      </w:pPr>
      <w:r w:rsidRPr="00566000">
        <w:rPr>
          <w:b/>
          <w:noProof/>
        </w:rPr>
        <w:t xml:space="preserve">Figure </w:t>
      </w:r>
      <w:r>
        <w:rPr>
          <w:b/>
          <w:noProof/>
        </w:rPr>
        <w:t>S6</w:t>
      </w:r>
      <w:r w:rsidRPr="005835D4">
        <w:rPr>
          <w:b/>
          <w:noProof/>
        </w:rPr>
        <w:t>. The relationship between inoculum dose and the risk of developing severe disease for SARS-CoV-2</w:t>
      </w:r>
      <w:r>
        <w:rPr>
          <w:b/>
          <w:noProof/>
        </w:rPr>
        <w:t xml:space="preserve"> when only the adaptive (T-cell) response above background levels contributes to tissue damage</w:t>
      </w:r>
      <w:r w:rsidRPr="005835D4">
        <w:rPr>
          <w:b/>
          <w:noProof/>
        </w:rPr>
        <w:t xml:space="preserve">. </w:t>
      </w:r>
      <w:r>
        <w:rPr>
          <w:noProof/>
        </w:rPr>
        <w:t xml:space="preserve">(A) Viral dynamics, and (B) corresponding tissue damage dynamics, as in Figure 2, with the equation for tissue damage given instead by </w:t>
      </w:r>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dt=αI(</m:t>
            </m:r>
            <m:r>
              <m:rPr>
                <m:sty m:val="p"/>
              </m:rPr>
              <w:rPr>
                <w:rFonts w:ascii="Cambria Math" w:hAnsi="Cambria Math"/>
                <w:sz w:val="24"/>
                <w:szCs w:val="24"/>
              </w:rPr>
              <m:t>Λ-1)</m:t>
            </m:r>
            <m:r>
              <w:rPr>
                <w:rFonts w:ascii="Cambria Math" w:hAnsi="Cambria Math"/>
                <w:sz w:val="24"/>
                <w:szCs w:val="24"/>
              </w:rPr>
              <m:t>-γD</m:t>
            </m:r>
          </m:den>
        </m:f>
      </m:oMath>
      <w:r>
        <w:rPr>
          <w:rFonts w:eastAsiaTheme="minorEastAsia"/>
          <w:noProof/>
          <w:sz w:val="24"/>
          <w:szCs w:val="24"/>
        </w:rPr>
        <w:t>.</w:t>
      </w:r>
      <w:r>
        <w:rPr>
          <w:noProof/>
        </w:rPr>
        <w:t xml:space="preserve"> (C) Disease severity of infection over a broad range of inoculum doses, as in Figure 2, with the equation for tissue damage instead given by </w:t>
      </w:r>
      <m:oMath>
        <m:f>
          <m:fPr>
            <m:type m:val="lin"/>
            <m:ctrlPr>
              <w:rPr>
                <w:rFonts w:ascii="Cambria Math" w:hAnsi="Cambria Math"/>
                <w:i/>
                <w:sz w:val="24"/>
                <w:szCs w:val="24"/>
              </w:rPr>
            </m:ctrlPr>
          </m:fPr>
          <m:num>
            <m:r>
              <w:rPr>
                <w:rFonts w:ascii="Cambria Math" w:hAnsi="Cambria Math"/>
                <w:sz w:val="24"/>
                <w:szCs w:val="24"/>
              </w:rPr>
              <m:t>dD</m:t>
            </m:r>
          </m:num>
          <m:den>
            <m:r>
              <w:rPr>
                <w:rFonts w:ascii="Cambria Math" w:hAnsi="Cambria Math"/>
                <w:sz w:val="24"/>
                <w:szCs w:val="24"/>
              </w:rPr>
              <m:t>dt=αI(</m:t>
            </m:r>
            <m:r>
              <m:rPr>
                <m:sty m:val="p"/>
              </m:rPr>
              <w:rPr>
                <w:rFonts w:ascii="Cambria Math" w:hAnsi="Cambria Math"/>
                <w:sz w:val="24"/>
                <w:szCs w:val="24"/>
              </w:rPr>
              <m:t>Λ-1)</m:t>
            </m:r>
            <m:r>
              <w:rPr>
                <w:rFonts w:ascii="Cambria Math" w:hAnsi="Cambria Math"/>
                <w:sz w:val="24"/>
                <w:szCs w:val="24"/>
              </w:rPr>
              <m:t>-γD</m:t>
            </m:r>
          </m:den>
        </m:f>
      </m:oMath>
      <w:r>
        <w:rPr>
          <w:rFonts w:eastAsiaTheme="minorEastAsia"/>
          <w:noProof/>
          <w:sz w:val="24"/>
          <w:szCs w:val="24"/>
        </w:rPr>
        <w:t>.</w:t>
      </w:r>
      <w:r>
        <w:rPr>
          <w:noProof/>
        </w:rPr>
        <w:t xml:space="preserve"> (D) Disease severity, for the baseline model parameterization (black) and 10 individuals (dashed gray), as in (C), in terms of fold change. Disease severity values used to calculated fold change are from panel (C).</w:t>
      </w:r>
    </w:p>
    <w:p w14:paraId="07398C4E" w14:textId="77777777" w:rsidR="00B91525" w:rsidRDefault="00B91525" w:rsidP="00604012">
      <w:pPr>
        <w:jc w:val="both"/>
      </w:pPr>
    </w:p>
    <w:p w14:paraId="57A0B9A1" w14:textId="60BF9E5F" w:rsidR="008449A6" w:rsidRPr="00F648CB" w:rsidRDefault="008449A6"/>
    <w:p w14:paraId="4354708E" w14:textId="6D0DABB2" w:rsidR="00AE0DF0" w:rsidRPr="00174797" w:rsidRDefault="00A91500" w:rsidP="00174797">
      <w:pPr>
        <w:pStyle w:val="ListParagraph"/>
        <w:numPr>
          <w:ilvl w:val="0"/>
          <w:numId w:val="13"/>
        </w:numPr>
        <w:ind w:left="360" w:hanging="360"/>
        <w:rPr>
          <w:i/>
          <w:sz w:val="24"/>
          <w:szCs w:val="24"/>
        </w:rPr>
      </w:pPr>
      <w:r>
        <w:rPr>
          <w:i/>
          <w:sz w:val="24"/>
          <w:szCs w:val="24"/>
        </w:rPr>
        <w:t>Calculation</w:t>
      </w:r>
      <w:r w:rsidR="00174797" w:rsidRPr="00174797">
        <w:rPr>
          <w:i/>
          <w:sz w:val="24"/>
          <w:szCs w:val="24"/>
        </w:rPr>
        <w:t xml:space="preserve"> of </w:t>
      </w:r>
      <w:r w:rsidR="00AE0DF0" w:rsidRPr="00174797">
        <w:rPr>
          <w:i/>
          <w:sz w:val="24"/>
          <w:szCs w:val="24"/>
        </w:rPr>
        <w:t>transmission bottleneck size</w:t>
      </w:r>
      <w:r w:rsidR="00174797" w:rsidRPr="00174797">
        <w:rPr>
          <w:i/>
          <w:sz w:val="24"/>
          <w:szCs w:val="24"/>
        </w:rPr>
        <w:t>s</w:t>
      </w:r>
      <w:r w:rsidR="00AE0DF0" w:rsidRPr="00174797">
        <w:rPr>
          <w:i/>
          <w:sz w:val="24"/>
          <w:szCs w:val="24"/>
        </w:rPr>
        <w:t xml:space="preserve"> </w:t>
      </w:r>
    </w:p>
    <w:p w14:paraId="6746571F" w14:textId="0752CA62" w:rsidR="00017BD0" w:rsidRDefault="00A478E1" w:rsidP="00133144">
      <w:pPr>
        <w:jc w:val="both"/>
        <w:rPr>
          <w:rFonts w:eastAsiaTheme="minorEastAsia"/>
          <w:sz w:val="24"/>
          <w:szCs w:val="24"/>
        </w:rPr>
      </w:pPr>
      <w:r>
        <w:rPr>
          <w:sz w:val="24"/>
          <w:szCs w:val="24"/>
        </w:rPr>
        <w:t xml:space="preserve">For a given value of </w:t>
      </w:r>
      <w:r w:rsidR="00017BD0" w:rsidRPr="00BF42AC">
        <w:rPr>
          <w:i/>
          <w:sz w:val="24"/>
          <w:szCs w:val="24"/>
        </w:rPr>
        <w:t>R</w:t>
      </w:r>
      <w:r w:rsidR="00017BD0">
        <w:rPr>
          <w:sz w:val="24"/>
          <w:szCs w:val="24"/>
          <w:vertAlign w:val="subscript"/>
        </w:rPr>
        <w:t>0,</w:t>
      </w:r>
      <w:r w:rsidR="00017BD0" w:rsidRPr="00BF42AC">
        <w:rPr>
          <w:sz w:val="24"/>
          <w:szCs w:val="24"/>
          <w:vertAlign w:val="subscript"/>
        </w:rPr>
        <w:t xml:space="preserve"> within</w:t>
      </w:r>
      <w:r>
        <w:rPr>
          <w:sz w:val="24"/>
          <w:szCs w:val="24"/>
        </w:rPr>
        <w:t>, a given level of cell-to-cell heterogeneity</w:t>
      </w:r>
      <w:r w:rsidR="00017BD0">
        <w:rPr>
          <w:sz w:val="24"/>
          <w:szCs w:val="24"/>
        </w:rPr>
        <w:t xml:space="preserve"> </w:t>
      </w:r>
      <w:r w:rsidR="00017BD0" w:rsidRPr="00017BD0">
        <w:rPr>
          <w:i/>
          <w:sz w:val="24"/>
          <w:szCs w:val="24"/>
        </w:rPr>
        <w:t>k</w:t>
      </w:r>
      <w:r>
        <w:rPr>
          <w:sz w:val="24"/>
          <w:szCs w:val="24"/>
        </w:rPr>
        <w:t xml:space="preserve">, and a given inoculum dose, we can calculate the </w:t>
      </w:r>
      <w:r w:rsidR="00017BD0">
        <w:rPr>
          <w:sz w:val="24"/>
          <w:szCs w:val="24"/>
        </w:rPr>
        <w:t>expected</w:t>
      </w:r>
      <w:r>
        <w:rPr>
          <w:sz w:val="24"/>
          <w:szCs w:val="24"/>
        </w:rPr>
        <w:t xml:space="preserve"> transmission bottleneck size as follows. We first calculate the probability that an infection establishes under a single initially infected cell, given </w:t>
      </w:r>
      <w:r w:rsidR="00017BD0" w:rsidRPr="00BF42AC">
        <w:rPr>
          <w:i/>
          <w:sz w:val="24"/>
          <w:szCs w:val="24"/>
        </w:rPr>
        <w:t>R</w:t>
      </w:r>
      <w:r w:rsidR="00017BD0">
        <w:rPr>
          <w:sz w:val="24"/>
          <w:szCs w:val="24"/>
          <w:vertAlign w:val="subscript"/>
        </w:rPr>
        <w:t>0,</w:t>
      </w:r>
      <w:r w:rsidR="00017BD0" w:rsidRPr="00BF42AC">
        <w:rPr>
          <w:sz w:val="24"/>
          <w:szCs w:val="24"/>
          <w:vertAlign w:val="subscript"/>
        </w:rPr>
        <w:t xml:space="preserve"> within</w:t>
      </w:r>
      <w:r w:rsidR="00017BD0">
        <w:rPr>
          <w:sz w:val="24"/>
          <w:szCs w:val="24"/>
        </w:rPr>
        <w:t xml:space="preserve"> </w:t>
      </w:r>
      <w:r>
        <w:rPr>
          <w:sz w:val="24"/>
          <w:szCs w:val="24"/>
        </w:rPr>
        <w:t xml:space="preserve">and </w:t>
      </w:r>
      <w:r w:rsidR="00017BD0" w:rsidRPr="00017BD0">
        <w:rPr>
          <w:i/>
          <w:sz w:val="24"/>
          <w:szCs w:val="24"/>
        </w:rPr>
        <w:t>k</w:t>
      </w:r>
      <w:r>
        <w:rPr>
          <w:sz w:val="24"/>
          <w:szCs w:val="24"/>
        </w:rPr>
        <w:t xml:space="preserve">. This is given </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establishment</m:t>
            </m:r>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1-p</m:t>
            </m:r>
          </m:e>
          <m:sub>
            <m:r>
              <m:rPr>
                <m:sty m:val="p"/>
              </m:rPr>
              <w:rPr>
                <w:rFonts w:ascii="Cambria Math" w:hAnsi="Cambria Math"/>
                <w:sz w:val="24"/>
                <w:szCs w:val="24"/>
              </w:rPr>
              <m:t>extinction</m:t>
            </m:r>
            <m:r>
              <w:rPr>
                <w:rFonts w:ascii="Cambria Math" w:hAnsi="Cambria Math"/>
                <w:sz w:val="24"/>
                <w:szCs w:val="24"/>
              </w:rPr>
              <m:t>,1</m:t>
            </m:r>
          </m:sub>
        </m:sSub>
      </m:oMath>
      <w:r w:rsidR="00017BD0">
        <w:rPr>
          <w:rFonts w:eastAsiaTheme="minorEastAsia"/>
          <w:sz w:val="24"/>
          <w:szCs w:val="24"/>
        </w:rPr>
        <w:t xml:space="preserve">. The calculation of </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extinction</m:t>
            </m:r>
            <m:r>
              <w:rPr>
                <w:rFonts w:ascii="Cambria Math" w:hAnsi="Cambria Math"/>
                <w:sz w:val="24"/>
                <w:szCs w:val="24"/>
              </w:rPr>
              <m:t>,1</m:t>
            </m:r>
          </m:sub>
        </m:sSub>
      </m:oMath>
      <w:r w:rsidR="00017BD0">
        <w:rPr>
          <w:rFonts w:eastAsiaTheme="minorEastAsia"/>
          <w:sz w:val="24"/>
          <w:szCs w:val="24"/>
        </w:rPr>
        <w:t xml:space="preserve"> </w:t>
      </w:r>
      <w:r>
        <w:rPr>
          <w:rFonts w:eastAsiaTheme="minorEastAsia"/>
          <w:sz w:val="24"/>
          <w:szCs w:val="24"/>
        </w:rPr>
        <w:t xml:space="preserve"> </w:t>
      </w:r>
      <w:r w:rsidR="00017BD0">
        <w:rPr>
          <w:rFonts w:eastAsiaTheme="minorEastAsia"/>
          <w:sz w:val="24"/>
          <w:szCs w:val="24"/>
        </w:rPr>
        <w:t xml:space="preserve">is detailed in Supplemental Material section I. </w:t>
      </w:r>
      <w:r>
        <w:rPr>
          <w:rFonts w:eastAsiaTheme="minorEastAsia"/>
          <w:sz w:val="24"/>
          <w:szCs w:val="24"/>
        </w:rPr>
        <w:t xml:space="preserve">For a given inoculum size of </w:t>
      </w:r>
      <w:r w:rsidRPr="00017BD0">
        <w:rPr>
          <w:rFonts w:eastAsiaTheme="minorEastAsia"/>
          <w:i/>
          <w:sz w:val="24"/>
          <w:szCs w:val="24"/>
        </w:rPr>
        <w:t>N</w:t>
      </w:r>
      <w:r>
        <w:rPr>
          <w:rFonts w:eastAsiaTheme="minorEastAsia"/>
          <w:sz w:val="24"/>
          <w:szCs w:val="24"/>
        </w:rPr>
        <w:t xml:space="preserve"> initially infected cells, we can </w:t>
      </w:r>
      <w:r w:rsidR="003E09DC">
        <w:rPr>
          <w:rFonts w:eastAsiaTheme="minorEastAsia"/>
          <w:sz w:val="24"/>
          <w:szCs w:val="24"/>
        </w:rPr>
        <w:t xml:space="preserve">then </w:t>
      </w:r>
      <w:r>
        <w:rPr>
          <w:rFonts w:eastAsiaTheme="minorEastAsia"/>
          <w:sz w:val="24"/>
          <w:szCs w:val="24"/>
        </w:rPr>
        <w:t xml:space="preserve">calculate </w:t>
      </w:r>
      <w:r w:rsidR="003E09DC">
        <w:rPr>
          <w:rFonts w:eastAsiaTheme="minorEastAsia"/>
          <w:sz w:val="24"/>
          <w:szCs w:val="24"/>
        </w:rPr>
        <w:t xml:space="preserve">the probability </w:t>
      </w:r>
      <w:r>
        <w:rPr>
          <w:rFonts w:eastAsiaTheme="minorEastAsia"/>
          <w:sz w:val="24"/>
          <w:szCs w:val="24"/>
        </w:rPr>
        <w:t xml:space="preserve">that exactly </w:t>
      </w:r>
      <w:r w:rsidRPr="00017BD0">
        <w:rPr>
          <w:rFonts w:eastAsiaTheme="minorEastAsia"/>
          <w:i/>
          <w:sz w:val="24"/>
          <w:szCs w:val="24"/>
        </w:rPr>
        <w:t>n</w:t>
      </w:r>
      <w:r>
        <w:rPr>
          <w:rFonts w:eastAsiaTheme="minorEastAsia"/>
          <w:sz w:val="24"/>
          <w:szCs w:val="24"/>
        </w:rPr>
        <w:t xml:space="preserve"> of these </w:t>
      </w:r>
      <w:r w:rsidRPr="00017BD0">
        <w:rPr>
          <w:rFonts w:eastAsiaTheme="minorEastAsia"/>
          <w:i/>
          <w:sz w:val="24"/>
          <w:szCs w:val="24"/>
        </w:rPr>
        <w:t>N</w:t>
      </w:r>
      <w:r>
        <w:rPr>
          <w:rFonts w:eastAsiaTheme="minorEastAsia"/>
          <w:sz w:val="24"/>
          <w:szCs w:val="24"/>
        </w:rPr>
        <w:t xml:space="preserve"> infected cells establish a genetic lineage in the host. This is given by a binomial distribution, with </w:t>
      </w:r>
      <w:r w:rsidRPr="00017BD0">
        <w:rPr>
          <w:rFonts w:eastAsiaTheme="minorEastAsia"/>
          <w:i/>
          <w:sz w:val="24"/>
          <w:szCs w:val="24"/>
        </w:rPr>
        <w:t>N</w:t>
      </w:r>
      <w:r>
        <w:rPr>
          <w:rFonts w:eastAsiaTheme="minorEastAsia"/>
          <w:sz w:val="24"/>
          <w:szCs w:val="24"/>
        </w:rPr>
        <w:t xml:space="preserve"> being the number of trials and </w:t>
      </w:r>
      <m:oMath>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establishment</m:t>
            </m:r>
            <m:r>
              <w:rPr>
                <w:rFonts w:ascii="Cambria Math" w:hAnsi="Cambria Math"/>
                <w:sz w:val="24"/>
                <w:szCs w:val="24"/>
              </w:rPr>
              <m:t>,1</m:t>
            </m:r>
          </m:sub>
        </m:sSub>
      </m:oMath>
      <w:r>
        <w:rPr>
          <w:rFonts w:eastAsiaTheme="minorEastAsia"/>
          <w:sz w:val="24"/>
          <w:szCs w:val="24"/>
        </w:rPr>
        <w:t xml:space="preserve"> </w:t>
      </w:r>
      <w:r>
        <w:rPr>
          <w:rFonts w:eastAsiaTheme="minorEastAsia"/>
          <w:sz w:val="24"/>
          <w:szCs w:val="24"/>
        </w:rPr>
        <w:lastRenderedPageBreak/>
        <w:t xml:space="preserve">being the probability of success, evaluated at </w:t>
      </w:r>
      <w:r w:rsidRPr="00017BD0">
        <w:rPr>
          <w:rFonts w:eastAsiaTheme="minorEastAsia"/>
          <w:i/>
          <w:sz w:val="24"/>
          <w:szCs w:val="24"/>
        </w:rPr>
        <w:t>n</w:t>
      </w:r>
      <w:r w:rsidR="00017BD0">
        <w:rPr>
          <w:rFonts w:eastAsiaTheme="minorEastAsia"/>
          <w:sz w:val="24"/>
          <w:szCs w:val="24"/>
        </w:rPr>
        <w:t xml:space="preserve">. Because </w:t>
      </w:r>
      <w:r w:rsidR="00AE4384">
        <w:rPr>
          <w:rFonts w:eastAsiaTheme="minorEastAsia"/>
          <w:sz w:val="24"/>
          <w:szCs w:val="24"/>
        </w:rPr>
        <w:t xml:space="preserve">transmission bottleneck sizes are calculated only in the case of infection, we </w:t>
      </w:r>
      <w:r w:rsidR="00017BD0">
        <w:rPr>
          <w:rFonts w:eastAsiaTheme="minorEastAsia"/>
          <w:sz w:val="24"/>
          <w:szCs w:val="24"/>
        </w:rPr>
        <w:t xml:space="preserve">need to </w:t>
      </w:r>
      <w:r w:rsidR="00AE4384">
        <w:rPr>
          <w:rFonts w:eastAsiaTheme="minorEastAsia"/>
          <w:sz w:val="24"/>
          <w:szCs w:val="24"/>
        </w:rPr>
        <w:t xml:space="preserve">condition on infection, such that the probability of the transmission bottleneck size being </w:t>
      </w:r>
      <w:r w:rsidR="00AE4384" w:rsidRPr="00017BD0">
        <w:rPr>
          <w:rFonts w:eastAsiaTheme="minorEastAsia"/>
          <w:i/>
          <w:sz w:val="24"/>
          <w:szCs w:val="24"/>
        </w:rPr>
        <w:t>n</w:t>
      </w:r>
      <w:r w:rsidR="00AE4384">
        <w:rPr>
          <w:rFonts w:eastAsiaTheme="minorEastAsia"/>
          <w:sz w:val="24"/>
          <w:szCs w:val="24"/>
        </w:rPr>
        <w:t xml:space="preserve"> </w:t>
      </w:r>
      <w:r w:rsidR="00BC433B">
        <w:rPr>
          <w:rFonts w:eastAsiaTheme="minorEastAsia"/>
          <w:sz w:val="24"/>
          <w:szCs w:val="24"/>
        </w:rPr>
        <w:t xml:space="preserve">(with </w:t>
      </w:r>
      <w:r w:rsidR="00BC433B" w:rsidRPr="00017BD0">
        <w:rPr>
          <w:rFonts w:eastAsiaTheme="minorEastAsia"/>
          <w:i/>
          <w:sz w:val="24"/>
          <w:szCs w:val="24"/>
        </w:rPr>
        <w:t>n</w:t>
      </w:r>
      <m:oMath>
        <m:r>
          <w:rPr>
            <w:rFonts w:ascii="Cambria Math" w:eastAsiaTheme="minorEastAsia" w:hAnsi="Cambria Math"/>
            <w:sz w:val="24"/>
            <w:szCs w:val="24"/>
          </w:rPr>
          <m:t>≥</m:t>
        </m:r>
      </m:oMath>
      <w:r w:rsidR="00BC433B">
        <w:rPr>
          <w:rFonts w:eastAsiaTheme="minorEastAsia"/>
          <w:i/>
          <w:sz w:val="24"/>
          <w:szCs w:val="24"/>
        </w:rPr>
        <w:t>1</w:t>
      </w:r>
      <w:r w:rsidR="00BC433B">
        <w:rPr>
          <w:rFonts w:eastAsiaTheme="minorEastAsia"/>
          <w:sz w:val="24"/>
          <w:szCs w:val="24"/>
        </w:rPr>
        <w:t xml:space="preserve">) </w:t>
      </w:r>
      <w:r w:rsidR="00AE4384">
        <w:rPr>
          <w:rFonts w:eastAsiaTheme="minorEastAsia"/>
          <w:sz w:val="24"/>
          <w:szCs w:val="24"/>
        </w:rPr>
        <w:t>is given by:</w:t>
      </w:r>
    </w:p>
    <w:p w14:paraId="7BC8AEEB" w14:textId="262F038E" w:rsidR="00017BD0" w:rsidRDefault="00740A88" w:rsidP="00133144">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P(X=n;N, p</m:t>
              </m:r>
            </m:e>
            <m:sub>
              <m:r>
                <m:rPr>
                  <m:sty m:val="p"/>
                </m:rPr>
                <w:rPr>
                  <w:rFonts w:ascii="Cambria Math" w:hAnsi="Cambria Math"/>
                  <w:sz w:val="24"/>
                  <w:szCs w:val="24"/>
                </w:rPr>
                <m:t>establishment</m:t>
              </m:r>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Bin(n;N</m:t>
              </m:r>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extinction</m:t>
                  </m:r>
                  <m:r>
                    <w:rPr>
                      <w:rFonts w:ascii="Cambria Math" w:hAnsi="Cambria Math"/>
                      <w:sz w:val="24"/>
                      <w:szCs w:val="24"/>
                    </w:rPr>
                    <m:t>,1</m:t>
                  </m:r>
                </m:sub>
              </m:sSub>
              <m:r>
                <w:rPr>
                  <w:rFonts w:ascii="Cambria Math" w:hAnsi="Cambria Math"/>
                  <w:sz w:val="24"/>
                  <w:szCs w:val="24"/>
                </w:rPr>
                <m:t>)/(1-Bin</m:t>
              </m:r>
              <m:d>
                <m:dPr>
                  <m:ctrlPr>
                    <w:rPr>
                      <w:rFonts w:ascii="Cambria Math" w:hAnsi="Cambria Math"/>
                      <w:i/>
                      <w:sz w:val="24"/>
                      <w:szCs w:val="24"/>
                    </w:rPr>
                  </m:ctrlPr>
                </m:dPr>
                <m:e>
                  <m:r>
                    <w:rPr>
                      <w:rFonts w:ascii="Cambria Math" w:hAnsi="Cambria Math"/>
                      <w:sz w:val="24"/>
                      <w:szCs w:val="24"/>
                    </w:rPr>
                    <m:t>0;N</m:t>
                  </m:r>
                  <m:sSub>
                    <m:sSubPr>
                      <m:ctrlPr>
                        <w:rPr>
                          <w:rFonts w:ascii="Cambria Math" w:hAnsi="Cambria Math"/>
                          <w:i/>
                          <w:sz w:val="24"/>
                          <w:szCs w:val="24"/>
                        </w:rPr>
                      </m:ctrlPr>
                    </m:sSubPr>
                    <m:e>
                      <m:r>
                        <w:rPr>
                          <w:rFonts w:ascii="Cambria Math" w:hAnsi="Cambria Math"/>
                          <w:sz w:val="24"/>
                          <w:szCs w:val="24"/>
                        </w:rPr>
                        <m:t>,p</m:t>
                      </m:r>
                    </m:e>
                    <m:sub>
                      <m:r>
                        <m:rPr>
                          <m:sty m:val="p"/>
                        </m:rPr>
                        <w:rPr>
                          <w:rFonts w:ascii="Cambria Math" w:hAnsi="Cambria Math"/>
                          <w:sz w:val="24"/>
                          <w:szCs w:val="24"/>
                        </w:rPr>
                        <m:t>extinction</m:t>
                      </m:r>
                      <m:r>
                        <w:rPr>
                          <w:rFonts w:ascii="Cambria Math" w:hAnsi="Cambria Math"/>
                          <w:sz w:val="24"/>
                          <w:szCs w:val="24"/>
                        </w:rPr>
                        <m:t>,1</m:t>
                      </m:r>
                    </m:sub>
                  </m:sSub>
                </m:e>
              </m:d>
              <m:r>
                <w:rPr>
                  <w:rFonts w:ascii="Cambria Math" w:hAnsi="Cambria Math"/>
                  <w:sz w:val="24"/>
                  <w:szCs w:val="24"/>
                </w:rPr>
                <m:t>)</m:t>
              </m:r>
            </m:e>
            <m:sub/>
          </m:sSub>
        </m:oMath>
      </m:oMathPara>
    </w:p>
    <w:p w14:paraId="1AB13F23" w14:textId="6BE1B32B" w:rsidR="00AE4384" w:rsidRDefault="00AE4384" w:rsidP="00133144">
      <w:pPr>
        <w:jc w:val="both"/>
        <w:rPr>
          <w:rFonts w:eastAsiaTheme="minorEastAsia"/>
          <w:sz w:val="24"/>
          <w:szCs w:val="24"/>
        </w:rPr>
      </w:pPr>
      <w:r>
        <w:rPr>
          <w:rFonts w:eastAsiaTheme="minorEastAsia"/>
          <w:sz w:val="24"/>
          <w:szCs w:val="24"/>
        </w:rPr>
        <w:t>The mean transmission bottleneck size is then given by:</w:t>
      </w:r>
    </w:p>
    <w:p w14:paraId="4CA35F33" w14:textId="434B47F1" w:rsidR="00AE4384" w:rsidRDefault="00740A88" w:rsidP="00133144">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m:rPr>
                  <m:sty m:val="p"/>
                </m:rPr>
                <w:rPr>
                  <w:rFonts w:ascii="Cambria Math" w:hAnsi="Cambria Math"/>
                  <w:sz w:val="24"/>
                  <w:szCs w:val="24"/>
                </w:rPr>
                <m:t>b</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nP(X=n;N, p</m:t>
                  </m:r>
                </m:e>
                <m:sub>
                  <m:r>
                    <m:rPr>
                      <m:sty m:val="p"/>
                    </m:rPr>
                    <w:rPr>
                      <w:rFonts w:ascii="Cambria Math" w:hAnsi="Cambria Math"/>
                      <w:sz w:val="24"/>
                      <w:szCs w:val="24"/>
                    </w:rPr>
                    <m:t>establishment</m:t>
                  </m:r>
                  <m:r>
                    <w:rPr>
                      <w:rFonts w:ascii="Cambria Math" w:hAnsi="Cambria Math"/>
                      <w:sz w:val="24"/>
                      <w:szCs w:val="24"/>
                    </w:rPr>
                    <m:t>,1</m:t>
                  </m:r>
                </m:sub>
              </m:sSub>
              <m:r>
                <w:rPr>
                  <w:rFonts w:ascii="Cambria Math" w:hAnsi="Cambria Math"/>
                  <w:sz w:val="24"/>
                  <w:szCs w:val="24"/>
                </w:rPr>
                <m:t>)</m:t>
              </m:r>
            </m:e>
          </m:nary>
        </m:oMath>
      </m:oMathPara>
    </w:p>
    <w:p w14:paraId="1D4E507D" w14:textId="7BC31D2A" w:rsidR="00AE4384" w:rsidRDefault="00580C0B" w:rsidP="00133144">
      <w:pPr>
        <w:jc w:val="both"/>
        <w:rPr>
          <w:sz w:val="24"/>
          <w:szCs w:val="24"/>
        </w:rPr>
      </w:pPr>
      <w:r>
        <w:rPr>
          <w:rFonts w:eastAsiaTheme="minorEastAsia"/>
          <w:sz w:val="24"/>
          <w:szCs w:val="24"/>
        </w:rPr>
        <w:t>We compare this mean</w:t>
      </w:r>
      <w:r w:rsidR="00AE4384">
        <w:rPr>
          <w:rFonts w:eastAsiaTheme="minorEastAsia"/>
          <w:sz w:val="24"/>
          <w:szCs w:val="24"/>
        </w:rPr>
        <w:t xml:space="preserve"> transmission bottleneck size to inferred </w:t>
      </w:r>
      <w:r>
        <w:rPr>
          <w:rFonts w:eastAsiaTheme="minorEastAsia"/>
          <w:sz w:val="24"/>
          <w:szCs w:val="24"/>
        </w:rPr>
        <w:t xml:space="preserve">mean </w:t>
      </w:r>
      <w:r w:rsidR="00AE4384">
        <w:rPr>
          <w:rFonts w:eastAsiaTheme="minorEastAsia"/>
          <w:sz w:val="24"/>
          <w:szCs w:val="24"/>
        </w:rPr>
        <w:t xml:space="preserve">transmission bottleneck sizes. </w:t>
      </w:r>
      <w:r w:rsidR="00AE4384">
        <w:rPr>
          <w:sz w:val="24"/>
          <w:szCs w:val="24"/>
        </w:rPr>
        <w:t xml:space="preserve">Existing </w:t>
      </w:r>
      <w:r>
        <w:rPr>
          <w:sz w:val="24"/>
          <w:szCs w:val="24"/>
        </w:rPr>
        <w:t xml:space="preserve">studies have found that </w:t>
      </w:r>
      <w:r w:rsidR="00AE4384">
        <w:rPr>
          <w:sz w:val="24"/>
          <w:szCs w:val="24"/>
        </w:rPr>
        <w:t xml:space="preserve">transmission bottleneck sizes </w:t>
      </w:r>
      <w:r>
        <w:rPr>
          <w:sz w:val="24"/>
          <w:szCs w:val="24"/>
        </w:rPr>
        <w:t xml:space="preserve">are very </w:t>
      </w:r>
      <w:r w:rsidR="00AE4384">
        <w:rPr>
          <w:sz w:val="24"/>
          <w:szCs w:val="24"/>
        </w:rPr>
        <w:t>small</w:t>
      </w:r>
      <w:r w:rsidR="00AE4384">
        <w:rPr>
          <w:sz w:val="24"/>
          <w:szCs w:val="24"/>
        </w:rPr>
        <w:fldChar w:fldCharType="begin"/>
      </w:r>
      <w:r w:rsidR="00AE4384">
        <w:rPr>
          <w:sz w:val="24"/>
          <w:szCs w:val="24"/>
        </w:rPr>
        <w:instrText xml:space="preserve"> ADDIN ZOTERO_ITEM CSL_CITATION {"citationID":"B1I6nPNN","properties":{"formattedCitation":"\\super 8\\uc0\\u8211{}11\\nosupersub{}","plainCitation":"8–11","noteIndex":0},"citationItems":[{"id":7686,"uris":["http://zotero.org/users/1469428/items/YYPZ9W3Z"],"itemData":{"id":7686,"type":"article-journal","abstract":"A reanalysis of SARS-CoV-2 deep sequencing data from donor-recipient pairs indicates that transmission bottlenecks are very narrow (one to three virions).\n          , \n            A reanalysis of SARS-CoV-2 deep sequencing data from donor-recipient pairs indicates that transmission bottlenecks are very narrow (one to three virions).","container-title":"Science Translational Medicine","DOI":"10.1126/scitranslmed.abh1803","ISSN":"1946-6234, 1946-6242","issue":"617","journalAbbreviation":"Sci. Transl. Med.","language":"en","page":"eabh1803","source":"DOI.org (Crossref)","title":"Comment on “Genomic epidemiology of superspreading events in Austria reveals mutational dynamics and transmission properties of SARS-CoV-2”","volume":"13","author":[{"family":"Martin","given":"Michael A."},{"family":"Koelle","given":"Katia"}],"issued":{"date-parts":[["2021",10,27]]}}},{"id":6905,"uris":["http://zotero.org/users/1469428/items/HLJUANQS"],"itemData":{"id":6905,"type":"article-journal","abstract":"Extensive global sampling and sequencing of the pandemic virus severe acute respiratory syndrome coronavirus 2 (SARS-CoV-2) have enabled researchers to monitor its spread and to identify concerning new variants. Two important determinants of variant spread are how frequently they arise within individuals and how likely they are to be transmitted. To characterize within-host diversity and transmission, we deep-sequenced 1313 clinical samples from the United Kingdom. SARS-CoV-2 infections are characterized by low levels of within-host diversity when viral loads are high and by a narrow bottleneck at transmission. Most variants are either lost or occasionally fixed at the point of transmission, with minimal persistence of shared diversity, patterns that are readily observable on the phylogenetic tree. Our results suggest that transmission-enhancing and/or immune-escape SARS-CoV-2 variants are likely to arise infrequently but could spread rapidly if successfully transmitted.","container-title":"Science","DOI":"10.1126/science.abg0821","ISSN":"0036-8075, 1095-9203","issue":"6539","journalAbbreviation":"Science","language":"en","page":"eabg0821","source":"DOI.org (Crossref)","title":"SARS-CoV-2 within-host diversity and transmission","volume":"372","author":[{"family":"Lythgoe","given":"Katrina A."},{"family":"Hall","given":"Matthew"},{"family":"Ferretti","given":"Luca"},{"family":"Cesare","given":"Mariateresa","non-dropping-particle":"de"},{"family":"MacIntyre-Cockett","given":"George"},{"family":"Trebes","given":"Amy"},{"family":"Andersson","given":"Monique"},{"family":"Otecko","given":"Newton"},{"family":"Wise","given":"Emma L."},{"family":"Moore","given":"Nathan"},{"family":"Lynch","given":"Jessica"},{"family":"Kidd","given":"Stephen"},{"family":"Cortes","given":"Nicholas"},{"family":"Mori","given":"Matilde"},{"family":"Williams","given":"Rebecca"},{"family":"Vernet","given":"Gabrielle"},{"family":"Justice","given":"Anita"},{"family":"Green","given":"Angie"},{"family":"Nicholls","given":"Samuel M."},{"family":"Ansari","given":"M. Azim"},{"family":"Abeler-Dörner","given":"Lucie"},{"family":"Moore","given":"Catrin E."},{"family":"Peto","given":"Timothy E. A."},{"family":"Eyre","given":"David W."},{"family":"Shaw","given":"Robert"},{"family":"Simmonds","given":"Peter"},{"family":"Buck","given":"David"},{"family":"Todd","given":"John A."},{"literal":"on behalf of the Oxford Virus Sequencing Analysis Group (OVSG)‡"},{"family":"Connor","given":"Thomas R."},{"family":"Ashraf","given":"Shirin"},{"family":"Silva Filipe","given":"Ana","non-dropping-particle":"da"},{"family":"Shepherd","given":"James"},{"family":"Thomson","given":"Emma C."},{"literal":"The COVID-19 Genomics UK (COG-UK) Consortium§"},{"family":"Bonsall","given":"David"},{"family":"Fraser","given":"Christophe"},{"family":"Golubchik","given":"Tanya"}],"issued":{"date-parts":[["2021",4,16]]}}},{"id":6756,"uris":["http://zotero.org/users/1469428/items/LTUMYSHR"],"itemData":{"id":6756,"type":"article-journal","abstract":"The evolutionary mechanisms by which SARS-CoV-2 viruses adapt to mammalian hosts and, potentially, undergo antigenic evolution depend on the ways genetic variation is generated and selected within and between individual hosts. Using domestic cats as a model, we show that SARS-CoV-2 consensus sequences remain largely unchanged over time within hosts, while dynamic sub-consensus diversity reveals processes of genetic drift and weak purifying selection. We further identify a notable variant at amino acid position 655 in Spike (H655Y), which was previously shown to confer escape from human monoclonal antibodies. This variant arises rapidly and persists at intermediate frequencies in index cats. It also becomes fixed following transmission in two of three pairs. These dynamics suggest this site may be under positive selection in this system and illustrate how a variant can quickly arise and become fixed in parallel across multiple transmission pairs. Transmission of SARS-CoV-2 in cats involved a narrow bottleneck, with new infections founded by fewer than ten viruses. In RNA virus evolution, stochastic processes like narrow transmission bottlenecks and genetic drift typically act to constrain the overall pace of adaptive evolution. Our data suggest that here, positive selection in index cats followed by a narrow transmission bottleneck may have instead accelerated the fixation of S H655Y, a potentially beneficial SARS-CoV-2 variant. Overall, our study suggests species- and context-specific adaptations are likely to continue to emerge. This underscores the importance of continued genomic surveillance for new SARS-CoV-2 variants as well as heightened scrutiny for signatures of SARS-CoV-2 positive selection in humans and mammalian model systems.","container-title":"PLOS Pathogens","DOI":"10.1371/journal.ppat.1009373","ISSN":"1553-7374","issue":"2","journalAbbreviation":"PLoS Pathog","language":"en","page":"e1009373","source":"DOI.org (Crossref)","title":"Transmission of SARS-CoV-2 in domestic cats imposes a narrow bottleneck","volume":"17","author":[{"family":"Braun","given":"Katarina M."},{"family":"Moreno","given":"Gage K."},{"family":"Halfmann","given":"Peter J."},{"family":"Hodcroft","given":"Emma B."},{"family":"Baker","given":"David A."},{"family":"Boehm","given":"Emma C."},{"family":"Weiler","given":"Andrea M."},{"family":"Haj","given":"Amelia K."},{"family":"Hatta","given":"Masato"},{"family":"Chiba","given":"Shiho"},{"family":"Maemura","given":"Tadashi"},{"family":"Kawaoka","given":"Yoshihiro"},{"family":"Koelle","given":"Katia"},{"family":"O’Connor","given":"David H."},{"family":"Friedrich","given":"Thomas C."}],"editor":[{"family":"Pekosz","given":"Andrew"}],"issued":{"date-parts":[["2021",2,26]]}}},{"id":6907,"uris":["http://zotero.org/users/1469428/items/8BI2BEW5"],"itemData":{"id":6907,"type":"report","abstract":"Abstract\n          The recent emergence of divergent SARS-CoV-2 lineages has raised concerns about the role of selection within individual hosts in propagating novel variants. Of particular concern are variants associated with immune escape and/or enhanced transmissibility. Though growing evidence suggests that novel variants can arise during prolonged infections, most infections are acute. Understanding the extent to which variants emerge and transmit among acutely infected hosts is therefore critical for predicting the pace at which variants resistant to vaccines or conferring increased transmissibility might emerge in the majority of SARS-CoV-2 infections. To characterize how within-host diversity is generated and propagated, we combine extensive laboratory and bioinformatic controls with metrics of within- and between-host diversity to 133 SARS-CoV-2 genomes from acutely infected individuals. We find that within-host diversity during acute infection is low and transmission bottlenecks are narrow, with very few viruses founding most infections. Within-host variants are rarely transmitted, even among individuals within the same household. Accordingly, we also find that within-host variants are rarely detected along phylogenetically linked infections in the broader community. Together, these findings suggest that efficient selection and transmission of novel SARS-CoV-2 variants is unlikely during typical, acute infection.\n          \n            One Sentence Summary\n            Patterns of SARS-CoV-2 within hosts suggest efficient selection and transmission of novel variants is unlikely during typical, acute infection.","genre":"preprint","language":"en","note":"DOI: 10.1101/2021.04.30.440988","publisher":"Evolutionary Biology","source":"DOI.org (Crossref)","title":"Limited within-host diversity and tight transmission bottlenecks limit SARS-CoV-2 evolution in acutely infected individuals","URL":"http://biorxiv.org/lookup/doi/10.1101/2021.04.30.440988","author":[{"family":"Braun","given":"Katarina"},{"family":"Moreno","given":"Gage"},{"family":"Wagner","given":"Cassia"},{"family":"Accola","given":"Molly A."},{"family":"Rehrauer","given":"William M."},{"family":"Baker","given":"David"},{"family":"Koelle","given":"Katia"},{"family":"O’Connor","given":"David H."},{"family":"Bedford","given":"Trevor"},{"family":"Friedrich","given":"Thomas C."},{"family":"Moncla","given":"Louise H."}],"accessed":{"date-parts":[["2021",6,25]]},"issued":{"date-parts":[["2021",4,30]]}}}],"schema":"https://github.com/citation-style-language/schema/raw/master/csl-citation.json"} </w:instrText>
      </w:r>
      <w:r w:rsidR="00AE4384">
        <w:rPr>
          <w:sz w:val="24"/>
          <w:szCs w:val="24"/>
        </w:rPr>
        <w:fldChar w:fldCharType="separate"/>
      </w:r>
      <w:r w:rsidR="00AE4384" w:rsidRPr="004944ED">
        <w:rPr>
          <w:rFonts w:ascii="Calibri" w:hAnsi="Calibri" w:cs="Calibri"/>
          <w:sz w:val="24"/>
          <w:szCs w:val="24"/>
          <w:vertAlign w:val="superscript"/>
        </w:rPr>
        <w:t>8–11</w:t>
      </w:r>
      <w:r w:rsidR="00AE4384">
        <w:rPr>
          <w:sz w:val="24"/>
          <w:szCs w:val="24"/>
        </w:rPr>
        <w:fldChar w:fldCharType="end"/>
      </w:r>
      <w:r w:rsidR="00AE4384">
        <w:rPr>
          <w:sz w:val="24"/>
          <w:szCs w:val="24"/>
        </w:rPr>
        <w:t>, with the most quantitative estimate in humans indicating that between 1 and 3 viral particles establish genetic lineages within &gt;99% of infected hosts</w:t>
      </w:r>
      <w:r w:rsidR="00AE4384">
        <w:rPr>
          <w:sz w:val="24"/>
          <w:szCs w:val="24"/>
        </w:rPr>
        <w:fldChar w:fldCharType="begin"/>
      </w:r>
      <w:r w:rsidR="00AE4384">
        <w:rPr>
          <w:sz w:val="24"/>
          <w:szCs w:val="24"/>
        </w:rPr>
        <w:instrText xml:space="preserve"> ADDIN ZOTERO_ITEM CSL_CITATION {"citationID":"0v5LkXqF","properties":{"formattedCitation":"\\super 8\\nosupersub{}","plainCitation":"8","noteIndex":0},"citationItems":[{"id":7686,"uris":["http://zotero.org/users/1469428/items/YYPZ9W3Z"],"itemData":{"id":7686,"type":"article-journal","abstract":"A reanalysis of SARS-CoV-2 deep sequencing data from donor-recipient pairs indicates that transmission bottlenecks are very narrow (one to three virions).\n          , \n            A reanalysis of SARS-CoV-2 deep sequencing data from donor-recipient pairs indicates that transmission bottlenecks are very narrow (one to three virions).","container-title":"Science Translational Medicine","DOI":"10.1126/scitranslmed.abh1803","ISSN":"1946-6234, 1946-6242","issue":"617","journalAbbreviation":"Sci. Transl. Med.","language":"en","page":"eabh1803","source":"DOI.org (Crossref)","title":"Comment on “Genomic epidemiology of superspreading events in Austria reveals mutational dynamics and transmission properties of SARS-CoV-2”","volume":"13","author":[{"family":"Martin","given":"Michael A."},{"family":"Koelle","given":"Katia"}],"issued":{"date-parts":[["2021",10,27]]}}}],"schema":"https://github.com/citation-style-language/schema/raw/master/csl-citation.json"} </w:instrText>
      </w:r>
      <w:r w:rsidR="00AE4384">
        <w:rPr>
          <w:sz w:val="24"/>
          <w:szCs w:val="24"/>
        </w:rPr>
        <w:fldChar w:fldCharType="separate"/>
      </w:r>
      <w:r w:rsidR="00AE4384" w:rsidRPr="004944ED">
        <w:rPr>
          <w:rFonts w:ascii="Calibri" w:hAnsi="Calibri" w:cs="Calibri"/>
          <w:sz w:val="24"/>
          <w:szCs w:val="24"/>
          <w:vertAlign w:val="superscript"/>
        </w:rPr>
        <w:t>8</w:t>
      </w:r>
      <w:r w:rsidR="00AE4384">
        <w:rPr>
          <w:sz w:val="24"/>
          <w:szCs w:val="24"/>
        </w:rPr>
        <w:fldChar w:fldCharType="end"/>
      </w:r>
      <w:r w:rsidR="00AE4384">
        <w:rPr>
          <w:sz w:val="24"/>
          <w:szCs w:val="24"/>
        </w:rPr>
        <w:t xml:space="preserve">, with a mean </w:t>
      </w:r>
      <w:r w:rsidR="00AE4384" w:rsidRPr="00580C0B">
        <w:rPr>
          <w:i/>
          <w:sz w:val="24"/>
          <w:szCs w:val="24"/>
        </w:rPr>
        <w:t>N</w:t>
      </w:r>
      <w:r w:rsidR="00AE4384" w:rsidRPr="00580C0B">
        <w:rPr>
          <w:sz w:val="24"/>
          <w:szCs w:val="24"/>
          <w:vertAlign w:val="subscript"/>
        </w:rPr>
        <w:t>b</w:t>
      </w:r>
      <w:r w:rsidR="00AE4384">
        <w:rPr>
          <w:sz w:val="24"/>
          <w:szCs w:val="24"/>
        </w:rPr>
        <w:t xml:space="preserve"> of 1.21.  </w:t>
      </w:r>
    </w:p>
    <w:p w14:paraId="00D1DF2C" w14:textId="6386E86A" w:rsidR="00EF6EB4" w:rsidRDefault="00EF6EB4" w:rsidP="00EF6EB4">
      <w:pPr>
        <w:rPr>
          <w:sz w:val="24"/>
          <w:szCs w:val="24"/>
        </w:rPr>
      </w:pPr>
    </w:p>
    <w:p w14:paraId="5E57C466" w14:textId="63793F25" w:rsidR="00167CA7" w:rsidRPr="00167CA7" w:rsidRDefault="00167CA7" w:rsidP="00167CA7">
      <w:pPr>
        <w:pStyle w:val="ListParagraph"/>
        <w:numPr>
          <w:ilvl w:val="0"/>
          <w:numId w:val="13"/>
        </w:numPr>
        <w:tabs>
          <w:tab w:val="left" w:pos="360"/>
        </w:tabs>
        <w:ind w:left="360" w:hanging="360"/>
        <w:rPr>
          <w:i/>
          <w:sz w:val="24"/>
          <w:szCs w:val="24"/>
        </w:rPr>
      </w:pPr>
      <w:r w:rsidRPr="00167CA7">
        <w:rPr>
          <w:i/>
          <w:sz w:val="24"/>
          <w:szCs w:val="24"/>
        </w:rPr>
        <w:t>Reanalysis of Chan et al. (2020) Clinical Infectious Diseases</w:t>
      </w:r>
    </w:p>
    <w:p w14:paraId="498F24DE" w14:textId="2A00621F" w:rsidR="00F648CB" w:rsidRDefault="00FC4E62" w:rsidP="00175B56">
      <w:pPr>
        <w:jc w:val="both"/>
        <w:rPr>
          <w:sz w:val="24"/>
          <w:szCs w:val="24"/>
        </w:rPr>
      </w:pPr>
      <w:r>
        <w:rPr>
          <w:sz w:val="24"/>
          <w:szCs w:val="24"/>
        </w:rPr>
        <w:t xml:space="preserve">We reanalyzed the </w:t>
      </w:r>
      <w:r w:rsidR="00731D9A">
        <w:rPr>
          <w:sz w:val="24"/>
          <w:szCs w:val="24"/>
        </w:rPr>
        <w:t>clinical severity scores of the contact animals to determine whether masking in this experiment resulted in lower levels of clinical severity. We obtained the individual-level data upon request from the authors. We first asked whether clinical severity scores were significantly different between the unmasked (Experiment 1) contacts and the contacts in Experiment 2, 3, or both using a Mann-Whitney U test. The authors previously used a Student t-test on this dataset, but because of the integer-values severity scores and their deviation from a normal distribution, we instead used the more appropriate Mann-Whitney U test. We found, considering all contacts, regardless of whether they became infected or not, that clinical severity scores were significantly lower in the experiments that included masks than in the unmasked experiment, both at 5 dpi (p = 0.0167) and at 7 dpi (p = 0.0311) (Table S2). However, we then excluded the contacts that did not become infected from the analysis to determine whether clinical severity scores were different between the unmasked and masked experiments, conditional on infection. Table S3 shows that clinical severity scores for the masked hamsters that got infected w</w:t>
      </w:r>
      <w:r w:rsidR="003E09DC">
        <w:rPr>
          <w:sz w:val="24"/>
          <w:szCs w:val="24"/>
        </w:rPr>
        <w:t>ere</w:t>
      </w:r>
      <w:r w:rsidR="00731D9A">
        <w:rPr>
          <w:sz w:val="24"/>
          <w:szCs w:val="24"/>
        </w:rPr>
        <w:t xml:space="preserve"> not significantly different from the unmasked hamsters that got infected, at either 5 dpi nor 7 dpi. </w:t>
      </w:r>
    </w:p>
    <w:p w14:paraId="4051C6C5" w14:textId="1C435BB8" w:rsidR="00731D9A" w:rsidRDefault="00731D9A" w:rsidP="00EF6EB4">
      <w:pPr>
        <w:rPr>
          <w:sz w:val="24"/>
          <w:szCs w:val="24"/>
        </w:rPr>
      </w:pPr>
    </w:p>
    <w:p w14:paraId="0523C882" w14:textId="4545A464" w:rsidR="00F648CB" w:rsidRDefault="00FC4E62" w:rsidP="00EF6EB4">
      <w:pPr>
        <w:rPr>
          <w:sz w:val="24"/>
          <w:szCs w:val="24"/>
        </w:rPr>
      </w:pPr>
      <w:r>
        <w:rPr>
          <w:noProof/>
        </w:rPr>
        <w:drawing>
          <wp:inline distT="0" distB="0" distL="0" distR="0" wp14:anchorId="00B423A9" wp14:editId="19C8BE9F">
            <wp:extent cx="5257800" cy="1019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7800" cy="1019175"/>
                    </a:xfrm>
                    <a:prstGeom prst="rect">
                      <a:avLst/>
                    </a:prstGeom>
                  </pic:spPr>
                </pic:pic>
              </a:graphicData>
            </a:graphic>
          </wp:inline>
        </w:drawing>
      </w:r>
    </w:p>
    <w:p w14:paraId="1BC07260" w14:textId="07CF1A7C" w:rsidR="00FC4E62" w:rsidRDefault="00731D9A" w:rsidP="00175B56">
      <w:pPr>
        <w:jc w:val="both"/>
        <w:rPr>
          <w:sz w:val="24"/>
          <w:szCs w:val="24"/>
        </w:rPr>
      </w:pPr>
      <w:r w:rsidRPr="00731D9A">
        <w:rPr>
          <w:b/>
          <w:sz w:val="24"/>
          <w:szCs w:val="24"/>
        </w:rPr>
        <w:lastRenderedPageBreak/>
        <w:t>Table S2.</w:t>
      </w:r>
      <w:r>
        <w:rPr>
          <w:sz w:val="24"/>
          <w:szCs w:val="24"/>
        </w:rPr>
        <w:t xml:space="preserve"> Clinical scores of hamsters in the three experiments performed. Both uninfected and infected hamsters are included in the shown data. P-values show comparisons against the no mask experiment on the corresponding day post inoculation of the index hamster.</w:t>
      </w:r>
    </w:p>
    <w:p w14:paraId="667E6299" w14:textId="19996997" w:rsidR="00FC4E62" w:rsidRDefault="00FC4E62" w:rsidP="00175B56">
      <w:pPr>
        <w:jc w:val="both"/>
        <w:rPr>
          <w:sz w:val="24"/>
          <w:szCs w:val="24"/>
        </w:rPr>
      </w:pPr>
    </w:p>
    <w:p w14:paraId="2D748FD0" w14:textId="201C3082" w:rsidR="00FC4E62" w:rsidRDefault="00FC4E62" w:rsidP="00175B56">
      <w:pPr>
        <w:jc w:val="both"/>
        <w:rPr>
          <w:sz w:val="24"/>
          <w:szCs w:val="24"/>
        </w:rPr>
      </w:pPr>
      <w:r>
        <w:rPr>
          <w:noProof/>
        </w:rPr>
        <w:drawing>
          <wp:inline distT="0" distB="0" distL="0" distR="0" wp14:anchorId="747DACDC" wp14:editId="145D789F">
            <wp:extent cx="5200650" cy="94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0650" cy="942975"/>
                    </a:xfrm>
                    <a:prstGeom prst="rect">
                      <a:avLst/>
                    </a:prstGeom>
                  </pic:spPr>
                </pic:pic>
              </a:graphicData>
            </a:graphic>
          </wp:inline>
        </w:drawing>
      </w:r>
    </w:p>
    <w:p w14:paraId="4514E4B8" w14:textId="23632CBE" w:rsidR="00731D9A" w:rsidRDefault="00731D9A" w:rsidP="00175B56">
      <w:pPr>
        <w:jc w:val="both"/>
        <w:rPr>
          <w:sz w:val="24"/>
          <w:szCs w:val="24"/>
        </w:rPr>
      </w:pPr>
      <w:r w:rsidRPr="00731D9A">
        <w:rPr>
          <w:b/>
          <w:sz w:val="24"/>
          <w:szCs w:val="24"/>
        </w:rPr>
        <w:t>Table S3.</w:t>
      </w:r>
      <w:r>
        <w:rPr>
          <w:sz w:val="24"/>
          <w:szCs w:val="24"/>
        </w:rPr>
        <w:t xml:space="preserve"> Clinical scores of hamsters in the three experiments performed, with only infected hamsters included in the shown data. P-values show comparisons against the no mask experiment on the corresponding day post inoculation of the index hamster.</w:t>
      </w:r>
    </w:p>
    <w:p w14:paraId="74162CA7" w14:textId="11BBF277" w:rsidR="00F648CB" w:rsidRDefault="00F648CB" w:rsidP="00EF6EB4">
      <w:pPr>
        <w:rPr>
          <w:sz w:val="24"/>
          <w:szCs w:val="24"/>
        </w:rPr>
      </w:pPr>
    </w:p>
    <w:p w14:paraId="72517301" w14:textId="39B5DAE9" w:rsidR="00F648CB" w:rsidRDefault="00F648CB" w:rsidP="00EF6EB4">
      <w:pPr>
        <w:rPr>
          <w:sz w:val="24"/>
          <w:szCs w:val="24"/>
        </w:rPr>
      </w:pPr>
    </w:p>
    <w:p w14:paraId="6970431E" w14:textId="77FCFA9A" w:rsidR="00B93FB6" w:rsidRDefault="006A377F" w:rsidP="00B93FB6">
      <w:pPr>
        <w:pStyle w:val="ListParagraph"/>
        <w:numPr>
          <w:ilvl w:val="0"/>
          <w:numId w:val="13"/>
        </w:numPr>
        <w:ind w:left="360" w:hanging="360"/>
        <w:rPr>
          <w:i/>
          <w:sz w:val="24"/>
          <w:szCs w:val="24"/>
        </w:rPr>
      </w:pPr>
      <w:r>
        <w:rPr>
          <w:i/>
          <w:sz w:val="24"/>
          <w:szCs w:val="24"/>
        </w:rPr>
        <w:t>A</w:t>
      </w:r>
      <w:r w:rsidR="00B93FB6" w:rsidRPr="00B93FB6">
        <w:rPr>
          <w:i/>
          <w:sz w:val="24"/>
          <w:szCs w:val="24"/>
        </w:rPr>
        <w:t xml:space="preserve">nalysis of </w:t>
      </w:r>
      <w:r>
        <w:rPr>
          <w:i/>
          <w:sz w:val="24"/>
          <w:szCs w:val="24"/>
        </w:rPr>
        <w:t>weight loss data in contact animals from Ganti et al. (2022) PLoS Pathogens</w:t>
      </w:r>
      <w:r w:rsidR="00B93FB6" w:rsidRPr="00B93FB6">
        <w:rPr>
          <w:i/>
          <w:sz w:val="24"/>
          <w:szCs w:val="24"/>
        </w:rPr>
        <w:t xml:space="preserve"> </w:t>
      </w:r>
    </w:p>
    <w:p w14:paraId="388DAA20" w14:textId="7BE30AD5" w:rsidR="00B42CED" w:rsidRDefault="00971CC3" w:rsidP="00B42CED">
      <w:pPr>
        <w:jc w:val="both"/>
        <w:rPr>
          <w:sz w:val="24"/>
          <w:szCs w:val="24"/>
        </w:rPr>
      </w:pPr>
      <w:r>
        <w:rPr>
          <w:sz w:val="24"/>
          <w:szCs w:val="24"/>
        </w:rPr>
        <w:t>To assess support for the variolation hypothesis using one of the experimental challenge studies detailed in Ganti et al.</w:t>
      </w:r>
      <w:r>
        <w:rPr>
          <w:sz w:val="24"/>
          <w:szCs w:val="24"/>
        </w:rPr>
        <w:fldChar w:fldCharType="begin"/>
      </w:r>
      <w:r>
        <w:rPr>
          <w:sz w:val="24"/>
          <w:szCs w:val="24"/>
        </w:rPr>
        <w:instrText xml:space="preserve"> ADDIN ZOTERO_ITEM CSL_CITATION {"citationID":"S0lK2byd","properties":{"formattedCitation":"\\super 12\\nosupersub{}","plainCitation":"12","noteIndex":0},"citationItems":[{"id":8767,"uris":["http://zotero.org/users/1469428/items/LL5ZJM2Y"],"itemData":{"id":8767,"type":"article-journal","abstract":"Transmission efficiency is a critical factor determining the size of an outbreak of infectious disease. Indeed, the propensity of SARS-CoV-2 to transmit among humans precipitated and continues to sustain the COVID-19 pandemic. Nevertheless, the number of new cases among contacts is highly variable and underlying reasons for wide-ranging transmission outcomes remain unclear. Here, we evaluated viral spread in golden Syrian hamsters to define the impact of temporal and environmental conditions on the efficiency of SARS-CoV-2 transmission through the air. Our data show that exposure periods as brief as one hour are sufficient to support robust transmission. However, the timing after infection is critical for transmission success, with the highest frequency of transmission to contacts occurring at times of peak viral load in the donor animals. Relative humidity and temperature had no detectable impact on transmission when exposures were carried out with optimal timing and high inoculation dose. However, contrary to expectation, trends observed with sub-optimal exposure timing and lower inoculation dose suggest improved transmission at high relative humidity or high temperature. In sum, among the conditions tested, our data reveal the timing of exposure to be the strongest determinant of SARS-CoV-2 transmission success and implicate viral load as an important driver of transmission.","container-title":"PLOS Pathogens","DOI":"10.1371/journal.ppat.1010181","ISSN":"1553-7374","issue":"3","journalAbbreviation":"PLoS Pathog","language":"en","page":"e1010181","source":"DOI.org (Crossref)","title":"Timing of exposure is critical in a highly sensitive model of SARS-CoV-2 transmission","volume":"18","author":[{"family":"Ganti","given":"Ketaki"},{"family":"Ferreri","given":"Lucas M."},{"family":"Lee","given":"Chung-Young"},{"family":"Bair","given":"Camden R."},{"family":"Delima","given":"Gabrielle K."},{"family":"Holmes","given":"Kate E."},{"family":"Suthar","given":"Mehul S."},{"family":"Lowen","given":"Anice C."}],"editor":[{"family":"Jurado","given":"Kellie A."}],"issued":{"date-parts":[["2022",3,25]]}}}],"schema":"https://github.com/citation-style-language/schema/raw/master/csl-citation.json"} </w:instrText>
      </w:r>
      <w:r>
        <w:rPr>
          <w:sz w:val="24"/>
          <w:szCs w:val="24"/>
        </w:rPr>
        <w:fldChar w:fldCharType="separate"/>
      </w:r>
      <w:r w:rsidRPr="00971CC3">
        <w:rPr>
          <w:rFonts w:ascii="Calibri" w:hAnsi="Calibri" w:cs="Calibri"/>
          <w:sz w:val="24"/>
          <w:szCs w:val="24"/>
          <w:vertAlign w:val="superscript"/>
        </w:rPr>
        <w:t>12</w:t>
      </w:r>
      <w:r>
        <w:rPr>
          <w:sz w:val="24"/>
          <w:szCs w:val="24"/>
        </w:rPr>
        <w:fldChar w:fldCharType="end"/>
      </w:r>
      <w:r>
        <w:rPr>
          <w:sz w:val="24"/>
          <w:szCs w:val="24"/>
        </w:rPr>
        <w:t xml:space="preserve">, we used patterns of weight loss in the contact animals. </w:t>
      </w:r>
      <w:r w:rsidR="00CE7477">
        <w:rPr>
          <w:sz w:val="24"/>
          <w:szCs w:val="24"/>
        </w:rPr>
        <w:t xml:space="preserve">For every contact animal (regardless of infection status), we calculated its minimum weight over the course of the 7 days that its weight was measured (see Supplementary Figure 4 in </w:t>
      </w:r>
      <w:r w:rsidR="00CE7477">
        <w:rPr>
          <w:sz w:val="24"/>
          <w:szCs w:val="24"/>
        </w:rPr>
        <w:fldChar w:fldCharType="begin"/>
      </w:r>
      <w:r w:rsidR="000B72FC">
        <w:rPr>
          <w:sz w:val="24"/>
          <w:szCs w:val="24"/>
        </w:rPr>
        <w:instrText xml:space="preserve"> ADDIN ZOTERO_ITEM CSL_CITATION {"citationID":"fD9TZ7nG","properties":{"formattedCitation":"\\super 12\\nosupersub{}","plainCitation":"12","noteIndex":0},"citationItems":[{"id":8767,"uris":["http://zotero.org/users/1469428/items/LL5ZJM2Y"],"itemData":{"id":8767,"type":"article-journal","abstract":"Transmission efficiency is a critical factor determining the size of an outbreak of infectious disease. Indeed, the propensity of SARS-CoV-2 to transmit among humans precipitated and continues to sustain the COVID-19 pandemic. Nevertheless, the number of new cases among contacts is highly variable and underlying reasons for wide-ranging transmission outcomes remain unclear. Here, we evaluated viral spread in golden Syrian hamsters to define the impact of temporal and environmental conditions on the efficiency of SARS-CoV-2 transmission through the air. Our data show that exposure periods as brief as one hour are sufficient to support robust transmission. However, the timing after infection is critical for transmission success, with the highest frequency of transmission to contacts occurring at times of peak viral load in the donor animals. Relative humidity and temperature had no detectable impact on transmission when exposures were carried out with optimal timing and high inoculation dose. However, contrary to expectation, trends observed with sub-optimal exposure timing and lower inoculation dose suggest improved transmission at high relative humidity or high temperature. In sum, among the conditions tested, our data reveal the timing of exposure to be the strongest determinant of SARS-CoV-2 transmission success and implicate viral load as an important driver of transmission.","container-title":"PLOS Pathogens","DOI":"10.1371/journal.ppat.1010181","ISSN":"1553-7374","issue":"3","journalAbbreviation":"PLoS Pathog","language":"en","page":"e1010181","source":"DOI.org (Crossref)","title":"Timing of exposure is critical in a highly sensitive model of SARS-CoV-2 transmission","volume":"18","author":[{"family":"Ganti","given":"Ketaki"},{"family":"Ferreri","given":"Lucas M."},{"family":"Lee","given":"Chung-Young"},{"family":"Bair","given":"Camden R."},{"family":"Delima","given":"Gabrielle K."},{"family":"Holmes","given":"Kate E."},{"family":"Suthar","given":"Mehul S."},{"family":"Lowen","given":"Anice C."}],"editor":[{"family":"Jurado","given":"Kellie A."}],"issued":{"date-parts":[["2022",3,25]]}}}],"schema":"https://github.com/citation-style-language/schema/raw/master/csl-citation.json"} </w:instrText>
      </w:r>
      <w:r w:rsidR="00CE7477">
        <w:rPr>
          <w:sz w:val="24"/>
          <w:szCs w:val="24"/>
        </w:rPr>
        <w:fldChar w:fldCharType="separate"/>
      </w:r>
      <w:r w:rsidR="00CE7477" w:rsidRPr="00971CC3">
        <w:rPr>
          <w:rFonts w:ascii="Calibri" w:hAnsi="Calibri" w:cs="Calibri"/>
          <w:sz w:val="24"/>
          <w:szCs w:val="24"/>
          <w:vertAlign w:val="superscript"/>
        </w:rPr>
        <w:t>12</w:t>
      </w:r>
      <w:r w:rsidR="00CE7477">
        <w:rPr>
          <w:sz w:val="24"/>
          <w:szCs w:val="24"/>
        </w:rPr>
        <w:fldChar w:fldCharType="end"/>
      </w:r>
      <w:r w:rsidR="00CE7477">
        <w:rPr>
          <w:sz w:val="24"/>
          <w:szCs w:val="24"/>
        </w:rPr>
        <w:t xml:space="preserve"> for the plotted data). </w:t>
      </w:r>
      <w:r w:rsidR="005F380B">
        <w:rPr>
          <w:sz w:val="24"/>
          <w:szCs w:val="24"/>
        </w:rPr>
        <w:t>Table S4 lists these minimum weights.</w:t>
      </w:r>
    </w:p>
    <w:p w14:paraId="5ED9BEE8" w14:textId="77777777" w:rsidR="00B42CED" w:rsidRDefault="00B42CED" w:rsidP="00B42CED">
      <w:pPr>
        <w:jc w:val="both"/>
        <w:rPr>
          <w:sz w:val="24"/>
          <w:szCs w:val="24"/>
        </w:rPr>
      </w:pPr>
    </w:p>
    <w:p w14:paraId="1370DFA3" w14:textId="19760C9F" w:rsidR="005F380B" w:rsidRDefault="001C4D5C" w:rsidP="00B42CED">
      <w:pPr>
        <w:jc w:val="both"/>
        <w:rPr>
          <w:sz w:val="24"/>
          <w:szCs w:val="24"/>
        </w:rPr>
      </w:pPr>
      <w:r w:rsidRPr="001C4D5C">
        <w:rPr>
          <w:noProof/>
          <w:sz w:val="24"/>
          <w:szCs w:val="24"/>
        </w:rPr>
        <w:drawing>
          <wp:inline distT="0" distB="0" distL="0" distR="0" wp14:anchorId="2314DE44" wp14:editId="5BE790C0">
            <wp:extent cx="5943600" cy="1998008"/>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98008"/>
                    </a:xfrm>
                    <a:prstGeom prst="rect">
                      <a:avLst/>
                    </a:prstGeom>
                    <a:noFill/>
                    <a:ln>
                      <a:noFill/>
                    </a:ln>
                  </pic:spPr>
                </pic:pic>
              </a:graphicData>
            </a:graphic>
          </wp:inline>
        </w:drawing>
      </w:r>
      <w:r w:rsidR="00B42CED">
        <w:rPr>
          <w:sz w:val="24"/>
          <w:szCs w:val="24"/>
        </w:rPr>
        <w:t xml:space="preserve"> </w:t>
      </w:r>
    </w:p>
    <w:p w14:paraId="797623AD" w14:textId="025CBCA3" w:rsidR="005F380B" w:rsidRPr="005F380B" w:rsidRDefault="005F380B" w:rsidP="005F380B">
      <w:pPr>
        <w:jc w:val="both"/>
      </w:pPr>
      <w:r w:rsidRPr="005F380B">
        <w:rPr>
          <w:b/>
        </w:rPr>
        <w:t>Table S4.</w:t>
      </w:r>
      <w:r w:rsidRPr="005F380B">
        <w:t xml:space="preserve"> Minimum weights of contact animals from the experimental study focusing on infection occurring at different time points post-inoculation of the index animal. Orange shading denotes contact animals that got infected. </w:t>
      </w:r>
    </w:p>
    <w:p w14:paraId="75C55687" w14:textId="7224227D" w:rsidR="005F380B" w:rsidRDefault="005F380B" w:rsidP="005F380B">
      <w:pPr>
        <w:jc w:val="both"/>
        <w:rPr>
          <w:sz w:val="24"/>
          <w:szCs w:val="24"/>
        </w:rPr>
      </w:pPr>
      <w:r>
        <w:rPr>
          <w:sz w:val="24"/>
          <w:szCs w:val="24"/>
        </w:rPr>
        <w:lastRenderedPageBreak/>
        <w:t>We performed two-sample t-tests to determine whether contact animals that became infected differed in their minimum weight depending on the time block during which they became exposed. There were no significant differences in weight loss between infected contact animals across any pair of time blocks.</w:t>
      </w:r>
    </w:p>
    <w:p w14:paraId="358D4C54" w14:textId="0CA95861" w:rsidR="005F380B" w:rsidRDefault="005F380B" w:rsidP="005F380B">
      <w:pPr>
        <w:jc w:val="both"/>
        <w:rPr>
          <w:sz w:val="24"/>
          <w:szCs w:val="24"/>
        </w:rPr>
      </w:pPr>
      <w:r>
        <w:rPr>
          <w:sz w:val="24"/>
          <w:szCs w:val="24"/>
        </w:rPr>
        <w:t>We further determined whether weight loss patterns between uninfected and infected contact animals differed from one another. Using a two-sample t-test, we found that the minimum weights of infected contacts were statistically different from, and lower, than those of uninfected contacts</w:t>
      </w:r>
      <w:r w:rsidR="00B42CED">
        <w:rPr>
          <w:sz w:val="24"/>
          <w:szCs w:val="24"/>
        </w:rPr>
        <w:t xml:space="preserve"> (</w:t>
      </w:r>
      <w:r w:rsidR="00B42CED" w:rsidRPr="00B42CED">
        <w:rPr>
          <w:i/>
          <w:sz w:val="24"/>
          <w:szCs w:val="24"/>
        </w:rPr>
        <w:t>p</w:t>
      </w:r>
      <w:bookmarkStart w:id="0" w:name="_GoBack"/>
      <w:bookmarkEnd w:id="0"/>
      <w:r w:rsidR="006D6EDF">
        <w:rPr>
          <w:sz w:val="24"/>
          <w:szCs w:val="24"/>
        </w:rPr>
        <w:t>=</w:t>
      </w:r>
      <w:r w:rsidR="00B42CED">
        <w:rPr>
          <w:sz w:val="24"/>
          <w:szCs w:val="24"/>
        </w:rPr>
        <w:t>0.00</w:t>
      </w:r>
      <w:r w:rsidR="006D6EDF">
        <w:rPr>
          <w:sz w:val="24"/>
          <w:szCs w:val="24"/>
        </w:rPr>
        <w:t>4</w:t>
      </w:r>
      <w:r w:rsidR="00B42CED">
        <w:rPr>
          <w:sz w:val="24"/>
          <w:szCs w:val="24"/>
        </w:rPr>
        <w:t>)</w:t>
      </w:r>
      <w:r>
        <w:rPr>
          <w:sz w:val="24"/>
          <w:szCs w:val="24"/>
        </w:rPr>
        <w:t>.</w:t>
      </w:r>
    </w:p>
    <w:p w14:paraId="1155C5C3" w14:textId="77777777" w:rsidR="006A377F" w:rsidRPr="006A377F" w:rsidRDefault="006A377F" w:rsidP="006A377F">
      <w:pPr>
        <w:rPr>
          <w:i/>
          <w:sz w:val="24"/>
          <w:szCs w:val="24"/>
        </w:rPr>
      </w:pPr>
    </w:p>
    <w:p w14:paraId="23904137" w14:textId="77777777" w:rsidR="006A377F" w:rsidRPr="00B93FB6" w:rsidRDefault="006A377F" w:rsidP="006A377F">
      <w:pPr>
        <w:pStyle w:val="ListParagraph"/>
        <w:numPr>
          <w:ilvl w:val="0"/>
          <w:numId w:val="13"/>
        </w:numPr>
        <w:ind w:left="360" w:hanging="360"/>
        <w:rPr>
          <w:i/>
          <w:sz w:val="24"/>
          <w:szCs w:val="24"/>
        </w:rPr>
      </w:pPr>
      <w:r w:rsidRPr="00B93FB6">
        <w:rPr>
          <w:i/>
          <w:sz w:val="24"/>
          <w:szCs w:val="24"/>
        </w:rPr>
        <w:t xml:space="preserve">Further analysis of Dabisch et al. (2021) PLoS Pathogens </w:t>
      </w:r>
    </w:p>
    <w:p w14:paraId="1A2549E3" w14:textId="5A9CDAE4" w:rsidR="006A377F" w:rsidRDefault="006A377F" w:rsidP="006A377F">
      <w:pPr>
        <w:pStyle w:val="ListParagraph"/>
        <w:ind w:left="360"/>
        <w:rPr>
          <w:i/>
          <w:sz w:val="24"/>
          <w:szCs w:val="24"/>
        </w:rPr>
      </w:pPr>
    </w:p>
    <w:p w14:paraId="50AA40E9" w14:textId="1D07642D" w:rsidR="00C11B76" w:rsidRDefault="00C11B76" w:rsidP="00971CC3">
      <w:pPr>
        <w:pStyle w:val="ListParagraph"/>
        <w:ind w:left="0"/>
        <w:jc w:val="both"/>
        <w:rPr>
          <w:sz w:val="24"/>
          <w:szCs w:val="24"/>
        </w:rPr>
      </w:pPr>
      <w:r>
        <w:rPr>
          <w:sz w:val="24"/>
          <w:szCs w:val="24"/>
        </w:rPr>
        <w:t>In Figure 4A, we fit a logistic model to all individual-level data points, reproducing the dose-seroconversion relationship presented in Dabisch et al.</w:t>
      </w:r>
      <w:r>
        <w:rPr>
          <w:sz w:val="24"/>
          <w:szCs w:val="24"/>
        </w:rPr>
        <w:fldChar w:fldCharType="begin"/>
      </w:r>
      <w:r w:rsidR="00971CC3">
        <w:rPr>
          <w:sz w:val="24"/>
          <w:szCs w:val="24"/>
        </w:rPr>
        <w:instrText xml:space="preserve"> ADDIN ZOTERO_ITEM CSL_CITATION {"citationID":"qkCtY5tu","properties":{"formattedCitation":"\\super 13\\nosupersub{}","plainCitation":"13","noteIndex":0},"citationItems":[{"id":7902,"uris":["http://zotero.org/users/1469428/items/UM6XG9ZZ"],"itemData":{"id":7902,"type":"article-journal","abstract":"While evidence exists supporting the potential for aerosol transmission of SARS-CoV-2, the infectious dose by inhalation remains unknown. In the present study, the probability of infection following inhalation of SARS-CoV-2 was dose-dependent in a nonhuman primate model of inhalational COVID-19. The median infectious dose, assessed by seroconversion, was 52 TCID\n              50\n              (95% CI: 23–363 TCID\n              50\n              ), and was significantly lower than the median dose for fever (256 TCID\n              50\n              , 95% CI: 102–603 TCID\n              50\n              ), resulting in a group of animals that developed an immune response post-exposure but did not develop fever or other clinical signs of infection. In a subset of these animals, virus was detected in nasopharyngeal and/or oropharyngeal swabs, suggesting that infected animals without signs of disease are able to shed virus and may be infectious, which is consistent with reports of asymptomatic spread in human cases of COVID-19. These results suggest that differences in exposure dose may be a factor influencing disease presentation in humans, and reinforce the importance of public health measures that limit exposure dose, such as social distancing, masking, and increased ventilation. The dose-response data provided by this study are important to inform disease transmission and hazard modeling, and, ultimately, mitigation strategies. Additionally, these data will be useful to inform dose selection in future studies examining the efficacy of therapeutics and vaccines against inhalational COVID-19, and as a baseline in healthy, young adult animals for assessment of the importance of other factors, such as age, comorbidities, and viral variant, on the infectious dose and disease presentation.","container-title":"PLOS Pathogens","DOI":"10.1371/journal.ppat.1009865","ISSN":"1553-7374","issue":"8","journalAbbreviation":"PLoS Pathog","language":"en","page":"e1009865","source":"DOI.org (Crossref)","title":"Seroconversion and fever are dose-dependent in a nonhuman primate model of inhalational COVID-19","volume":"17","author":[{"family":"Dabisch","given":"Paul A."},{"family":"Biryukov","given":"Jennifer"},{"family":"Beck","given":"Katie"},{"family":"Boydston","given":"Jeremy A."},{"family":"Sanjak","given":"Jaleal S."},{"family":"Herzog","given":"Artemas"},{"family":"Green","given":"Brian"},{"family":"Williams","given":"Gregory"},{"family":"Yeager","given":"John"},{"family":"Bohannon","given":"Jordan K."},{"family":"Holland","given":"Brian"},{"family":"Miller","given":"David"},{"family":"Reese","given":"Amy L."},{"family":"Freeburger","given":"Denise"},{"family":"Miller","given":"Susan"},{"family":"Jenkins","given":"Tammy"},{"family":"Rippeon","given":"Sherry"},{"family":"Miller","given":"James"},{"family":"Clarke","given":"David"},{"family":"Manan","given":"Emmanuel"},{"family":"Patty","given":"Ashley"},{"family":"Rhodes","given":"Kim"},{"family":"Sweeney","given":"Tina"},{"family":"Winpigler","given":"Michael"},{"family":"Price","given":"Owen"},{"family":"Rodriguez","given":"Jason"},{"family":"Altamura","given":"Louis A."},{"family":"Zimmerman","given":"Heather"},{"family":"Hail","given":"Alec S."},{"family":"Wahl","given":"Victoria"},{"family":"Hevey","given":"Michael"}],"editor":[{"family":"Pekosz","given":"Andrew"}],"issued":{"date-parts":[["2021",8,23]]}}}],"schema":"https://github.com/citation-style-language/schema/raw/master/csl-citation.json"} </w:instrText>
      </w:r>
      <w:r>
        <w:rPr>
          <w:sz w:val="24"/>
          <w:szCs w:val="24"/>
        </w:rPr>
        <w:fldChar w:fldCharType="separate"/>
      </w:r>
      <w:r w:rsidR="00971CC3" w:rsidRPr="00971CC3">
        <w:rPr>
          <w:rFonts w:ascii="Calibri" w:hAnsi="Calibri" w:cs="Calibri"/>
          <w:sz w:val="24"/>
          <w:szCs w:val="24"/>
          <w:vertAlign w:val="superscript"/>
        </w:rPr>
        <w:t>13</w:t>
      </w:r>
      <w:r>
        <w:rPr>
          <w:sz w:val="24"/>
          <w:szCs w:val="24"/>
        </w:rPr>
        <w:fldChar w:fldCharType="end"/>
      </w:r>
      <w:r>
        <w:rPr>
          <w:sz w:val="24"/>
          <w:szCs w:val="24"/>
        </w:rPr>
        <w:t>. In Figure 4B, we first fit a logistic</w:t>
      </w:r>
      <w:r w:rsidR="00950A37">
        <w:rPr>
          <w:sz w:val="24"/>
          <w:szCs w:val="24"/>
        </w:rPr>
        <w:t xml:space="preserve"> regression</w:t>
      </w:r>
      <w:r>
        <w:rPr>
          <w:sz w:val="24"/>
          <w:szCs w:val="24"/>
        </w:rPr>
        <w:t xml:space="preserve"> model to all individual-level data points, reproducing the dose-fever development relationship presented in Dabisch et al.</w:t>
      </w:r>
      <w:r>
        <w:rPr>
          <w:sz w:val="24"/>
          <w:szCs w:val="24"/>
        </w:rPr>
        <w:fldChar w:fldCharType="begin"/>
      </w:r>
      <w:r w:rsidR="00971CC3">
        <w:rPr>
          <w:sz w:val="24"/>
          <w:szCs w:val="24"/>
        </w:rPr>
        <w:instrText xml:space="preserve"> ADDIN ZOTERO_ITEM CSL_CITATION {"citationID":"tOAi9POO","properties":{"formattedCitation":"\\super 13\\nosupersub{}","plainCitation":"13","noteIndex":0},"citationItems":[{"id":7902,"uris":["http://zotero.org/users/1469428/items/UM6XG9ZZ"],"itemData":{"id":7902,"type":"article-journal","abstract":"While evidence exists supporting the potential for aerosol transmission of SARS-CoV-2, the infectious dose by inhalation remains unknown. In the present study, the probability of infection following inhalation of SARS-CoV-2 was dose-dependent in a nonhuman primate model of inhalational COVID-19. The median infectious dose, assessed by seroconversion, was 52 TCID\n              50\n              (95% CI: 23–363 TCID\n              50\n              ), and was significantly lower than the median dose for fever (256 TCID\n              50\n              , 95% CI: 102–603 TCID\n              50\n              ), resulting in a group of animals that developed an immune response post-exposure but did not develop fever or other clinical signs of infection. In a subset of these animals, virus was detected in nasopharyngeal and/or oropharyngeal swabs, suggesting that infected animals without signs of disease are able to shed virus and may be infectious, which is consistent with reports of asymptomatic spread in human cases of COVID-19. These results suggest that differences in exposure dose may be a factor influencing disease presentation in humans, and reinforce the importance of public health measures that limit exposure dose, such as social distancing, masking, and increased ventilation. The dose-response data provided by this study are important to inform disease transmission and hazard modeling, and, ultimately, mitigation strategies. Additionally, these data will be useful to inform dose selection in future studies examining the efficacy of therapeutics and vaccines against inhalational COVID-19, and as a baseline in healthy, young adult animals for assessment of the importance of other factors, such as age, comorbidities, and viral variant, on the infectious dose and disease presentation.","container-title":"PLOS Pathogens","DOI":"10.1371/journal.ppat.1009865","ISSN":"1553-7374","issue":"8","journalAbbreviation":"PLoS Pathog","language":"en","page":"e1009865","source":"DOI.org (Crossref)","title":"Seroconversion and fever are dose-dependent in a nonhuman primate model of inhalational COVID-19","volume":"17","author":[{"family":"Dabisch","given":"Paul A."},{"family":"Biryukov","given":"Jennifer"},{"family":"Beck","given":"Katie"},{"family":"Boydston","given":"Jeremy A."},{"family":"Sanjak","given":"Jaleal S."},{"family":"Herzog","given":"Artemas"},{"family":"Green","given":"Brian"},{"family":"Williams","given":"Gregory"},{"family":"Yeager","given":"John"},{"family":"Bohannon","given":"Jordan K."},{"family":"Holland","given":"Brian"},{"family":"Miller","given":"David"},{"family":"Reese","given":"Amy L."},{"family":"Freeburger","given":"Denise"},{"family":"Miller","given":"Susan"},{"family":"Jenkins","given":"Tammy"},{"family":"Rippeon","given":"Sherry"},{"family":"Miller","given":"James"},{"family":"Clarke","given":"David"},{"family":"Manan","given":"Emmanuel"},{"family":"Patty","given":"Ashley"},{"family":"Rhodes","given":"Kim"},{"family":"Sweeney","given":"Tina"},{"family":"Winpigler","given":"Michael"},{"family":"Price","given":"Owen"},{"family":"Rodriguez","given":"Jason"},{"family":"Altamura","given":"Louis A."},{"family":"Zimmerman","given":"Heather"},{"family":"Hail","given":"Alec S."},{"family":"Wahl","given":"Victoria"},{"family":"Hevey","given":"Michael"}],"editor":[{"family":"Pekosz","given":"Andrew"}],"issued":{"date-parts":[["2021",8,23]]}}}],"schema":"https://github.com/citation-style-language/schema/raw/master/csl-citation.json"} </w:instrText>
      </w:r>
      <w:r>
        <w:rPr>
          <w:sz w:val="24"/>
          <w:szCs w:val="24"/>
        </w:rPr>
        <w:fldChar w:fldCharType="separate"/>
      </w:r>
      <w:r w:rsidR="00971CC3" w:rsidRPr="00971CC3">
        <w:rPr>
          <w:rFonts w:ascii="Calibri" w:hAnsi="Calibri" w:cs="Calibri"/>
          <w:sz w:val="24"/>
          <w:szCs w:val="24"/>
          <w:vertAlign w:val="superscript"/>
        </w:rPr>
        <w:t>13</w:t>
      </w:r>
      <w:r>
        <w:rPr>
          <w:sz w:val="24"/>
          <w:szCs w:val="24"/>
        </w:rPr>
        <w:fldChar w:fldCharType="end"/>
      </w:r>
      <w:r>
        <w:rPr>
          <w:sz w:val="24"/>
          <w:szCs w:val="24"/>
        </w:rPr>
        <w:t xml:space="preserve">. We then fit a logistic </w:t>
      </w:r>
      <w:r w:rsidR="00950A37">
        <w:rPr>
          <w:sz w:val="24"/>
          <w:szCs w:val="24"/>
        </w:rPr>
        <w:t xml:space="preserve">regression </w:t>
      </w:r>
      <w:r>
        <w:rPr>
          <w:sz w:val="24"/>
          <w:szCs w:val="24"/>
        </w:rPr>
        <w:t xml:space="preserve">model to the subset of animals that seroconverted. This fit did not significantly alter the shape of the relationship between dose and fever development. Finally, we fit an alternative logistic </w:t>
      </w:r>
      <w:r w:rsidR="00950A37">
        <w:rPr>
          <w:sz w:val="24"/>
          <w:szCs w:val="24"/>
        </w:rPr>
        <w:t xml:space="preserve">regression </w:t>
      </w:r>
      <w:r>
        <w:rPr>
          <w:sz w:val="24"/>
          <w:szCs w:val="24"/>
        </w:rPr>
        <w:t>model to the subset of animals that seroconverted. This alternative model was of the form:</w:t>
      </w:r>
    </w:p>
    <w:p w14:paraId="5E5060A6" w14:textId="4C98ACA7" w:rsidR="00C11B76" w:rsidRDefault="00C11B76" w:rsidP="00971CC3">
      <w:pPr>
        <w:pStyle w:val="ListParagraph"/>
        <w:ind w:left="0"/>
        <w:jc w:val="both"/>
        <w:rPr>
          <w:sz w:val="24"/>
          <w:szCs w:val="24"/>
        </w:rPr>
      </w:pPr>
    </w:p>
    <w:p w14:paraId="18244F2C" w14:textId="69E21A7D" w:rsidR="00C11B76" w:rsidRDefault="00C11B76" w:rsidP="00971CC3">
      <w:pPr>
        <w:pStyle w:val="ListParagraph"/>
        <w:ind w:left="0"/>
        <w:jc w:val="both"/>
        <w:rPr>
          <w:sz w:val="24"/>
          <w:szCs w:val="24"/>
        </w:rPr>
      </w:pPr>
      <w:r>
        <w:rPr>
          <w:sz w:val="24"/>
          <w:szCs w:val="24"/>
        </w:rPr>
        <w:t xml:space="preserve">Probability of fever development = </w:t>
      </w:r>
      <w:r w:rsidRPr="00950A37">
        <w:rPr>
          <w:i/>
          <w:sz w:val="24"/>
          <w:szCs w:val="24"/>
        </w:rPr>
        <w:t>p</w:t>
      </w:r>
      <w:r>
        <w:rPr>
          <w:sz w:val="24"/>
          <w:szCs w:val="24"/>
        </w:rPr>
        <w:t xml:space="preserve"> + (1-</w:t>
      </w:r>
      <w:r w:rsidRPr="00950A37">
        <w:rPr>
          <w:i/>
          <w:sz w:val="24"/>
          <w:szCs w:val="24"/>
        </w:rPr>
        <w:t>p</w:t>
      </w:r>
      <w:r w:rsidR="00950A37">
        <w:rPr>
          <w:sz w:val="24"/>
          <w:szCs w:val="24"/>
        </w:rPr>
        <w:t>)</w:t>
      </w:r>
      <w:r w:rsidR="00950A37" w:rsidRPr="00950A37">
        <w:rPr>
          <w:i/>
          <w:sz w:val="24"/>
          <w:szCs w:val="24"/>
        </w:rPr>
        <w:t>r</w:t>
      </w:r>
      <w:r w:rsidR="00950A37">
        <w:rPr>
          <w:sz w:val="24"/>
          <w:szCs w:val="24"/>
        </w:rPr>
        <w:t>(x)</w:t>
      </w:r>
      <w:r>
        <w:rPr>
          <w:sz w:val="24"/>
          <w:szCs w:val="24"/>
        </w:rPr>
        <w:t xml:space="preserve">, where </w:t>
      </w:r>
      <w:r w:rsidR="00950A37" w:rsidRPr="00950A37">
        <w:rPr>
          <w:i/>
          <w:sz w:val="24"/>
          <w:szCs w:val="24"/>
        </w:rPr>
        <w:t>r</w:t>
      </w:r>
      <w:r w:rsidR="00950A37">
        <w:rPr>
          <w:sz w:val="24"/>
          <w:szCs w:val="24"/>
        </w:rPr>
        <w:t>(</w:t>
      </w:r>
      <w:r w:rsidR="00950A37" w:rsidRPr="00950A37">
        <w:rPr>
          <w:i/>
          <w:sz w:val="24"/>
          <w:szCs w:val="24"/>
        </w:rPr>
        <w:t>x</w:t>
      </w:r>
      <w:r w:rsidR="00950A37">
        <w:rPr>
          <w:sz w:val="24"/>
          <w:szCs w:val="24"/>
        </w:rPr>
        <w:t>)</w:t>
      </w:r>
      <w:r>
        <w:rPr>
          <w:sz w:val="24"/>
          <w:szCs w:val="24"/>
        </w:rPr>
        <w:t xml:space="preserve"> is the standard logistic model</w:t>
      </w:r>
      <w:r w:rsidR="00950A37">
        <w:rPr>
          <w:sz w:val="24"/>
          <w:szCs w:val="24"/>
        </w:rPr>
        <w:t xml:space="preserve"> given by</w:t>
      </w:r>
    </w:p>
    <w:p w14:paraId="221F26B9" w14:textId="36D3613D" w:rsidR="00950A37" w:rsidRDefault="00950A37" w:rsidP="00971CC3">
      <w:pPr>
        <w:pStyle w:val="ListParagraph"/>
        <w:ind w:left="0"/>
        <w:jc w:val="both"/>
        <w:rPr>
          <w:sz w:val="24"/>
          <w:szCs w:val="24"/>
        </w:rPr>
      </w:pPr>
      <m:oMathPara>
        <m:oMath>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-(x-μ)/s</m:t>
                  </m:r>
                </m:sup>
              </m:sSup>
            </m:den>
          </m:f>
        </m:oMath>
      </m:oMathPara>
    </w:p>
    <w:p w14:paraId="024F9B07" w14:textId="42FAFAA3" w:rsidR="00C11B76" w:rsidRDefault="00C11B76" w:rsidP="00971CC3">
      <w:pPr>
        <w:pStyle w:val="ListParagraph"/>
        <w:ind w:left="0"/>
        <w:jc w:val="both"/>
        <w:rPr>
          <w:sz w:val="24"/>
          <w:szCs w:val="24"/>
        </w:rPr>
      </w:pPr>
    </w:p>
    <w:p w14:paraId="316E27AB" w14:textId="089A0E64" w:rsidR="00C11B76" w:rsidRDefault="00C11B76" w:rsidP="00971CC3">
      <w:pPr>
        <w:pStyle w:val="ListParagraph"/>
        <w:ind w:left="0"/>
        <w:jc w:val="both"/>
        <w:rPr>
          <w:sz w:val="24"/>
          <w:szCs w:val="24"/>
        </w:rPr>
      </w:pPr>
      <w:r>
        <w:rPr>
          <w:sz w:val="24"/>
          <w:szCs w:val="24"/>
        </w:rPr>
        <w:t xml:space="preserve">This alternative model allows for a non-zero probability of fever development at low inoculum doses, conditional on infection. We simultaneously estimated </w:t>
      </w:r>
      <w:r w:rsidRPr="00950A37">
        <w:rPr>
          <w:i/>
          <w:sz w:val="24"/>
          <w:szCs w:val="24"/>
        </w:rPr>
        <w:t>p</w:t>
      </w:r>
      <w:r>
        <w:rPr>
          <w:sz w:val="24"/>
          <w:szCs w:val="24"/>
        </w:rPr>
        <w:t xml:space="preserve"> and the two parameters of the logistic model</w:t>
      </w:r>
      <w:r w:rsidR="00971CC3">
        <w:rPr>
          <w:sz w:val="24"/>
          <w:szCs w:val="24"/>
        </w:rPr>
        <w:t xml:space="preserve"> (</w:t>
      </w:r>
      <w:r w:rsidR="00971CC3" w:rsidRPr="00971CC3">
        <w:rPr>
          <w:rFonts w:ascii="Symbol" w:hAnsi="Symbol"/>
          <w:i/>
          <w:sz w:val="24"/>
          <w:szCs w:val="24"/>
        </w:rPr>
        <w:t></w:t>
      </w:r>
      <w:r w:rsidR="00971CC3">
        <w:rPr>
          <w:sz w:val="24"/>
          <w:szCs w:val="24"/>
        </w:rPr>
        <w:t xml:space="preserve"> and </w:t>
      </w:r>
      <w:r w:rsidR="00950A37" w:rsidRPr="00950A37">
        <w:rPr>
          <w:i/>
          <w:sz w:val="24"/>
          <w:szCs w:val="24"/>
        </w:rPr>
        <w:t>s</w:t>
      </w:r>
      <w:r w:rsidR="00971CC3">
        <w:rPr>
          <w:sz w:val="24"/>
          <w:szCs w:val="24"/>
        </w:rPr>
        <w:t xml:space="preserve">), with maximum likelihood estimates being </w:t>
      </w:r>
      <w:r w:rsidR="00971CC3" w:rsidRPr="00950A37">
        <w:rPr>
          <w:i/>
          <w:sz w:val="24"/>
          <w:szCs w:val="24"/>
        </w:rPr>
        <w:t>p</w:t>
      </w:r>
      <w:r w:rsidR="00971CC3">
        <w:rPr>
          <w:sz w:val="24"/>
          <w:szCs w:val="24"/>
        </w:rPr>
        <w:t xml:space="preserve"> = 0.17, </w:t>
      </w:r>
      <w:r w:rsidR="00971CC3" w:rsidRPr="00971CC3">
        <w:rPr>
          <w:rFonts w:ascii="Symbol" w:hAnsi="Symbol"/>
          <w:i/>
          <w:sz w:val="24"/>
          <w:szCs w:val="24"/>
        </w:rPr>
        <w:t></w:t>
      </w:r>
      <w:r w:rsidR="00971CC3">
        <w:rPr>
          <w:sz w:val="24"/>
          <w:szCs w:val="24"/>
        </w:rPr>
        <w:t xml:space="preserve"> = 2.6687, and </w:t>
      </w:r>
      <w:r w:rsidR="00950A37" w:rsidRPr="00950A37">
        <w:rPr>
          <w:i/>
          <w:sz w:val="24"/>
          <w:szCs w:val="24"/>
        </w:rPr>
        <w:t>s</w:t>
      </w:r>
      <w:r w:rsidR="00971CC3">
        <w:rPr>
          <w:rFonts w:ascii="Symbol" w:hAnsi="Symbol"/>
          <w:i/>
          <w:sz w:val="24"/>
          <w:szCs w:val="24"/>
        </w:rPr>
        <w:t></w:t>
      </w:r>
      <w:r w:rsidR="00971CC3">
        <w:rPr>
          <w:sz w:val="24"/>
          <w:szCs w:val="24"/>
        </w:rPr>
        <w:t xml:space="preserve">= </w:t>
      </w:r>
      <w:r w:rsidR="00971CC3" w:rsidRPr="00971CC3">
        <w:rPr>
          <w:sz w:val="24"/>
          <w:szCs w:val="24"/>
        </w:rPr>
        <w:t>0.0079</w:t>
      </w:r>
      <w:r>
        <w:rPr>
          <w:sz w:val="24"/>
          <w:szCs w:val="24"/>
        </w:rPr>
        <w:t>.</w:t>
      </w:r>
      <w:r w:rsidR="00971CC3">
        <w:rPr>
          <w:sz w:val="24"/>
          <w:szCs w:val="24"/>
        </w:rPr>
        <w:t xml:space="preserve"> The Akaike Information Criterion (AIC) of the standard logistic model was 12.66. The AIC of the alternative model (which penalizes for the additional parameter) was 11.41, indicating that the alternative logistic model is statistically preferred over the standard logistic model.  </w:t>
      </w:r>
    </w:p>
    <w:p w14:paraId="1926D53E" w14:textId="04132FC4" w:rsidR="000B72FC" w:rsidRDefault="000B72FC" w:rsidP="00971CC3">
      <w:pPr>
        <w:pStyle w:val="ListParagraph"/>
        <w:ind w:left="0"/>
        <w:jc w:val="both"/>
        <w:rPr>
          <w:sz w:val="24"/>
          <w:szCs w:val="24"/>
        </w:rPr>
      </w:pPr>
    </w:p>
    <w:p w14:paraId="6033D127" w14:textId="49CFE4E4" w:rsidR="00C72BBB" w:rsidRPr="000B72FC" w:rsidRDefault="000B72FC" w:rsidP="00971CC3">
      <w:pPr>
        <w:pStyle w:val="ListParagraph"/>
        <w:ind w:left="0"/>
        <w:jc w:val="both"/>
        <w:rPr>
          <w:sz w:val="24"/>
          <w:szCs w:val="24"/>
          <w:u w:val="single"/>
        </w:rPr>
      </w:pPr>
      <w:r w:rsidRPr="000B72FC">
        <w:rPr>
          <w:sz w:val="24"/>
          <w:szCs w:val="24"/>
          <w:u w:val="single"/>
        </w:rPr>
        <w:t>Supplemental Material References</w:t>
      </w:r>
    </w:p>
    <w:p w14:paraId="41118543" w14:textId="77777777" w:rsidR="000B72FC" w:rsidRPr="000B72FC" w:rsidRDefault="000B72FC" w:rsidP="000B72FC">
      <w:pPr>
        <w:pStyle w:val="Bibliography"/>
        <w:rPr>
          <w:rFonts w:ascii="Calibri" w:hAnsi="Calibri" w:cs="Calibri"/>
          <w:sz w:val="24"/>
        </w:rPr>
      </w:pPr>
      <w:r>
        <w:fldChar w:fldCharType="begin"/>
      </w:r>
      <w:r>
        <w:instrText xml:space="preserve"> ADDIN ZOTERO_BIBL {"uncited":[],"omitted":[],"custom":[]} CSL_BIBLIOGRAPHY </w:instrText>
      </w:r>
      <w:r>
        <w:fldChar w:fldCharType="separate"/>
      </w:r>
      <w:r w:rsidRPr="000B72FC">
        <w:rPr>
          <w:rFonts w:ascii="Calibri" w:hAnsi="Calibri" w:cs="Calibri"/>
          <w:sz w:val="24"/>
        </w:rPr>
        <w:t>1</w:t>
      </w:r>
      <w:r w:rsidRPr="000B72FC">
        <w:rPr>
          <w:rFonts w:ascii="Calibri" w:hAnsi="Calibri" w:cs="Calibri"/>
          <w:sz w:val="24"/>
        </w:rPr>
        <w:tab/>
        <w:t xml:space="preserve">Lloyd-Smith JO, Schreiber SJ, Kopp PE, Getz WM. Superspreading and the effect of individual variation on disease emergence. </w:t>
      </w:r>
      <w:r w:rsidRPr="000B72FC">
        <w:rPr>
          <w:rFonts w:ascii="Calibri" w:hAnsi="Calibri" w:cs="Calibri"/>
          <w:i/>
          <w:iCs/>
          <w:sz w:val="24"/>
        </w:rPr>
        <w:t>Nature</w:t>
      </w:r>
      <w:r w:rsidRPr="000B72FC">
        <w:rPr>
          <w:rFonts w:ascii="Calibri" w:hAnsi="Calibri" w:cs="Calibri"/>
          <w:sz w:val="24"/>
        </w:rPr>
        <w:t xml:space="preserve"> 2005; </w:t>
      </w:r>
      <w:r w:rsidRPr="000B72FC">
        <w:rPr>
          <w:rFonts w:ascii="Calibri" w:hAnsi="Calibri" w:cs="Calibri"/>
          <w:b/>
          <w:bCs/>
          <w:sz w:val="24"/>
        </w:rPr>
        <w:t>438</w:t>
      </w:r>
      <w:r w:rsidRPr="000B72FC">
        <w:rPr>
          <w:rFonts w:ascii="Calibri" w:hAnsi="Calibri" w:cs="Calibri"/>
          <w:sz w:val="24"/>
        </w:rPr>
        <w:t>: 355–9.</w:t>
      </w:r>
    </w:p>
    <w:p w14:paraId="58322272"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2</w:t>
      </w:r>
      <w:r w:rsidRPr="000B72FC">
        <w:rPr>
          <w:rFonts w:ascii="Calibri" w:hAnsi="Calibri" w:cs="Calibri"/>
          <w:sz w:val="24"/>
        </w:rPr>
        <w:tab/>
        <w:t xml:space="preserve">Ke R, Zitzmann C, Ho DD, Ribeiro RM, Perelson AS. In vivo kinetics of SARS-CoV-2 infection and its relationship with a person’s infectiousness. </w:t>
      </w:r>
      <w:r w:rsidRPr="000B72FC">
        <w:rPr>
          <w:rFonts w:ascii="Calibri" w:hAnsi="Calibri" w:cs="Calibri"/>
          <w:i/>
          <w:iCs/>
          <w:sz w:val="24"/>
        </w:rPr>
        <w:t>Proc Natl Acad Sci USA</w:t>
      </w:r>
      <w:r w:rsidRPr="000B72FC">
        <w:rPr>
          <w:rFonts w:ascii="Calibri" w:hAnsi="Calibri" w:cs="Calibri"/>
          <w:sz w:val="24"/>
        </w:rPr>
        <w:t xml:space="preserve"> 2021; </w:t>
      </w:r>
      <w:r w:rsidRPr="000B72FC">
        <w:rPr>
          <w:rFonts w:ascii="Calibri" w:hAnsi="Calibri" w:cs="Calibri"/>
          <w:b/>
          <w:bCs/>
          <w:sz w:val="24"/>
        </w:rPr>
        <w:t>118</w:t>
      </w:r>
      <w:r w:rsidRPr="000B72FC">
        <w:rPr>
          <w:rFonts w:ascii="Calibri" w:hAnsi="Calibri" w:cs="Calibri"/>
          <w:sz w:val="24"/>
        </w:rPr>
        <w:t>: e2111477118.</w:t>
      </w:r>
    </w:p>
    <w:p w14:paraId="166057B8"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lastRenderedPageBreak/>
        <w:t>3</w:t>
      </w:r>
      <w:r w:rsidRPr="000B72FC">
        <w:rPr>
          <w:rFonts w:ascii="Calibri" w:hAnsi="Calibri" w:cs="Calibri"/>
          <w:sz w:val="24"/>
        </w:rPr>
        <w:tab/>
        <w:t xml:space="preserve">Endo A, Centre for the Mathematical Modelling of Infectious Diseases COVID-19 Working Group, Abbott S, Kucharski AJ, Funk S. Estimating the overdispersion in COVID-19 transmission using outbreak sizes outside China. </w:t>
      </w:r>
      <w:r w:rsidRPr="000B72FC">
        <w:rPr>
          <w:rFonts w:ascii="Calibri" w:hAnsi="Calibri" w:cs="Calibri"/>
          <w:i/>
          <w:iCs/>
          <w:sz w:val="24"/>
        </w:rPr>
        <w:t>Wellcome Open Res</w:t>
      </w:r>
      <w:r w:rsidRPr="000B72FC">
        <w:rPr>
          <w:rFonts w:ascii="Calibri" w:hAnsi="Calibri" w:cs="Calibri"/>
          <w:sz w:val="24"/>
        </w:rPr>
        <w:t xml:space="preserve"> 2020; </w:t>
      </w:r>
      <w:r w:rsidRPr="000B72FC">
        <w:rPr>
          <w:rFonts w:ascii="Calibri" w:hAnsi="Calibri" w:cs="Calibri"/>
          <w:b/>
          <w:bCs/>
          <w:sz w:val="24"/>
        </w:rPr>
        <w:t>5</w:t>
      </w:r>
      <w:r w:rsidRPr="000B72FC">
        <w:rPr>
          <w:rFonts w:ascii="Calibri" w:hAnsi="Calibri" w:cs="Calibri"/>
          <w:sz w:val="24"/>
        </w:rPr>
        <w:t>: 67.</w:t>
      </w:r>
    </w:p>
    <w:p w14:paraId="0911DB54"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4</w:t>
      </w:r>
      <w:r w:rsidRPr="000B72FC">
        <w:rPr>
          <w:rFonts w:ascii="Calibri" w:hAnsi="Calibri" w:cs="Calibri"/>
          <w:sz w:val="24"/>
        </w:rPr>
        <w:tab/>
        <w:t xml:space="preserve">Pawelek KA, Huynh GT, Quinlivan M, Cullinane A, Rong L, Perelson AS. Modeling Within-Host Dynamics of Influenza Virus Infection Including Immune Responses. </w:t>
      </w:r>
      <w:r w:rsidRPr="000B72FC">
        <w:rPr>
          <w:rFonts w:ascii="Calibri" w:hAnsi="Calibri" w:cs="Calibri"/>
          <w:i/>
          <w:iCs/>
          <w:sz w:val="24"/>
        </w:rPr>
        <w:t>PLoS Comput Biol</w:t>
      </w:r>
      <w:r w:rsidRPr="000B72FC">
        <w:rPr>
          <w:rFonts w:ascii="Calibri" w:hAnsi="Calibri" w:cs="Calibri"/>
          <w:sz w:val="24"/>
        </w:rPr>
        <w:t xml:space="preserve"> 2012; </w:t>
      </w:r>
      <w:r w:rsidRPr="000B72FC">
        <w:rPr>
          <w:rFonts w:ascii="Calibri" w:hAnsi="Calibri" w:cs="Calibri"/>
          <w:b/>
          <w:bCs/>
          <w:sz w:val="24"/>
        </w:rPr>
        <w:t>8</w:t>
      </w:r>
      <w:r w:rsidRPr="000B72FC">
        <w:rPr>
          <w:rFonts w:ascii="Calibri" w:hAnsi="Calibri" w:cs="Calibri"/>
          <w:sz w:val="24"/>
        </w:rPr>
        <w:t>: e1002588.</w:t>
      </w:r>
    </w:p>
    <w:p w14:paraId="0D17E2CF"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5</w:t>
      </w:r>
      <w:r w:rsidRPr="000B72FC">
        <w:rPr>
          <w:rFonts w:ascii="Calibri" w:hAnsi="Calibri" w:cs="Calibri"/>
          <w:sz w:val="24"/>
        </w:rPr>
        <w:tab/>
        <w:t xml:space="preserve">Baral S, Antia R, Dixit NM. A dynamical motif comprising the interactions between antigens and CD8 T cells may underlie the outcomes of viral infections. </w:t>
      </w:r>
      <w:r w:rsidRPr="000B72FC">
        <w:rPr>
          <w:rFonts w:ascii="Calibri" w:hAnsi="Calibri" w:cs="Calibri"/>
          <w:i/>
          <w:iCs/>
          <w:sz w:val="24"/>
        </w:rPr>
        <w:t>Proc Natl Acad Sci U S A</w:t>
      </w:r>
      <w:r w:rsidRPr="000B72FC">
        <w:rPr>
          <w:rFonts w:ascii="Calibri" w:hAnsi="Calibri" w:cs="Calibri"/>
          <w:sz w:val="24"/>
        </w:rPr>
        <w:t xml:space="preserve"> 2019; </w:t>
      </w:r>
      <w:r w:rsidRPr="000B72FC">
        <w:rPr>
          <w:rFonts w:ascii="Calibri" w:hAnsi="Calibri" w:cs="Calibri"/>
          <w:b/>
          <w:bCs/>
          <w:sz w:val="24"/>
        </w:rPr>
        <w:t>116</w:t>
      </w:r>
      <w:r w:rsidRPr="000B72FC">
        <w:rPr>
          <w:rFonts w:ascii="Calibri" w:hAnsi="Calibri" w:cs="Calibri"/>
          <w:sz w:val="24"/>
        </w:rPr>
        <w:t>: 17393–8.</w:t>
      </w:r>
    </w:p>
    <w:p w14:paraId="6864E900"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6</w:t>
      </w:r>
      <w:r w:rsidRPr="000B72FC">
        <w:rPr>
          <w:rFonts w:ascii="Calibri" w:hAnsi="Calibri" w:cs="Calibri"/>
          <w:sz w:val="24"/>
        </w:rPr>
        <w:tab/>
        <w:t xml:space="preserve">Canini L, Carrat F. Population modeling of influenza A/H1N1 virus kinetics and symptom dynamics. </w:t>
      </w:r>
      <w:r w:rsidRPr="000B72FC">
        <w:rPr>
          <w:rFonts w:ascii="Calibri" w:hAnsi="Calibri" w:cs="Calibri"/>
          <w:i/>
          <w:iCs/>
          <w:sz w:val="24"/>
        </w:rPr>
        <w:t>J Virol</w:t>
      </w:r>
      <w:r w:rsidRPr="000B72FC">
        <w:rPr>
          <w:rFonts w:ascii="Calibri" w:hAnsi="Calibri" w:cs="Calibri"/>
          <w:sz w:val="24"/>
        </w:rPr>
        <w:t xml:space="preserve"> 2011; </w:t>
      </w:r>
      <w:r w:rsidRPr="000B72FC">
        <w:rPr>
          <w:rFonts w:ascii="Calibri" w:hAnsi="Calibri" w:cs="Calibri"/>
          <w:b/>
          <w:bCs/>
          <w:sz w:val="24"/>
        </w:rPr>
        <w:t>85</w:t>
      </w:r>
      <w:r w:rsidRPr="000B72FC">
        <w:rPr>
          <w:rFonts w:ascii="Calibri" w:hAnsi="Calibri" w:cs="Calibri"/>
          <w:sz w:val="24"/>
        </w:rPr>
        <w:t>: 2764–70.</w:t>
      </w:r>
    </w:p>
    <w:p w14:paraId="024BA1FC"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7</w:t>
      </w:r>
      <w:r w:rsidRPr="000B72FC">
        <w:rPr>
          <w:rFonts w:ascii="Calibri" w:hAnsi="Calibri" w:cs="Calibri"/>
          <w:sz w:val="24"/>
        </w:rPr>
        <w:tab/>
        <w:t>Chatterjee B, Sandhu HS, Dixit NM. The relative strength and timing of innate immune and CD8 T-cell responses underlie the heterogeneous outcomes of SARS-CoV-2 infection. Infectious Diseases (except HIV/AIDS), 2021 DOI:10.1101/2021.06.15.21258935.</w:t>
      </w:r>
    </w:p>
    <w:p w14:paraId="2A91F320"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8</w:t>
      </w:r>
      <w:r w:rsidRPr="000B72FC">
        <w:rPr>
          <w:rFonts w:ascii="Calibri" w:hAnsi="Calibri" w:cs="Calibri"/>
          <w:sz w:val="24"/>
        </w:rPr>
        <w:tab/>
        <w:t xml:space="preserve">Martin MA, Koelle K. Comment on “Genomic epidemiology of superspreading events in Austria reveals mutational dynamics and transmission properties of SARS-CoV-2”. </w:t>
      </w:r>
      <w:r w:rsidRPr="000B72FC">
        <w:rPr>
          <w:rFonts w:ascii="Calibri" w:hAnsi="Calibri" w:cs="Calibri"/>
          <w:i/>
          <w:iCs/>
          <w:sz w:val="24"/>
        </w:rPr>
        <w:t>Sci Transl Med</w:t>
      </w:r>
      <w:r w:rsidRPr="000B72FC">
        <w:rPr>
          <w:rFonts w:ascii="Calibri" w:hAnsi="Calibri" w:cs="Calibri"/>
          <w:sz w:val="24"/>
        </w:rPr>
        <w:t xml:space="preserve"> 2021; </w:t>
      </w:r>
      <w:r w:rsidRPr="000B72FC">
        <w:rPr>
          <w:rFonts w:ascii="Calibri" w:hAnsi="Calibri" w:cs="Calibri"/>
          <w:b/>
          <w:bCs/>
          <w:sz w:val="24"/>
        </w:rPr>
        <w:t>13</w:t>
      </w:r>
      <w:r w:rsidRPr="000B72FC">
        <w:rPr>
          <w:rFonts w:ascii="Calibri" w:hAnsi="Calibri" w:cs="Calibri"/>
          <w:sz w:val="24"/>
        </w:rPr>
        <w:t>: eabh1803.</w:t>
      </w:r>
    </w:p>
    <w:p w14:paraId="3C28DD68"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9</w:t>
      </w:r>
      <w:r w:rsidRPr="000B72FC">
        <w:rPr>
          <w:rFonts w:ascii="Calibri" w:hAnsi="Calibri" w:cs="Calibri"/>
          <w:sz w:val="24"/>
        </w:rPr>
        <w:tab/>
        <w:t xml:space="preserve">Lythgoe KA, Hall M, Ferretti L, </w:t>
      </w:r>
      <w:r w:rsidRPr="000B72FC">
        <w:rPr>
          <w:rFonts w:ascii="Calibri" w:hAnsi="Calibri" w:cs="Calibri"/>
          <w:i/>
          <w:iCs/>
          <w:sz w:val="24"/>
        </w:rPr>
        <w:t>et al.</w:t>
      </w:r>
      <w:r w:rsidRPr="000B72FC">
        <w:rPr>
          <w:rFonts w:ascii="Calibri" w:hAnsi="Calibri" w:cs="Calibri"/>
          <w:sz w:val="24"/>
        </w:rPr>
        <w:t xml:space="preserve"> SARS-CoV-2 within-host diversity and transmission. </w:t>
      </w:r>
      <w:r w:rsidRPr="000B72FC">
        <w:rPr>
          <w:rFonts w:ascii="Calibri" w:hAnsi="Calibri" w:cs="Calibri"/>
          <w:i/>
          <w:iCs/>
          <w:sz w:val="24"/>
        </w:rPr>
        <w:t>Science</w:t>
      </w:r>
      <w:r w:rsidRPr="000B72FC">
        <w:rPr>
          <w:rFonts w:ascii="Calibri" w:hAnsi="Calibri" w:cs="Calibri"/>
          <w:sz w:val="24"/>
        </w:rPr>
        <w:t xml:space="preserve"> 2021; </w:t>
      </w:r>
      <w:r w:rsidRPr="000B72FC">
        <w:rPr>
          <w:rFonts w:ascii="Calibri" w:hAnsi="Calibri" w:cs="Calibri"/>
          <w:b/>
          <w:bCs/>
          <w:sz w:val="24"/>
        </w:rPr>
        <w:t>372</w:t>
      </w:r>
      <w:r w:rsidRPr="000B72FC">
        <w:rPr>
          <w:rFonts w:ascii="Calibri" w:hAnsi="Calibri" w:cs="Calibri"/>
          <w:sz w:val="24"/>
        </w:rPr>
        <w:t>: eabg0821.</w:t>
      </w:r>
    </w:p>
    <w:p w14:paraId="06C2B3E7"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10</w:t>
      </w:r>
      <w:r w:rsidRPr="000B72FC">
        <w:rPr>
          <w:rFonts w:ascii="Calibri" w:hAnsi="Calibri" w:cs="Calibri"/>
          <w:sz w:val="24"/>
        </w:rPr>
        <w:tab/>
        <w:t xml:space="preserve">Braun KM, Moreno GK, Halfmann PJ, </w:t>
      </w:r>
      <w:r w:rsidRPr="000B72FC">
        <w:rPr>
          <w:rFonts w:ascii="Calibri" w:hAnsi="Calibri" w:cs="Calibri"/>
          <w:i/>
          <w:iCs/>
          <w:sz w:val="24"/>
        </w:rPr>
        <w:t>et al.</w:t>
      </w:r>
      <w:r w:rsidRPr="000B72FC">
        <w:rPr>
          <w:rFonts w:ascii="Calibri" w:hAnsi="Calibri" w:cs="Calibri"/>
          <w:sz w:val="24"/>
        </w:rPr>
        <w:t xml:space="preserve"> Transmission of SARS-CoV-2 in domestic cats imposes a narrow bottleneck. </w:t>
      </w:r>
      <w:r w:rsidRPr="000B72FC">
        <w:rPr>
          <w:rFonts w:ascii="Calibri" w:hAnsi="Calibri" w:cs="Calibri"/>
          <w:i/>
          <w:iCs/>
          <w:sz w:val="24"/>
        </w:rPr>
        <w:t>PLoS Pathog</w:t>
      </w:r>
      <w:r w:rsidRPr="000B72FC">
        <w:rPr>
          <w:rFonts w:ascii="Calibri" w:hAnsi="Calibri" w:cs="Calibri"/>
          <w:sz w:val="24"/>
        </w:rPr>
        <w:t xml:space="preserve"> 2021; </w:t>
      </w:r>
      <w:r w:rsidRPr="000B72FC">
        <w:rPr>
          <w:rFonts w:ascii="Calibri" w:hAnsi="Calibri" w:cs="Calibri"/>
          <w:b/>
          <w:bCs/>
          <w:sz w:val="24"/>
        </w:rPr>
        <w:t>17</w:t>
      </w:r>
      <w:r w:rsidRPr="000B72FC">
        <w:rPr>
          <w:rFonts w:ascii="Calibri" w:hAnsi="Calibri" w:cs="Calibri"/>
          <w:sz w:val="24"/>
        </w:rPr>
        <w:t>: e1009373.</w:t>
      </w:r>
    </w:p>
    <w:p w14:paraId="767C6594"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11</w:t>
      </w:r>
      <w:r w:rsidRPr="000B72FC">
        <w:rPr>
          <w:rFonts w:ascii="Calibri" w:hAnsi="Calibri" w:cs="Calibri"/>
          <w:sz w:val="24"/>
        </w:rPr>
        <w:tab/>
        <w:t xml:space="preserve">Braun K, Moreno G, Wagner C, </w:t>
      </w:r>
      <w:r w:rsidRPr="000B72FC">
        <w:rPr>
          <w:rFonts w:ascii="Calibri" w:hAnsi="Calibri" w:cs="Calibri"/>
          <w:i/>
          <w:iCs/>
          <w:sz w:val="24"/>
        </w:rPr>
        <w:t>et al.</w:t>
      </w:r>
      <w:r w:rsidRPr="000B72FC">
        <w:rPr>
          <w:rFonts w:ascii="Calibri" w:hAnsi="Calibri" w:cs="Calibri"/>
          <w:sz w:val="24"/>
        </w:rPr>
        <w:t xml:space="preserve"> Limited within-host diversity and tight transmission bottlenecks limit SARS-CoV-2 evolution in acutely infected individuals. Evolutionary Biology, 2021 DOI:10.1101/2021.04.30.440988.</w:t>
      </w:r>
    </w:p>
    <w:p w14:paraId="1D51D59B"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12</w:t>
      </w:r>
      <w:r w:rsidRPr="000B72FC">
        <w:rPr>
          <w:rFonts w:ascii="Calibri" w:hAnsi="Calibri" w:cs="Calibri"/>
          <w:sz w:val="24"/>
        </w:rPr>
        <w:tab/>
        <w:t xml:space="preserve">Ganti K, Ferreri LM, Lee C-Y, </w:t>
      </w:r>
      <w:r w:rsidRPr="000B72FC">
        <w:rPr>
          <w:rFonts w:ascii="Calibri" w:hAnsi="Calibri" w:cs="Calibri"/>
          <w:i/>
          <w:iCs/>
          <w:sz w:val="24"/>
        </w:rPr>
        <w:t>et al.</w:t>
      </w:r>
      <w:r w:rsidRPr="000B72FC">
        <w:rPr>
          <w:rFonts w:ascii="Calibri" w:hAnsi="Calibri" w:cs="Calibri"/>
          <w:sz w:val="24"/>
        </w:rPr>
        <w:t xml:space="preserve"> Timing of exposure is critical in a highly sensitive model of SARS-CoV-2 transmission. </w:t>
      </w:r>
      <w:r w:rsidRPr="000B72FC">
        <w:rPr>
          <w:rFonts w:ascii="Calibri" w:hAnsi="Calibri" w:cs="Calibri"/>
          <w:i/>
          <w:iCs/>
          <w:sz w:val="24"/>
        </w:rPr>
        <w:t>PLoS Pathog</w:t>
      </w:r>
      <w:r w:rsidRPr="000B72FC">
        <w:rPr>
          <w:rFonts w:ascii="Calibri" w:hAnsi="Calibri" w:cs="Calibri"/>
          <w:sz w:val="24"/>
        </w:rPr>
        <w:t xml:space="preserve"> 2022; </w:t>
      </w:r>
      <w:r w:rsidRPr="000B72FC">
        <w:rPr>
          <w:rFonts w:ascii="Calibri" w:hAnsi="Calibri" w:cs="Calibri"/>
          <w:b/>
          <w:bCs/>
          <w:sz w:val="24"/>
        </w:rPr>
        <w:t>18</w:t>
      </w:r>
      <w:r w:rsidRPr="000B72FC">
        <w:rPr>
          <w:rFonts w:ascii="Calibri" w:hAnsi="Calibri" w:cs="Calibri"/>
          <w:sz w:val="24"/>
        </w:rPr>
        <w:t>: e1010181.</w:t>
      </w:r>
    </w:p>
    <w:p w14:paraId="677C5214" w14:textId="77777777" w:rsidR="000B72FC" w:rsidRPr="000B72FC" w:rsidRDefault="000B72FC" w:rsidP="000B72FC">
      <w:pPr>
        <w:pStyle w:val="Bibliography"/>
        <w:rPr>
          <w:rFonts w:ascii="Calibri" w:hAnsi="Calibri" w:cs="Calibri"/>
          <w:sz w:val="24"/>
        </w:rPr>
      </w:pPr>
      <w:r w:rsidRPr="000B72FC">
        <w:rPr>
          <w:rFonts w:ascii="Calibri" w:hAnsi="Calibri" w:cs="Calibri"/>
          <w:sz w:val="24"/>
        </w:rPr>
        <w:t>13</w:t>
      </w:r>
      <w:r w:rsidRPr="000B72FC">
        <w:rPr>
          <w:rFonts w:ascii="Calibri" w:hAnsi="Calibri" w:cs="Calibri"/>
          <w:sz w:val="24"/>
        </w:rPr>
        <w:tab/>
        <w:t xml:space="preserve">Dabisch PA, Biryukov J, Beck K, </w:t>
      </w:r>
      <w:r w:rsidRPr="000B72FC">
        <w:rPr>
          <w:rFonts w:ascii="Calibri" w:hAnsi="Calibri" w:cs="Calibri"/>
          <w:i/>
          <w:iCs/>
          <w:sz w:val="24"/>
        </w:rPr>
        <w:t>et al.</w:t>
      </w:r>
      <w:r w:rsidRPr="000B72FC">
        <w:rPr>
          <w:rFonts w:ascii="Calibri" w:hAnsi="Calibri" w:cs="Calibri"/>
          <w:sz w:val="24"/>
        </w:rPr>
        <w:t xml:space="preserve"> Seroconversion and fever are dose-dependent in a nonhuman primate model of inhalational COVID-19. </w:t>
      </w:r>
      <w:r w:rsidRPr="000B72FC">
        <w:rPr>
          <w:rFonts w:ascii="Calibri" w:hAnsi="Calibri" w:cs="Calibri"/>
          <w:i/>
          <w:iCs/>
          <w:sz w:val="24"/>
        </w:rPr>
        <w:t>PLoS Pathog</w:t>
      </w:r>
      <w:r w:rsidRPr="000B72FC">
        <w:rPr>
          <w:rFonts w:ascii="Calibri" w:hAnsi="Calibri" w:cs="Calibri"/>
          <w:sz w:val="24"/>
        </w:rPr>
        <w:t xml:space="preserve"> 2021; </w:t>
      </w:r>
      <w:r w:rsidRPr="000B72FC">
        <w:rPr>
          <w:rFonts w:ascii="Calibri" w:hAnsi="Calibri" w:cs="Calibri"/>
          <w:b/>
          <w:bCs/>
          <w:sz w:val="24"/>
        </w:rPr>
        <w:t>17</w:t>
      </w:r>
      <w:r w:rsidRPr="000B72FC">
        <w:rPr>
          <w:rFonts w:ascii="Calibri" w:hAnsi="Calibri" w:cs="Calibri"/>
          <w:sz w:val="24"/>
        </w:rPr>
        <w:t>: e1009865.</w:t>
      </w:r>
    </w:p>
    <w:p w14:paraId="0254370C" w14:textId="647A40CA" w:rsidR="00C72BBB" w:rsidRPr="00C11B76" w:rsidRDefault="000B72FC" w:rsidP="00971CC3">
      <w:pPr>
        <w:pStyle w:val="ListParagraph"/>
        <w:ind w:left="0"/>
        <w:jc w:val="both"/>
        <w:rPr>
          <w:sz w:val="24"/>
          <w:szCs w:val="24"/>
        </w:rPr>
      </w:pPr>
      <w:r>
        <w:rPr>
          <w:sz w:val="24"/>
          <w:szCs w:val="24"/>
        </w:rPr>
        <w:fldChar w:fldCharType="end"/>
      </w:r>
    </w:p>
    <w:sectPr w:rsidR="00C72BBB" w:rsidRPr="00C11B76" w:rsidSect="0090117E">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201DF" w16cex:dateUtc="2022-06-26T04:51:00Z"/>
  <w16cex:commentExtensible w16cex:durableId="2662032D" w16cex:dateUtc="2022-06-26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8A5DE0" w16cid:durableId="2661FF84"/>
  <w16cid:commentId w16cid:paraId="3E702E68" w16cid:durableId="2661FF85"/>
  <w16cid:commentId w16cid:paraId="50AF6F91" w16cid:durableId="266201DF"/>
  <w16cid:commentId w16cid:paraId="525061A6" w16cid:durableId="2661FF86"/>
  <w16cid:commentId w16cid:paraId="10FB4C56" w16cid:durableId="26620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77E2" w14:textId="77777777" w:rsidR="00740A88" w:rsidRDefault="00740A88" w:rsidP="00CA62C8">
      <w:pPr>
        <w:spacing w:after="0" w:line="240" w:lineRule="auto"/>
      </w:pPr>
      <w:r>
        <w:separator/>
      </w:r>
    </w:p>
  </w:endnote>
  <w:endnote w:type="continuationSeparator" w:id="0">
    <w:p w14:paraId="360EC9C3" w14:textId="77777777" w:rsidR="00740A88" w:rsidRDefault="00740A88" w:rsidP="00C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33A5" w14:textId="77777777" w:rsidR="00740A88" w:rsidRDefault="00740A88" w:rsidP="00CA62C8">
      <w:pPr>
        <w:spacing w:after="0" w:line="240" w:lineRule="auto"/>
      </w:pPr>
      <w:r>
        <w:separator/>
      </w:r>
    </w:p>
  </w:footnote>
  <w:footnote w:type="continuationSeparator" w:id="0">
    <w:p w14:paraId="6C946E1A" w14:textId="77777777" w:rsidR="00740A88" w:rsidRDefault="00740A88" w:rsidP="00CA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DF0"/>
    <w:multiLevelType w:val="hybridMultilevel"/>
    <w:tmpl w:val="2FBA7C18"/>
    <w:lvl w:ilvl="0" w:tplc="B1905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943DE"/>
    <w:multiLevelType w:val="hybridMultilevel"/>
    <w:tmpl w:val="25D6E770"/>
    <w:lvl w:ilvl="0" w:tplc="2B3E34A6">
      <w:start w:val="2"/>
      <w:numFmt w:val="bullet"/>
      <w:lvlText w:val="-"/>
      <w:lvlJc w:val="left"/>
      <w:pPr>
        <w:ind w:left="720" w:hanging="360"/>
      </w:pPr>
      <w:rPr>
        <w:rFonts w:ascii="Arial" w:eastAsia="Times New Roman" w:hAnsi="Arial" w:cs="Arial" w:hint="default"/>
        <w:color w:val="20212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D4D94"/>
    <w:multiLevelType w:val="hybridMultilevel"/>
    <w:tmpl w:val="69461818"/>
    <w:lvl w:ilvl="0" w:tplc="4CD60C9E">
      <w:start w:val="1"/>
      <w:numFmt w:val="bullet"/>
      <w:lvlText w:val=""/>
      <w:lvlJc w:val="left"/>
      <w:pPr>
        <w:ind w:left="720" w:hanging="360"/>
      </w:pPr>
      <w:rPr>
        <w:rFonts w:ascii="Symbol" w:eastAsia="Times New Roman" w:hAnsi="Symbol" w:cs="Calibri" w:hint="default"/>
        <w:color w:val="201F1E"/>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C7C88"/>
    <w:multiLevelType w:val="hybridMultilevel"/>
    <w:tmpl w:val="B47A569C"/>
    <w:lvl w:ilvl="0" w:tplc="A2AC2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02D50"/>
    <w:multiLevelType w:val="hybridMultilevel"/>
    <w:tmpl w:val="7A544362"/>
    <w:lvl w:ilvl="0" w:tplc="BE7083D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4764B6"/>
    <w:multiLevelType w:val="hybridMultilevel"/>
    <w:tmpl w:val="38F43BC4"/>
    <w:lvl w:ilvl="0" w:tplc="BAC22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14F90"/>
    <w:multiLevelType w:val="hybridMultilevel"/>
    <w:tmpl w:val="EB142294"/>
    <w:lvl w:ilvl="0" w:tplc="B1323D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96D66"/>
    <w:multiLevelType w:val="hybridMultilevel"/>
    <w:tmpl w:val="F314FC4E"/>
    <w:lvl w:ilvl="0" w:tplc="7470770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1D03B8"/>
    <w:multiLevelType w:val="hybridMultilevel"/>
    <w:tmpl w:val="783AC9B2"/>
    <w:lvl w:ilvl="0" w:tplc="62BE9AF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33459F"/>
    <w:multiLevelType w:val="hybridMultilevel"/>
    <w:tmpl w:val="783AC9B2"/>
    <w:lvl w:ilvl="0" w:tplc="62BE9AF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70756E"/>
    <w:multiLevelType w:val="hybridMultilevel"/>
    <w:tmpl w:val="8940016E"/>
    <w:lvl w:ilvl="0" w:tplc="A382405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26946"/>
    <w:multiLevelType w:val="multilevel"/>
    <w:tmpl w:val="E2E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9202F"/>
    <w:multiLevelType w:val="hybridMultilevel"/>
    <w:tmpl w:val="B8C03FEA"/>
    <w:lvl w:ilvl="0" w:tplc="3D52F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8"/>
  </w:num>
  <w:num w:numId="5">
    <w:abstractNumId w:val="12"/>
  </w:num>
  <w:num w:numId="6">
    <w:abstractNumId w:val="10"/>
  </w:num>
  <w:num w:numId="7">
    <w:abstractNumId w:val="2"/>
  </w:num>
  <w:num w:numId="8">
    <w:abstractNumId w:val="7"/>
  </w:num>
  <w:num w:numId="9">
    <w:abstractNumId w:val="1"/>
  </w:num>
  <w:num w:numId="10">
    <w:abstractNumId w:val="6"/>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DA"/>
    <w:rsid w:val="00017BD0"/>
    <w:rsid w:val="00023717"/>
    <w:rsid w:val="000278CF"/>
    <w:rsid w:val="0003253A"/>
    <w:rsid w:val="00042344"/>
    <w:rsid w:val="000463D4"/>
    <w:rsid w:val="00051C0D"/>
    <w:rsid w:val="00062120"/>
    <w:rsid w:val="000621F4"/>
    <w:rsid w:val="00065721"/>
    <w:rsid w:val="000740BD"/>
    <w:rsid w:val="00097873"/>
    <w:rsid w:val="000B72FC"/>
    <w:rsid w:val="000B742D"/>
    <w:rsid w:val="000C1891"/>
    <w:rsid w:val="000C5E2D"/>
    <w:rsid w:val="000C669C"/>
    <w:rsid w:val="000D0E01"/>
    <w:rsid w:val="000D65E1"/>
    <w:rsid w:val="000E3BE3"/>
    <w:rsid w:val="000F7F8C"/>
    <w:rsid w:val="00105667"/>
    <w:rsid w:val="001105FC"/>
    <w:rsid w:val="001222EF"/>
    <w:rsid w:val="001247BB"/>
    <w:rsid w:val="00133144"/>
    <w:rsid w:val="00134B05"/>
    <w:rsid w:val="00145BBE"/>
    <w:rsid w:val="00150F0C"/>
    <w:rsid w:val="00152A72"/>
    <w:rsid w:val="00166C85"/>
    <w:rsid w:val="00166FFF"/>
    <w:rsid w:val="00167CA7"/>
    <w:rsid w:val="00167F54"/>
    <w:rsid w:val="00167F94"/>
    <w:rsid w:val="00174797"/>
    <w:rsid w:val="00175B56"/>
    <w:rsid w:val="00195EC1"/>
    <w:rsid w:val="001A2DE4"/>
    <w:rsid w:val="001A5CB4"/>
    <w:rsid w:val="001B0E91"/>
    <w:rsid w:val="001B2F9B"/>
    <w:rsid w:val="001C4D5C"/>
    <w:rsid w:val="001E0DFF"/>
    <w:rsid w:val="001E2379"/>
    <w:rsid w:val="001F5085"/>
    <w:rsid w:val="001F58BD"/>
    <w:rsid w:val="002075F1"/>
    <w:rsid w:val="00217AE4"/>
    <w:rsid w:val="002214AF"/>
    <w:rsid w:val="00224E39"/>
    <w:rsid w:val="0025209C"/>
    <w:rsid w:val="00282908"/>
    <w:rsid w:val="002863BB"/>
    <w:rsid w:val="0029050C"/>
    <w:rsid w:val="002A444A"/>
    <w:rsid w:val="002E584F"/>
    <w:rsid w:val="002E593F"/>
    <w:rsid w:val="002E5DE9"/>
    <w:rsid w:val="002E7834"/>
    <w:rsid w:val="003078E3"/>
    <w:rsid w:val="00310608"/>
    <w:rsid w:val="003118BA"/>
    <w:rsid w:val="00323653"/>
    <w:rsid w:val="00344322"/>
    <w:rsid w:val="0034610A"/>
    <w:rsid w:val="00354A2D"/>
    <w:rsid w:val="00357642"/>
    <w:rsid w:val="003673C0"/>
    <w:rsid w:val="003726A4"/>
    <w:rsid w:val="003812FB"/>
    <w:rsid w:val="00391DDD"/>
    <w:rsid w:val="003A29D2"/>
    <w:rsid w:val="003A7AF9"/>
    <w:rsid w:val="003B411C"/>
    <w:rsid w:val="003B4EF7"/>
    <w:rsid w:val="003C3657"/>
    <w:rsid w:val="003D41AA"/>
    <w:rsid w:val="003D5288"/>
    <w:rsid w:val="003D738A"/>
    <w:rsid w:val="003E09DC"/>
    <w:rsid w:val="00401E67"/>
    <w:rsid w:val="004125A4"/>
    <w:rsid w:val="004139DA"/>
    <w:rsid w:val="00417461"/>
    <w:rsid w:val="00431226"/>
    <w:rsid w:val="00442A42"/>
    <w:rsid w:val="0044499B"/>
    <w:rsid w:val="0045161C"/>
    <w:rsid w:val="004545C6"/>
    <w:rsid w:val="00456CB8"/>
    <w:rsid w:val="00460E0E"/>
    <w:rsid w:val="00480A7B"/>
    <w:rsid w:val="004867C1"/>
    <w:rsid w:val="004944ED"/>
    <w:rsid w:val="004B1279"/>
    <w:rsid w:val="004E1EE3"/>
    <w:rsid w:val="004F08F8"/>
    <w:rsid w:val="004F36C2"/>
    <w:rsid w:val="004F40F4"/>
    <w:rsid w:val="00505CD1"/>
    <w:rsid w:val="005101AF"/>
    <w:rsid w:val="0054162C"/>
    <w:rsid w:val="00552B92"/>
    <w:rsid w:val="0057156A"/>
    <w:rsid w:val="00571F57"/>
    <w:rsid w:val="00572829"/>
    <w:rsid w:val="00576B34"/>
    <w:rsid w:val="00580C0B"/>
    <w:rsid w:val="00584B85"/>
    <w:rsid w:val="00592CF9"/>
    <w:rsid w:val="005A0E33"/>
    <w:rsid w:val="005C0B60"/>
    <w:rsid w:val="005C3616"/>
    <w:rsid w:val="005C4BFA"/>
    <w:rsid w:val="005E1001"/>
    <w:rsid w:val="005F0697"/>
    <w:rsid w:val="005F1079"/>
    <w:rsid w:val="005F1BC8"/>
    <w:rsid w:val="005F380B"/>
    <w:rsid w:val="00604012"/>
    <w:rsid w:val="006257DA"/>
    <w:rsid w:val="00632C43"/>
    <w:rsid w:val="00640CED"/>
    <w:rsid w:val="00645A81"/>
    <w:rsid w:val="0064654B"/>
    <w:rsid w:val="006466C0"/>
    <w:rsid w:val="00652F21"/>
    <w:rsid w:val="00655467"/>
    <w:rsid w:val="0065751B"/>
    <w:rsid w:val="00671607"/>
    <w:rsid w:val="00680C0B"/>
    <w:rsid w:val="00684143"/>
    <w:rsid w:val="00687BEB"/>
    <w:rsid w:val="00693EDD"/>
    <w:rsid w:val="00696DDE"/>
    <w:rsid w:val="006A0175"/>
    <w:rsid w:val="006A186B"/>
    <w:rsid w:val="006A2F8E"/>
    <w:rsid w:val="006A377F"/>
    <w:rsid w:val="006B12B3"/>
    <w:rsid w:val="006C0D01"/>
    <w:rsid w:val="006C31E8"/>
    <w:rsid w:val="006D6377"/>
    <w:rsid w:val="006D6EDF"/>
    <w:rsid w:val="006E0435"/>
    <w:rsid w:val="006E66E4"/>
    <w:rsid w:val="006F701F"/>
    <w:rsid w:val="0070745A"/>
    <w:rsid w:val="00707F92"/>
    <w:rsid w:val="007201F2"/>
    <w:rsid w:val="00723A6D"/>
    <w:rsid w:val="00723B9F"/>
    <w:rsid w:val="00731D9A"/>
    <w:rsid w:val="00740A88"/>
    <w:rsid w:val="00770CED"/>
    <w:rsid w:val="00782F7C"/>
    <w:rsid w:val="00795A42"/>
    <w:rsid w:val="007A02C7"/>
    <w:rsid w:val="007A25F7"/>
    <w:rsid w:val="007A66D6"/>
    <w:rsid w:val="007C3838"/>
    <w:rsid w:val="007D2D7F"/>
    <w:rsid w:val="007E00C2"/>
    <w:rsid w:val="007E0B0E"/>
    <w:rsid w:val="007E3611"/>
    <w:rsid w:val="007E598E"/>
    <w:rsid w:val="007F2844"/>
    <w:rsid w:val="008025D0"/>
    <w:rsid w:val="00802A23"/>
    <w:rsid w:val="00824CAB"/>
    <w:rsid w:val="008331FB"/>
    <w:rsid w:val="008358B8"/>
    <w:rsid w:val="00837158"/>
    <w:rsid w:val="008449A6"/>
    <w:rsid w:val="0085446F"/>
    <w:rsid w:val="00860E06"/>
    <w:rsid w:val="0086637C"/>
    <w:rsid w:val="008666C7"/>
    <w:rsid w:val="00867CBF"/>
    <w:rsid w:val="0087422E"/>
    <w:rsid w:val="00874568"/>
    <w:rsid w:val="00880326"/>
    <w:rsid w:val="00881807"/>
    <w:rsid w:val="008C10C7"/>
    <w:rsid w:val="008C3237"/>
    <w:rsid w:val="008F3A55"/>
    <w:rsid w:val="0090117E"/>
    <w:rsid w:val="009071D9"/>
    <w:rsid w:val="00921A83"/>
    <w:rsid w:val="00933B91"/>
    <w:rsid w:val="00936E3C"/>
    <w:rsid w:val="00950A37"/>
    <w:rsid w:val="00952793"/>
    <w:rsid w:val="0095432B"/>
    <w:rsid w:val="00971CC3"/>
    <w:rsid w:val="00977740"/>
    <w:rsid w:val="00984F55"/>
    <w:rsid w:val="00985BFE"/>
    <w:rsid w:val="0099476E"/>
    <w:rsid w:val="0099797D"/>
    <w:rsid w:val="009C2C36"/>
    <w:rsid w:val="009C3499"/>
    <w:rsid w:val="009C66C5"/>
    <w:rsid w:val="009E2ADD"/>
    <w:rsid w:val="009F3222"/>
    <w:rsid w:val="00A10A84"/>
    <w:rsid w:val="00A14E59"/>
    <w:rsid w:val="00A2531F"/>
    <w:rsid w:val="00A27063"/>
    <w:rsid w:val="00A40125"/>
    <w:rsid w:val="00A478E1"/>
    <w:rsid w:val="00A5537B"/>
    <w:rsid w:val="00A67E32"/>
    <w:rsid w:val="00A90483"/>
    <w:rsid w:val="00A91500"/>
    <w:rsid w:val="00A94EB3"/>
    <w:rsid w:val="00AA1AB6"/>
    <w:rsid w:val="00AB1499"/>
    <w:rsid w:val="00AD4A55"/>
    <w:rsid w:val="00AE0DF0"/>
    <w:rsid w:val="00AE286A"/>
    <w:rsid w:val="00AE4384"/>
    <w:rsid w:val="00AF4920"/>
    <w:rsid w:val="00B137C0"/>
    <w:rsid w:val="00B21831"/>
    <w:rsid w:val="00B27217"/>
    <w:rsid w:val="00B277C4"/>
    <w:rsid w:val="00B314A5"/>
    <w:rsid w:val="00B317D8"/>
    <w:rsid w:val="00B33518"/>
    <w:rsid w:val="00B42CED"/>
    <w:rsid w:val="00B50573"/>
    <w:rsid w:val="00B703B3"/>
    <w:rsid w:val="00B705FD"/>
    <w:rsid w:val="00B70E4F"/>
    <w:rsid w:val="00B91382"/>
    <w:rsid w:val="00B91525"/>
    <w:rsid w:val="00B93FB6"/>
    <w:rsid w:val="00B94849"/>
    <w:rsid w:val="00BB47A1"/>
    <w:rsid w:val="00BB4EEA"/>
    <w:rsid w:val="00BB536C"/>
    <w:rsid w:val="00BC433B"/>
    <w:rsid w:val="00BE41C2"/>
    <w:rsid w:val="00C001C6"/>
    <w:rsid w:val="00C11B76"/>
    <w:rsid w:val="00C356B1"/>
    <w:rsid w:val="00C36469"/>
    <w:rsid w:val="00C43463"/>
    <w:rsid w:val="00C50188"/>
    <w:rsid w:val="00C57476"/>
    <w:rsid w:val="00C643E4"/>
    <w:rsid w:val="00C6471D"/>
    <w:rsid w:val="00C661C5"/>
    <w:rsid w:val="00C70B9E"/>
    <w:rsid w:val="00C72BBB"/>
    <w:rsid w:val="00C80DD1"/>
    <w:rsid w:val="00CA62C8"/>
    <w:rsid w:val="00CB025F"/>
    <w:rsid w:val="00CB3A99"/>
    <w:rsid w:val="00CC4492"/>
    <w:rsid w:val="00CE0C4D"/>
    <w:rsid w:val="00CE70FE"/>
    <w:rsid w:val="00CE7477"/>
    <w:rsid w:val="00CF2543"/>
    <w:rsid w:val="00CF51A3"/>
    <w:rsid w:val="00CF7605"/>
    <w:rsid w:val="00D11B85"/>
    <w:rsid w:val="00D27785"/>
    <w:rsid w:val="00D30FB4"/>
    <w:rsid w:val="00D3306C"/>
    <w:rsid w:val="00D36913"/>
    <w:rsid w:val="00D54A27"/>
    <w:rsid w:val="00D550F5"/>
    <w:rsid w:val="00D61602"/>
    <w:rsid w:val="00D71DAC"/>
    <w:rsid w:val="00D7771C"/>
    <w:rsid w:val="00D81FA8"/>
    <w:rsid w:val="00D83DAD"/>
    <w:rsid w:val="00D85C3E"/>
    <w:rsid w:val="00D86352"/>
    <w:rsid w:val="00D92FB2"/>
    <w:rsid w:val="00D963BA"/>
    <w:rsid w:val="00DB00C2"/>
    <w:rsid w:val="00DC1A70"/>
    <w:rsid w:val="00DC2C30"/>
    <w:rsid w:val="00DD57AA"/>
    <w:rsid w:val="00DE174E"/>
    <w:rsid w:val="00DE20D1"/>
    <w:rsid w:val="00E04E7F"/>
    <w:rsid w:val="00E425FA"/>
    <w:rsid w:val="00E45910"/>
    <w:rsid w:val="00E46CDA"/>
    <w:rsid w:val="00E5751F"/>
    <w:rsid w:val="00E670D4"/>
    <w:rsid w:val="00E71AE3"/>
    <w:rsid w:val="00E72608"/>
    <w:rsid w:val="00E753CD"/>
    <w:rsid w:val="00E82C6E"/>
    <w:rsid w:val="00E85B1A"/>
    <w:rsid w:val="00E87E2F"/>
    <w:rsid w:val="00EA2C62"/>
    <w:rsid w:val="00EB6BF1"/>
    <w:rsid w:val="00EB74CC"/>
    <w:rsid w:val="00EC2C17"/>
    <w:rsid w:val="00EC3658"/>
    <w:rsid w:val="00EC6690"/>
    <w:rsid w:val="00EC6A8C"/>
    <w:rsid w:val="00EF6EB4"/>
    <w:rsid w:val="00F0481E"/>
    <w:rsid w:val="00F04EF2"/>
    <w:rsid w:val="00F072F2"/>
    <w:rsid w:val="00F127CB"/>
    <w:rsid w:val="00F1367A"/>
    <w:rsid w:val="00F20F8D"/>
    <w:rsid w:val="00F21D68"/>
    <w:rsid w:val="00F51728"/>
    <w:rsid w:val="00F53850"/>
    <w:rsid w:val="00F62808"/>
    <w:rsid w:val="00F648CB"/>
    <w:rsid w:val="00F675CE"/>
    <w:rsid w:val="00F72A02"/>
    <w:rsid w:val="00F966E5"/>
    <w:rsid w:val="00F96E1E"/>
    <w:rsid w:val="00FA0465"/>
    <w:rsid w:val="00FA2539"/>
    <w:rsid w:val="00FB4670"/>
    <w:rsid w:val="00FB7A60"/>
    <w:rsid w:val="00FC03B6"/>
    <w:rsid w:val="00FC4E62"/>
    <w:rsid w:val="00FC70BE"/>
    <w:rsid w:val="00FE04BD"/>
    <w:rsid w:val="00FF43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87FB"/>
  <w15:chartTrackingRefBased/>
  <w15:docId w15:val="{AC9C2A13-E51D-4FC6-BBD9-E31666BC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0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7F28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8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6F"/>
    <w:pPr>
      <w:ind w:left="720"/>
      <w:contextualSpacing/>
    </w:pPr>
  </w:style>
  <w:style w:type="character" w:styleId="Hyperlink">
    <w:name w:val="Hyperlink"/>
    <w:basedOn w:val="DefaultParagraphFont"/>
    <w:uiPriority w:val="99"/>
    <w:unhideWhenUsed/>
    <w:rsid w:val="00FC03B6"/>
    <w:rPr>
      <w:color w:val="0000FF"/>
      <w:u w:val="single"/>
    </w:rPr>
  </w:style>
  <w:style w:type="character" w:customStyle="1" w:styleId="Heading1Char">
    <w:name w:val="Heading 1 Char"/>
    <w:basedOn w:val="DefaultParagraphFont"/>
    <w:link w:val="Heading1"/>
    <w:uiPriority w:val="9"/>
    <w:rsid w:val="00FC03B6"/>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semiHidden/>
    <w:unhideWhenUsed/>
    <w:rsid w:val="00FC03B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8666C7"/>
    <w:rPr>
      <w:sz w:val="16"/>
      <w:szCs w:val="16"/>
    </w:rPr>
  </w:style>
  <w:style w:type="paragraph" w:styleId="CommentText">
    <w:name w:val="annotation text"/>
    <w:basedOn w:val="Normal"/>
    <w:link w:val="CommentTextChar"/>
    <w:uiPriority w:val="99"/>
    <w:semiHidden/>
    <w:unhideWhenUsed/>
    <w:rsid w:val="008666C7"/>
    <w:pPr>
      <w:spacing w:line="240" w:lineRule="auto"/>
    </w:pPr>
    <w:rPr>
      <w:sz w:val="20"/>
      <w:szCs w:val="20"/>
    </w:rPr>
  </w:style>
  <w:style w:type="character" w:customStyle="1" w:styleId="CommentTextChar">
    <w:name w:val="Comment Text Char"/>
    <w:basedOn w:val="DefaultParagraphFont"/>
    <w:link w:val="CommentText"/>
    <w:uiPriority w:val="99"/>
    <w:semiHidden/>
    <w:rsid w:val="008666C7"/>
    <w:rPr>
      <w:sz w:val="20"/>
      <w:szCs w:val="20"/>
    </w:rPr>
  </w:style>
  <w:style w:type="paragraph" w:styleId="CommentSubject">
    <w:name w:val="annotation subject"/>
    <w:basedOn w:val="CommentText"/>
    <w:next w:val="CommentText"/>
    <w:link w:val="CommentSubjectChar"/>
    <w:uiPriority w:val="99"/>
    <w:semiHidden/>
    <w:unhideWhenUsed/>
    <w:rsid w:val="008666C7"/>
    <w:rPr>
      <w:b/>
      <w:bCs/>
    </w:rPr>
  </w:style>
  <w:style w:type="character" w:customStyle="1" w:styleId="CommentSubjectChar">
    <w:name w:val="Comment Subject Char"/>
    <w:basedOn w:val="CommentTextChar"/>
    <w:link w:val="CommentSubject"/>
    <w:uiPriority w:val="99"/>
    <w:semiHidden/>
    <w:rsid w:val="008666C7"/>
    <w:rPr>
      <w:b/>
      <w:bCs/>
      <w:sz w:val="20"/>
      <w:szCs w:val="20"/>
    </w:rPr>
  </w:style>
  <w:style w:type="paragraph" w:styleId="BalloonText">
    <w:name w:val="Balloon Text"/>
    <w:basedOn w:val="Normal"/>
    <w:link w:val="BalloonTextChar"/>
    <w:uiPriority w:val="99"/>
    <w:semiHidden/>
    <w:unhideWhenUsed/>
    <w:rsid w:val="00DD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AA"/>
    <w:rPr>
      <w:rFonts w:ascii="Segoe UI" w:hAnsi="Segoe UI" w:cs="Segoe UI"/>
      <w:sz w:val="18"/>
      <w:szCs w:val="18"/>
    </w:rPr>
  </w:style>
  <w:style w:type="character" w:styleId="FollowedHyperlink">
    <w:name w:val="FollowedHyperlink"/>
    <w:basedOn w:val="DefaultParagraphFont"/>
    <w:uiPriority w:val="99"/>
    <w:semiHidden/>
    <w:unhideWhenUsed/>
    <w:rsid w:val="003A29D2"/>
    <w:rPr>
      <w:color w:val="954F72" w:themeColor="followedHyperlink"/>
      <w:u w:val="single"/>
    </w:rPr>
  </w:style>
  <w:style w:type="character" w:customStyle="1" w:styleId="Heading2Char">
    <w:name w:val="Heading 2 Char"/>
    <w:basedOn w:val="DefaultParagraphFont"/>
    <w:link w:val="Heading2"/>
    <w:uiPriority w:val="9"/>
    <w:semiHidden/>
    <w:rsid w:val="007F28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F2844"/>
    <w:rPr>
      <w:rFonts w:asciiTheme="majorHAnsi" w:eastAsiaTheme="majorEastAsia" w:hAnsiTheme="majorHAnsi" w:cstheme="majorBidi"/>
      <w:color w:val="1F4D78" w:themeColor="accent1" w:themeShade="7F"/>
      <w:sz w:val="24"/>
      <w:szCs w:val="24"/>
    </w:rPr>
  </w:style>
  <w:style w:type="paragraph" w:customStyle="1" w:styleId="f-body">
    <w:name w:val="f-body"/>
    <w:basedOn w:val="Normal"/>
    <w:rsid w:val="007F28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C8"/>
  </w:style>
  <w:style w:type="paragraph" w:styleId="Footer">
    <w:name w:val="footer"/>
    <w:basedOn w:val="Normal"/>
    <w:link w:val="FooterChar"/>
    <w:uiPriority w:val="99"/>
    <w:unhideWhenUsed/>
    <w:rsid w:val="00CA6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C8"/>
  </w:style>
  <w:style w:type="character" w:styleId="PlaceholderText">
    <w:name w:val="Placeholder Text"/>
    <w:basedOn w:val="DefaultParagraphFont"/>
    <w:uiPriority w:val="99"/>
    <w:semiHidden/>
    <w:rsid w:val="00824CAB"/>
    <w:rPr>
      <w:color w:val="808080"/>
    </w:rPr>
  </w:style>
  <w:style w:type="character" w:styleId="LineNumber">
    <w:name w:val="line number"/>
    <w:basedOn w:val="DefaultParagraphFont"/>
    <w:uiPriority w:val="99"/>
    <w:semiHidden/>
    <w:unhideWhenUsed/>
    <w:rsid w:val="0090117E"/>
  </w:style>
  <w:style w:type="paragraph" w:styleId="Bibliography">
    <w:name w:val="Bibliography"/>
    <w:basedOn w:val="Normal"/>
    <w:next w:val="Normal"/>
    <w:uiPriority w:val="37"/>
    <w:unhideWhenUsed/>
    <w:rsid w:val="000B72FC"/>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3103">
      <w:bodyDiv w:val="1"/>
      <w:marLeft w:val="0"/>
      <w:marRight w:val="0"/>
      <w:marTop w:val="0"/>
      <w:marBottom w:val="0"/>
      <w:divBdr>
        <w:top w:val="none" w:sz="0" w:space="0" w:color="auto"/>
        <w:left w:val="none" w:sz="0" w:space="0" w:color="auto"/>
        <w:bottom w:val="none" w:sz="0" w:space="0" w:color="auto"/>
        <w:right w:val="none" w:sz="0" w:space="0" w:color="auto"/>
      </w:divBdr>
    </w:div>
    <w:div w:id="168443938">
      <w:bodyDiv w:val="1"/>
      <w:marLeft w:val="0"/>
      <w:marRight w:val="0"/>
      <w:marTop w:val="0"/>
      <w:marBottom w:val="0"/>
      <w:divBdr>
        <w:top w:val="none" w:sz="0" w:space="0" w:color="auto"/>
        <w:left w:val="none" w:sz="0" w:space="0" w:color="auto"/>
        <w:bottom w:val="none" w:sz="0" w:space="0" w:color="auto"/>
        <w:right w:val="none" w:sz="0" w:space="0" w:color="auto"/>
      </w:divBdr>
    </w:div>
    <w:div w:id="187137256">
      <w:bodyDiv w:val="1"/>
      <w:marLeft w:val="0"/>
      <w:marRight w:val="0"/>
      <w:marTop w:val="0"/>
      <w:marBottom w:val="0"/>
      <w:divBdr>
        <w:top w:val="none" w:sz="0" w:space="0" w:color="auto"/>
        <w:left w:val="none" w:sz="0" w:space="0" w:color="auto"/>
        <w:bottom w:val="none" w:sz="0" w:space="0" w:color="auto"/>
        <w:right w:val="none" w:sz="0" w:space="0" w:color="auto"/>
      </w:divBdr>
    </w:div>
    <w:div w:id="373434835">
      <w:bodyDiv w:val="1"/>
      <w:marLeft w:val="0"/>
      <w:marRight w:val="0"/>
      <w:marTop w:val="0"/>
      <w:marBottom w:val="0"/>
      <w:divBdr>
        <w:top w:val="none" w:sz="0" w:space="0" w:color="auto"/>
        <w:left w:val="none" w:sz="0" w:space="0" w:color="auto"/>
        <w:bottom w:val="none" w:sz="0" w:space="0" w:color="auto"/>
        <w:right w:val="none" w:sz="0" w:space="0" w:color="auto"/>
      </w:divBdr>
    </w:div>
    <w:div w:id="647824046">
      <w:bodyDiv w:val="1"/>
      <w:marLeft w:val="0"/>
      <w:marRight w:val="0"/>
      <w:marTop w:val="0"/>
      <w:marBottom w:val="0"/>
      <w:divBdr>
        <w:top w:val="none" w:sz="0" w:space="0" w:color="auto"/>
        <w:left w:val="none" w:sz="0" w:space="0" w:color="auto"/>
        <w:bottom w:val="none" w:sz="0" w:space="0" w:color="auto"/>
        <w:right w:val="none" w:sz="0" w:space="0" w:color="auto"/>
      </w:divBdr>
      <w:divsChild>
        <w:div w:id="2134207833">
          <w:marLeft w:val="0"/>
          <w:marRight w:val="0"/>
          <w:marTop w:val="0"/>
          <w:marBottom w:val="0"/>
          <w:divBdr>
            <w:top w:val="none" w:sz="0" w:space="0" w:color="auto"/>
            <w:left w:val="none" w:sz="0" w:space="0" w:color="auto"/>
            <w:bottom w:val="none" w:sz="0" w:space="0" w:color="auto"/>
            <w:right w:val="none" w:sz="0" w:space="0" w:color="auto"/>
          </w:divBdr>
        </w:div>
      </w:divsChild>
    </w:div>
    <w:div w:id="1240168416">
      <w:bodyDiv w:val="1"/>
      <w:marLeft w:val="0"/>
      <w:marRight w:val="0"/>
      <w:marTop w:val="0"/>
      <w:marBottom w:val="0"/>
      <w:divBdr>
        <w:top w:val="none" w:sz="0" w:space="0" w:color="auto"/>
        <w:left w:val="none" w:sz="0" w:space="0" w:color="auto"/>
        <w:bottom w:val="none" w:sz="0" w:space="0" w:color="auto"/>
        <w:right w:val="none" w:sz="0" w:space="0" w:color="auto"/>
      </w:divBdr>
    </w:div>
    <w:div w:id="1503397469">
      <w:bodyDiv w:val="1"/>
      <w:marLeft w:val="0"/>
      <w:marRight w:val="0"/>
      <w:marTop w:val="0"/>
      <w:marBottom w:val="0"/>
      <w:divBdr>
        <w:top w:val="none" w:sz="0" w:space="0" w:color="auto"/>
        <w:left w:val="none" w:sz="0" w:space="0" w:color="auto"/>
        <w:bottom w:val="none" w:sz="0" w:space="0" w:color="auto"/>
        <w:right w:val="none" w:sz="0" w:space="0" w:color="auto"/>
      </w:divBdr>
    </w:div>
    <w:div w:id="1671641099">
      <w:bodyDiv w:val="1"/>
      <w:marLeft w:val="0"/>
      <w:marRight w:val="0"/>
      <w:marTop w:val="0"/>
      <w:marBottom w:val="0"/>
      <w:divBdr>
        <w:top w:val="none" w:sz="0" w:space="0" w:color="auto"/>
        <w:left w:val="none" w:sz="0" w:space="0" w:color="auto"/>
        <w:bottom w:val="none" w:sz="0" w:space="0" w:color="auto"/>
        <w:right w:val="none" w:sz="0" w:space="0" w:color="auto"/>
      </w:divBdr>
    </w:div>
    <w:div w:id="1805150328">
      <w:bodyDiv w:val="1"/>
      <w:marLeft w:val="0"/>
      <w:marRight w:val="0"/>
      <w:marTop w:val="0"/>
      <w:marBottom w:val="0"/>
      <w:divBdr>
        <w:top w:val="none" w:sz="0" w:space="0" w:color="auto"/>
        <w:left w:val="none" w:sz="0" w:space="0" w:color="auto"/>
        <w:bottom w:val="none" w:sz="0" w:space="0" w:color="auto"/>
        <w:right w:val="none" w:sz="0" w:space="0" w:color="auto"/>
      </w:divBdr>
    </w:div>
    <w:div w:id="18455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46B4-2483-4AB1-AB58-E828839D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14</Pages>
  <Words>12893</Words>
  <Characters>73495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Koelle, Katharina V.</dc:creator>
  <cp:keywords/>
  <dc:description/>
  <cp:lastModifiedBy>Koelle, Katharina V.</cp:lastModifiedBy>
  <cp:revision>54</cp:revision>
  <dcterms:created xsi:type="dcterms:W3CDTF">2022-05-04T19:43:00Z</dcterms:created>
  <dcterms:modified xsi:type="dcterms:W3CDTF">2022-06-28T19:49:00Z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id="hoqOXZTm"/&gt;&lt;style id="http://www.zotero.org/styles/the-lancet" hasBibliography="1" bibliographyStyleHasBeenSet="1"/&gt;&lt;prefs&gt;&lt;pref name="fieldType" value="Field"/&gt;&lt;/prefs&gt;&lt;/data&gt;</vt:lpwstr>
  </property>
</Properties>
</file>