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F39B" w14:textId="77777777" w:rsidR="00BD5777" w:rsidRDefault="00BD5777" w:rsidP="00C268D2">
      <w:pPr>
        <w:pStyle w:val="Heading2"/>
        <w:widowControl w:val="0"/>
        <w:spacing w:before="0" w:after="220"/>
        <w:rPr>
          <w:sz w:val="22"/>
          <w:szCs w:val="22"/>
        </w:rPr>
      </w:pPr>
      <w:r>
        <w:rPr>
          <w:b/>
          <w:sz w:val="22"/>
          <w:szCs w:val="22"/>
        </w:rPr>
        <w:t>Supplemental Table 5.</w:t>
      </w:r>
      <w:r>
        <w:t xml:space="preserve"> </w:t>
      </w:r>
      <w:r>
        <w:rPr>
          <w:sz w:val="22"/>
          <w:szCs w:val="22"/>
        </w:rPr>
        <w:t>Lagged analyses testing the association between baseline social support and depression risk assessed in either (a) the second wave only (1-month window) or (b) the second or third wave (2-month window), excluding individuals with elevated depressive symptoms at baseline</w:t>
      </w:r>
    </w:p>
    <w:p w14:paraId="14175BC0" w14:textId="77777777" w:rsidR="00BD5777" w:rsidRDefault="00BD5777" w:rsidP="00BD5777">
      <w:pPr>
        <w:rPr>
          <w:rFonts w:ascii="Arial" w:eastAsia="Arial" w:hAnsi="Arial" w:cs="Arial"/>
          <w:sz w:val="22"/>
          <w:szCs w:val="22"/>
        </w:rPr>
      </w:pPr>
    </w:p>
    <w:tbl>
      <w:tblPr>
        <w:tblW w:w="12960" w:type="dxa"/>
        <w:tblBorders>
          <w:top w:val="nil"/>
          <w:left w:val="nil"/>
          <w:bottom w:val="nil"/>
          <w:right w:val="nil"/>
          <w:insideH w:val="nil"/>
          <w:insideV w:val="nil"/>
        </w:tblBorders>
        <w:tblLayout w:type="fixed"/>
        <w:tblLook w:val="0600" w:firstRow="0" w:lastRow="0" w:firstColumn="0" w:lastColumn="0" w:noHBand="1" w:noVBand="1"/>
      </w:tblPr>
      <w:tblGrid>
        <w:gridCol w:w="6840"/>
        <w:gridCol w:w="1230"/>
        <w:gridCol w:w="1560"/>
        <w:gridCol w:w="1890"/>
        <w:gridCol w:w="1440"/>
      </w:tblGrid>
      <w:tr w:rsidR="00BD5777" w14:paraId="1790B011" w14:textId="77777777" w:rsidTr="000C5FCB">
        <w:trPr>
          <w:trHeight w:val="420"/>
        </w:trPr>
        <w:tc>
          <w:tcPr>
            <w:tcW w:w="6840" w:type="dxa"/>
            <w:tcBorders>
              <w:top w:val="single" w:sz="6" w:space="0" w:color="000000"/>
              <w:left w:val="nil"/>
              <w:bottom w:val="nil"/>
              <w:right w:val="nil"/>
            </w:tcBorders>
            <w:shd w:val="clear" w:color="auto" w:fill="F2F2F2"/>
            <w:tcMar>
              <w:top w:w="0" w:type="dxa"/>
              <w:left w:w="0" w:type="dxa"/>
              <w:bottom w:w="0" w:type="dxa"/>
              <w:right w:w="0" w:type="dxa"/>
            </w:tcMar>
            <w:vAlign w:val="center"/>
          </w:tcPr>
          <w:p w14:paraId="5F279171" w14:textId="77777777" w:rsidR="00BD5777" w:rsidRDefault="00BD5777" w:rsidP="000C5FCB">
            <w:pPr>
              <w:jc w:val="center"/>
              <w:rPr>
                <w:rFonts w:ascii="Arial" w:eastAsia="Arial" w:hAnsi="Arial" w:cs="Arial"/>
                <w:sz w:val="22"/>
                <w:szCs w:val="22"/>
              </w:rPr>
            </w:pPr>
            <w:r>
              <w:rPr>
                <w:rFonts w:ascii="Arial" w:eastAsia="Arial" w:hAnsi="Arial" w:cs="Arial"/>
                <w:b/>
                <w:sz w:val="22"/>
                <w:szCs w:val="22"/>
              </w:rPr>
              <w:t>Outcome</w:t>
            </w:r>
          </w:p>
        </w:tc>
        <w:tc>
          <w:tcPr>
            <w:tcW w:w="1230" w:type="dxa"/>
            <w:tcBorders>
              <w:top w:val="single" w:sz="6" w:space="0" w:color="000000"/>
              <w:left w:val="nil"/>
              <w:bottom w:val="nil"/>
              <w:right w:val="nil"/>
            </w:tcBorders>
            <w:shd w:val="clear" w:color="auto" w:fill="F2F2F2"/>
            <w:tcMar>
              <w:top w:w="0" w:type="dxa"/>
              <w:left w:w="0" w:type="dxa"/>
              <w:bottom w:w="0" w:type="dxa"/>
              <w:right w:w="0" w:type="dxa"/>
            </w:tcMar>
            <w:vAlign w:val="center"/>
          </w:tcPr>
          <w:p w14:paraId="0C037AD7" w14:textId="77777777" w:rsidR="00BD5777" w:rsidRDefault="00BD5777" w:rsidP="000C5FCB">
            <w:pPr>
              <w:jc w:val="center"/>
              <w:rPr>
                <w:rFonts w:ascii="Arial" w:eastAsia="Arial" w:hAnsi="Arial" w:cs="Arial"/>
                <w:b/>
                <w:sz w:val="22"/>
                <w:szCs w:val="22"/>
                <w:vertAlign w:val="subscript"/>
              </w:rPr>
            </w:pPr>
            <w:proofErr w:type="spellStart"/>
            <w:r>
              <w:rPr>
                <w:rFonts w:ascii="Arial" w:eastAsia="Arial" w:hAnsi="Arial" w:cs="Arial"/>
                <w:b/>
                <w:sz w:val="22"/>
                <w:szCs w:val="22"/>
              </w:rPr>
              <w:t>N</w:t>
            </w:r>
            <w:r>
              <w:rPr>
                <w:rFonts w:ascii="Arial" w:eastAsia="Arial" w:hAnsi="Arial" w:cs="Arial"/>
                <w:b/>
                <w:sz w:val="22"/>
                <w:szCs w:val="22"/>
                <w:vertAlign w:val="subscript"/>
              </w:rPr>
              <w:t>respondent</w:t>
            </w:r>
            <w:proofErr w:type="spellEnd"/>
          </w:p>
        </w:tc>
        <w:tc>
          <w:tcPr>
            <w:tcW w:w="1560" w:type="dxa"/>
            <w:tcBorders>
              <w:top w:val="single" w:sz="6" w:space="0" w:color="000000"/>
              <w:left w:val="nil"/>
              <w:bottom w:val="nil"/>
              <w:right w:val="nil"/>
            </w:tcBorders>
            <w:shd w:val="clear" w:color="auto" w:fill="F2F2F2"/>
            <w:tcMar>
              <w:top w:w="0" w:type="dxa"/>
              <w:left w:w="0" w:type="dxa"/>
              <w:bottom w:w="0" w:type="dxa"/>
              <w:right w:w="0" w:type="dxa"/>
            </w:tcMar>
            <w:vAlign w:val="center"/>
          </w:tcPr>
          <w:p w14:paraId="7C8C34F6" w14:textId="77777777" w:rsidR="00BD5777" w:rsidRDefault="00BD5777" w:rsidP="000C5FCB">
            <w:pPr>
              <w:jc w:val="center"/>
              <w:rPr>
                <w:rFonts w:ascii="Arial" w:eastAsia="Arial" w:hAnsi="Arial" w:cs="Arial"/>
                <w:sz w:val="22"/>
                <w:szCs w:val="22"/>
              </w:rPr>
            </w:pPr>
            <w:proofErr w:type="spellStart"/>
            <w:r>
              <w:rPr>
                <w:rFonts w:ascii="Arial" w:eastAsia="Arial" w:hAnsi="Arial" w:cs="Arial"/>
                <w:b/>
                <w:sz w:val="22"/>
                <w:szCs w:val="22"/>
              </w:rPr>
              <w:t>aOR</w:t>
            </w:r>
            <w:proofErr w:type="spellEnd"/>
          </w:p>
        </w:tc>
        <w:tc>
          <w:tcPr>
            <w:tcW w:w="1890" w:type="dxa"/>
            <w:tcBorders>
              <w:top w:val="single" w:sz="6" w:space="0" w:color="000000"/>
              <w:left w:val="nil"/>
              <w:bottom w:val="nil"/>
              <w:right w:val="nil"/>
            </w:tcBorders>
            <w:shd w:val="clear" w:color="auto" w:fill="F2F2F2"/>
            <w:tcMar>
              <w:top w:w="0" w:type="dxa"/>
              <w:left w:w="0" w:type="dxa"/>
              <w:bottom w:w="0" w:type="dxa"/>
              <w:right w:w="0" w:type="dxa"/>
            </w:tcMar>
            <w:vAlign w:val="center"/>
          </w:tcPr>
          <w:p w14:paraId="29D8BDAD" w14:textId="77777777" w:rsidR="00BD5777" w:rsidRDefault="00BD5777" w:rsidP="000C5FCB">
            <w:pPr>
              <w:jc w:val="center"/>
              <w:rPr>
                <w:rFonts w:ascii="Arial" w:eastAsia="Arial" w:hAnsi="Arial" w:cs="Arial"/>
                <w:sz w:val="22"/>
                <w:szCs w:val="22"/>
              </w:rPr>
            </w:pPr>
            <w:r>
              <w:rPr>
                <w:rFonts w:ascii="Arial" w:eastAsia="Arial" w:hAnsi="Arial" w:cs="Arial"/>
                <w:b/>
                <w:sz w:val="22"/>
                <w:szCs w:val="22"/>
              </w:rPr>
              <w:t>95% CI</w:t>
            </w:r>
          </w:p>
        </w:tc>
        <w:tc>
          <w:tcPr>
            <w:tcW w:w="1440" w:type="dxa"/>
            <w:tcBorders>
              <w:top w:val="single" w:sz="6" w:space="0" w:color="000000"/>
              <w:left w:val="nil"/>
              <w:bottom w:val="nil"/>
              <w:right w:val="nil"/>
            </w:tcBorders>
            <w:shd w:val="clear" w:color="auto" w:fill="F2F2F2"/>
            <w:tcMar>
              <w:top w:w="0" w:type="dxa"/>
              <w:left w:w="0" w:type="dxa"/>
              <w:bottom w:w="0" w:type="dxa"/>
              <w:right w:w="0" w:type="dxa"/>
            </w:tcMar>
            <w:vAlign w:val="center"/>
          </w:tcPr>
          <w:p w14:paraId="7AF15682" w14:textId="77777777" w:rsidR="00BD5777" w:rsidRDefault="00BD5777" w:rsidP="000C5FCB">
            <w:pPr>
              <w:jc w:val="center"/>
              <w:rPr>
                <w:rFonts w:ascii="Arial" w:eastAsia="Arial" w:hAnsi="Arial" w:cs="Arial"/>
                <w:sz w:val="22"/>
                <w:szCs w:val="22"/>
              </w:rPr>
            </w:pPr>
            <w:r>
              <w:rPr>
                <w:rFonts w:ascii="Arial" w:eastAsia="Arial" w:hAnsi="Arial" w:cs="Arial"/>
                <w:b/>
                <w:sz w:val="22"/>
                <w:szCs w:val="22"/>
              </w:rPr>
              <w:t>p-value</w:t>
            </w:r>
          </w:p>
        </w:tc>
      </w:tr>
      <w:tr w:rsidR="00BD5777" w14:paraId="056F367F" w14:textId="77777777" w:rsidTr="000C5FCB">
        <w:trPr>
          <w:trHeight w:val="420"/>
        </w:trPr>
        <w:tc>
          <w:tcPr>
            <w:tcW w:w="6840" w:type="dxa"/>
            <w:tcBorders>
              <w:top w:val="nil"/>
              <w:left w:val="nil"/>
              <w:bottom w:val="nil"/>
              <w:right w:val="nil"/>
            </w:tcBorders>
            <w:tcMar>
              <w:top w:w="0" w:type="dxa"/>
              <w:left w:w="0" w:type="dxa"/>
              <w:bottom w:w="0" w:type="dxa"/>
              <w:right w:w="0" w:type="dxa"/>
            </w:tcMar>
            <w:vAlign w:val="center"/>
          </w:tcPr>
          <w:p w14:paraId="24BF32F3"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Depression risk in June (1-month window)</w:t>
            </w:r>
          </w:p>
        </w:tc>
        <w:tc>
          <w:tcPr>
            <w:tcW w:w="1230" w:type="dxa"/>
            <w:tcBorders>
              <w:top w:val="nil"/>
              <w:left w:val="nil"/>
              <w:bottom w:val="nil"/>
              <w:right w:val="nil"/>
            </w:tcBorders>
            <w:tcMar>
              <w:top w:w="0" w:type="dxa"/>
              <w:left w:w="0" w:type="dxa"/>
              <w:bottom w:w="0" w:type="dxa"/>
              <w:right w:w="0" w:type="dxa"/>
            </w:tcMar>
            <w:vAlign w:val="center"/>
          </w:tcPr>
          <w:p w14:paraId="561265A6"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18,396</w:t>
            </w:r>
          </w:p>
        </w:tc>
        <w:tc>
          <w:tcPr>
            <w:tcW w:w="1560" w:type="dxa"/>
            <w:tcBorders>
              <w:top w:val="nil"/>
              <w:left w:val="nil"/>
              <w:bottom w:val="nil"/>
              <w:right w:val="nil"/>
            </w:tcBorders>
            <w:tcMar>
              <w:top w:w="0" w:type="dxa"/>
              <w:left w:w="0" w:type="dxa"/>
              <w:bottom w:w="0" w:type="dxa"/>
              <w:right w:w="0" w:type="dxa"/>
            </w:tcMar>
            <w:vAlign w:val="center"/>
          </w:tcPr>
          <w:p w14:paraId="1AD27530"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0.665</w:t>
            </w:r>
          </w:p>
        </w:tc>
        <w:tc>
          <w:tcPr>
            <w:tcW w:w="1890" w:type="dxa"/>
            <w:tcBorders>
              <w:top w:val="nil"/>
              <w:left w:val="nil"/>
              <w:bottom w:val="nil"/>
              <w:right w:val="nil"/>
            </w:tcBorders>
            <w:tcMar>
              <w:top w:w="0" w:type="dxa"/>
              <w:left w:w="0" w:type="dxa"/>
              <w:bottom w:w="0" w:type="dxa"/>
              <w:right w:w="0" w:type="dxa"/>
            </w:tcMar>
            <w:vAlign w:val="center"/>
          </w:tcPr>
          <w:p w14:paraId="16E66AC9"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[0.625, 0.709]</w:t>
            </w:r>
          </w:p>
        </w:tc>
        <w:tc>
          <w:tcPr>
            <w:tcW w:w="1440" w:type="dxa"/>
            <w:tcBorders>
              <w:top w:val="nil"/>
              <w:left w:val="nil"/>
              <w:bottom w:val="nil"/>
              <w:right w:val="nil"/>
            </w:tcBorders>
            <w:tcMar>
              <w:top w:w="0" w:type="dxa"/>
              <w:left w:w="0" w:type="dxa"/>
              <w:bottom w:w="0" w:type="dxa"/>
              <w:right w:w="0" w:type="dxa"/>
            </w:tcMar>
            <w:vAlign w:val="center"/>
          </w:tcPr>
          <w:p w14:paraId="209B6B47"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&lt;2.0E-16</w:t>
            </w:r>
          </w:p>
        </w:tc>
      </w:tr>
      <w:tr w:rsidR="00BD5777" w14:paraId="2EDEA573" w14:textId="77777777" w:rsidTr="000C5FCB">
        <w:trPr>
          <w:trHeight w:val="420"/>
        </w:trPr>
        <w:tc>
          <w:tcPr>
            <w:tcW w:w="6840" w:type="dxa"/>
            <w:tcBorders>
              <w:top w:val="nil"/>
              <w:left w:val="nil"/>
              <w:bottom w:val="single" w:sz="6" w:space="0" w:color="000000"/>
              <w:right w:val="nil"/>
            </w:tcBorders>
            <w:tcMar>
              <w:top w:w="0" w:type="dxa"/>
              <w:left w:w="0" w:type="dxa"/>
              <w:bottom w:w="0" w:type="dxa"/>
              <w:right w:w="0" w:type="dxa"/>
            </w:tcMar>
            <w:vAlign w:val="center"/>
          </w:tcPr>
          <w:p w14:paraId="168A665A"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Depression risk in June or July (2-month window)</w:t>
            </w:r>
          </w:p>
        </w:tc>
        <w:tc>
          <w:tcPr>
            <w:tcW w:w="1230" w:type="dxa"/>
            <w:tcBorders>
              <w:top w:val="nil"/>
              <w:left w:val="nil"/>
              <w:bottom w:val="single" w:sz="6" w:space="0" w:color="000000"/>
              <w:right w:val="nil"/>
            </w:tcBorders>
            <w:tcMar>
              <w:top w:w="0" w:type="dxa"/>
              <w:left w:w="0" w:type="dxa"/>
              <w:bottom w:w="0" w:type="dxa"/>
              <w:right w:w="0" w:type="dxa"/>
            </w:tcMar>
            <w:vAlign w:val="center"/>
          </w:tcPr>
          <w:p w14:paraId="568557B8"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24,333</w:t>
            </w:r>
          </w:p>
        </w:tc>
        <w:tc>
          <w:tcPr>
            <w:tcW w:w="1560" w:type="dxa"/>
            <w:tcBorders>
              <w:top w:val="nil"/>
              <w:left w:val="nil"/>
              <w:bottom w:val="single" w:sz="6" w:space="0" w:color="000000"/>
              <w:right w:val="nil"/>
            </w:tcBorders>
            <w:tcMar>
              <w:top w:w="0" w:type="dxa"/>
              <w:left w:w="0" w:type="dxa"/>
              <w:bottom w:w="0" w:type="dxa"/>
              <w:right w:w="0" w:type="dxa"/>
            </w:tcMar>
            <w:vAlign w:val="center"/>
          </w:tcPr>
          <w:p w14:paraId="5483238E"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0.683</w:t>
            </w:r>
          </w:p>
        </w:tc>
        <w:tc>
          <w:tcPr>
            <w:tcW w:w="1890" w:type="dxa"/>
            <w:tcBorders>
              <w:top w:val="nil"/>
              <w:left w:val="nil"/>
              <w:bottom w:val="single" w:sz="6" w:space="0" w:color="000000"/>
              <w:right w:val="nil"/>
            </w:tcBorders>
            <w:tcMar>
              <w:top w:w="0" w:type="dxa"/>
              <w:left w:w="0" w:type="dxa"/>
              <w:bottom w:w="0" w:type="dxa"/>
              <w:right w:w="0" w:type="dxa"/>
            </w:tcMar>
            <w:vAlign w:val="center"/>
          </w:tcPr>
          <w:p w14:paraId="45F7E623"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[0.651, 0.716]</w:t>
            </w:r>
          </w:p>
        </w:tc>
        <w:tc>
          <w:tcPr>
            <w:tcW w:w="1440" w:type="dxa"/>
            <w:tcBorders>
              <w:top w:val="nil"/>
              <w:left w:val="nil"/>
              <w:bottom w:val="single" w:sz="6" w:space="0" w:color="000000"/>
              <w:right w:val="nil"/>
            </w:tcBorders>
            <w:tcMar>
              <w:top w:w="0" w:type="dxa"/>
              <w:left w:w="0" w:type="dxa"/>
              <w:bottom w:w="0" w:type="dxa"/>
              <w:right w:w="0" w:type="dxa"/>
            </w:tcMar>
            <w:vAlign w:val="center"/>
          </w:tcPr>
          <w:p w14:paraId="5244A79A" w14:textId="77777777" w:rsidR="00BD5777" w:rsidRDefault="00BD5777" w:rsidP="000C5FCB">
            <w:pPr>
              <w:jc w:val="center"/>
              <w:rPr>
                <w:rFonts w:ascii="Arial" w:eastAsia="Arial" w:hAnsi="Arial" w:cs="Arial"/>
                <w:sz w:val="22"/>
                <w:szCs w:val="22"/>
              </w:rPr>
            </w:pPr>
            <w:r>
              <w:rPr>
                <w:rFonts w:ascii="Arial" w:eastAsia="Arial" w:hAnsi="Arial" w:cs="Arial"/>
                <w:sz w:val="22"/>
                <w:szCs w:val="22"/>
              </w:rPr>
              <w:t>&lt;2.0E-16</w:t>
            </w:r>
          </w:p>
        </w:tc>
      </w:tr>
    </w:tbl>
    <w:p w14:paraId="2E7DF2D6" w14:textId="77777777" w:rsidR="00BD5777" w:rsidRDefault="00BD5777" w:rsidP="00BD5777">
      <w:pPr>
        <w:rPr>
          <w:rFonts w:ascii="Arial" w:eastAsia="Arial" w:hAnsi="Arial" w:cs="Arial"/>
          <w:sz w:val="22"/>
          <w:szCs w:val="22"/>
        </w:rPr>
      </w:pPr>
    </w:p>
    <w:p w14:paraId="30D9CF37" w14:textId="77777777" w:rsidR="00BD5777" w:rsidRDefault="00BD5777" w:rsidP="00BD5777">
      <w:pPr>
        <w:spacing w:after="240"/>
        <w:rPr>
          <w:rFonts w:ascii="Arial" w:eastAsia="Arial" w:hAnsi="Arial" w:cs="Arial"/>
          <w:sz w:val="22"/>
          <w:szCs w:val="22"/>
        </w:rPr>
      </w:pPr>
      <w:r>
        <w:rPr>
          <w:rFonts w:ascii="Arial" w:eastAsia="Arial" w:hAnsi="Arial" w:cs="Arial"/>
          <w:sz w:val="22"/>
          <w:szCs w:val="22"/>
        </w:rPr>
        <w:t>Note: All models were adjusted for sex assigned at birth, self-reported race, ethnicity, current age, marital/partnership status, homeownership, employment status, educational attainment, health insurance status, experience of COVID symptom(s) (measured in May of 2020), and diagnosis of mood disorder(s) within one year prior to the COVID-19 pandemic.</w:t>
      </w:r>
    </w:p>
    <w:p w14:paraId="40E76057" w14:textId="77777777" w:rsidR="009F2BF7" w:rsidRDefault="009F2BF7"/>
    <w:sectPr w:rsidR="009F2BF7" w:rsidSect="00BD5777">
      <w:pgSz w:w="15840" w:h="12240" w:orient="landscape"/>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defaultTabStop w:val="720"/>
  <w:evenAndOddHeaders/>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77"/>
    <w:rsid w:val="00551D82"/>
    <w:rsid w:val="009F2BF7"/>
    <w:rsid w:val="00BD5777"/>
    <w:rsid w:val="00C26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14EEEC5"/>
  <w15:chartTrackingRefBased/>
  <w15:docId w15:val="{C30FBA01-8C59-1B46-86CC-BE4F6C8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77"/>
    <w:rPr>
      <w:rFonts w:ascii="Times New Roman" w:eastAsia="Times New Roman" w:hAnsi="Times New Roman" w:cs="Times New Roman"/>
      <w:lang w:eastAsia="en-US"/>
    </w:rPr>
  </w:style>
  <w:style w:type="paragraph" w:styleId="Heading2">
    <w:name w:val="heading 2"/>
    <w:basedOn w:val="Normal"/>
    <w:next w:val="Normal"/>
    <w:link w:val="Heading2Char"/>
    <w:uiPriority w:val="9"/>
    <w:unhideWhenUsed/>
    <w:qFormat/>
    <w:rsid w:val="00BD5777"/>
    <w:pPr>
      <w:keepNext/>
      <w:keepLines/>
      <w:spacing w:before="360" w:after="120" w:line="276" w:lineRule="auto"/>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777"/>
    <w:rPr>
      <w:rFonts w:ascii="Arial" w:eastAsia="Arial" w:hAnsi="Arial" w:cs="Arial"/>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2</cp:revision>
  <dcterms:created xsi:type="dcterms:W3CDTF">2022-05-13T20:29:00Z</dcterms:created>
  <dcterms:modified xsi:type="dcterms:W3CDTF">2022-05-13T20:29:00Z</dcterms:modified>
</cp:coreProperties>
</file>