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4B03" w14:textId="77777777" w:rsidR="00970B12" w:rsidRDefault="00970B12" w:rsidP="00970B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Extended Data Figures</w:t>
      </w:r>
    </w:p>
    <w:p w14:paraId="2F2C6750" w14:textId="77777777" w:rsidR="00F03830" w:rsidRDefault="00F03830" w:rsidP="00F03830">
      <w:pPr>
        <w:rPr>
          <w:rFonts w:ascii="Times New Roman" w:eastAsia="Times New Roman" w:hAnsi="Times New Roman" w:cs="Times New Roman"/>
          <w:sz w:val="24"/>
          <w:szCs w:val="24"/>
        </w:rPr>
      </w:pPr>
    </w:p>
    <w:p w14:paraId="55842B1F" w14:textId="77777777" w:rsidR="00F03830" w:rsidRDefault="00F03830" w:rsidP="00F0383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0B83A68" wp14:editId="66A59EFD">
            <wp:extent cx="5943600" cy="2781300"/>
            <wp:effectExtent l="0" t="0" r="0" b="0"/>
            <wp:docPr id="3" name="image6.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6.png" descr="Timeline&#10;&#10;Description automatically generated"/>
                    <pic:cNvPicPr preferRelativeResize="0"/>
                  </pic:nvPicPr>
                  <pic:blipFill>
                    <a:blip r:embed="rId4"/>
                    <a:srcRect/>
                    <a:stretch>
                      <a:fillRect/>
                    </a:stretch>
                  </pic:blipFill>
                  <pic:spPr>
                    <a:xfrm>
                      <a:off x="0" y="0"/>
                      <a:ext cx="5943600" cy="2781300"/>
                    </a:xfrm>
                    <a:prstGeom prst="rect">
                      <a:avLst/>
                    </a:prstGeom>
                    <a:ln/>
                  </pic:spPr>
                </pic:pic>
              </a:graphicData>
            </a:graphic>
          </wp:inline>
        </w:drawing>
      </w:r>
    </w:p>
    <w:p w14:paraId="4A7733E8" w14:textId="77777777" w:rsidR="00F03830" w:rsidRDefault="00F03830" w:rsidP="00F0383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Extended Data Fig 1:</w:t>
      </w:r>
      <w:r>
        <w:rPr>
          <w:rFonts w:ascii="Times New Roman" w:eastAsia="Times New Roman" w:hAnsi="Times New Roman" w:cs="Times New Roman"/>
          <w:sz w:val="24"/>
          <w:szCs w:val="24"/>
        </w:rPr>
        <w:t xml:space="preserve"> Whole genome mutations present in BA.4 and BA.5 lineages. Differences in BA.4 and BA.5 are highlighted with a rectangle. The synonymous mutations in nsp8 is indicated in red.</w:t>
      </w:r>
    </w:p>
    <w:p w14:paraId="5A0F177B" w14:textId="77777777" w:rsidR="00F03830" w:rsidRDefault="00F03830" w:rsidP="00F0383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004BF79" w14:textId="77777777" w:rsidR="00F03830" w:rsidRDefault="00F03830" w:rsidP="00F03830">
      <w:pPr>
        <w:spacing w:after="160" w:line="259" w:lineRule="auto"/>
        <w:jc w:val="both"/>
        <w:rPr>
          <w:rFonts w:ascii="Times New Roman" w:eastAsia="Times New Roman" w:hAnsi="Times New Roman" w:cs="Times New Roman"/>
          <w:sz w:val="24"/>
          <w:szCs w:val="24"/>
          <w:highlight w:val="white"/>
        </w:rPr>
      </w:pPr>
      <w:r>
        <w:rPr>
          <w:rFonts w:ascii="Calibri" w:eastAsia="Calibri" w:hAnsi="Calibri" w:cs="Calibri"/>
          <w:noProof/>
          <w:highlight w:val="white"/>
        </w:rPr>
        <w:drawing>
          <wp:inline distT="114300" distB="114300" distL="114300" distR="114300" wp14:anchorId="7AD14FCF" wp14:editId="4AEFBAB9">
            <wp:extent cx="5943600" cy="2209800"/>
            <wp:effectExtent l="0" t="0" r="0" b="0"/>
            <wp:docPr id="1" name="image1.png" descr="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Chart, scatter chart&#10;&#10;Description automatically generated"/>
                    <pic:cNvPicPr preferRelativeResize="0"/>
                  </pic:nvPicPr>
                  <pic:blipFill>
                    <a:blip r:embed="rId5"/>
                    <a:srcRect/>
                    <a:stretch>
                      <a:fillRect/>
                    </a:stretch>
                  </pic:blipFill>
                  <pic:spPr>
                    <a:xfrm>
                      <a:off x="0" y="0"/>
                      <a:ext cx="5943600" cy="2209800"/>
                    </a:xfrm>
                    <a:prstGeom prst="rect">
                      <a:avLst/>
                    </a:prstGeom>
                    <a:ln/>
                  </pic:spPr>
                </pic:pic>
              </a:graphicData>
            </a:graphic>
          </wp:inline>
        </w:drawing>
      </w:r>
    </w:p>
    <w:p w14:paraId="21324D1D" w14:textId="77777777" w:rsidR="00F03830" w:rsidRDefault="00F03830" w:rsidP="00F0383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Extended Data Fig. 2:</w:t>
      </w:r>
      <w:r>
        <w:rPr>
          <w:rFonts w:ascii="Times New Roman" w:eastAsia="Times New Roman" w:hAnsi="Times New Roman" w:cs="Times New Roman"/>
          <w:sz w:val="24"/>
          <w:szCs w:val="24"/>
          <w:highlight w:val="white"/>
        </w:rPr>
        <w:t xml:space="preserve"> Patterns of natural selection between January 2020 and January 2022 at codon sites differentiating BA.4 and BA.5 from BA.2. All SARS-CoV-2 sequences deposited in GISAID were analyzed with each time-point representing an analysis of all sequences sampled during the preceding three months. Red dots indicate evidence at positive selection and blue spots indicate evidence of negative selection.  The sizes of the dots indicate degrees of statistical support for selection signals. Only sequences deposited in GISAID prior to the discovery of BA.4 and BA.5 are considered here.  </w:t>
      </w:r>
    </w:p>
    <w:p w14:paraId="21C5284E" w14:textId="77777777" w:rsidR="00F03830" w:rsidRDefault="00F03830" w:rsidP="00F03830">
      <w:pPr>
        <w:jc w:val="both"/>
        <w:rPr>
          <w:rFonts w:ascii="Times New Roman" w:eastAsia="Times New Roman" w:hAnsi="Times New Roman" w:cs="Times New Roman"/>
          <w:sz w:val="24"/>
          <w:szCs w:val="24"/>
          <w:highlight w:val="white"/>
        </w:rPr>
      </w:pPr>
    </w:p>
    <w:p w14:paraId="23A7F8DA" w14:textId="77777777" w:rsidR="00F03830" w:rsidRDefault="00F03830" w:rsidP="00F03830">
      <w:pPr>
        <w:spacing w:line="480" w:lineRule="auto"/>
        <w:ind w:left="880" w:hanging="4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69DB353A" wp14:editId="1995F319">
            <wp:extent cx="5943600" cy="3594100"/>
            <wp:effectExtent l="0" t="0" r="0" b="0"/>
            <wp:docPr id="6" name="image3.png" descr="A picture containing text, writing implement, stationary, pencil&#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3.png" descr="A picture containing text, writing implement, stationary, pencil&#10;&#10;Description automatically generated"/>
                    <pic:cNvPicPr preferRelativeResize="0"/>
                  </pic:nvPicPr>
                  <pic:blipFill>
                    <a:blip r:embed="rId6"/>
                    <a:srcRect/>
                    <a:stretch>
                      <a:fillRect/>
                    </a:stretch>
                  </pic:blipFill>
                  <pic:spPr>
                    <a:xfrm>
                      <a:off x="0" y="0"/>
                      <a:ext cx="5943600" cy="3594100"/>
                    </a:xfrm>
                    <a:prstGeom prst="rect">
                      <a:avLst/>
                    </a:prstGeom>
                    <a:ln/>
                  </pic:spPr>
                </pic:pic>
              </a:graphicData>
            </a:graphic>
          </wp:inline>
        </w:drawing>
      </w:r>
    </w:p>
    <w:p w14:paraId="7E0285BA" w14:textId="77777777" w:rsidR="00F03830" w:rsidRDefault="00F03830" w:rsidP="00F0383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Extended Data Fig. 3: </w:t>
      </w:r>
      <w:r>
        <w:rPr>
          <w:rFonts w:ascii="Times New Roman" w:eastAsia="Times New Roman" w:hAnsi="Times New Roman" w:cs="Times New Roman"/>
          <w:sz w:val="24"/>
          <w:szCs w:val="24"/>
          <w:highlight w:val="white"/>
        </w:rPr>
        <w:t>Progression of the weekly genomic prevalence of various variants and lineages in the nine provinces of South Africa from November 2021 to April 2022.</w:t>
      </w:r>
    </w:p>
    <w:p w14:paraId="41D13C29" w14:textId="77777777" w:rsidR="00F03830" w:rsidRDefault="00F03830" w:rsidP="00F038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2FDDA06" w14:textId="77777777" w:rsidR="00F03830" w:rsidRDefault="00F03830" w:rsidP="00F038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noProof/>
          <w:sz w:val="24"/>
          <w:szCs w:val="24"/>
          <w:highlight w:val="white"/>
        </w:rPr>
        <w:drawing>
          <wp:inline distT="114300" distB="114300" distL="114300" distR="114300" wp14:anchorId="289BD7AE" wp14:editId="7DAE00A1">
            <wp:extent cx="4595813" cy="2982859"/>
            <wp:effectExtent l="0" t="0" r="0" b="0"/>
            <wp:docPr id="5" name="image2.png" descr="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png" descr="Chart, scatter chart&#10;&#10;Description automatically generated"/>
                    <pic:cNvPicPr preferRelativeResize="0"/>
                  </pic:nvPicPr>
                  <pic:blipFill>
                    <a:blip r:embed="rId7"/>
                    <a:srcRect/>
                    <a:stretch>
                      <a:fillRect/>
                    </a:stretch>
                  </pic:blipFill>
                  <pic:spPr>
                    <a:xfrm>
                      <a:off x="0" y="0"/>
                      <a:ext cx="4595813" cy="2982859"/>
                    </a:xfrm>
                    <a:prstGeom prst="rect">
                      <a:avLst/>
                    </a:prstGeom>
                    <a:ln/>
                  </pic:spPr>
                </pic:pic>
              </a:graphicData>
            </a:graphic>
          </wp:inline>
        </w:drawing>
      </w:r>
    </w:p>
    <w:p w14:paraId="2FA1C596" w14:textId="77777777" w:rsidR="00F03830" w:rsidRDefault="00F03830" w:rsidP="00F03830">
      <w:pP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Extended Data Fig. 4: </w:t>
      </w:r>
      <w:r>
        <w:rPr>
          <w:rFonts w:ascii="Times New Roman" w:eastAsia="Times New Roman" w:hAnsi="Times New Roman" w:cs="Times New Roman"/>
          <w:b/>
          <w:sz w:val="24"/>
          <w:szCs w:val="24"/>
        </w:rPr>
        <w:t>Molecular clock signal of the dataset of BA.2, BA.4 and BA.5 lineages used in the Bayesian analysis.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rPr>
        <w:t xml:space="preserve">Root-to-tip regression obtained from </w:t>
      </w:r>
      <w:proofErr w:type="spellStart"/>
      <w:r>
        <w:rPr>
          <w:rFonts w:ascii="Times New Roman" w:eastAsia="Times New Roman" w:hAnsi="Times New Roman" w:cs="Times New Roman"/>
          <w:sz w:val="24"/>
          <w:szCs w:val="24"/>
        </w:rPr>
        <w:t>TempEst</w:t>
      </w:r>
      <w:proofErr w:type="spellEnd"/>
      <w:r>
        <w:rPr>
          <w:rFonts w:ascii="Times New Roman" w:eastAsia="Times New Roman" w:hAnsi="Times New Roman" w:cs="Times New Roman"/>
          <w:sz w:val="24"/>
          <w:szCs w:val="24"/>
        </w:rPr>
        <w:t xml:space="preserve"> analysis for the sampled cluster of BA.2, BA.4 and BA.5, showing a relatively strong clock-like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(correlation coefficient = 0.6, R2 = 0.4) The regression line is shown with error buffers (shaded area) that represent 90% confidence intervals.</w:t>
      </w:r>
    </w:p>
    <w:p w14:paraId="6C25E82D" w14:textId="77777777" w:rsidR="00F03830" w:rsidRDefault="00F03830" w:rsidP="00F038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548FAA4" w14:textId="77777777" w:rsidR="00F03830" w:rsidRDefault="00F03830" w:rsidP="00F03830">
      <w:pPr>
        <w:rPr>
          <w:rFonts w:ascii="Times New Roman" w:eastAsia="Times New Roman" w:hAnsi="Times New Roman" w:cs="Times New Roman"/>
          <w:b/>
          <w:sz w:val="24"/>
          <w:szCs w:val="24"/>
        </w:rPr>
      </w:pPr>
    </w:p>
    <w:p w14:paraId="5BC41575" w14:textId="77777777" w:rsidR="00F03830" w:rsidRDefault="00F03830" w:rsidP="00F0383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p>
    <w:p w14:paraId="0C7805F8" w14:textId="77777777" w:rsidR="00F03830" w:rsidRDefault="00F03830" w:rsidP="00F0383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7389B41D" w14:textId="77777777" w:rsidR="00F03830" w:rsidRDefault="00F03830" w:rsidP="00F0383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04CF9F25" w14:textId="77777777" w:rsidR="00F03830" w:rsidRDefault="00F03830" w:rsidP="00F0383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2C19036B" w14:textId="77777777" w:rsidR="00F03830" w:rsidRDefault="00F03830" w:rsidP="00F03830">
      <w:pP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Extended Data</w:t>
      </w:r>
      <w:r>
        <w:rPr>
          <w:rFonts w:ascii="Times New Roman" w:eastAsia="Times New Roman" w:hAnsi="Times New Roman" w:cs="Times New Roman"/>
          <w:b/>
          <w:sz w:val="24"/>
          <w:szCs w:val="24"/>
        </w:rPr>
        <w:t xml:space="preserve"> Table 1:</w:t>
      </w:r>
      <w:r>
        <w:rPr>
          <w:rFonts w:ascii="Times New Roman" w:eastAsia="Times New Roman" w:hAnsi="Times New Roman" w:cs="Times New Roman"/>
          <w:sz w:val="24"/>
          <w:szCs w:val="24"/>
        </w:rPr>
        <w:t xml:space="preserve"> S-gene target status (</w:t>
      </w:r>
      <w:proofErr w:type="spellStart"/>
      <w:r>
        <w:rPr>
          <w:rFonts w:ascii="Times New Roman" w:eastAsia="Times New Roman" w:hAnsi="Times New Roman" w:cs="Times New Roman"/>
          <w:sz w:val="24"/>
          <w:szCs w:val="24"/>
        </w:rPr>
        <w:t>TaqPath</w:t>
      </w:r>
      <w:proofErr w:type="spellEnd"/>
      <w:r>
        <w:rPr>
          <w:rFonts w:ascii="Times New Roman" w:eastAsia="Times New Roman" w:hAnsi="Times New Roman" w:cs="Times New Roman"/>
          <w:sz w:val="24"/>
          <w:szCs w:val="24"/>
        </w:rPr>
        <w:t>™ COVID-19 qPCR assay) for 198 samples sequenced by KRISP laboratory</w:t>
      </w:r>
    </w:p>
    <w:p w14:paraId="56A4E375" w14:textId="77777777" w:rsidR="00F03830" w:rsidRDefault="00F03830" w:rsidP="00F038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1594"/>
        <w:gridCol w:w="3947"/>
        <w:gridCol w:w="3819"/>
      </w:tblGrid>
      <w:tr w:rsidR="00F03830" w14:paraId="2EA289B2" w14:textId="77777777" w:rsidTr="00C93E7F">
        <w:trPr>
          <w:trHeight w:val="500"/>
        </w:trPr>
        <w:tc>
          <w:tcPr>
            <w:tcW w:w="1594" w:type="dxa"/>
            <w:tcBorders>
              <w:top w:val="nil"/>
              <w:left w:val="nil"/>
              <w:bottom w:val="nil"/>
              <w:right w:val="nil"/>
            </w:tcBorders>
            <w:tcMar>
              <w:top w:w="100" w:type="dxa"/>
              <w:left w:w="100" w:type="dxa"/>
              <w:bottom w:w="100" w:type="dxa"/>
              <w:right w:w="100" w:type="dxa"/>
            </w:tcMar>
            <w:vAlign w:val="bottom"/>
          </w:tcPr>
          <w:p w14:paraId="0EB6D334" w14:textId="77777777" w:rsidR="00F03830" w:rsidRDefault="00F03830" w:rsidP="00C93E7F">
            <w:pPr>
              <w:rPr>
                <w:rFonts w:ascii="Times New Roman" w:eastAsia="Times New Roman" w:hAnsi="Times New Roman" w:cs="Times New Roman"/>
                <w:sz w:val="24"/>
                <w:szCs w:val="24"/>
              </w:rPr>
            </w:pPr>
            <w:r>
              <w:rPr>
                <w:rFonts w:ascii="Times New Roman" w:eastAsia="Times New Roman" w:hAnsi="Times New Roman" w:cs="Times New Roman"/>
                <w:sz w:val="24"/>
                <w:szCs w:val="24"/>
              </w:rPr>
              <w:t>Omicron lineage</w:t>
            </w:r>
          </w:p>
        </w:tc>
        <w:tc>
          <w:tcPr>
            <w:tcW w:w="3946" w:type="dxa"/>
            <w:tcBorders>
              <w:top w:val="nil"/>
              <w:left w:val="nil"/>
              <w:bottom w:val="nil"/>
              <w:right w:val="nil"/>
            </w:tcBorders>
            <w:tcMar>
              <w:top w:w="100" w:type="dxa"/>
              <w:left w:w="100" w:type="dxa"/>
              <w:bottom w:w="100" w:type="dxa"/>
              <w:right w:w="100" w:type="dxa"/>
            </w:tcMar>
            <w:vAlign w:val="bottom"/>
          </w:tcPr>
          <w:p w14:paraId="16D12140"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S-gene target failure</w:t>
            </w:r>
          </w:p>
        </w:tc>
        <w:tc>
          <w:tcPr>
            <w:tcW w:w="3818" w:type="dxa"/>
            <w:tcBorders>
              <w:top w:val="nil"/>
              <w:left w:val="nil"/>
              <w:bottom w:val="nil"/>
              <w:right w:val="nil"/>
            </w:tcBorders>
            <w:tcMar>
              <w:top w:w="100" w:type="dxa"/>
              <w:left w:w="100" w:type="dxa"/>
              <w:bottom w:w="100" w:type="dxa"/>
              <w:right w:w="100" w:type="dxa"/>
            </w:tcMar>
          </w:tcPr>
          <w:p w14:paraId="6FF53FEE"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S-gene target positive</w:t>
            </w:r>
          </w:p>
        </w:tc>
      </w:tr>
      <w:tr w:rsidR="00F03830" w14:paraId="3B956656" w14:textId="77777777" w:rsidTr="00C93E7F">
        <w:trPr>
          <w:trHeight w:val="485"/>
        </w:trPr>
        <w:tc>
          <w:tcPr>
            <w:tcW w:w="1594" w:type="dxa"/>
            <w:tcBorders>
              <w:top w:val="single" w:sz="8" w:space="0" w:color="000000"/>
              <w:left w:val="nil"/>
              <w:bottom w:val="nil"/>
              <w:right w:val="nil"/>
            </w:tcBorders>
            <w:tcMar>
              <w:top w:w="100" w:type="dxa"/>
              <w:left w:w="100" w:type="dxa"/>
              <w:bottom w:w="100" w:type="dxa"/>
              <w:right w:w="100" w:type="dxa"/>
            </w:tcMar>
            <w:vAlign w:val="bottom"/>
          </w:tcPr>
          <w:p w14:paraId="2C892B6F" w14:textId="77777777" w:rsidR="00F03830" w:rsidRDefault="00F03830" w:rsidP="00C93E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BA.1 </w:t>
            </w:r>
          </w:p>
        </w:tc>
        <w:tc>
          <w:tcPr>
            <w:tcW w:w="3946" w:type="dxa"/>
            <w:tcBorders>
              <w:top w:val="single" w:sz="8" w:space="0" w:color="000000"/>
              <w:left w:val="nil"/>
              <w:bottom w:val="nil"/>
              <w:right w:val="nil"/>
            </w:tcBorders>
            <w:tcMar>
              <w:top w:w="100" w:type="dxa"/>
              <w:left w:w="100" w:type="dxa"/>
              <w:bottom w:w="100" w:type="dxa"/>
              <w:right w:w="100" w:type="dxa"/>
            </w:tcMar>
            <w:vAlign w:val="bottom"/>
          </w:tcPr>
          <w:p w14:paraId="25541CE3"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18" w:type="dxa"/>
            <w:tcBorders>
              <w:top w:val="single" w:sz="8" w:space="0" w:color="000000"/>
              <w:left w:val="nil"/>
              <w:bottom w:val="nil"/>
              <w:right w:val="nil"/>
            </w:tcBorders>
            <w:tcMar>
              <w:top w:w="100" w:type="dxa"/>
              <w:left w:w="100" w:type="dxa"/>
              <w:bottom w:w="100" w:type="dxa"/>
              <w:right w:w="100" w:type="dxa"/>
            </w:tcMar>
          </w:tcPr>
          <w:p w14:paraId="26E508F5"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03830" w14:paraId="4AD0D2B7" w14:textId="77777777" w:rsidTr="00C93E7F">
        <w:trPr>
          <w:trHeight w:val="485"/>
        </w:trPr>
        <w:tc>
          <w:tcPr>
            <w:tcW w:w="1594" w:type="dxa"/>
            <w:tcBorders>
              <w:top w:val="nil"/>
              <w:left w:val="nil"/>
              <w:bottom w:val="nil"/>
              <w:right w:val="nil"/>
            </w:tcBorders>
            <w:tcMar>
              <w:top w:w="100" w:type="dxa"/>
              <w:left w:w="100" w:type="dxa"/>
              <w:bottom w:w="100" w:type="dxa"/>
              <w:right w:w="100" w:type="dxa"/>
            </w:tcMar>
            <w:vAlign w:val="bottom"/>
          </w:tcPr>
          <w:p w14:paraId="6D83C815" w14:textId="77777777" w:rsidR="00F03830" w:rsidRDefault="00F03830" w:rsidP="00C93E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BA.2 </w:t>
            </w:r>
          </w:p>
        </w:tc>
        <w:tc>
          <w:tcPr>
            <w:tcW w:w="3946" w:type="dxa"/>
            <w:tcBorders>
              <w:top w:val="nil"/>
              <w:left w:val="nil"/>
              <w:bottom w:val="nil"/>
              <w:right w:val="nil"/>
            </w:tcBorders>
            <w:tcMar>
              <w:top w:w="100" w:type="dxa"/>
              <w:left w:w="100" w:type="dxa"/>
              <w:bottom w:w="100" w:type="dxa"/>
              <w:right w:w="100" w:type="dxa"/>
            </w:tcMar>
            <w:vAlign w:val="bottom"/>
          </w:tcPr>
          <w:p w14:paraId="739FBB79"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18" w:type="dxa"/>
            <w:tcBorders>
              <w:top w:val="nil"/>
              <w:left w:val="nil"/>
              <w:bottom w:val="nil"/>
              <w:right w:val="nil"/>
            </w:tcBorders>
            <w:tcMar>
              <w:top w:w="100" w:type="dxa"/>
              <w:left w:w="100" w:type="dxa"/>
              <w:bottom w:w="100" w:type="dxa"/>
              <w:right w:w="100" w:type="dxa"/>
            </w:tcMar>
          </w:tcPr>
          <w:p w14:paraId="51E7F5E2"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F03830" w14:paraId="45E5A963" w14:textId="77777777" w:rsidTr="00C93E7F">
        <w:trPr>
          <w:trHeight w:val="485"/>
        </w:trPr>
        <w:tc>
          <w:tcPr>
            <w:tcW w:w="1594" w:type="dxa"/>
            <w:tcBorders>
              <w:top w:val="nil"/>
              <w:left w:val="nil"/>
              <w:bottom w:val="nil"/>
              <w:right w:val="nil"/>
            </w:tcBorders>
            <w:tcMar>
              <w:top w:w="100" w:type="dxa"/>
              <w:left w:w="100" w:type="dxa"/>
              <w:bottom w:w="100" w:type="dxa"/>
              <w:right w:w="100" w:type="dxa"/>
            </w:tcMar>
            <w:vAlign w:val="bottom"/>
          </w:tcPr>
          <w:p w14:paraId="48309ABC" w14:textId="77777777" w:rsidR="00F03830" w:rsidRDefault="00F03830" w:rsidP="00C93E7F">
            <w:pPr>
              <w:rPr>
                <w:rFonts w:ascii="Times New Roman" w:eastAsia="Times New Roman" w:hAnsi="Times New Roman" w:cs="Times New Roman"/>
                <w:sz w:val="24"/>
                <w:szCs w:val="24"/>
              </w:rPr>
            </w:pPr>
            <w:r>
              <w:rPr>
                <w:rFonts w:ascii="Times New Roman" w:eastAsia="Times New Roman" w:hAnsi="Times New Roman" w:cs="Times New Roman"/>
                <w:sz w:val="24"/>
                <w:szCs w:val="24"/>
              </w:rPr>
              <w:t>BA.3</w:t>
            </w:r>
          </w:p>
        </w:tc>
        <w:tc>
          <w:tcPr>
            <w:tcW w:w="3946" w:type="dxa"/>
            <w:tcBorders>
              <w:top w:val="nil"/>
              <w:left w:val="nil"/>
              <w:bottom w:val="nil"/>
              <w:right w:val="nil"/>
            </w:tcBorders>
            <w:tcMar>
              <w:top w:w="100" w:type="dxa"/>
              <w:left w:w="100" w:type="dxa"/>
              <w:bottom w:w="100" w:type="dxa"/>
              <w:right w:w="100" w:type="dxa"/>
            </w:tcMar>
            <w:vAlign w:val="bottom"/>
          </w:tcPr>
          <w:p w14:paraId="0BACF97D"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3818" w:type="dxa"/>
            <w:tcBorders>
              <w:top w:val="nil"/>
              <w:left w:val="nil"/>
              <w:bottom w:val="nil"/>
              <w:right w:val="nil"/>
            </w:tcBorders>
            <w:tcMar>
              <w:top w:w="100" w:type="dxa"/>
              <w:left w:w="100" w:type="dxa"/>
              <w:bottom w:w="100" w:type="dxa"/>
              <w:right w:w="100" w:type="dxa"/>
            </w:tcMar>
          </w:tcPr>
          <w:p w14:paraId="05EBE610"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03830" w14:paraId="4EF83671" w14:textId="77777777" w:rsidTr="00C93E7F">
        <w:trPr>
          <w:trHeight w:val="485"/>
        </w:trPr>
        <w:tc>
          <w:tcPr>
            <w:tcW w:w="1594" w:type="dxa"/>
            <w:tcBorders>
              <w:top w:val="nil"/>
              <w:left w:val="nil"/>
              <w:bottom w:val="nil"/>
              <w:right w:val="nil"/>
            </w:tcBorders>
            <w:tcMar>
              <w:top w:w="100" w:type="dxa"/>
              <w:left w:w="100" w:type="dxa"/>
              <w:bottom w:w="100" w:type="dxa"/>
              <w:right w:w="100" w:type="dxa"/>
            </w:tcMar>
            <w:vAlign w:val="bottom"/>
          </w:tcPr>
          <w:p w14:paraId="16A00FF0" w14:textId="77777777" w:rsidR="00F03830" w:rsidRDefault="00F03830" w:rsidP="00C93E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BA.4 </w:t>
            </w:r>
          </w:p>
        </w:tc>
        <w:tc>
          <w:tcPr>
            <w:tcW w:w="3946" w:type="dxa"/>
            <w:tcBorders>
              <w:top w:val="nil"/>
              <w:left w:val="nil"/>
              <w:bottom w:val="nil"/>
              <w:right w:val="nil"/>
            </w:tcBorders>
            <w:tcMar>
              <w:top w:w="100" w:type="dxa"/>
              <w:left w:w="100" w:type="dxa"/>
              <w:bottom w:w="100" w:type="dxa"/>
              <w:right w:w="100" w:type="dxa"/>
            </w:tcMar>
            <w:vAlign w:val="bottom"/>
          </w:tcPr>
          <w:p w14:paraId="15901CEB"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818" w:type="dxa"/>
            <w:tcBorders>
              <w:top w:val="nil"/>
              <w:left w:val="nil"/>
              <w:bottom w:val="nil"/>
              <w:right w:val="nil"/>
            </w:tcBorders>
            <w:tcMar>
              <w:top w:w="100" w:type="dxa"/>
              <w:left w:w="100" w:type="dxa"/>
              <w:bottom w:w="100" w:type="dxa"/>
              <w:right w:w="100" w:type="dxa"/>
            </w:tcMar>
          </w:tcPr>
          <w:p w14:paraId="54B215B9"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03830" w14:paraId="71828C4D" w14:textId="77777777" w:rsidTr="00C93E7F">
        <w:trPr>
          <w:trHeight w:val="500"/>
        </w:trPr>
        <w:tc>
          <w:tcPr>
            <w:tcW w:w="1594" w:type="dxa"/>
            <w:tcBorders>
              <w:top w:val="nil"/>
              <w:left w:val="nil"/>
              <w:bottom w:val="nil"/>
              <w:right w:val="nil"/>
            </w:tcBorders>
            <w:tcMar>
              <w:top w:w="100" w:type="dxa"/>
              <w:left w:w="100" w:type="dxa"/>
              <w:bottom w:w="100" w:type="dxa"/>
              <w:right w:w="100" w:type="dxa"/>
            </w:tcMar>
            <w:vAlign w:val="bottom"/>
          </w:tcPr>
          <w:p w14:paraId="234D7DE5" w14:textId="77777777" w:rsidR="00F03830" w:rsidRDefault="00F03830" w:rsidP="00C93E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BA.5 </w:t>
            </w:r>
          </w:p>
        </w:tc>
        <w:tc>
          <w:tcPr>
            <w:tcW w:w="3946" w:type="dxa"/>
            <w:tcBorders>
              <w:top w:val="nil"/>
              <w:left w:val="nil"/>
              <w:bottom w:val="nil"/>
              <w:right w:val="nil"/>
            </w:tcBorders>
            <w:tcMar>
              <w:top w:w="100" w:type="dxa"/>
              <w:left w:w="100" w:type="dxa"/>
              <w:bottom w:w="100" w:type="dxa"/>
              <w:right w:w="100" w:type="dxa"/>
            </w:tcMar>
            <w:vAlign w:val="bottom"/>
          </w:tcPr>
          <w:p w14:paraId="6EE382CB"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818" w:type="dxa"/>
            <w:tcBorders>
              <w:top w:val="nil"/>
              <w:left w:val="nil"/>
              <w:bottom w:val="nil"/>
              <w:right w:val="nil"/>
            </w:tcBorders>
            <w:tcMar>
              <w:top w:w="100" w:type="dxa"/>
              <w:left w:w="100" w:type="dxa"/>
              <w:bottom w:w="100" w:type="dxa"/>
              <w:right w:w="100" w:type="dxa"/>
            </w:tcMar>
          </w:tcPr>
          <w:p w14:paraId="291DA653"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03830" w14:paraId="78632D48" w14:textId="77777777" w:rsidTr="00C93E7F">
        <w:trPr>
          <w:trHeight w:val="485"/>
        </w:trPr>
        <w:tc>
          <w:tcPr>
            <w:tcW w:w="1594" w:type="dxa"/>
            <w:tcBorders>
              <w:top w:val="single" w:sz="8" w:space="0" w:color="000000"/>
              <w:left w:val="nil"/>
              <w:bottom w:val="nil"/>
              <w:right w:val="nil"/>
            </w:tcBorders>
            <w:tcMar>
              <w:top w:w="100" w:type="dxa"/>
              <w:left w:w="100" w:type="dxa"/>
              <w:bottom w:w="100" w:type="dxa"/>
              <w:right w:w="100" w:type="dxa"/>
            </w:tcMar>
            <w:vAlign w:val="bottom"/>
          </w:tcPr>
          <w:p w14:paraId="384D511F" w14:textId="77777777" w:rsidR="00F03830" w:rsidRDefault="00F03830" w:rsidP="00C93E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3946" w:type="dxa"/>
            <w:tcBorders>
              <w:top w:val="single" w:sz="8" w:space="0" w:color="000000"/>
              <w:left w:val="nil"/>
              <w:bottom w:val="nil"/>
              <w:right w:val="nil"/>
            </w:tcBorders>
            <w:tcMar>
              <w:top w:w="100" w:type="dxa"/>
              <w:left w:w="100" w:type="dxa"/>
              <w:bottom w:w="100" w:type="dxa"/>
              <w:right w:w="100" w:type="dxa"/>
            </w:tcMar>
            <w:vAlign w:val="bottom"/>
          </w:tcPr>
          <w:p w14:paraId="092DE283"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3818" w:type="dxa"/>
            <w:tcBorders>
              <w:top w:val="single" w:sz="8" w:space="0" w:color="000000"/>
              <w:left w:val="nil"/>
              <w:bottom w:val="nil"/>
              <w:right w:val="nil"/>
            </w:tcBorders>
            <w:tcMar>
              <w:top w:w="100" w:type="dxa"/>
              <w:left w:w="100" w:type="dxa"/>
              <w:bottom w:w="100" w:type="dxa"/>
              <w:right w:w="100" w:type="dxa"/>
            </w:tcMar>
          </w:tcPr>
          <w:p w14:paraId="405783AC" w14:textId="77777777" w:rsidR="00F03830" w:rsidRDefault="00F03830" w:rsidP="00C93E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r>
    </w:tbl>
    <w:p w14:paraId="0FCD0E28" w14:textId="77777777" w:rsidR="00F03830" w:rsidRDefault="00F03830" w:rsidP="00F0383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A4D6B1" w14:textId="77777777" w:rsidR="00F03830" w:rsidRDefault="00F03830" w:rsidP="00F03830">
      <w:pPr>
        <w:rPr>
          <w:rFonts w:ascii="Times New Roman" w:eastAsia="Times New Roman" w:hAnsi="Times New Roman" w:cs="Times New Roman"/>
          <w:sz w:val="24"/>
          <w:szCs w:val="24"/>
        </w:rPr>
      </w:pPr>
      <w:r>
        <w:rPr>
          <w:rFonts w:ascii="Times New Roman" w:eastAsia="Times New Roman" w:hAnsi="Times New Roman" w:cs="Times New Roman"/>
          <w:sz w:val="24"/>
          <w:szCs w:val="24"/>
        </w:rPr>
        <w:t>*One BA.2 sequence had the 69/70del, while the other BA.2 sequence had large gaps in coverage of the spike gene region.</w:t>
      </w:r>
    </w:p>
    <w:sectPr w:rsidR="00F038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30"/>
    <w:rsid w:val="008C2CCF"/>
    <w:rsid w:val="00970B12"/>
    <w:rsid w:val="00D82BE7"/>
    <w:rsid w:val="00F03830"/>
    <w:rsid w:val="00F33C9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8913"/>
  <w15:chartTrackingRefBased/>
  <w15:docId w15:val="{79EFAC48-675C-468D-A25D-0EC8C00A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3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271</Words>
  <Characters>1545</Characters>
  <Application>Microsoft Office Word</Application>
  <DocSecurity>0</DocSecurity>
  <Lines>12</Lines>
  <Paragraphs>3</Paragraphs>
  <ScaleCrop>false</ScaleCrop>
  <Company>Stellenbosch University</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Baxter, C, Dr [cbaxter@sun.ac.za]</dc:creator>
  <cp:keywords/>
  <dc:description/>
  <cp:lastModifiedBy>Baxter, C, Dr [cbaxter@sun.ac.za]</cp:lastModifiedBy>
  <cp:revision>2</cp:revision>
  <dcterms:created xsi:type="dcterms:W3CDTF">2022-04-28T08:29:00Z</dcterms:created>
  <dcterms:modified xsi:type="dcterms:W3CDTF">2022-04-28T08:31:00Z</dcterms:modified>
</cp:coreProperties>
</file>