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917DB" w14:textId="77777777" w:rsidR="00DC5016" w:rsidRPr="00C905FE" w:rsidRDefault="00DC5016" w:rsidP="00DC5016">
      <w:pPr>
        <w:pStyle w:val="Caption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05FE">
        <w:rPr>
          <w:rFonts w:asciiTheme="minorHAnsi" w:hAnsiTheme="minorHAnsi" w:cstheme="minorHAnsi"/>
          <w:sz w:val="24"/>
          <w:szCs w:val="24"/>
        </w:rPr>
        <w:t xml:space="preserve">Table </w:t>
      </w:r>
      <w:r w:rsidRPr="00C905FE">
        <w:rPr>
          <w:rFonts w:asciiTheme="minorHAnsi" w:hAnsiTheme="minorHAnsi" w:cstheme="minorHAnsi"/>
          <w:sz w:val="24"/>
          <w:szCs w:val="24"/>
        </w:rPr>
        <w:fldChar w:fldCharType="begin"/>
      </w:r>
      <w:r w:rsidRPr="00C905FE">
        <w:rPr>
          <w:rFonts w:asciiTheme="minorHAnsi" w:hAnsiTheme="minorHAnsi" w:cstheme="minorHAnsi"/>
          <w:sz w:val="24"/>
          <w:szCs w:val="24"/>
        </w:rPr>
        <w:instrText xml:space="preserve"> SEQ Table \* ARABIC </w:instrText>
      </w:r>
      <w:r w:rsidRPr="00C905FE">
        <w:rPr>
          <w:rFonts w:asciiTheme="minorHAnsi" w:hAnsiTheme="minorHAnsi" w:cstheme="minorHAnsi"/>
          <w:sz w:val="24"/>
          <w:szCs w:val="24"/>
        </w:rPr>
        <w:fldChar w:fldCharType="separate"/>
      </w:r>
      <w:r w:rsidRPr="00C905FE">
        <w:rPr>
          <w:rFonts w:asciiTheme="minorHAnsi" w:hAnsiTheme="minorHAnsi" w:cstheme="minorHAnsi"/>
          <w:noProof/>
          <w:sz w:val="24"/>
          <w:szCs w:val="24"/>
        </w:rPr>
        <w:t>1</w:t>
      </w:r>
      <w:r w:rsidRPr="00C905FE">
        <w:rPr>
          <w:rFonts w:asciiTheme="minorHAnsi" w:hAnsiTheme="minorHAnsi" w:cstheme="minorHAnsi"/>
          <w:sz w:val="24"/>
          <w:szCs w:val="24"/>
        </w:rPr>
        <w:fldChar w:fldCharType="end"/>
      </w:r>
      <w:r w:rsidRPr="00C905FE">
        <w:rPr>
          <w:rFonts w:asciiTheme="minorHAnsi" w:hAnsiTheme="minorHAnsi" w:cstheme="minorHAnsi"/>
          <w:sz w:val="24"/>
          <w:szCs w:val="24"/>
        </w:rPr>
        <w:t xml:space="preserve"> </w:t>
      </w:r>
      <w:r w:rsidRPr="00C905FE">
        <w:rPr>
          <w:rFonts w:asciiTheme="minorHAnsi" w:eastAsia="Times New Roman" w:hAnsiTheme="minorHAnsi" w:cstheme="minorHAnsi"/>
          <w:b w:val="0"/>
          <w:bCs/>
          <w:sz w:val="24"/>
          <w:szCs w:val="24"/>
        </w:rPr>
        <w:t>Patient characteristics according to study periods.</w:t>
      </w:r>
      <w:r w:rsidRPr="00C905F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905FE">
        <w:rPr>
          <w:rFonts w:asciiTheme="minorHAnsi" w:hAnsiTheme="minorHAnsi" w:cstheme="minorHAnsi"/>
          <w:b w:val="0"/>
          <w:sz w:val="24"/>
          <w:szCs w:val="24"/>
        </w:rPr>
        <w:t>SD: standard deviation</w:t>
      </w:r>
    </w:p>
    <w:tbl>
      <w:tblPr>
        <w:tblW w:w="13240" w:type="dxa"/>
        <w:tblLook w:val="04A0" w:firstRow="1" w:lastRow="0" w:firstColumn="1" w:lastColumn="0" w:noHBand="0" w:noVBand="1"/>
      </w:tblPr>
      <w:tblGrid>
        <w:gridCol w:w="3820"/>
        <w:gridCol w:w="1075"/>
        <w:gridCol w:w="875"/>
        <w:gridCol w:w="1075"/>
        <w:gridCol w:w="875"/>
        <w:gridCol w:w="1075"/>
        <w:gridCol w:w="875"/>
        <w:gridCol w:w="826"/>
        <w:gridCol w:w="939"/>
        <w:gridCol w:w="1052"/>
        <w:gridCol w:w="882"/>
      </w:tblGrid>
      <w:tr w:rsidR="003248C7" w:rsidRPr="003248C7" w14:paraId="615B5EB9" w14:textId="77777777" w:rsidTr="003248C7">
        <w:trPr>
          <w:trHeight w:val="29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4B6EC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CA6814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2011-2012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7BA48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2013-2014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22F08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2015-2016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2F556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2017-2019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9ABD43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Total</w:t>
            </w:r>
          </w:p>
        </w:tc>
      </w:tr>
      <w:tr w:rsidR="003248C7" w:rsidRPr="003248C7" w14:paraId="45F4279B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094DBF92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Patients with new diagnosis (n)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06BAE7C9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4,786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4B5AAFC8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71167A79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5,060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0665669A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7B1DD21F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5,487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4212E799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6A4BA7A1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7,615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736ABD87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60F5CF6A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22,948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2FA96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</w:tr>
      <w:tr w:rsidR="003248C7" w:rsidRPr="003248C7" w14:paraId="56691D27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42A03A5A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Male (n, % of LC patients)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17EB6EC2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2,278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3E04B6B5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47.60%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55E21A5D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2,422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5E1A4F1B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47.87%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3259992C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2,625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32560913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47.84%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29A6DA72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3,665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01171844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48.13%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6E0A9BCD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10,990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80308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47.89%</w:t>
            </w:r>
          </w:p>
        </w:tc>
      </w:tr>
      <w:tr w:rsidR="003248C7" w:rsidRPr="003248C7" w14:paraId="19C4E283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19903371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Female (n, % of LC patients)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4C123A76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2,508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7259947C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52.40%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71A24E28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2,638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7A9D5122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52.13%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003E8841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2,862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79FDE5AC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52.16%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1C61034E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3,950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50C886F3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51.87%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37EDFA49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11,958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78C79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52.11%</w:t>
            </w:r>
          </w:p>
        </w:tc>
      </w:tr>
      <w:tr w:rsidR="003248C7" w:rsidRPr="003248C7" w14:paraId="44CF3B36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31328C4A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Mean age at diagnosis (y, mean ±SD)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7B3CBE68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60.95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4619F94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±16.17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1033DE17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60.62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0DBCC5B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±16.47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7B3B9B24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60.44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38BBBD59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±16.57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155BD02F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60.93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7E4E4E2C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±16.34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1D19E98B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  60.75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14135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±16.39</w:t>
            </w:r>
          </w:p>
        </w:tc>
      </w:tr>
      <w:tr w:rsidR="003248C7" w:rsidRPr="003248C7" w14:paraId="1B9298BA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5D1F5FDB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Male (y, mean ±SD)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17AD3B37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62.18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BC55A9C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±15.38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0D320444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62.14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52DA6644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±15.69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1F921612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63.09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42658270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±15.20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4B49CA9E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62.85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center"/>
            <w:hideMark/>
          </w:tcPr>
          <w:p w14:paraId="68EEF79F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±15.46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FFFFF"/>
            <w:noWrap/>
            <w:vAlign w:val="bottom"/>
            <w:hideMark/>
          </w:tcPr>
          <w:p w14:paraId="329E8201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  62.61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F2F2F2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E21C8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±15.44</w:t>
            </w:r>
          </w:p>
        </w:tc>
      </w:tr>
      <w:tr w:rsidR="003248C7" w:rsidRPr="003248C7" w14:paraId="7FC4955A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9CB58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Female (y, mean ±SD)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FADC84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59.83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A7CDC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±16.77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4D3A5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59.22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844F9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±17.04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7ACABE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58.01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09D09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±17.38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53D16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59.14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52E2A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±176.93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8CB71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  59.03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15AC8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±17.04</w:t>
            </w:r>
          </w:p>
        </w:tc>
      </w:tr>
      <w:tr w:rsidR="003248C7" w:rsidRPr="003248C7" w14:paraId="7B4D8F7D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3A290B6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Mean follow-up (month, mean ±SD)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E96690F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B496792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A174771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A1CC08B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C13967F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6816598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D2361F1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1713FB5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0A5BE9E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EB8A0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</w:tr>
      <w:tr w:rsidR="003248C7" w:rsidRPr="003248C7" w14:paraId="658EB542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986A58B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Total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D89BE81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75.24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85E421D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±33.04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31B3810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59.28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6429C5F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±22.93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475CB31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42.11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600F91C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±13.79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E6166A4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16.90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9AB4F49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±10.22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C0D75B7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  44.44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9D149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±30.39 </w:t>
            </w:r>
          </w:p>
        </w:tc>
      </w:tr>
      <w:tr w:rsidR="003248C7" w:rsidRPr="003248C7" w14:paraId="500433F8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ECC99B7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Male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A31DB2B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70.81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5B1EAB8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±35.20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5867679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56.90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27BF3CC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±24.14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844AC0F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40.37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D8971D8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±14.94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CE166BA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16.83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E2EBFC3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±10.26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27FA601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  42.47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07277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±30.10 </w:t>
            </w:r>
          </w:p>
        </w:tc>
      </w:tr>
      <w:tr w:rsidR="003248C7" w:rsidRPr="003248C7" w14:paraId="00549243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4A8AC8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Female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BB04C1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79.27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B241BF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±30.41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9109DD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61.47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43615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±21.54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0B9274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43.71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FE4946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±12.43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DFA2A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16.96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830123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±10.19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F7A6C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  46.25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871D9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±30.53 </w:t>
            </w:r>
          </w:p>
        </w:tc>
      </w:tr>
      <w:tr w:rsidR="003248C7" w:rsidRPr="003248C7" w14:paraId="27824E30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77BD4B4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Age groups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49BD85A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9C7F08E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66434CE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D4A85AB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EF6F239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2B74D59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D1F249B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ECBF68B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1BE2116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84D18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</w:tr>
      <w:tr w:rsidR="003248C7" w:rsidRPr="003248C7" w14:paraId="4466CF09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CFE5151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20-39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3826E03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610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DC33DE8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12.75%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62ADECC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711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5B21911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14.05%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C787CA9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768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5535748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14.00%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948309C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899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17DA724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11.81%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C81DB14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  2,988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E87A6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13.02%</w:t>
            </w:r>
          </w:p>
        </w:tc>
      </w:tr>
      <w:tr w:rsidR="003248C7" w:rsidRPr="003248C7" w14:paraId="1468BA52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7215D0B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40-49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5FB417F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548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30C5816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11.45%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B9C319C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612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22823E8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12.09%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8F66D66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738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0CFAE08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13.45%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A5449CB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1,155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E9F9EE7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15.17%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C9FD990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  3,053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A3464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13.30%</w:t>
            </w:r>
          </w:p>
        </w:tc>
      </w:tr>
      <w:tr w:rsidR="003248C7" w:rsidRPr="003248C7" w14:paraId="50EA099C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0C0950A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50-59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7224B6B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868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9B416D9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18.14%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CDD478A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780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00E68A1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15.42%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3D0A6C1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817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69A11C7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14.89%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FA8ED10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1,074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E9B5C9F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14.10%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93D297C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  3,539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D5F32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15.42%</w:t>
            </w:r>
          </w:p>
        </w:tc>
      </w:tr>
      <w:tr w:rsidR="003248C7" w:rsidRPr="003248C7" w14:paraId="74FCA636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D7F76AB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60-69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DF86585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1,147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D5B92A2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23.97%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D15193B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1,199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D75D81C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23.70%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CF05E52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1,286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C5F59D0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23.44%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1055B4D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1,813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58C718A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23.81%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7EC8970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  5,445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13A0B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23.73%</w:t>
            </w:r>
          </w:p>
        </w:tc>
      </w:tr>
      <w:tr w:rsidR="003248C7" w:rsidRPr="003248C7" w14:paraId="3ABB93DD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B816D3D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70-79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F488E4F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1,057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D883BAD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22.09%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E66208E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1,159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EFBD715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22.91%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E76FEE4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1,238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61D6EDB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22.56%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232B57B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1,771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E68F511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23.26%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B8E6EA8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  5,225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808F0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22.77%</w:t>
            </w:r>
          </w:p>
        </w:tc>
      </w:tr>
      <w:tr w:rsidR="003248C7" w:rsidRPr="003248C7" w14:paraId="71CB910C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24535D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80≤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9EEB9B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556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C16477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11.62%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37E3D3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599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BF124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11.84%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CEC39A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640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32B666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11.66%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8C3D85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903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108AF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11.86%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56F498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  2,698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24EF3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11.76%</w:t>
            </w:r>
          </w:p>
        </w:tc>
      </w:tr>
      <w:tr w:rsidR="003248C7" w:rsidRPr="003248C7" w14:paraId="5378E3E4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9887238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Regions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292A7BB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F39A585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18FD16E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5625B60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95859BB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D7704F9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A06741C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4A14417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9BE122E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C30CD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</w:tc>
      </w:tr>
      <w:tr w:rsidR="003248C7" w:rsidRPr="003248C7" w14:paraId="42794CA7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FCB7D3D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Central Hungary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C907E14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1,557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E4194D6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32.53%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4F7D232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1,747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247BD21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34.53%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52F6338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1,841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5FE3914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33.55%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4E09705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2,636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70E8418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34.62%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2EE4810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  7,781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F6242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33.91%</w:t>
            </w:r>
          </w:p>
        </w:tc>
      </w:tr>
      <w:tr w:rsidR="003248C7" w:rsidRPr="003248C7" w14:paraId="79541D3B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27E71DE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Northern Hungary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7E32B44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517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0FF8C79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10.80%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6BCBD58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560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1B8CC6F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11.07%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98794A4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695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15E3B01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12.67%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70A96FD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922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C4F4B09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12.11%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8FEA464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  2,694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3738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11.74%</w:t>
            </w:r>
          </w:p>
        </w:tc>
      </w:tr>
      <w:tr w:rsidR="003248C7" w:rsidRPr="003248C7" w14:paraId="53EBC4EF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AF261FC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Northern Great Plain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FA5DCA3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565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90E15C3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11.81%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C658452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563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D923D9E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11.13%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E52ABBE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626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4936D97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11.41%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6E02454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827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FDE88A0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10.86%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72C415C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  2,581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43B17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11.25%</w:t>
            </w:r>
          </w:p>
        </w:tc>
      </w:tr>
      <w:tr w:rsidR="003248C7" w:rsidRPr="003248C7" w14:paraId="59F1C21F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6EEEE07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Southern Great Plain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72E36EA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739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2FDADEF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15.44%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9069E7E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770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DFAF434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15.22%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F776413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759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2473067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13.83%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018B0DE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1,000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E45F921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13.13%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D7367F1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  3,268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75342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14.24%</w:t>
            </w:r>
          </w:p>
        </w:tc>
      </w:tr>
      <w:tr w:rsidR="003248C7" w:rsidRPr="003248C7" w14:paraId="2A463E1F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AB1137A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Central Transdanubia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644FE98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496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FE7EDCC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10.36%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F9AB07A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520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C7144CF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10.28%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069A937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555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08D921A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10.11%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22AB13B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741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ADE10B5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9.73%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433C0C0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  2,312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66D27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10.07%</w:t>
            </w:r>
          </w:p>
        </w:tc>
      </w:tr>
      <w:tr w:rsidR="003248C7" w:rsidRPr="003248C7" w14:paraId="748DDE17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3C9F3A4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Southern Transdanubia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594C640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429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7865FC3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8.96%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914A5DE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425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82BE9F2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8.40%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7BAE0E0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449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751C3DE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8.18%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6D41B53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634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2292CC6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8.33%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0A777CE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  1,937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BE571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8.44%</w:t>
            </w:r>
          </w:p>
        </w:tc>
      </w:tr>
      <w:tr w:rsidR="003248C7" w:rsidRPr="003248C7" w14:paraId="7382BEBD" w14:textId="77777777" w:rsidTr="003248C7">
        <w:trPr>
          <w:trHeight w:val="2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E017C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Western Transdanubia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B9F87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483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83E1B2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10.09%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76654C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475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18E335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9.39%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D156D8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    562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FDA092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10.24%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05BD82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 xml:space="preserve">      855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43EE1B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3248C7">
              <w:rPr>
                <w:rFonts w:ascii="Calibri" w:eastAsia="Times New Roman" w:hAnsi="Calibri" w:cs="Calibri"/>
                <w:sz w:val="22"/>
              </w:rPr>
              <w:t>11.23%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125F66" w14:textId="77777777" w:rsidR="003248C7" w:rsidRPr="003248C7" w:rsidRDefault="003248C7" w:rsidP="0032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     2,375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27A84" w14:textId="77777777" w:rsidR="003248C7" w:rsidRPr="003248C7" w:rsidRDefault="003248C7" w:rsidP="0032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248C7">
              <w:rPr>
                <w:rFonts w:ascii="Calibri" w:eastAsia="Times New Roman" w:hAnsi="Calibri" w:cs="Calibri"/>
                <w:b/>
                <w:bCs/>
                <w:sz w:val="22"/>
              </w:rPr>
              <w:t>10.35%</w:t>
            </w:r>
          </w:p>
        </w:tc>
      </w:tr>
    </w:tbl>
    <w:p w14:paraId="5A6057AA" w14:textId="77777777" w:rsidR="00805677" w:rsidRDefault="00805677"/>
    <w:sectPr w:rsidR="00805677" w:rsidSect="003248C7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4C545" w14:textId="77777777" w:rsidR="00DC5016" w:rsidRDefault="00DC5016" w:rsidP="00DC5016">
      <w:pPr>
        <w:spacing w:after="0" w:line="240" w:lineRule="auto"/>
      </w:pPr>
      <w:r>
        <w:separator/>
      </w:r>
    </w:p>
  </w:endnote>
  <w:endnote w:type="continuationSeparator" w:id="0">
    <w:p w14:paraId="6244ADD6" w14:textId="77777777" w:rsidR="00DC5016" w:rsidRDefault="00DC5016" w:rsidP="00D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FF2CB" w14:textId="77777777" w:rsidR="00DC5016" w:rsidRDefault="00DC5016" w:rsidP="00DC5016">
      <w:pPr>
        <w:spacing w:after="0" w:line="240" w:lineRule="auto"/>
      </w:pPr>
      <w:r>
        <w:separator/>
      </w:r>
    </w:p>
  </w:footnote>
  <w:footnote w:type="continuationSeparator" w:id="0">
    <w:p w14:paraId="2B0C01E2" w14:textId="77777777" w:rsidR="00DC5016" w:rsidRDefault="00DC5016" w:rsidP="00DC5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16"/>
    <w:rsid w:val="003248C7"/>
    <w:rsid w:val="00805677"/>
    <w:rsid w:val="00DC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072B24"/>
  <w15:chartTrackingRefBased/>
  <w15:docId w15:val="{AE99E98B-B02F-42AD-981A-B392064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16"/>
    <w:rPr>
      <w:rFonts w:ascii="Helvetica" w:hAnsi="Helvetic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01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C5016"/>
  </w:style>
  <w:style w:type="paragraph" w:styleId="Footer">
    <w:name w:val="footer"/>
    <w:basedOn w:val="Normal"/>
    <w:link w:val="FooterChar"/>
    <w:uiPriority w:val="99"/>
    <w:unhideWhenUsed/>
    <w:rsid w:val="00DC501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C5016"/>
  </w:style>
  <w:style w:type="paragraph" w:styleId="Caption">
    <w:name w:val="caption"/>
    <w:basedOn w:val="Normal"/>
    <w:next w:val="Normal"/>
    <w:uiPriority w:val="35"/>
    <w:unhideWhenUsed/>
    <w:qFormat/>
    <w:rsid w:val="00DC5016"/>
    <w:pPr>
      <w:keepNext/>
      <w:spacing w:after="0" w:line="240" w:lineRule="auto"/>
    </w:pPr>
    <w:rPr>
      <w:b/>
      <w:i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E957200B-CF98-4B9D-9A42-6AD92EBFCD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Knollmajer, Kata</dc:creator>
  <cp:keywords/>
  <dc:description/>
  <cp:lastModifiedBy>Knollmajer, Kata</cp:lastModifiedBy>
  <cp:revision>2</cp:revision>
  <dcterms:created xsi:type="dcterms:W3CDTF">2022-03-23T10:18:00Z</dcterms:created>
  <dcterms:modified xsi:type="dcterms:W3CDTF">2022-03-23T10:18:00Z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f2fe943f-3800-40ea-b212-81436a6a2821</vt:lpwstr>
  </property>
  <property fmtid="{D5CDD505-2E9C-101B-9397-08002B2CF9AE}" pid="3" name="bjSaver">
    <vt:lpwstr>Ss3XtdfdKcJ6ZzHszs0YWeE0J7Io8ji/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-999617929</vt:i4>
  </property>
  <property fmtid="{D5CDD505-2E9C-101B-9397-08002B2CF9AE}" pid="8" name="_NewReviewCycle">
    <vt:lpwstr/>
  </property>
  <property fmtid="{D5CDD505-2E9C-101B-9397-08002B2CF9AE}" pid="9" name="_EmailSubject">
    <vt:lpwstr>OSTIC submission received, 2022-ms-1333  (Journal Article)</vt:lpwstr>
  </property>
  <property fmtid="{D5CDD505-2E9C-101B-9397-08002B2CF9AE}" pid="10" name="_AuthorEmail">
    <vt:lpwstr>kata.knollmajer@merck.com</vt:lpwstr>
  </property>
  <property fmtid="{D5CDD505-2E9C-101B-9397-08002B2CF9AE}" pid="11" name="_AuthorEmailDisplayName">
    <vt:lpwstr>Knollmajer, Kata</vt:lpwstr>
  </property>
</Properties>
</file>