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26457" w14:textId="5E9C0851" w:rsidR="00EB7659" w:rsidRDefault="00EB7659" w:rsidP="00EB7659">
      <w:pPr>
        <w:spacing w:line="480" w:lineRule="auto"/>
        <w:rPr>
          <w:b/>
          <w:bCs/>
        </w:rPr>
      </w:pPr>
      <w:r>
        <w:rPr>
          <w:b/>
          <w:bCs/>
        </w:rPr>
        <w:t>Supplementary information</w:t>
      </w:r>
    </w:p>
    <w:p w14:paraId="4820557E" w14:textId="77777777" w:rsidR="00EB7659" w:rsidRDefault="00EB7659" w:rsidP="00EB7659">
      <w:pPr>
        <w:spacing w:line="480" w:lineRule="auto"/>
        <w:rPr>
          <w:b/>
          <w:bCs/>
        </w:rPr>
      </w:pPr>
      <w:r w:rsidRPr="00FF267A">
        <w:rPr>
          <w:b/>
          <w:bCs/>
          <w:noProof/>
        </w:rPr>
        <w:drawing>
          <wp:inline distT="0" distB="0" distL="0" distR="0" wp14:anchorId="294D26AE" wp14:editId="67677FA0">
            <wp:extent cx="4924403" cy="4993849"/>
            <wp:effectExtent l="0" t="0" r="381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39" cy="49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7CDE" w14:textId="37ECB25D" w:rsidR="007F7577" w:rsidRPr="00815F04" w:rsidRDefault="00EB7659" w:rsidP="007F7577">
      <w:pPr>
        <w:spacing w:line="480" w:lineRule="auto"/>
        <w:rPr>
          <w:bCs/>
        </w:rPr>
      </w:pPr>
      <w:r>
        <w:rPr>
          <w:b/>
          <w:bCs/>
        </w:rPr>
        <w:t xml:space="preserve">Supplementary Figure </w:t>
      </w:r>
      <w:r w:rsidR="007E1F26">
        <w:rPr>
          <w:b/>
          <w:bCs/>
        </w:rPr>
        <w:t>1</w:t>
      </w:r>
      <w:r>
        <w:rPr>
          <w:b/>
          <w:bCs/>
        </w:rPr>
        <w:t xml:space="preserve"> Calibration Plots.</w:t>
      </w:r>
      <w:r w:rsidR="007F7577">
        <w:rPr>
          <w:b/>
          <w:bCs/>
        </w:rPr>
        <w:t xml:space="preserve"> </w:t>
      </w:r>
      <w:r w:rsidR="007F7577" w:rsidRPr="007F7577">
        <w:t>For each complication,</w:t>
      </w:r>
      <w:r w:rsidR="007F7577">
        <w:rPr>
          <w:b/>
          <w:bCs/>
        </w:rPr>
        <w:t xml:space="preserve"> </w:t>
      </w:r>
      <w:r w:rsidR="007F7577">
        <w:t xml:space="preserve">the model with the best performance using all inputs combined </w:t>
      </w:r>
      <w:proofErr w:type="spellStart"/>
      <w:r w:rsidR="007F7577">
        <w:t>sas</w:t>
      </w:r>
      <w:proofErr w:type="spellEnd"/>
      <w:r w:rsidR="007F7577">
        <w:t xml:space="preserve"> calibrated via the parametric ‘sigmoid’ method and 5-fold cross validation of the</w:t>
      </w:r>
      <w:r w:rsidR="007F7577" w:rsidRPr="00601226">
        <w:t xml:space="preserve"> </w:t>
      </w:r>
      <w:proofErr w:type="spellStart"/>
      <w:r w:rsidR="007F7577" w:rsidRPr="00601226">
        <w:t>CalibratedClassifierC</w:t>
      </w:r>
      <w:r w:rsidR="007F7577">
        <w:t>V</w:t>
      </w:r>
      <w:proofErr w:type="spellEnd"/>
      <w:r w:rsidR="007F7577">
        <w:t xml:space="preserve"> class. </w:t>
      </w:r>
      <w:r w:rsidR="007F7577">
        <w:rPr>
          <w:bCs/>
        </w:rPr>
        <w:t>Each</w:t>
      </w:r>
      <w:r w:rsidR="007F7577" w:rsidRPr="000316D4">
        <w:rPr>
          <w:bCs/>
        </w:rPr>
        <w:t xml:space="preserve"> calibration curve</w:t>
      </w:r>
      <w:r w:rsidR="00657143">
        <w:rPr>
          <w:bCs/>
        </w:rPr>
        <w:t xml:space="preserve"> plots the</w:t>
      </w:r>
      <w:r w:rsidR="007F7577" w:rsidRPr="000316D4">
        <w:rPr>
          <w:bCs/>
        </w:rPr>
        <w:t xml:space="preserve"> observed versus predicted probabilities </w:t>
      </w:r>
      <w:r w:rsidR="007F7577">
        <w:rPr>
          <w:bCs/>
        </w:rPr>
        <w:t xml:space="preserve">for the positive class </w:t>
      </w:r>
      <w:r w:rsidR="007F7577" w:rsidRPr="000316D4">
        <w:rPr>
          <w:bCs/>
        </w:rPr>
        <w:t xml:space="preserve">across </w:t>
      </w:r>
      <w:r w:rsidR="007F7577">
        <w:rPr>
          <w:bCs/>
        </w:rPr>
        <w:t>1</w:t>
      </w:r>
      <w:r w:rsidR="007F7577" w:rsidRPr="000316D4">
        <w:rPr>
          <w:bCs/>
        </w:rPr>
        <w:t>0 evenly partitioned bins</w:t>
      </w:r>
      <w:r w:rsidR="007F7577">
        <w:rPr>
          <w:bCs/>
        </w:rPr>
        <w:t xml:space="preserve">. The brier scores for each plot </w:t>
      </w:r>
      <w:proofErr w:type="gramStart"/>
      <w:r w:rsidR="007F7577">
        <w:rPr>
          <w:bCs/>
        </w:rPr>
        <w:t>was</w:t>
      </w:r>
      <w:proofErr w:type="gramEnd"/>
      <w:r w:rsidR="007F7577">
        <w:rPr>
          <w:bCs/>
        </w:rPr>
        <w:t xml:space="preserve"> calculated usi</w:t>
      </w:r>
      <w:r w:rsidR="00657143">
        <w:rPr>
          <w:bCs/>
        </w:rPr>
        <w:t>ng</w:t>
      </w:r>
      <w:r w:rsidR="007F7577">
        <w:rPr>
          <w:bCs/>
        </w:rPr>
        <w:t xml:space="preserve"> the true class values and the predicted probabilities of the test set.</w:t>
      </w:r>
    </w:p>
    <w:p w14:paraId="4D317922" w14:textId="7E00E072" w:rsidR="00EB7659" w:rsidRDefault="00C33BFA" w:rsidP="00C33BFA">
      <w:pPr>
        <w:rPr>
          <w:b/>
          <w:bCs/>
        </w:rPr>
      </w:pPr>
      <w:r>
        <w:rPr>
          <w:b/>
          <w:bCs/>
        </w:rPr>
        <w:br w:type="page"/>
      </w:r>
    </w:p>
    <w:p w14:paraId="14691D8A" w14:textId="02AF601E" w:rsidR="00EB7659" w:rsidRDefault="00EB7659" w:rsidP="00EB7659">
      <w:pPr>
        <w:spacing w:line="480" w:lineRule="auto"/>
      </w:pPr>
      <w:r w:rsidRPr="00D967CC">
        <w:rPr>
          <w:b/>
          <w:bCs/>
          <w:noProof/>
        </w:rPr>
        <w:lastRenderedPageBreak/>
        <w:drawing>
          <wp:inline distT="0" distB="0" distL="0" distR="0" wp14:anchorId="79A60E8D" wp14:editId="7289260A">
            <wp:extent cx="5943600" cy="5680075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Figure </w:t>
      </w:r>
      <w:r w:rsidR="007E1F26">
        <w:rPr>
          <w:b/>
          <w:bCs/>
        </w:rPr>
        <w:t>2</w:t>
      </w:r>
      <w:r>
        <w:rPr>
          <w:b/>
          <w:bCs/>
        </w:rPr>
        <w:t xml:space="preserve"> Top 25 features </w:t>
      </w:r>
      <w:r w:rsidR="007F7577">
        <w:rPr>
          <w:b/>
          <w:bCs/>
        </w:rPr>
        <w:t xml:space="preserve">for Nephropathy </w:t>
      </w:r>
      <w:r>
        <w:rPr>
          <w:b/>
          <w:bCs/>
        </w:rPr>
        <w:t xml:space="preserve">visualized using SHAP. </w:t>
      </w:r>
      <w:r>
        <w:t xml:space="preserve">Individual patient contributions to the outcome are signified with red dots (high feature values), purple (intermediate), and blue (low). Y-axis represents importance of each feature. Dots with x values greater than and less than zero represent patients with a </w:t>
      </w:r>
      <w:proofErr w:type="gramStart"/>
      <w:r>
        <w:t>fast and slow complication onsets</w:t>
      </w:r>
      <w:proofErr w:type="gramEnd"/>
      <w:r>
        <w:t xml:space="preserve">, respectively. </w:t>
      </w:r>
    </w:p>
    <w:p w14:paraId="1E2A247F" w14:textId="51C6EC16" w:rsidR="00C33BFA" w:rsidRPr="00C33BFA" w:rsidRDefault="00C33BFA" w:rsidP="00C33BFA">
      <w:r>
        <w:br w:type="page"/>
      </w:r>
    </w:p>
    <w:p w14:paraId="1F9F0223" w14:textId="77777777" w:rsidR="00EB7659" w:rsidRDefault="00EB7659" w:rsidP="00EB7659">
      <w:pPr>
        <w:spacing w:line="480" w:lineRule="auto"/>
        <w:rPr>
          <w:b/>
          <w:bCs/>
        </w:rPr>
      </w:pPr>
      <w:r w:rsidRPr="00D967CC">
        <w:rPr>
          <w:b/>
          <w:bCs/>
          <w:noProof/>
        </w:rPr>
        <w:lastRenderedPageBreak/>
        <w:drawing>
          <wp:inline distT="0" distB="0" distL="0" distR="0" wp14:anchorId="1285405A" wp14:editId="1D0273C5">
            <wp:extent cx="5943600" cy="5680075"/>
            <wp:effectExtent l="0" t="0" r="0" b="0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D774" w14:textId="03153903" w:rsidR="00C33BFA" w:rsidRPr="00C33BFA" w:rsidRDefault="00EB7659" w:rsidP="00EB7659">
      <w:pPr>
        <w:spacing w:line="480" w:lineRule="auto"/>
      </w:pPr>
      <w:r>
        <w:rPr>
          <w:b/>
          <w:bCs/>
        </w:rPr>
        <w:t xml:space="preserve">Supplementary Figure </w:t>
      </w:r>
      <w:r w:rsidR="007E1F26">
        <w:rPr>
          <w:b/>
          <w:bCs/>
        </w:rPr>
        <w:t xml:space="preserve">3 </w:t>
      </w:r>
      <w:r>
        <w:rPr>
          <w:b/>
          <w:bCs/>
        </w:rPr>
        <w:t xml:space="preserve">Top 25 features </w:t>
      </w:r>
      <w:r w:rsidR="007F7577">
        <w:rPr>
          <w:b/>
          <w:bCs/>
        </w:rPr>
        <w:t xml:space="preserve">for Neuropathy </w:t>
      </w:r>
      <w:r>
        <w:rPr>
          <w:b/>
          <w:bCs/>
        </w:rPr>
        <w:t>visualized using SHAP.</w:t>
      </w:r>
      <w:r w:rsidRPr="0042711E">
        <w:t xml:space="preserve"> </w:t>
      </w:r>
      <w:r>
        <w:t xml:space="preserve">Individual patient contributions to the outcome are signified with red dots (high feature values), purple (intermediate), and blue (low). Y-axis represents importance of each feature. Dots with x values greater than and less than zero represent patients with a </w:t>
      </w:r>
      <w:proofErr w:type="gramStart"/>
      <w:r>
        <w:t>fast and slow complication onsets</w:t>
      </w:r>
      <w:proofErr w:type="gramEnd"/>
      <w:r>
        <w:t>, respectively.</w:t>
      </w:r>
    </w:p>
    <w:p w14:paraId="5591CF07" w14:textId="77777777" w:rsidR="00EB7659" w:rsidRDefault="00EB7659" w:rsidP="00EB7659">
      <w:pPr>
        <w:spacing w:line="480" w:lineRule="auto"/>
        <w:rPr>
          <w:b/>
          <w:bCs/>
        </w:rPr>
      </w:pPr>
    </w:p>
    <w:p w14:paraId="55C01051" w14:textId="65466401" w:rsidR="00EB7659" w:rsidRDefault="00EB7659" w:rsidP="00EB7659">
      <w:pPr>
        <w:spacing w:line="480" w:lineRule="auto"/>
        <w:rPr>
          <w:b/>
          <w:bCs/>
        </w:rPr>
      </w:pPr>
      <w:r w:rsidRPr="00D967CC">
        <w:rPr>
          <w:b/>
          <w:bCs/>
          <w:noProof/>
        </w:rPr>
        <w:lastRenderedPageBreak/>
        <w:drawing>
          <wp:inline distT="0" distB="0" distL="0" distR="0" wp14:anchorId="02201374" wp14:editId="2396F62D">
            <wp:extent cx="5943600" cy="5680075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Figure </w:t>
      </w:r>
      <w:r w:rsidR="007E1F26">
        <w:rPr>
          <w:b/>
          <w:bCs/>
        </w:rPr>
        <w:t>4</w:t>
      </w:r>
      <w:r>
        <w:rPr>
          <w:b/>
          <w:bCs/>
        </w:rPr>
        <w:t xml:space="preserve"> Top 25 features </w:t>
      </w:r>
      <w:r w:rsidR="007F7577">
        <w:rPr>
          <w:b/>
          <w:bCs/>
        </w:rPr>
        <w:t xml:space="preserve">for Ocular Disease </w:t>
      </w:r>
      <w:r>
        <w:rPr>
          <w:b/>
          <w:bCs/>
        </w:rPr>
        <w:t xml:space="preserve">visualized using SHAP. </w:t>
      </w:r>
      <w:r>
        <w:t xml:space="preserve">Individual patient contributions to the outcome are signified with red dots (high feature values), purple (intermediate), and blue (low). Y-axis represents importance of each feature. Dots with x values greater than and less than zero represent patients with a </w:t>
      </w:r>
      <w:proofErr w:type="gramStart"/>
      <w:r>
        <w:t>fast and slow complication onsets</w:t>
      </w:r>
      <w:proofErr w:type="gramEnd"/>
      <w:r>
        <w:t>, respectively.</w:t>
      </w:r>
    </w:p>
    <w:p w14:paraId="70D6E9DE" w14:textId="7FD6CF66" w:rsidR="00EB7659" w:rsidRPr="00FE4775" w:rsidRDefault="00C33BFA" w:rsidP="00C33BFA">
      <w:pPr>
        <w:rPr>
          <w:b/>
          <w:bCs/>
        </w:rPr>
      </w:pPr>
      <w:r>
        <w:rPr>
          <w:b/>
          <w:bCs/>
        </w:rPr>
        <w:br w:type="page"/>
      </w:r>
    </w:p>
    <w:p w14:paraId="373BC80D" w14:textId="2D0AC222" w:rsidR="00EB7659" w:rsidRDefault="00EB7659" w:rsidP="00EB7659">
      <w:pPr>
        <w:spacing w:line="480" w:lineRule="auto"/>
      </w:pPr>
      <w:r w:rsidRPr="00D967CC">
        <w:rPr>
          <w:b/>
          <w:bCs/>
          <w:noProof/>
        </w:rPr>
        <w:lastRenderedPageBreak/>
        <w:drawing>
          <wp:inline distT="0" distB="0" distL="0" distR="0" wp14:anchorId="716ED631" wp14:editId="441C0F56">
            <wp:extent cx="5943600" cy="5680075"/>
            <wp:effectExtent l="0" t="0" r="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Figure </w:t>
      </w:r>
      <w:r w:rsidR="007E1F26">
        <w:rPr>
          <w:b/>
          <w:bCs/>
        </w:rPr>
        <w:t>5</w:t>
      </w:r>
      <w:r>
        <w:rPr>
          <w:b/>
          <w:bCs/>
        </w:rPr>
        <w:t xml:space="preserve"> Top 25 features </w:t>
      </w:r>
      <w:r w:rsidR="007F7577">
        <w:rPr>
          <w:b/>
          <w:bCs/>
        </w:rPr>
        <w:t xml:space="preserve">for CVD </w:t>
      </w:r>
      <w:r>
        <w:rPr>
          <w:b/>
          <w:bCs/>
        </w:rPr>
        <w:t xml:space="preserve">visualized using SHAP. </w:t>
      </w:r>
      <w:r>
        <w:t xml:space="preserve">Individual patient contributions to the outcome are signified with red dots (high feature values), purple (intermediate), and blue (low). Y-axis represents importance of each feature. Dots with x values greater than and less than zero represent patients with a </w:t>
      </w:r>
      <w:proofErr w:type="gramStart"/>
      <w:r>
        <w:t>fast and slow complication onsets</w:t>
      </w:r>
      <w:proofErr w:type="gramEnd"/>
      <w:r>
        <w:t>, respectively.</w:t>
      </w:r>
    </w:p>
    <w:p w14:paraId="36327880" w14:textId="49459014" w:rsidR="007E1F26" w:rsidRDefault="007E1F26" w:rsidP="00EB7659">
      <w:pPr>
        <w:spacing w:line="480" w:lineRule="auto"/>
      </w:pPr>
    </w:p>
    <w:p w14:paraId="24572F55" w14:textId="3FBF9F14" w:rsidR="007E1F26" w:rsidRDefault="00C33BFA" w:rsidP="00C33BFA">
      <w:r>
        <w:br w:type="page"/>
      </w:r>
    </w:p>
    <w:p w14:paraId="35B8A7A7" w14:textId="77777777" w:rsidR="007E1F26" w:rsidRDefault="007E1F26" w:rsidP="007E1F26">
      <w:pPr>
        <w:spacing w:line="480" w:lineRule="auto"/>
        <w:rPr>
          <w:b/>
          <w:bCs/>
        </w:rPr>
      </w:pPr>
      <w:r w:rsidRPr="004338BB">
        <w:rPr>
          <w:b/>
          <w:bCs/>
          <w:noProof/>
        </w:rPr>
        <w:lastRenderedPageBreak/>
        <w:drawing>
          <wp:inline distT="0" distB="0" distL="0" distR="0" wp14:anchorId="32827F3A" wp14:editId="5357993A">
            <wp:extent cx="6433212" cy="4745811"/>
            <wp:effectExtent l="0" t="0" r="5715" b="4445"/>
            <wp:docPr id="164" name="Picture 4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5B02F7E-37E5-8E45-96D8-DD1A6F7CD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F5B02F7E-37E5-8E45-96D8-DD1A6F7CD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333" t="2277" r="17334" b="51040"/>
                    <a:stretch/>
                  </pic:blipFill>
                  <pic:spPr>
                    <a:xfrm>
                      <a:off x="0" y="0"/>
                      <a:ext cx="6472672" cy="47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92DB" w14:textId="1B7DE08D" w:rsidR="007E1F26" w:rsidRDefault="007E1F26" w:rsidP="007E1F26">
      <w:pPr>
        <w:spacing w:line="480" w:lineRule="auto"/>
      </w:pPr>
      <w:r>
        <w:rPr>
          <w:b/>
          <w:bCs/>
        </w:rPr>
        <w:t>Supplementary Figure 6 Data Pre-processing.</w:t>
      </w:r>
      <w:r w:rsidR="00657143">
        <w:rPr>
          <w:b/>
          <w:bCs/>
        </w:rPr>
        <w:t xml:space="preserve"> </w:t>
      </w:r>
      <w:r w:rsidR="00C33BFA">
        <w:t xml:space="preserve">For vitals, social-lifestyle history, laboratory, and demographics inputs, </w:t>
      </w:r>
      <w:proofErr w:type="spellStart"/>
      <w:r w:rsidR="00C33BFA">
        <w:t>MissForest</w:t>
      </w:r>
      <w:proofErr w:type="spellEnd"/>
      <w:r w:rsidR="00C33BFA">
        <w:t xml:space="preserve"> was used to impute missing values for features with less than 50% missingness. Continuous variables were normalized using Min-Max normalization and</w:t>
      </w:r>
      <w:r w:rsidR="00C33BFA" w:rsidRPr="00C33BFA">
        <w:t xml:space="preserve"> </w:t>
      </w:r>
      <w:r w:rsidR="00C33BFA">
        <w:t xml:space="preserve">categorical variables were one-hot encoded. ICD9/10 codes were converted to phenotypes using the </w:t>
      </w:r>
      <w:proofErr w:type="spellStart"/>
      <w:r w:rsidR="00C33BFA">
        <w:t>PheWas</w:t>
      </w:r>
      <w:proofErr w:type="spellEnd"/>
      <w:r w:rsidR="00C33BFA">
        <w:t xml:space="preserve"> system and counts of phenotypes for each column were binarized.</w:t>
      </w:r>
    </w:p>
    <w:p w14:paraId="07A7D917" w14:textId="2B1C0854" w:rsidR="00C33BFA" w:rsidRPr="00657143" w:rsidRDefault="00C33BFA" w:rsidP="00C33BFA"/>
    <w:p w14:paraId="19D2594D" w14:textId="629E3902" w:rsidR="007E1F26" w:rsidRDefault="007E1F26" w:rsidP="00EB7659">
      <w:pPr>
        <w:spacing w:line="480" w:lineRule="auto"/>
        <w:rPr>
          <w:b/>
          <w:bCs/>
        </w:rPr>
      </w:pPr>
    </w:p>
    <w:p w14:paraId="53A9D4B5" w14:textId="77777777" w:rsidR="007E1F26" w:rsidRDefault="007E1F26" w:rsidP="00EB7659">
      <w:pPr>
        <w:spacing w:line="480" w:lineRule="auto"/>
        <w:rPr>
          <w:b/>
          <w:bCs/>
        </w:rPr>
      </w:pPr>
    </w:p>
    <w:p w14:paraId="6AFDCA9F" w14:textId="5C7FF951" w:rsidR="00EB7659" w:rsidRPr="00FE4775" w:rsidRDefault="00EB7659" w:rsidP="00663862">
      <w:pPr>
        <w:rPr>
          <w:b/>
          <w:bCs/>
        </w:rPr>
      </w:pPr>
    </w:p>
    <w:p w14:paraId="1B87BF06" w14:textId="41B7FA7C" w:rsidR="007E1F26" w:rsidRDefault="007E1F26"/>
    <w:p w14:paraId="36021522" w14:textId="77777777" w:rsidR="007E1F26" w:rsidRDefault="007E1F26"/>
    <w:sectPr w:rsidR="007E1F26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99C9B" w14:textId="77777777" w:rsidR="00FA2D6A" w:rsidRDefault="00FA2D6A">
      <w:r>
        <w:separator/>
      </w:r>
    </w:p>
  </w:endnote>
  <w:endnote w:type="continuationSeparator" w:id="0">
    <w:p w14:paraId="51B2D7B5" w14:textId="77777777" w:rsidR="00FA2D6A" w:rsidRDefault="00FA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26266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E77C00" w14:textId="77777777" w:rsidR="00A26BEE" w:rsidRDefault="00EB7659" w:rsidP="0088193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8CCD6A" w14:textId="77777777" w:rsidR="00A26BEE" w:rsidRDefault="00FA2D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138647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E2E554" w14:textId="77777777" w:rsidR="00A26BEE" w:rsidRDefault="00EB7659" w:rsidP="0088193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6848EB2" w14:textId="77777777" w:rsidR="000A5FD3" w:rsidRDefault="00FA2D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E1B2C" w14:textId="77777777" w:rsidR="00FA2D6A" w:rsidRDefault="00FA2D6A">
      <w:r>
        <w:separator/>
      </w:r>
    </w:p>
  </w:footnote>
  <w:footnote w:type="continuationSeparator" w:id="0">
    <w:p w14:paraId="150CC302" w14:textId="77777777" w:rsidR="00FA2D6A" w:rsidRDefault="00FA2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635C" w14:textId="77777777" w:rsidR="00817C93" w:rsidRDefault="00FA2D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59"/>
    <w:rsid w:val="003D73FB"/>
    <w:rsid w:val="00423A23"/>
    <w:rsid w:val="00657143"/>
    <w:rsid w:val="00663862"/>
    <w:rsid w:val="00754D91"/>
    <w:rsid w:val="007E1F26"/>
    <w:rsid w:val="007F7577"/>
    <w:rsid w:val="0081722C"/>
    <w:rsid w:val="00956B28"/>
    <w:rsid w:val="00C33BFA"/>
    <w:rsid w:val="00C62D5E"/>
    <w:rsid w:val="00EB7659"/>
    <w:rsid w:val="00FA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A9C62"/>
  <w15:chartTrackingRefBased/>
  <w15:docId w15:val="{FBF7CE14-E653-3F47-BBF1-80A93763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65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EB76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7659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B7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76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765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B7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65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EB7659"/>
  </w:style>
  <w:style w:type="paragraph" w:styleId="Header">
    <w:name w:val="header"/>
    <w:basedOn w:val="Normal"/>
    <w:link w:val="HeaderChar"/>
    <w:uiPriority w:val="99"/>
    <w:unhideWhenUsed/>
    <w:rsid w:val="00EB76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659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B76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Momenzadeh, Amanda</dc:creator>
  <cp:keywords/>
  <dc:description/>
  <cp:lastModifiedBy>Momenzadeh, Amanda</cp:lastModifiedBy>
  <cp:revision>3</cp:revision>
  <dcterms:created xsi:type="dcterms:W3CDTF">2022-03-02T01:21:00Z</dcterms:created>
  <dcterms:modified xsi:type="dcterms:W3CDTF">2022-03-06T00:00:00Z</dcterms:modified>
</cp:coreProperties>
</file>