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57B1" w14:textId="77777777" w:rsidR="00F254E1" w:rsidRDefault="00217B56">
      <w:pPr>
        <w:pStyle w:val="Heading1"/>
        <w:spacing w:before="240" w:after="240" w:line="480" w:lineRule="auto"/>
        <w:jc w:val="both"/>
      </w:pPr>
      <w:bookmarkStart w:id="0" w:name="_1f2w0oninz9r" w:colFirst="0" w:colLast="0"/>
      <w:bookmarkEnd w:id="0"/>
      <w:r>
        <w:t>Supplementary Materials</w:t>
      </w:r>
    </w:p>
    <w:p w14:paraId="4C84178A" w14:textId="77777777" w:rsidR="00F254E1" w:rsidRDefault="00217B56">
      <w:pPr>
        <w:pStyle w:val="Heading2"/>
        <w:spacing w:before="240" w:after="240" w:line="480" w:lineRule="auto"/>
        <w:jc w:val="both"/>
      </w:pPr>
      <w:bookmarkStart w:id="1" w:name="_v3gyu87fe21q" w:colFirst="0" w:colLast="0"/>
      <w:bookmarkEnd w:id="1"/>
      <w:r>
        <w:t>Participants</w:t>
      </w:r>
    </w:p>
    <w:p w14:paraId="0287D4BD" w14:textId="1BEAF273" w:rsidR="00F254E1" w:rsidRPr="00AC5CD4" w:rsidRDefault="00217B56" w:rsidP="001119FA">
      <w:pPr>
        <w:spacing w:before="240" w:after="240" w:line="480" w:lineRule="auto"/>
        <w:jc w:val="both"/>
        <w:rPr>
          <w:sz w:val="20"/>
          <w:szCs w:val="18"/>
        </w:rPr>
      </w:pPr>
      <w:r w:rsidRPr="00AC5CD4">
        <w:rPr>
          <w:sz w:val="20"/>
          <w:szCs w:val="18"/>
        </w:rPr>
        <w:t xml:space="preserve">Boys aged 10-12 years and men aged 23-40 years were included. Inclusion criteria were meeting criteria for a diagnosis of and requiring treatment with medication for ADHD (Inattentive, Hyperactive/Impulsive or Combined subtype). The diagnosis was determined by an experienced clinician based on the Diagnostic and Statistical Manual of Mental Disorders (DSM-IV; (American Psychiatric Association 1994)), which was confirmed with a (semi-)structured interview </w:t>
      </w:r>
      <w:r w:rsidR="00E47330" w:rsidRPr="00AC5CD4">
        <w:rPr>
          <w:sz w:val="20"/>
          <w:szCs w:val="18"/>
        </w:rPr>
        <w:fldChar w:fldCharType="begin" w:fldLock="1"/>
      </w:r>
      <w:r w:rsidR="00E47330" w:rsidRPr="00AC5CD4">
        <w:rPr>
          <w:sz w:val="20"/>
          <w:szCs w:val="18"/>
        </w:rPr>
        <w:instrText>ADDIN CSL_CITATION {"citationItems":[{"id":"ITEM-1","itemData":{"author":[{"dropping-particle":"","family":"Ferdinand","given":"RF","non-dropping-particle":"","parse-names":false,"suffix":""},{"dropping-particle":"","family":"Ende","given":"J","non-dropping-particle":"van der","parse-names":false,"suffix":""}],"id":"ITEM-1","issued":{"date-parts":[["1998"]]},"publisher":"Afdeling Kinder- en Jeugdpsychiatrie, Sophia Kinderziekenhuis/Academisch Ziekenhuis Rotterdam","publisher-place":"Rotterdam, the Netherlands","title":"DISC-IV Diagnostic Interview Schedule for Children [Dutch translation NIMH-DISC-IV]","type":"book"},"uris":["http://www.mendeley.com/documents/?uuid=fa42c5a8-504d-44e2-870d-133908a1c19e"]}],"mendeley":{"formattedCitation":"&lt;span style=\"baseline\"&gt;[1]&lt;/span&gt;","plainTextFormattedCitation":"[1]","previouslyFormattedCitation":"&lt;span style=\"baseline\"&gt;[1]&lt;/span&gt;"},"properties":{"noteIndex":0},"schema":"https://github.com/citation-style-language/schema/raw/master/csl-citation.json"}</w:instrText>
      </w:r>
      <w:r w:rsidR="00E47330" w:rsidRPr="00AC5CD4">
        <w:rPr>
          <w:sz w:val="20"/>
          <w:szCs w:val="18"/>
        </w:rPr>
        <w:fldChar w:fldCharType="separate"/>
      </w:r>
      <w:r w:rsidR="00E47330" w:rsidRPr="00AC5CD4">
        <w:rPr>
          <w:noProof/>
          <w:sz w:val="20"/>
          <w:szCs w:val="18"/>
        </w:rPr>
        <w:t>[1]</w:t>
      </w:r>
      <w:r w:rsidR="00E47330" w:rsidRPr="00AC5CD4">
        <w:rPr>
          <w:sz w:val="20"/>
          <w:szCs w:val="18"/>
        </w:rPr>
        <w:fldChar w:fldCharType="end"/>
      </w:r>
      <w:r w:rsidR="00E47330" w:rsidRPr="00AC5CD4">
        <w:rPr>
          <w:sz w:val="20"/>
          <w:szCs w:val="18"/>
        </w:rPr>
        <w:t xml:space="preserve"> </w:t>
      </w:r>
      <w:r w:rsidRPr="00AC5CD4">
        <w:rPr>
          <w:sz w:val="20"/>
          <w:szCs w:val="18"/>
        </w:rPr>
        <w:t xml:space="preserve">in children; Diagnostic Interview for Adult ADHD (DIVA </w:t>
      </w:r>
      <w:r w:rsidR="00E47330" w:rsidRPr="00AC5CD4">
        <w:rPr>
          <w:sz w:val="20"/>
          <w:szCs w:val="18"/>
        </w:rPr>
        <w:fldChar w:fldCharType="begin" w:fldLock="1"/>
      </w:r>
      <w:r w:rsidR="00E47330" w:rsidRPr="00AC5CD4">
        <w:rPr>
          <w:sz w:val="20"/>
          <w:szCs w:val="18"/>
        </w:rPr>
        <w:instrText>ADDIN CSL_CITATION {"citationItems":[{"id":"ITEM-1","itemData":{"author":[{"dropping-particle":"","family":"Kooij","given":"JJS","non-dropping-particle":"","parse-names":false,"suffix":""}],"id":"ITEM-1","issued":{"date-parts":[["2012"]]},"publisher":"Springer-Verlag","publisher-place":"London","title":"Adult ADHD: Diagnostic assessment and treatment","type":"book"},"uris":["http://www.mendeley.com/documents/?uuid=f66f259a-68e8-44de-a4e1-68c2d9dbf469"]}],"mendeley":{"formattedCitation":"&lt;span style=\"baseline\"&gt;[2]&lt;/span&gt;","plainTextFormattedCitation":"[2]","previouslyFormattedCitation":"&lt;span style=\"baseline\"&gt;[2]&lt;/span&gt;"},"properties":{"noteIndex":0},"schema":"https://github.com/citation-style-language/schema/raw/master/csl-citation.json"}</w:instrText>
      </w:r>
      <w:r w:rsidR="00E47330" w:rsidRPr="00AC5CD4">
        <w:rPr>
          <w:sz w:val="20"/>
          <w:szCs w:val="18"/>
        </w:rPr>
        <w:fldChar w:fldCharType="separate"/>
      </w:r>
      <w:r w:rsidR="00E47330" w:rsidRPr="00AC5CD4">
        <w:rPr>
          <w:noProof/>
          <w:sz w:val="20"/>
          <w:szCs w:val="18"/>
        </w:rPr>
        <w:t>[2]</w:t>
      </w:r>
      <w:r w:rsidR="00E47330" w:rsidRPr="00AC5CD4">
        <w:rPr>
          <w:sz w:val="20"/>
          <w:szCs w:val="18"/>
        </w:rPr>
        <w:fldChar w:fldCharType="end"/>
      </w:r>
      <w:r w:rsidR="00E47330" w:rsidRPr="00AC5CD4">
        <w:rPr>
          <w:sz w:val="20"/>
          <w:szCs w:val="18"/>
        </w:rPr>
        <w:t xml:space="preserve">). </w:t>
      </w:r>
      <w:r w:rsidRPr="00AC5CD4">
        <w:rPr>
          <w:sz w:val="20"/>
          <w:szCs w:val="18"/>
        </w:rPr>
        <w:t xml:space="preserve">The DSM-IV requirement of at least six inattention or hyperactivity/impulsivity symptoms was applied to both children and adults. Participants were not eligible when they had received clinical treatment influencing the DA system (for adults before age 23), such as stimulants, neuroleptics, antipsychotics, D2/D3 agonists, or when they had a current or previous dependency on drugs that influence the DA system (for adults before age 23). Other exclusion criteria were an estimated IQ &lt; 80 (Block Design and Vocabulary subtests of the WISC-III-R </w:t>
      </w:r>
      <w:r w:rsidR="00E47330" w:rsidRPr="00AC5CD4">
        <w:rPr>
          <w:sz w:val="20"/>
          <w:szCs w:val="18"/>
        </w:rPr>
        <w:fldChar w:fldCharType="begin" w:fldLock="1"/>
      </w:r>
      <w:r w:rsidRPr="00AC5CD4">
        <w:rPr>
          <w:sz w:val="20"/>
          <w:szCs w:val="18"/>
        </w:rPr>
        <w:instrText>ADDIN CSL_CITATION {"citationItems":[{"id":"ITEM-1","itemData":{"author":[{"dropping-particle":"","family":"Kort","given":"W.","non-dropping-particle":"","parse-names":false,"suffix":""},{"dropping-particle":"","family":"Compaan","given":"E.L.","non-dropping-particle":"","parse-names":false,"suffix":""},{"dropping-particle":"","family":"Bleichrodt","given":"N.","non-dropping-particle":"","parse-names":false,"suffix":""},{"dropping-particle":"","family":"Resing","given":"W.C.M.","non-dropping-particle":"","parse-names":false,"suffix":""},{"dropping-particle":"","family":"Schittekatte","given":"M.","non-dropping-particle":"","parse-names":false,"suffix":""},{"dropping-particle":"","family":"Bosmans","given":"M.","non-dropping-particle":"","parse-names":false,"suffix":""}],"container-title":"London: The Psychological Corporation.","id":"ITEM-1","issued":{"date-parts":[["2002"]]},"title":"WISC-III NL.","type":"article-journal"},"uris":["http://www.mendeley.com/documents/?uuid=a4dfe0b1-7089-4891-b128-e2f5945015e3"]}],"mendeley":{"formattedCitation":"&lt;span style=\"baseline\"&gt;[3]&lt;/span&gt;","plainTextFormattedCitation":"[3]","previouslyFormattedCitation":"&lt;span style=\"baseline\"&gt;[3]&lt;/span&gt;"},"properties":{"noteIndex":0},"schema":"https://github.com/citation-style-language/schema/raw/master/csl-citation.json"}</w:instrText>
      </w:r>
      <w:r w:rsidR="00E47330" w:rsidRPr="00AC5CD4">
        <w:rPr>
          <w:sz w:val="20"/>
          <w:szCs w:val="18"/>
        </w:rPr>
        <w:fldChar w:fldCharType="separate"/>
      </w:r>
      <w:r w:rsidR="00E47330" w:rsidRPr="00AC5CD4">
        <w:rPr>
          <w:noProof/>
          <w:sz w:val="20"/>
          <w:szCs w:val="18"/>
        </w:rPr>
        <w:t>[3]</w:t>
      </w:r>
      <w:r w:rsidR="00E47330" w:rsidRPr="00AC5CD4">
        <w:rPr>
          <w:sz w:val="20"/>
          <w:szCs w:val="18"/>
        </w:rPr>
        <w:fldChar w:fldCharType="end"/>
      </w:r>
      <w:r w:rsidRPr="00AC5CD4">
        <w:rPr>
          <w:sz w:val="20"/>
          <w:szCs w:val="18"/>
        </w:rPr>
        <w:t xml:space="preserve">, Dutch Adult Reading Test </w:t>
      </w:r>
      <w:r w:rsidR="00E47330" w:rsidRPr="00AC5CD4">
        <w:rPr>
          <w:sz w:val="20"/>
          <w:szCs w:val="18"/>
        </w:rPr>
        <w:fldChar w:fldCharType="begin" w:fldLock="1"/>
      </w:r>
      <w:r w:rsidR="00E47330" w:rsidRPr="00AC5CD4">
        <w:rPr>
          <w:sz w:val="20"/>
          <w:szCs w:val="18"/>
        </w:rPr>
        <w:instrText>ADDIN CSL_CITATION {"citationItems":[{"id":"ITEM-1","itemData":{"author":[{"dropping-particle":"","family":"Schmand","given":"B.","non-dropping-particle":"","parse-names":false,"suffix":""},{"dropping-particle":"","family":"Lindeboom","given":"J.","non-dropping-particle":"","parse-names":false,"suffix":""},{"dropping-particle":"","family":"Harskamp","given":"F.","non-dropping-particle":"van","parse-names":false,"suffix":""}],"container-title":"Lisse: Swets en Zeitlinger","id":"ITEM-1","issued":{"date-parts":[["1992"]]},"title":"Dutch Adult Reading Test","type":"article-journal"},"uris":["http://www.mendeley.com/documents/?uuid=bc56cd48-55fa-49f5-9695-9d595f3ee712"]}],"mendeley":{"formattedCitation":"&lt;span style=\"baseline\"&gt;[4]&lt;/span&gt;","plainTextFormattedCitation":"[4]","previouslyFormattedCitation":"&lt;span style=\"baseline\"&gt;[4]&lt;/span&gt;"},"properties":{"noteIndex":0},"schema":"https://github.com/citation-style-language/schema/raw/master/csl-citation.json"}</w:instrText>
      </w:r>
      <w:r w:rsidR="00E47330" w:rsidRPr="00AC5CD4">
        <w:rPr>
          <w:sz w:val="20"/>
          <w:szCs w:val="18"/>
        </w:rPr>
        <w:fldChar w:fldCharType="separate"/>
      </w:r>
      <w:r w:rsidR="00E47330" w:rsidRPr="00AC5CD4">
        <w:rPr>
          <w:noProof/>
          <w:sz w:val="20"/>
          <w:szCs w:val="18"/>
        </w:rPr>
        <w:t>[4]</w:t>
      </w:r>
      <w:r w:rsidR="00E47330" w:rsidRPr="00AC5CD4">
        <w:rPr>
          <w:sz w:val="20"/>
          <w:szCs w:val="18"/>
        </w:rPr>
        <w:fldChar w:fldCharType="end"/>
      </w:r>
      <w:r w:rsidRPr="00AC5CD4">
        <w:rPr>
          <w:sz w:val="20"/>
          <w:szCs w:val="18"/>
        </w:rPr>
        <w:t>, and/or a history of significant medical or neurological trauma or illness</w:t>
      </w:r>
      <w:r w:rsidR="001F537D" w:rsidRPr="00AC5CD4">
        <w:rPr>
          <w:sz w:val="20"/>
          <w:szCs w:val="18"/>
        </w:rPr>
        <w:t>.</w:t>
      </w:r>
    </w:p>
    <w:p w14:paraId="2FF914B4" w14:textId="77777777" w:rsidR="00F254E1" w:rsidRDefault="00217B56">
      <w:pPr>
        <w:pStyle w:val="Heading2"/>
        <w:spacing w:before="240" w:after="240" w:line="480" w:lineRule="auto"/>
        <w:jc w:val="both"/>
      </w:pPr>
      <w:bookmarkStart w:id="2" w:name="_r4tznz3i7vzs" w:colFirst="0" w:colLast="0"/>
      <w:bookmarkStart w:id="3" w:name="_tp693ujc5h5e" w:colFirst="0" w:colLast="0"/>
      <w:bookmarkEnd w:id="2"/>
      <w:bookmarkEnd w:id="3"/>
      <w:r>
        <w:t>MRI acquisition</w:t>
      </w:r>
    </w:p>
    <w:p w14:paraId="019C0029" w14:textId="77777777" w:rsidR="00F254E1" w:rsidRPr="00AC5CD4" w:rsidRDefault="00217B56">
      <w:pPr>
        <w:spacing w:before="240" w:after="240" w:line="480" w:lineRule="auto"/>
        <w:ind w:firstLine="700"/>
        <w:jc w:val="both"/>
        <w:rPr>
          <w:sz w:val="20"/>
          <w:szCs w:val="18"/>
        </w:rPr>
      </w:pPr>
      <w:r w:rsidRPr="00AC5CD4">
        <w:rPr>
          <w:sz w:val="20"/>
          <w:szCs w:val="18"/>
        </w:rPr>
        <w:t xml:space="preserve">The MRI study was performed on a 3.0 T Philips scanner (Philips Healthcare, Best, The Netherlands) using an 8-channel receive-only head coil. Eight children and 1 adult were scanned on a 3T Philips scanner at a different center than the rest of the participants, also using an 8-channel head coil. A high-resolution 3D T1-weighted anatomical scan was acquired for registration purposes, and fMRI data were obtained using a single-shot echo-planar imaging sequence Parameters were: TR/TE=2300/30 </w:t>
      </w:r>
      <w:proofErr w:type="spellStart"/>
      <w:r w:rsidRPr="00AC5CD4">
        <w:rPr>
          <w:sz w:val="20"/>
          <w:szCs w:val="18"/>
        </w:rPr>
        <w:t>ms</w:t>
      </w:r>
      <w:proofErr w:type="spellEnd"/>
      <w:r w:rsidRPr="00AC5CD4">
        <w:rPr>
          <w:sz w:val="20"/>
          <w:szCs w:val="18"/>
        </w:rPr>
        <w:t xml:space="preserve">, resolution=2.3×2.3×3 mm, 39 sequential slices, FOV=220x220x117 mm, GE-EPI read-out, no gap, 80° flip angle, 130 dynamics were used. </w:t>
      </w:r>
    </w:p>
    <w:p w14:paraId="58BEC2F1" w14:textId="77777777" w:rsidR="00F254E1" w:rsidRDefault="00217B56">
      <w:pPr>
        <w:pStyle w:val="Heading2"/>
        <w:spacing w:before="240" w:after="240" w:line="480" w:lineRule="auto"/>
        <w:jc w:val="both"/>
      </w:pPr>
      <w:bookmarkStart w:id="4" w:name="_ujs79va4rbkp" w:colFirst="0" w:colLast="0"/>
      <w:bookmarkEnd w:id="4"/>
      <w:r>
        <w:lastRenderedPageBreak/>
        <w:t>MRI preprocessing</w:t>
      </w:r>
    </w:p>
    <w:p w14:paraId="29496B2C" w14:textId="77777777" w:rsidR="00F254E1" w:rsidRPr="00AC5CD4" w:rsidRDefault="00217B56">
      <w:pPr>
        <w:spacing w:before="240" w:after="240" w:line="480" w:lineRule="auto"/>
        <w:jc w:val="both"/>
        <w:rPr>
          <w:sz w:val="20"/>
          <w:szCs w:val="18"/>
        </w:rPr>
      </w:pPr>
      <w:r w:rsidRPr="00AC5CD4">
        <w:rPr>
          <w:sz w:val="20"/>
          <w:szCs w:val="18"/>
        </w:rPr>
        <w:t>Preprocessing was performed using FMRIPREP v1.2.3 [</w:t>
      </w:r>
      <w:r w:rsidR="00E47330" w:rsidRPr="00AC5CD4">
        <w:rPr>
          <w:sz w:val="20"/>
          <w:szCs w:val="18"/>
        </w:rPr>
        <w:fldChar w:fldCharType="begin" w:fldLock="1"/>
      </w:r>
      <w:r w:rsidR="00E47330" w:rsidRPr="00AC5CD4">
        <w:rPr>
          <w:sz w:val="20"/>
          <w:szCs w:val="18"/>
        </w:rPr>
        <w:instrText>ADDIN CSL_CITATION {"citationItems":[{"id":"ITEM-1","itemData":{"DOI":"10.1038/s41592-018-0235-4","ISSN":"1548-7091","abstract":"Preprocessing of functional magnetic resonance imaging (fMRI) involves numerous steps to clean and standardize the data before statistical analysis. Generally, researchers create ad hoc preprocessing workflows for each dataset, building upon a large inventory of available tools. The complexity of these workflows has snowballed with rapid advances in acquisition and processing. We introduce fMRIPrep, an analysis-agnostic tool that addresses the challenge of robust and reproducible preprocessing for fMRI data. fMRIPrep automatically adapts a best-in-breed workflow to the idiosyncrasies of virtually any dataset, ensuring high-quality preprocessing without manual intervention. By introducing visual assessment checkpoints into an iterative integration framework for software testing, we show that fMRIPrep robustly produces high-quality results on a diverse fMRI data collection. Additionally, fMRIPrep introduces less uncontrolled spatial smoothness than observed with commonly used preprocessing tools. fMRIPrep equips neuroscientists with an easy-to-use and transparent preprocessing workflow, which can help ensure the validity of inference and the interpretability of results.","author":[{"dropping-particle":"","family":"Esteban","given":"Oscar","non-dropping-particle":"","parse-names":false,"suffix":""},{"dropping-particle":"","family":"Markiewicz","given":"Christopher J.","non-dropping-particle":"","parse-names":false,"suffix":""},{"dropping-particle":"","family":"Blair","given":"Ross W.","non-dropping-particle":"","parse-names":false,"suffix":""},{"dropping-particle":"","family":"Moodie","given":"Craig A.","non-dropping-particle":"","parse-names":false,"suffix":""},{"dropping-particle":"","family":"Isik","given":"A. Ilkay","non-dropping-particle":"","parse-names":false,"suffix":""},{"dropping-particle":"","family":"Erramuzpe","given":"Asier","non-dropping-particle":"","parse-names":false,"suffix":""},{"dropping-particle":"","family":"Kent","given":"James D.","non-dropping-particle":"","parse-names":false,"suffix":""},{"dropping-particle":"","family":"Goncalves","given":"Mathias","non-dropping-particle":"","parse-names":false,"suffix":""},{"dropping-particle":"","family":"DuPre","given":"Elizabeth","non-dropping-particle":"","parse-names":false,"suffix":""},{"dropping-particle":"","family":"Snyder","given":"Madeleine","non-dropping-particle":"","parse-names":false,"suffix":""},{"dropping-particle":"","family":"Oya","given":"Hiroyuki","non-dropping-particle":"","parse-names":false,"suffix":""},{"dropping-particle":"","family":"Ghosh","given":"Satrajit S.","non-dropping-particle":"","parse-names":false,"suffix":""},{"dropping-particle":"","family":"Wright","given":"Jessey","non-dropping-particle":"","parse-names":false,"suffix":""},{"dropping-particle":"","family":"Durnez","given":"Joke","non-dropping-particle":"","parse-names":false,"suffix":""},{"dropping-particle":"","family":"Poldrack","given":"Russell A.","non-dropping-particle":"","parse-names":false,"suffix":""},{"dropping-particle":"","family":"Gorgolewski","given":"Krzysztof J.","non-dropping-particle":"","parse-names":false,"suffix":""}],"container-title":"Nature Methods","id":"ITEM-1","issue":"1","issued":{"date-parts":[["2019","1","10"]]},"page":"111-116","publisher":"Nature Publishing Group","title":"fMRIPrep: a robust preprocessing pipeline for functional MRI","type":"article-journal","volume":"16"},"uris":["http://www.mendeley.com/documents/?uuid=6ac92377-7ac6-37c5-81bd-921b00d71946"]}],"mendeley":{"formattedCitation":"&lt;span style=\"baseline\"&gt;[5]&lt;/span&gt;","plainTextFormattedCitation":"[5]","previouslyFormattedCitation":"&lt;span style=\"baseline\"&gt;[5]&lt;/span&gt;"},"properties":{"noteIndex":0},"schema":"https://github.com/citation-style-language/schema/raw/master/csl-citation.json"}</w:instrText>
      </w:r>
      <w:r w:rsidR="00E47330" w:rsidRPr="00AC5CD4">
        <w:rPr>
          <w:sz w:val="20"/>
          <w:szCs w:val="18"/>
        </w:rPr>
        <w:fldChar w:fldCharType="separate"/>
      </w:r>
      <w:r w:rsidR="00E47330" w:rsidRPr="00AC5CD4">
        <w:rPr>
          <w:noProof/>
          <w:sz w:val="20"/>
          <w:szCs w:val="18"/>
        </w:rPr>
        <w:t>[5]</w:t>
      </w:r>
      <w:r w:rsidR="00E47330" w:rsidRPr="00AC5CD4">
        <w:rPr>
          <w:sz w:val="20"/>
          <w:szCs w:val="18"/>
        </w:rPr>
        <w:fldChar w:fldCharType="end"/>
      </w:r>
      <w:r w:rsidRPr="00AC5CD4">
        <w:rPr>
          <w:sz w:val="20"/>
          <w:szCs w:val="18"/>
        </w:rPr>
        <w:t xml:space="preserve">, RRID: SCR_016216]. Each T1w scan was bias-corrected, skull-stripped, and subsequently normalized to MNI space using non-linear registration. Functional data preprocessing included motion correction using FLIRT and distortion correction using an implementation of the TOPUP technique using 3dQwarp. This was followed by co-registration to the corresponding T1w using boundary-based registration with 9 degrees of freedom. </w:t>
      </w:r>
    </w:p>
    <w:p w14:paraId="00A15134" w14:textId="77777777" w:rsidR="00F254E1" w:rsidRPr="00AC5CD4" w:rsidRDefault="00217B56">
      <w:pPr>
        <w:spacing w:before="240" w:after="240" w:line="480" w:lineRule="auto"/>
        <w:jc w:val="both"/>
        <w:rPr>
          <w:sz w:val="20"/>
          <w:szCs w:val="18"/>
        </w:rPr>
      </w:pPr>
      <w:r w:rsidRPr="00AC5CD4">
        <w:rPr>
          <w:sz w:val="20"/>
          <w:szCs w:val="18"/>
        </w:rPr>
        <w:t xml:space="preserve">Motion correcting transformations, field distortion correcting warp, BOLD-to-T1w transformation, and T1w-to-template (MNI) warp were concatenated and applied in a single step using </w:t>
      </w:r>
      <w:proofErr w:type="spellStart"/>
      <w:r w:rsidRPr="00AC5CD4">
        <w:rPr>
          <w:sz w:val="20"/>
          <w:szCs w:val="18"/>
        </w:rPr>
        <w:t>antsApplyTransforms</w:t>
      </w:r>
      <w:proofErr w:type="spellEnd"/>
      <w:r w:rsidRPr="00AC5CD4">
        <w:rPr>
          <w:sz w:val="20"/>
          <w:szCs w:val="18"/>
        </w:rPr>
        <w:t xml:space="preserve"> (ANTs v2.1.0) with </w:t>
      </w:r>
      <w:proofErr w:type="spellStart"/>
      <w:r w:rsidRPr="00AC5CD4">
        <w:rPr>
          <w:sz w:val="20"/>
          <w:szCs w:val="18"/>
        </w:rPr>
        <w:t>Lanczos</w:t>
      </w:r>
      <w:proofErr w:type="spellEnd"/>
      <w:r w:rsidRPr="00AC5CD4">
        <w:rPr>
          <w:sz w:val="20"/>
          <w:szCs w:val="18"/>
        </w:rPr>
        <w:t xml:space="preserve"> interpolation. Independent component analysis (ICA) based on Automatic Removal Of Motion Artifacts (AROMA) was used to generate data that was non-aggressively </w:t>
      </w:r>
      <w:proofErr w:type="spellStart"/>
      <w:r w:rsidRPr="00AC5CD4">
        <w:rPr>
          <w:sz w:val="20"/>
          <w:szCs w:val="18"/>
        </w:rPr>
        <w:t>denoised</w:t>
      </w:r>
      <w:proofErr w:type="spellEnd"/>
      <w:r w:rsidRPr="00AC5CD4">
        <w:rPr>
          <w:sz w:val="20"/>
          <w:szCs w:val="18"/>
        </w:rPr>
        <w:t xml:space="preserve"> </w:t>
      </w:r>
      <w:r w:rsidR="00B23636" w:rsidRPr="00AC5CD4">
        <w:rPr>
          <w:sz w:val="20"/>
          <w:szCs w:val="18"/>
        </w:rPr>
        <w:fldChar w:fldCharType="begin" w:fldLock="1"/>
      </w:r>
      <w:r w:rsidR="00B23636" w:rsidRPr="00AC5CD4">
        <w:rPr>
          <w:sz w:val="20"/>
          <w:szCs w:val="18"/>
        </w:rPr>
        <w:instrText>ADDIN CSL_CITATION {"citationItems":[{"id":"ITEM-1","itemData":{"DOI":"10.1016/j.neuroimage.2015.02.064","ISBN":"1053-8119","ISSN":"10959572","PMID":"25770991","abstract":"Head motion during functional MRI (fMRI) scanning can induce spurious findings and/or harm detection of true effects. Solutions have been proposed, including deleting ('scrubbing') or regressing out ('spike regression') motion volumes from fMRI time-series. These strategies remove motion-induced signal variations at the cost of destroying the autocorrelation structure of the fMRI time-series and reducing temporal degrees of freedom. ICA-based fMRI denoising strategies overcome these drawbacks but typically require re-training of a classifier, needing manual labeling of derived components (e.g. ICA-FIX; Salimi-Khorshidi et al. (2014)). Here, we propose an ICA-based strategy for Automatic Removal of Motion Artifacts (ICA-AROMA) that uses a small (n = 4), but robust set of theoretically motivated temporal and spatial features. Our strategy does not require classifier re-training, retains the data's autocorrelation structure and largely preserves temporal degrees of freedom. We describe ICA-AROMA, its implementation, and initial validation. ICA-AROMA identified motion components with high accuracy and robustness as illustrated by leave-N-out cross-validation. We additionally validated ICA-AROMA in resting-state (100 participants) and task-based fMRI data (118 participants). Our approach removed (motion-related) spurious noise from both rfMRI and task-based fMRI data to larger extent than regression using 24 motion parameters or spike regression. Furthermore, ICA-AROMA increased sensitivity to group-level activation. Our results show that ICA-AROMA effectively reduces motion-induced signal variations in fMRI data, is applicable across datasets without requiring classifier re-training, and preserves the temporal characteristics of the fMRI data.","author":[{"dropping-particle":"","family":"Pruim","given":"Raimon H.R.","non-dropping-particle":"","parse-names":false,"suffix":""},{"dropping-particle":"","family":"Mennes","given":"Maarten","non-dropping-particle":"","parse-names":false,"suffix":""},{"dropping-particle":"","family":"Rooij","given":"Daan","non-dropping-particle":"van","parse-names":false,"suffix":""},{"dropping-particle":"","family":"Llera","given":"Alberto","non-dropping-particle":"","parse-names":false,"suffix":""},{"dropping-particle":"","family":"Buitelaar","given":"Jan K.","non-dropping-particle":"","parse-names":false,"suffix":""},{"dropping-particle":"","family":"Beckmann","given":"Christian F.","non-dropping-particle":"","parse-names":false,"suffix":""}],"container-title":"NeuroImage","id":"ITEM-1","issued":{"date-parts":[["2015","5","15"]]},"page":"267-277","publisher":"Elsevier Inc.","title":"ICA-AROMA: A robust ICA-based strategy for removing motion artifacts from fMRI data","type":"article-journal","volume":"112"},"uris":["http://www.mendeley.com/documents/?uuid=8ccc7eef-6d4d-4c35-9b7b-5f98c02de29c"]}],"mendeley":{"formattedCitation":"&lt;span style=\"baseline\"&gt;[6]&lt;/span&gt;","plainTextFormattedCitation":"[6]"},"properties":{"noteIndex":0},"schema":"https://github.com/citation-style-language/schema/raw/master/csl-citation.json"}</w:instrText>
      </w:r>
      <w:r w:rsidR="00B23636" w:rsidRPr="00AC5CD4">
        <w:rPr>
          <w:sz w:val="20"/>
          <w:szCs w:val="18"/>
        </w:rPr>
        <w:fldChar w:fldCharType="separate"/>
      </w:r>
      <w:r w:rsidR="00B23636" w:rsidRPr="00AC5CD4">
        <w:rPr>
          <w:noProof/>
          <w:sz w:val="20"/>
          <w:szCs w:val="18"/>
        </w:rPr>
        <w:t>[6]</w:t>
      </w:r>
      <w:r w:rsidR="00B23636" w:rsidRPr="00AC5CD4">
        <w:rPr>
          <w:sz w:val="20"/>
          <w:szCs w:val="18"/>
        </w:rPr>
        <w:fldChar w:fldCharType="end"/>
      </w:r>
      <w:r w:rsidRPr="00AC5CD4">
        <w:rPr>
          <w:sz w:val="20"/>
          <w:szCs w:val="18"/>
        </w:rPr>
        <w:t>. Two brain volumes were removed from the start of each scan to ensure that the steady-state equilibrium was attained.</w:t>
      </w:r>
    </w:p>
    <w:p w14:paraId="47B4DFAD" w14:textId="77777777" w:rsidR="00F254E1" w:rsidRPr="00AC5CD4" w:rsidRDefault="00217B56">
      <w:pPr>
        <w:spacing w:before="240" w:after="240" w:line="480" w:lineRule="auto"/>
        <w:jc w:val="both"/>
        <w:rPr>
          <w:sz w:val="20"/>
          <w:szCs w:val="18"/>
        </w:rPr>
      </w:pPr>
      <w:r w:rsidRPr="00AC5CD4">
        <w:rPr>
          <w:sz w:val="20"/>
          <w:szCs w:val="18"/>
        </w:rPr>
        <w:t>Temporal signal-to-noise (</w:t>
      </w:r>
      <w:proofErr w:type="spellStart"/>
      <w:r w:rsidRPr="00AC5CD4">
        <w:rPr>
          <w:sz w:val="20"/>
          <w:szCs w:val="18"/>
        </w:rPr>
        <w:t>tSNR</w:t>
      </w:r>
      <w:proofErr w:type="spellEnd"/>
      <w:r w:rsidRPr="00AC5CD4">
        <w:rPr>
          <w:sz w:val="20"/>
          <w:szCs w:val="18"/>
        </w:rPr>
        <w:t xml:space="preserve">) maps were calculated per participant to calculate the lowest-quartile mask per age group per session. Parcels overlapping with the lowest-quartile of the </w:t>
      </w:r>
      <w:proofErr w:type="spellStart"/>
      <w:r w:rsidRPr="00AC5CD4">
        <w:rPr>
          <w:sz w:val="20"/>
          <w:szCs w:val="18"/>
        </w:rPr>
        <w:t>tSNR</w:t>
      </w:r>
      <w:proofErr w:type="spellEnd"/>
      <w:r w:rsidRPr="00AC5CD4">
        <w:rPr>
          <w:sz w:val="20"/>
          <w:szCs w:val="18"/>
        </w:rPr>
        <w:t xml:space="preserve"> maps with more than 70% of voxels for more than 10% of the participants were excluded </w:t>
      </w:r>
      <w:r w:rsidR="00E47330" w:rsidRPr="00AC5CD4">
        <w:rPr>
          <w:sz w:val="20"/>
          <w:szCs w:val="18"/>
        </w:rPr>
        <w:t xml:space="preserve">from the connectivity matrices </w:t>
      </w:r>
      <w:r w:rsidR="00E47330" w:rsidRPr="00AC5CD4">
        <w:rPr>
          <w:sz w:val="20"/>
          <w:szCs w:val="18"/>
        </w:rPr>
        <w:fldChar w:fldCharType="begin" w:fldLock="1"/>
      </w:r>
      <w:r w:rsidR="00B23636" w:rsidRPr="00AC5CD4">
        <w:rPr>
          <w:sz w:val="20"/>
          <w:szCs w:val="18"/>
        </w:rPr>
        <w:instrText>ADDIN CSL_CITATION {"citationItems":[{"id":"ITEM-1","itemData":{"DOI":"10.1212/WNL.0000000000003982","ISBN":"0000000000","ISSN":"1526632X","PMID":"28468841","abstract":"Objective: To investigate default-mode network (DMN) and frontoparietal network (FPN) dysfunction in cognitively impaired (CI) patients with multiple sclerosis (MS) because these networks strongly relate to cognition and contain most of the hubs of the brain. Methods: Resting-state fMRI and neuropsychological assessments were performed in 322 patients with MS and 96 healthy controls (HCs). Patients with MS were classified as CI (z score ,22.0 on at least 2 tests; n 5 87), mildly cognitively impaired (z score,21.5 on at least 2 tests and not CI; n 5 65), and cognitively preserved (CP; n 5 180). Within-network connectivity, connectivity with the rest of the brain, and between-network connectivity were calculated and compared between groups. Connectivity values were normalized for individual means and SDs. Results: Only in CI, both the DMN and FPN showed increased connectivity with the rest of the brain compared to HCs and CP, with no change in within- or between-network connectivity. Regionally, this increased connectivity was driven by the inferior parietal, posterior cingulate, and angular gyri. Increased connectivity with the rest of the brain correlated with worse cognitive performance, namely attention for the FPN as well as information processing speed and working memory for both networks. Conclusions: In CI patients with MS, the DMN and FPN showed increased connectivity with the rest of the brain, while normal within- and between-network connectivity levels were maintained. These findings indicate that cognitive impairment in MS features disturbed communication of hub-rich networks, but only with the more peripheral (i.e., nonhub) regions of the brain.","author":[{"dropping-particle":"","family":"Meijer","given":"Kim A.","non-dropping-particle":"","parse-names":false,"suffix":""},{"dropping-particle":"","family":"Eijlers","given":"Anand J.C.","non-dropping-particle":"","parse-names":false,"suffix":""},{"dropping-particle":"","family":"Douw","given":"Linda","non-dropping-particle":"","parse-names":false,"suffix":""},{"dropping-particle":"","family":"Uitdehaag","given":"Bernard M.J.","non-dropping-particle":"","parse-names":false,"suffix":""},{"dropping-particle":"","family":"Barkhof","given":"Frederik","non-dropping-particle":"","parse-names":false,"suffix":""},{"dropping-particle":"","family":"Geurts","given":"Jeroen J.G.","non-dropping-particle":"","parse-names":false,"suffix":""},{"dropping-particle":"","family":"Schoonheim","given":"Menno M.","non-dropping-particle":"","parse-names":false,"suffix":""}],"container-title":"Neurology","id":"ITEM-1","issue":"22","issued":{"date-parts":[["2017","5","30"]]},"page":"2107-2114","publisher":"Lippincott Williams and Wilkins","title":"Increased connectivity of hub networks and cognitive impairment in multiple sclerosis","type":"article-journal","volume":"88"},"uris":["http://www.mendeley.com/documents/?uuid=83f26531-c9e7-4a0e-9cf3-09768e0a4035"]}],"mendeley":{"formattedCitation":"&lt;span style=\"baseline\"&gt;[7]&lt;/span&gt;","plainTextFormattedCitation":"[7]","previouslyFormattedCitation":"&lt;span style=\"baseline\"&gt;[6]&lt;/span&gt;"},"properties":{"noteIndex":0},"schema":"https://github.com/citation-style-language/schema/raw/master/csl-citation.json"}</w:instrText>
      </w:r>
      <w:r w:rsidR="00E47330" w:rsidRPr="00AC5CD4">
        <w:rPr>
          <w:sz w:val="20"/>
          <w:szCs w:val="18"/>
        </w:rPr>
        <w:fldChar w:fldCharType="separate"/>
      </w:r>
      <w:r w:rsidR="00B23636" w:rsidRPr="00AC5CD4">
        <w:rPr>
          <w:noProof/>
          <w:sz w:val="20"/>
          <w:szCs w:val="18"/>
        </w:rPr>
        <w:t>[7]</w:t>
      </w:r>
      <w:r w:rsidR="00E47330" w:rsidRPr="00AC5CD4">
        <w:rPr>
          <w:sz w:val="20"/>
          <w:szCs w:val="18"/>
        </w:rPr>
        <w:fldChar w:fldCharType="end"/>
      </w:r>
      <w:r w:rsidRPr="00AC5CD4">
        <w:rPr>
          <w:sz w:val="20"/>
          <w:szCs w:val="18"/>
        </w:rPr>
        <w:t xml:space="preserve">. </w:t>
      </w:r>
    </w:p>
    <w:p w14:paraId="00F5DB00" w14:textId="77777777" w:rsidR="00F254E1" w:rsidRDefault="00217B56">
      <w:pPr>
        <w:spacing w:before="240" w:after="240" w:line="480" w:lineRule="auto"/>
        <w:jc w:val="both"/>
        <w:rPr>
          <w:sz w:val="18"/>
          <w:szCs w:val="18"/>
        </w:rPr>
      </w:pPr>
      <w:r w:rsidRPr="00AC5CD4">
        <w:rPr>
          <w:sz w:val="20"/>
          <w:szCs w:val="18"/>
        </w:rPr>
        <w:t xml:space="preserve">Firstly, connectivity strength was measured, a measure of the temporal correlations in the blood oxygenation level-dependent (BOLD) signals between brain regions at rest. Secondly, two centrality measures were assessed, which reflect the influence a brain region has on the whole-brain network. We measured eigenvector centrality (EC), a measure of the extent to which a given brain region is connected to other highly connected regions, and </w:t>
      </w:r>
      <w:proofErr w:type="spellStart"/>
      <w:r w:rsidRPr="00AC5CD4">
        <w:rPr>
          <w:sz w:val="20"/>
          <w:szCs w:val="18"/>
        </w:rPr>
        <w:t>betweenness</w:t>
      </w:r>
      <w:proofErr w:type="spellEnd"/>
      <w:r w:rsidRPr="00AC5CD4">
        <w:rPr>
          <w:sz w:val="20"/>
          <w:szCs w:val="18"/>
        </w:rPr>
        <w:t xml:space="preserve"> centrality (BC), indicating the number of shortest connections that pass through it. </w:t>
      </w:r>
      <w:r>
        <w:br w:type="page"/>
      </w:r>
    </w:p>
    <w:p w14:paraId="72DF4432" w14:textId="6F720EDE" w:rsidR="00F254E1" w:rsidRPr="001F537D" w:rsidRDefault="00E47330">
      <w:pPr>
        <w:pStyle w:val="Heading3"/>
        <w:rPr>
          <w:b w:val="0"/>
          <w:color w:val="000000"/>
        </w:rPr>
      </w:pPr>
      <w:bookmarkStart w:id="5" w:name="_z6nlc3uh6ozu" w:colFirst="0" w:colLast="0"/>
      <w:bookmarkEnd w:id="5"/>
      <w:r w:rsidRPr="00E47330">
        <w:rPr>
          <w:noProof/>
          <w:color w:val="000000"/>
          <w:lang w:val="nl-NL"/>
        </w:rPr>
        <w:lastRenderedPageBreak/>
        <w:drawing>
          <wp:anchor distT="114300" distB="114300" distL="114300" distR="114300" simplePos="0" relativeHeight="251658240" behindDoc="1" locked="0" layoutInCell="1" hidden="0" allowOverlap="1" wp14:anchorId="7D420C62" wp14:editId="69E1FCD1">
            <wp:simplePos x="0" y="0"/>
            <wp:positionH relativeFrom="column">
              <wp:posOffset>0</wp:posOffset>
            </wp:positionH>
            <wp:positionV relativeFrom="paragraph">
              <wp:posOffset>824601</wp:posOffset>
            </wp:positionV>
            <wp:extent cx="3414395" cy="341439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14395" cy="3414395"/>
                    </a:xfrm>
                    <a:prstGeom prst="rect">
                      <a:avLst/>
                    </a:prstGeom>
                    <a:ln/>
                  </pic:spPr>
                </pic:pic>
              </a:graphicData>
            </a:graphic>
          </wp:anchor>
        </w:drawing>
      </w:r>
      <w:r w:rsidR="00217B56" w:rsidRPr="00E47330">
        <w:rPr>
          <w:color w:val="000000"/>
        </w:rPr>
        <w:t xml:space="preserve">Supplementary Figure </w:t>
      </w:r>
      <w:r w:rsidR="001F537D">
        <w:rPr>
          <w:color w:val="000000"/>
        </w:rPr>
        <w:t>1</w:t>
      </w:r>
      <w:r w:rsidR="00217B56" w:rsidRPr="00E47330">
        <w:rPr>
          <w:color w:val="000000"/>
        </w:rPr>
        <w:t xml:space="preserve">.| Residual QC-FC correlations after </w:t>
      </w:r>
      <w:proofErr w:type="spellStart"/>
      <w:r w:rsidR="00217B56" w:rsidRPr="00E47330">
        <w:rPr>
          <w:color w:val="000000"/>
        </w:rPr>
        <w:t>denoising</w:t>
      </w:r>
      <w:proofErr w:type="spellEnd"/>
      <w:r w:rsidR="00217B56" w:rsidRPr="00E47330">
        <w:rPr>
          <w:color w:val="000000"/>
        </w:rPr>
        <w:t xml:space="preserve">. </w:t>
      </w:r>
      <w:r w:rsidR="00217B56" w:rsidRPr="001F537D">
        <w:rPr>
          <w:b w:val="0"/>
          <w:color w:val="000000"/>
        </w:rPr>
        <w:t xml:space="preserve">The distribution of all edgewise QC-FC correlations after </w:t>
      </w:r>
      <w:proofErr w:type="spellStart"/>
      <w:r w:rsidR="00217B56" w:rsidRPr="001F537D">
        <w:rPr>
          <w:b w:val="0"/>
          <w:color w:val="000000"/>
        </w:rPr>
        <w:t>denoising</w:t>
      </w:r>
      <w:proofErr w:type="spellEnd"/>
      <w:r w:rsidR="00217B56" w:rsidRPr="001F537D">
        <w:rPr>
          <w:b w:val="0"/>
          <w:color w:val="000000"/>
        </w:rPr>
        <w:t xml:space="preserve"> shows a narrow distribution and a distribution center close to 0 </w:t>
      </w:r>
      <w:r w:rsidRPr="001F537D">
        <w:rPr>
          <w:b w:val="0"/>
          <w:color w:val="000000"/>
        </w:rPr>
        <w:fldChar w:fldCharType="begin" w:fldLock="1"/>
      </w:r>
      <w:r w:rsidR="00B23636" w:rsidRPr="001F537D">
        <w:rPr>
          <w:b w:val="0"/>
          <w:color w:val="000000"/>
        </w:rPr>
        <w:instrText>ADDIN CSL_CITATION {"citationItems":[{"id":"ITEM-1","itemData":{"DOI":"10.1016/j.neuroimage.2017.03.020","ISSN":"10959572","PMID":"28302591","abstract":"Since initial reports regarding the impact of motion artifact on measures of functional connectivity, there has been a proliferation of participant-level confound regression methods to limit its impact. However, many of the most commonly used techniques have not been systematically evaluated using a broad range of outcome measures. Here, we provide a systematic evaluation of 14 participant-level confound regression methods in 393 youths. Specifically, we compare methods according to four benchmarks, including the residual relationship between motion and connectivity, distance-dependent effects of motion on connectivity, network identifiability, and additional degrees of freedom lost in confound regression. Our results delineate two clear trade-offs among methods. First, methods that include global signal regression minimize the relationship between connectivity and motion, but result in distance-dependent artifact. In contrast, censoring methods mitigate both motion artifact and distance-dependence, but use additional degrees of freedom. Importantly, less effective de-noising methods are also unable to identify modular network structure in the connectome. Taken together, these results emphasize the heterogeneous efficacy of existing methods, and suggest that different confound regression strategies may be appropriate in the context of specific scientific goals.","author":[{"dropping-particle":"","family":"Ciric","given":"Rastko","non-dropping-particle":"","parse-names":false,"suffix":""},{"dropping-particle":"","family":"Wolf","given":"Daniel H.","non-dropping-particle":"","parse-names":false,"suffix":""},{"dropping-particle":"","family":"Power","given":"Jonathan D.","non-dropping-particle":"","parse-names":false,"suffix":""},{"dropping-particle":"","family":"Roalf","given":"David R.","non-dropping-particle":"","parse-names":false,"suffix":""},{"dropping-particle":"","family":"Baum","given":"Graham L.","non-dropping-particle":"","parse-names":false,"suffix":""},{"dropping-particle":"","family":"Ruparel","given":"Kosha","non-dropping-particle":"","parse-names":false,"suffix":""},{"dropping-particle":"","family":"Shinohara","given":"Russell T.","non-dropping-particle":"","parse-names":false,"suffix":""},{"dropping-particle":"","family":"Elliott","given":"Mark A.","non-dropping-particle":"","parse-names":false,"suffix":""},{"dropping-particle":"","family":"Eickhoff","given":"Simon B.","non-dropping-particle":"","parse-names":false,"suffix":""},{"dropping-particle":"","family":"Davatzikos","given":"Christos","non-dropping-particle":"","parse-names":false,"suffix":""},{"dropping-particle":"","family":"Gur","given":"Raquel E. Ruben C.","non-dropping-particle":"","parse-names":false,"suffix":""},{"dropping-particle":"","family":"Gur","given":"Raquel E. Ruben C.","non-dropping-particle":"","parse-names":false,"suffix":""},{"dropping-particle":"","family":"Bassett","given":"Danielle S.","non-dropping-particle":"","parse-names":false,"suffix":""},{"dropping-particle":"","family":"Satterthwaite","given":"Theodore D.","non-dropping-particle":"","parse-names":false,"suffix":""}],"container-title":"NeuroImage","id":"ITEM-1","issued":{"date-parts":[["2017","7","1"]]},"page":"174-187","publisher":"Academic Press Inc.","title":"Benchmarking of participant-level confound regression strategies for the control of motion artifact in studies of functional connectivity","type":"article-journal","volume":"154"},"uris":["http://www.mendeley.com/documents/?uuid=9f2c9991-ef18-4ca8-9107-36f37604da6d"]}],"mendeley":{"formattedCitation":"&lt;span style=\"baseline\"&gt;[8]&lt;/span&gt;","plainTextFormattedCitation":"[8]","previouslyFormattedCitation":"&lt;span style=\"baseline\"&gt;[7]&lt;/span&gt;"},"properties":{"noteIndex":0},"schema":"https://github.com/citation-style-language/schema/raw/master/csl-citation.json"}</w:instrText>
      </w:r>
      <w:r w:rsidRPr="001F537D">
        <w:rPr>
          <w:b w:val="0"/>
          <w:color w:val="000000"/>
        </w:rPr>
        <w:fldChar w:fldCharType="separate"/>
      </w:r>
      <w:r w:rsidR="00B23636" w:rsidRPr="001F537D">
        <w:rPr>
          <w:b w:val="0"/>
          <w:color w:val="000000"/>
        </w:rPr>
        <w:t>[8]</w:t>
      </w:r>
      <w:r w:rsidRPr="001F537D">
        <w:rPr>
          <w:b w:val="0"/>
          <w:color w:val="000000"/>
        </w:rPr>
        <w:fldChar w:fldCharType="end"/>
      </w:r>
      <w:r w:rsidRPr="001F537D">
        <w:rPr>
          <w:b w:val="0"/>
          <w:color w:val="000000"/>
        </w:rPr>
        <w:t>.</w:t>
      </w:r>
    </w:p>
    <w:p w14:paraId="7A483104" w14:textId="77777777" w:rsidR="00F254E1" w:rsidRDefault="00F254E1">
      <w:pPr>
        <w:spacing w:before="240" w:after="240" w:line="480" w:lineRule="auto"/>
        <w:jc w:val="both"/>
        <w:rPr>
          <w:b/>
          <w:sz w:val="18"/>
          <w:szCs w:val="18"/>
        </w:rPr>
      </w:pPr>
    </w:p>
    <w:p w14:paraId="3E8D5FC3" w14:textId="77777777" w:rsidR="00F254E1" w:rsidRDefault="00217B56">
      <w:pPr>
        <w:pStyle w:val="Heading3"/>
        <w:spacing w:line="240" w:lineRule="auto"/>
        <w:rPr>
          <w:color w:val="000000"/>
        </w:rPr>
      </w:pPr>
      <w:bookmarkStart w:id="6" w:name="_szj0q4qvnm8w" w:colFirst="0" w:colLast="0"/>
      <w:bookmarkEnd w:id="6"/>
      <w:r>
        <w:br w:type="page"/>
      </w:r>
    </w:p>
    <w:p w14:paraId="7FC42254" w14:textId="413829A6" w:rsidR="00A3788C" w:rsidRPr="00A3788C" w:rsidRDefault="00A3788C" w:rsidP="00A3788C">
      <w:pPr>
        <w:pStyle w:val="Heading3"/>
        <w:spacing w:line="240" w:lineRule="auto"/>
        <w:rPr>
          <w:color w:val="000000"/>
        </w:rPr>
      </w:pPr>
      <w:bookmarkStart w:id="7" w:name="_4izgl7a57lgi" w:colFirst="0" w:colLast="0"/>
      <w:bookmarkEnd w:id="7"/>
      <w:r>
        <w:rPr>
          <w:color w:val="000000"/>
        </w:rPr>
        <w:lastRenderedPageBreak/>
        <w:t>Supplementary Table</w:t>
      </w:r>
      <w:r>
        <w:rPr>
          <w:color w:val="000000"/>
        </w:rPr>
        <w:t xml:space="preserve"> 1</w:t>
      </w:r>
      <w:r>
        <w:rPr>
          <w:color w:val="000000"/>
        </w:rPr>
        <w:t>.| Adjacency matrices - quality control.</w:t>
      </w:r>
    </w:p>
    <w:tbl>
      <w:tblPr>
        <w:tblStyle w:val="a1"/>
        <w:tblW w:w="6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040"/>
        <w:gridCol w:w="2160"/>
      </w:tblGrid>
      <w:tr w:rsidR="00A3788C" w14:paraId="1359315C" w14:textId="77777777" w:rsidTr="00E75490">
        <w:tc>
          <w:tcPr>
            <w:tcW w:w="1980" w:type="dxa"/>
            <w:shd w:val="clear" w:color="auto" w:fill="B7B7B7"/>
            <w:tcMar>
              <w:top w:w="100" w:type="dxa"/>
              <w:left w:w="100" w:type="dxa"/>
              <w:bottom w:w="100" w:type="dxa"/>
              <w:right w:w="100" w:type="dxa"/>
            </w:tcMar>
          </w:tcPr>
          <w:p w14:paraId="2265F404" w14:textId="77777777" w:rsidR="00A3788C" w:rsidRDefault="00A3788C" w:rsidP="00E75490">
            <w:pPr>
              <w:widowControl w:val="0"/>
              <w:spacing w:line="240" w:lineRule="auto"/>
              <w:rPr>
                <w:sz w:val="18"/>
                <w:szCs w:val="18"/>
              </w:rPr>
            </w:pPr>
          </w:p>
          <w:p w14:paraId="3C4F0EE7" w14:textId="77777777" w:rsidR="00A3788C" w:rsidRDefault="00A3788C" w:rsidP="00E75490">
            <w:pPr>
              <w:widowControl w:val="0"/>
              <w:spacing w:line="240" w:lineRule="auto"/>
              <w:rPr>
                <w:sz w:val="18"/>
                <w:szCs w:val="18"/>
              </w:rPr>
            </w:pPr>
            <w:r>
              <w:rPr>
                <w:sz w:val="18"/>
                <w:szCs w:val="18"/>
              </w:rPr>
              <w:t>variable</w:t>
            </w:r>
          </w:p>
        </w:tc>
        <w:tc>
          <w:tcPr>
            <w:tcW w:w="2040" w:type="dxa"/>
            <w:shd w:val="clear" w:color="auto" w:fill="B7B7B7"/>
            <w:tcMar>
              <w:top w:w="100" w:type="dxa"/>
              <w:left w:w="100" w:type="dxa"/>
              <w:bottom w:w="100" w:type="dxa"/>
              <w:right w:w="100" w:type="dxa"/>
            </w:tcMar>
          </w:tcPr>
          <w:p w14:paraId="3FFB7867" w14:textId="77777777" w:rsidR="00A3788C" w:rsidRDefault="00A3788C" w:rsidP="00E75490">
            <w:pPr>
              <w:widowControl w:val="0"/>
              <w:spacing w:line="240" w:lineRule="auto"/>
              <w:rPr>
                <w:sz w:val="18"/>
                <w:szCs w:val="18"/>
              </w:rPr>
            </w:pPr>
            <w:r>
              <w:rPr>
                <w:sz w:val="18"/>
                <w:szCs w:val="18"/>
              </w:rPr>
              <w:t>Children</w:t>
            </w:r>
          </w:p>
        </w:tc>
        <w:tc>
          <w:tcPr>
            <w:tcW w:w="2160" w:type="dxa"/>
            <w:shd w:val="clear" w:color="auto" w:fill="B7B7B7"/>
            <w:tcMar>
              <w:top w:w="100" w:type="dxa"/>
              <w:left w:w="100" w:type="dxa"/>
              <w:bottom w:w="100" w:type="dxa"/>
              <w:right w:w="100" w:type="dxa"/>
            </w:tcMar>
          </w:tcPr>
          <w:p w14:paraId="2D46E202" w14:textId="77777777" w:rsidR="00A3788C" w:rsidRDefault="00A3788C" w:rsidP="00E75490">
            <w:pPr>
              <w:widowControl w:val="0"/>
              <w:spacing w:line="240" w:lineRule="auto"/>
              <w:rPr>
                <w:sz w:val="18"/>
                <w:szCs w:val="18"/>
              </w:rPr>
            </w:pPr>
            <w:r>
              <w:rPr>
                <w:sz w:val="18"/>
                <w:szCs w:val="18"/>
              </w:rPr>
              <w:t>Adults</w:t>
            </w:r>
          </w:p>
        </w:tc>
      </w:tr>
      <w:tr w:rsidR="00A3788C" w14:paraId="06419440" w14:textId="77777777" w:rsidTr="00E75490">
        <w:tc>
          <w:tcPr>
            <w:tcW w:w="1980" w:type="dxa"/>
            <w:shd w:val="clear" w:color="auto" w:fill="auto"/>
            <w:tcMar>
              <w:top w:w="100" w:type="dxa"/>
              <w:left w:w="100" w:type="dxa"/>
              <w:bottom w:w="100" w:type="dxa"/>
              <w:right w:w="100" w:type="dxa"/>
            </w:tcMar>
          </w:tcPr>
          <w:p w14:paraId="5FC74699" w14:textId="77777777" w:rsidR="00A3788C" w:rsidRDefault="00A3788C" w:rsidP="00E75490">
            <w:pPr>
              <w:widowControl w:val="0"/>
              <w:spacing w:line="240" w:lineRule="auto"/>
              <w:rPr>
                <w:sz w:val="18"/>
                <w:szCs w:val="18"/>
              </w:rPr>
            </w:pPr>
            <w:r>
              <w:rPr>
                <w:sz w:val="18"/>
                <w:szCs w:val="18"/>
              </w:rPr>
              <w:t># negative correlations</w:t>
            </w:r>
          </w:p>
        </w:tc>
        <w:tc>
          <w:tcPr>
            <w:tcW w:w="2040" w:type="dxa"/>
            <w:shd w:val="clear" w:color="auto" w:fill="auto"/>
            <w:tcMar>
              <w:top w:w="100" w:type="dxa"/>
              <w:left w:w="100" w:type="dxa"/>
              <w:bottom w:w="100" w:type="dxa"/>
              <w:right w:w="100" w:type="dxa"/>
            </w:tcMar>
          </w:tcPr>
          <w:p w14:paraId="7AEC53EA" w14:textId="77777777" w:rsidR="00A3788C" w:rsidRDefault="00A3788C" w:rsidP="00E75490">
            <w:pPr>
              <w:widowControl w:val="0"/>
              <w:spacing w:line="240" w:lineRule="auto"/>
              <w:rPr>
                <w:sz w:val="18"/>
                <w:szCs w:val="18"/>
              </w:rPr>
            </w:pPr>
            <w:r>
              <w:rPr>
                <w:sz w:val="18"/>
                <w:szCs w:val="18"/>
              </w:rPr>
              <w:t>7766.26 ± 4327.95</w:t>
            </w:r>
          </w:p>
        </w:tc>
        <w:tc>
          <w:tcPr>
            <w:tcW w:w="2160" w:type="dxa"/>
            <w:shd w:val="clear" w:color="auto" w:fill="auto"/>
            <w:tcMar>
              <w:top w:w="100" w:type="dxa"/>
              <w:left w:w="100" w:type="dxa"/>
              <w:bottom w:w="100" w:type="dxa"/>
              <w:right w:w="100" w:type="dxa"/>
            </w:tcMar>
          </w:tcPr>
          <w:p w14:paraId="575C2D45" w14:textId="77777777" w:rsidR="00A3788C" w:rsidRDefault="00A3788C" w:rsidP="00E75490">
            <w:pPr>
              <w:widowControl w:val="0"/>
              <w:spacing w:line="240" w:lineRule="auto"/>
              <w:rPr>
                <w:sz w:val="18"/>
                <w:szCs w:val="18"/>
              </w:rPr>
            </w:pPr>
            <w:r>
              <w:rPr>
                <w:sz w:val="18"/>
                <w:szCs w:val="18"/>
              </w:rPr>
              <w:t>6638.26 ± 4386.57</w:t>
            </w:r>
          </w:p>
        </w:tc>
      </w:tr>
      <w:tr w:rsidR="00A3788C" w14:paraId="1E065608" w14:textId="77777777" w:rsidTr="00E75490">
        <w:tc>
          <w:tcPr>
            <w:tcW w:w="1980" w:type="dxa"/>
            <w:shd w:val="clear" w:color="auto" w:fill="auto"/>
            <w:tcMar>
              <w:top w:w="100" w:type="dxa"/>
              <w:left w:w="100" w:type="dxa"/>
              <w:bottom w:w="100" w:type="dxa"/>
              <w:right w:w="100" w:type="dxa"/>
            </w:tcMar>
          </w:tcPr>
          <w:p w14:paraId="1CE1091C" w14:textId="77777777" w:rsidR="00A3788C" w:rsidRDefault="00A3788C" w:rsidP="00E75490">
            <w:pPr>
              <w:widowControl w:val="0"/>
              <w:spacing w:line="240" w:lineRule="auto"/>
              <w:rPr>
                <w:sz w:val="18"/>
                <w:szCs w:val="18"/>
              </w:rPr>
            </w:pPr>
            <w:r>
              <w:rPr>
                <w:sz w:val="18"/>
                <w:szCs w:val="18"/>
              </w:rPr>
              <w:t>% negative correlations</w:t>
            </w:r>
          </w:p>
        </w:tc>
        <w:tc>
          <w:tcPr>
            <w:tcW w:w="2040" w:type="dxa"/>
            <w:shd w:val="clear" w:color="auto" w:fill="auto"/>
            <w:tcMar>
              <w:top w:w="100" w:type="dxa"/>
              <w:left w:w="100" w:type="dxa"/>
              <w:bottom w:w="100" w:type="dxa"/>
              <w:right w:w="100" w:type="dxa"/>
            </w:tcMar>
          </w:tcPr>
          <w:p w14:paraId="002730F2" w14:textId="77777777" w:rsidR="00A3788C" w:rsidRDefault="00A3788C" w:rsidP="00E75490">
            <w:pPr>
              <w:widowControl w:val="0"/>
              <w:spacing w:line="240" w:lineRule="auto"/>
              <w:rPr>
                <w:sz w:val="18"/>
                <w:szCs w:val="18"/>
              </w:rPr>
            </w:pPr>
            <w:r>
              <w:rPr>
                <w:sz w:val="18"/>
                <w:szCs w:val="18"/>
              </w:rPr>
              <w:t>0.13 ± 0.07</w:t>
            </w:r>
          </w:p>
        </w:tc>
        <w:tc>
          <w:tcPr>
            <w:tcW w:w="2160" w:type="dxa"/>
            <w:shd w:val="clear" w:color="auto" w:fill="auto"/>
            <w:tcMar>
              <w:top w:w="100" w:type="dxa"/>
              <w:left w:w="100" w:type="dxa"/>
              <w:bottom w:w="100" w:type="dxa"/>
              <w:right w:w="100" w:type="dxa"/>
            </w:tcMar>
          </w:tcPr>
          <w:p w14:paraId="7A8D691C" w14:textId="77777777" w:rsidR="00A3788C" w:rsidRDefault="00A3788C" w:rsidP="00E75490">
            <w:pPr>
              <w:widowControl w:val="0"/>
              <w:spacing w:line="240" w:lineRule="auto"/>
              <w:rPr>
                <w:sz w:val="18"/>
                <w:szCs w:val="18"/>
              </w:rPr>
            </w:pPr>
            <w:r>
              <w:rPr>
                <w:sz w:val="18"/>
                <w:szCs w:val="18"/>
              </w:rPr>
              <w:t>0.11 ± 0.07</w:t>
            </w:r>
          </w:p>
        </w:tc>
      </w:tr>
      <w:tr w:rsidR="00A3788C" w14:paraId="51E29690" w14:textId="77777777" w:rsidTr="00E75490">
        <w:tc>
          <w:tcPr>
            <w:tcW w:w="1980" w:type="dxa"/>
            <w:shd w:val="clear" w:color="auto" w:fill="auto"/>
            <w:tcMar>
              <w:top w:w="100" w:type="dxa"/>
              <w:left w:w="100" w:type="dxa"/>
              <w:bottom w:w="100" w:type="dxa"/>
              <w:right w:w="100" w:type="dxa"/>
            </w:tcMar>
          </w:tcPr>
          <w:p w14:paraId="741F2055" w14:textId="77777777" w:rsidR="00A3788C" w:rsidRDefault="00A3788C" w:rsidP="00E75490">
            <w:pPr>
              <w:widowControl w:val="0"/>
              <w:spacing w:line="240" w:lineRule="auto"/>
              <w:rPr>
                <w:sz w:val="18"/>
                <w:szCs w:val="18"/>
              </w:rPr>
            </w:pPr>
            <w:r>
              <w:rPr>
                <w:sz w:val="18"/>
                <w:szCs w:val="18"/>
              </w:rPr>
              <w:t>Average Pearson's R</w:t>
            </w:r>
          </w:p>
        </w:tc>
        <w:tc>
          <w:tcPr>
            <w:tcW w:w="2040" w:type="dxa"/>
            <w:shd w:val="clear" w:color="auto" w:fill="auto"/>
            <w:tcMar>
              <w:top w:w="100" w:type="dxa"/>
              <w:left w:w="100" w:type="dxa"/>
              <w:bottom w:w="100" w:type="dxa"/>
              <w:right w:w="100" w:type="dxa"/>
            </w:tcMar>
          </w:tcPr>
          <w:p w14:paraId="69285C41" w14:textId="77777777" w:rsidR="00A3788C" w:rsidRDefault="00A3788C" w:rsidP="00E75490">
            <w:pPr>
              <w:widowControl w:val="0"/>
              <w:spacing w:line="240" w:lineRule="auto"/>
              <w:rPr>
                <w:sz w:val="18"/>
                <w:szCs w:val="18"/>
              </w:rPr>
            </w:pPr>
            <w:r>
              <w:rPr>
                <w:sz w:val="18"/>
                <w:szCs w:val="18"/>
              </w:rPr>
              <w:t>0.31 ± 0.08</w:t>
            </w:r>
          </w:p>
        </w:tc>
        <w:tc>
          <w:tcPr>
            <w:tcW w:w="2160" w:type="dxa"/>
            <w:shd w:val="clear" w:color="auto" w:fill="auto"/>
            <w:tcMar>
              <w:top w:w="100" w:type="dxa"/>
              <w:left w:w="100" w:type="dxa"/>
              <w:bottom w:w="100" w:type="dxa"/>
              <w:right w:w="100" w:type="dxa"/>
            </w:tcMar>
          </w:tcPr>
          <w:p w14:paraId="4C6821B9" w14:textId="77777777" w:rsidR="00A3788C" w:rsidRDefault="00A3788C" w:rsidP="00E75490">
            <w:pPr>
              <w:widowControl w:val="0"/>
              <w:spacing w:line="240" w:lineRule="auto"/>
              <w:rPr>
                <w:sz w:val="18"/>
                <w:szCs w:val="18"/>
              </w:rPr>
            </w:pPr>
            <w:r>
              <w:rPr>
                <w:sz w:val="18"/>
                <w:szCs w:val="18"/>
              </w:rPr>
              <w:t>0.33 ± 0.10</w:t>
            </w:r>
          </w:p>
        </w:tc>
      </w:tr>
    </w:tbl>
    <w:p w14:paraId="326233D7" w14:textId="77777777" w:rsidR="00A3788C" w:rsidRDefault="00A3788C">
      <w:pPr>
        <w:pStyle w:val="Heading3"/>
        <w:spacing w:line="240" w:lineRule="auto"/>
        <w:rPr>
          <w:color w:val="000000"/>
        </w:rPr>
      </w:pPr>
    </w:p>
    <w:p w14:paraId="509F98AD" w14:textId="136238B6" w:rsidR="00F254E1" w:rsidRDefault="00DE6001">
      <w:pPr>
        <w:pStyle w:val="Heading3"/>
        <w:spacing w:line="240" w:lineRule="auto"/>
        <w:rPr>
          <w:color w:val="000000"/>
        </w:rPr>
      </w:pPr>
      <w:r>
        <w:rPr>
          <w:color w:val="000000"/>
        </w:rPr>
        <w:t>Supplementary T</w:t>
      </w:r>
      <w:r w:rsidR="00A3788C">
        <w:rPr>
          <w:color w:val="000000"/>
        </w:rPr>
        <w:t>able 2</w:t>
      </w:r>
      <w:r w:rsidR="00217B56">
        <w:rPr>
          <w:color w:val="000000"/>
        </w:rPr>
        <w:t xml:space="preserve">.| BNA </w:t>
      </w:r>
      <w:proofErr w:type="spellStart"/>
      <w:r w:rsidR="00217B56">
        <w:rPr>
          <w:color w:val="000000"/>
        </w:rPr>
        <w:t>parcellation</w:t>
      </w:r>
      <w:proofErr w:type="spellEnd"/>
      <w:r w:rsidR="00217B56">
        <w:rPr>
          <w:color w:val="000000"/>
        </w:rPr>
        <w:t xml:space="preserve"> numbers per region of interest (ROI).</w:t>
      </w:r>
    </w:p>
    <w:tbl>
      <w:tblPr>
        <w:tblStyle w:val="a"/>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1155"/>
        <w:gridCol w:w="2445"/>
      </w:tblGrid>
      <w:tr w:rsidR="00F254E1" w14:paraId="0DB82A84" w14:textId="77777777">
        <w:tc>
          <w:tcPr>
            <w:tcW w:w="5205" w:type="dxa"/>
            <w:shd w:val="clear" w:color="auto" w:fill="CCCCCC"/>
            <w:tcMar>
              <w:top w:w="100" w:type="dxa"/>
              <w:left w:w="100" w:type="dxa"/>
              <w:bottom w:w="100" w:type="dxa"/>
              <w:right w:w="100" w:type="dxa"/>
            </w:tcMar>
          </w:tcPr>
          <w:p w14:paraId="15B100B6"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Image</w:t>
            </w:r>
          </w:p>
        </w:tc>
        <w:tc>
          <w:tcPr>
            <w:tcW w:w="1155" w:type="dxa"/>
            <w:shd w:val="clear" w:color="auto" w:fill="CCCCCC"/>
            <w:tcMar>
              <w:top w:w="100" w:type="dxa"/>
              <w:left w:w="100" w:type="dxa"/>
              <w:bottom w:w="100" w:type="dxa"/>
              <w:right w:w="100" w:type="dxa"/>
            </w:tcMar>
          </w:tcPr>
          <w:p w14:paraId="4275141E"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ROI</w:t>
            </w:r>
          </w:p>
        </w:tc>
        <w:tc>
          <w:tcPr>
            <w:tcW w:w="2445" w:type="dxa"/>
            <w:shd w:val="clear" w:color="auto" w:fill="CCCCCC"/>
            <w:tcMar>
              <w:top w:w="100" w:type="dxa"/>
              <w:left w:w="100" w:type="dxa"/>
              <w:bottom w:w="100" w:type="dxa"/>
              <w:right w:w="100" w:type="dxa"/>
            </w:tcMar>
          </w:tcPr>
          <w:p w14:paraId="2091A01D"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 xml:space="preserve">BNA atlas </w:t>
            </w:r>
            <w:proofErr w:type="spellStart"/>
            <w:r>
              <w:rPr>
                <w:b/>
                <w:sz w:val="18"/>
                <w:szCs w:val="18"/>
              </w:rPr>
              <w:t>parcellation</w:t>
            </w:r>
            <w:proofErr w:type="spellEnd"/>
            <w:r>
              <w:rPr>
                <w:b/>
                <w:sz w:val="18"/>
                <w:szCs w:val="18"/>
              </w:rPr>
              <w:t xml:space="preserve"> numbers</w:t>
            </w:r>
          </w:p>
        </w:tc>
      </w:tr>
      <w:tr w:rsidR="00F254E1" w14:paraId="32B77EA4" w14:textId="77777777">
        <w:trPr>
          <w:trHeight w:val="1965"/>
        </w:trPr>
        <w:tc>
          <w:tcPr>
            <w:tcW w:w="5205" w:type="dxa"/>
            <w:shd w:val="clear" w:color="auto" w:fill="auto"/>
            <w:tcMar>
              <w:top w:w="100" w:type="dxa"/>
              <w:left w:w="100" w:type="dxa"/>
              <w:bottom w:w="100" w:type="dxa"/>
              <w:right w:w="100" w:type="dxa"/>
            </w:tcMar>
          </w:tcPr>
          <w:p w14:paraId="6D43C359" w14:textId="77777777" w:rsidR="00F254E1" w:rsidRDefault="00217B56">
            <w:pPr>
              <w:spacing w:before="240" w:after="240" w:line="480" w:lineRule="auto"/>
              <w:jc w:val="center"/>
              <w:rPr>
                <w:b/>
                <w:sz w:val="18"/>
                <w:szCs w:val="18"/>
              </w:rPr>
            </w:pPr>
            <w:r>
              <w:rPr>
                <w:noProof/>
                <w:lang w:val="nl-NL"/>
              </w:rPr>
              <w:drawing>
                <wp:anchor distT="0" distB="0" distL="0" distR="0" simplePos="0" relativeHeight="251659264" behindDoc="0" locked="0" layoutInCell="1" hidden="0" allowOverlap="1" wp14:anchorId="1DACC973" wp14:editId="08B90D5C">
                  <wp:simplePos x="0" y="0"/>
                  <wp:positionH relativeFrom="column">
                    <wp:posOffset>0</wp:posOffset>
                  </wp:positionH>
                  <wp:positionV relativeFrom="paragraph">
                    <wp:posOffset>0</wp:posOffset>
                  </wp:positionV>
                  <wp:extent cx="3048000" cy="1100193"/>
                  <wp:effectExtent l="0" t="0" r="0" b="0"/>
                  <wp:wrapSquare wrapText="bothSides" distT="0" distB="0" distL="0" distR="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0382" t="925" r="2185" b="76063"/>
                          <a:stretch>
                            <a:fillRect/>
                          </a:stretch>
                        </pic:blipFill>
                        <pic:spPr>
                          <a:xfrm>
                            <a:off x="0" y="0"/>
                            <a:ext cx="3048000" cy="1100193"/>
                          </a:xfrm>
                          <a:prstGeom prst="rect">
                            <a:avLst/>
                          </a:prstGeom>
                          <a:ln/>
                        </pic:spPr>
                      </pic:pic>
                    </a:graphicData>
                  </a:graphic>
                </wp:anchor>
              </w:drawing>
            </w:r>
          </w:p>
        </w:tc>
        <w:tc>
          <w:tcPr>
            <w:tcW w:w="1155" w:type="dxa"/>
            <w:shd w:val="clear" w:color="auto" w:fill="auto"/>
            <w:tcMar>
              <w:top w:w="100" w:type="dxa"/>
              <w:left w:w="100" w:type="dxa"/>
              <w:bottom w:w="100" w:type="dxa"/>
              <w:right w:w="100" w:type="dxa"/>
            </w:tcMar>
            <w:vAlign w:val="center"/>
          </w:tcPr>
          <w:p w14:paraId="5BAA0C6A"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Striatum</w:t>
            </w:r>
          </w:p>
        </w:tc>
        <w:tc>
          <w:tcPr>
            <w:tcW w:w="2445" w:type="dxa"/>
            <w:shd w:val="clear" w:color="auto" w:fill="auto"/>
            <w:tcMar>
              <w:top w:w="100" w:type="dxa"/>
              <w:left w:w="100" w:type="dxa"/>
              <w:bottom w:w="100" w:type="dxa"/>
              <w:right w:w="100" w:type="dxa"/>
            </w:tcMar>
            <w:vAlign w:val="center"/>
          </w:tcPr>
          <w:p w14:paraId="25AB2BAE"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219, 220, 225-230</w:t>
            </w:r>
          </w:p>
        </w:tc>
      </w:tr>
      <w:tr w:rsidR="00F254E1" w14:paraId="7F304942" w14:textId="77777777">
        <w:trPr>
          <w:trHeight w:val="1875"/>
        </w:trPr>
        <w:tc>
          <w:tcPr>
            <w:tcW w:w="5205" w:type="dxa"/>
            <w:shd w:val="clear" w:color="auto" w:fill="auto"/>
            <w:tcMar>
              <w:top w:w="100" w:type="dxa"/>
              <w:left w:w="100" w:type="dxa"/>
              <w:bottom w:w="100" w:type="dxa"/>
              <w:right w:w="100" w:type="dxa"/>
            </w:tcMar>
          </w:tcPr>
          <w:p w14:paraId="4482178B" w14:textId="77777777" w:rsidR="00F254E1" w:rsidRDefault="00217B56">
            <w:pPr>
              <w:spacing w:before="240" w:after="240" w:line="480" w:lineRule="auto"/>
              <w:jc w:val="center"/>
              <w:rPr>
                <w:b/>
                <w:sz w:val="18"/>
                <w:szCs w:val="18"/>
              </w:rPr>
            </w:pPr>
            <w:r>
              <w:rPr>
                <w:noProof/>
                <w:lang w:val="nl-NL"/>
              </w:rPr>
              <w:drawing>
                <wp:anchor distT="0" distB="0" distL="0" distR="0" simplePos="0" relativeHeight="251660288" behindDoc="0" locked="0" layoutInCell="1" hidden="0" allowOverlap="1" wp14:anchorId="3E4227F6" wp14:editId="0B03E249">
                  <wp:simplePos x="0" y="0"/>
                  <wp:positionH relativeFrom="column">
                    <wp:posOffset>0</wp:posOffset>
                  </wp:positionH>
                  <wp:positionV relativeFrom="paragraph">
                    <wp:posOffset>0</wp:posOffset>
                  </wp:positionV>
                  <wp:extent cx="3057525" cy="1066800"/>
                  <wp:effectExtent l="0" t="0" r="0" b="0"/>
                  <wp:wrapSquare wrapText="bothSides" distT="0" distB="0" distL="0" distR="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0109" t="27689" r="2185" b="50000"/>
                          <a:stretch>
                            <a:fillRect/>
                          </a:stretch>
                        </pic:blipFill>
                        <pic:spPr>
                          <a:xfrm>
                            <a:off x="0" y="0"/>
                            <a:ext cx="3057525" cy="1066800"/>
                          </a:xfrm>
                          <a:prstGeom prst="rect">
                            <a:avLst/>
                          </a:prstGeom>
                          <a:ln/>
                        </pic:spPr>
                      </pic:pic>
                    </a:graphicData>
                  </a:graphic>
                </wp:anchor>
              </w:drawing>
            </w:r>
          </w:p>
        </w:tc>
        <w:tc>
          <w:tcPr>
            <w:tcW w:w="1155" w:type="dxa"/>
            <w:shd w:val="clear" w:color="auto" w:fill="auto"/>
            <w:tcMar>
              <w:top w:w="100" w:type="dxa"/>
              <w:left w:w="100" w:type="dxa"/>
              <w:bottom w:w="100" w:type="dxa"/>
              <w:right w:w="100" w:type="dxa"/>
            </w:tcMar>
            <w:vAlign w:val="center"/>
          </w:tcPr>
          <w:p w14:paraId="4DCE11A7"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Thalamus</w:t>
            </w:r>
          </w:p>
        </w:tc>
        <w:tc>
          <w:tcPr>
            <w:tcW w:w="2445" w:type="dxa"/>
            <w:shd w:val="clear" w:color="auto" w:fill="auto"/>
            <w:tcMar>
              <w:top w:w="100" w:type="dxa"/>
              <w:left w:w="100" w:type="dxa"/>
              <w:bottom w:w="100" w:type="dxa"/>
              <w:right w:w="100" w:type="dxa"/>
            </w:tcMar>
            <w:vAlign w:val="center"/>
          </w:tcPr>
          <w:p w14:paraId="75880B8E"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231-246</w:t>
            </w:r>
          </w:p>
        </w:tc>
      </w:tr>
      <w:tr w:rsidR="00F254E1" w14:paraId="5A7E6C8C" w14:textId="77777777">
        <w:trPr>
          <w:trHeight w:val="1875"/>
        </w:trPr>
        <w:tc>
          <w:tcPr>
            <w:tcW w:w="5205" w:type="dxa"/>
            <w:shd w:val="clear" w:color="auto" w:fill="auto"/>
            <w:tcMar>
              <w:top w:w="100" w:type="dxa"/>
              <w:left w:w="100" w:type="dxa"/>
              <w:bottom w:w="100" w:type="dxa"/>
              <w:right w:w="100" w:type="dxa"/>
            </w:tcMar>
          </w:tcPr>
          <w:p w14:paraId="7A7760C9" w14:textId="77777777" w:rsidR="00F254E1" w:rsidRDefault="00217B56">
            <w:pPr>
              <w:spacing w:before="240" w:after="240" w:line="480" w:lineRule="auto"/>
              <w:jc w:val="center"/>
              <w:rPr>
                <w:b/>
                <w:sz w:val="18"/>
                <w:szCs w:val="18"/>
              </w:rPr>
            </w:pPr>
            <w:r>
              <w:rPr>
                <w:noProof/>
                <w:lang w:val="nl-NL"/>
              </w:rPr>
              <w:lastRenderedPageBreak/>
              <w:drawing>
                <wp:anchor distT="0" distB="0" distL="0" distR="0" simplePos="0" relativeHeight="251661312" behindDoc="0" locked="0" layoutInCell="1" hidden="0" allowOverlap="1" wp14:anchorId="2F0CBCCC" wp14:editId="16B3B361">
                  <wp:simplePos x="0" y="0"/>
                  <wp:positionH relativeFrom="column">
                    <wp:posOffset>0</wp:posOffset>
                  </wp:positionH>
                  <wp:positionV relativeFrom="paragraph">
                    <wp:posOffset>0</wp:posOffset>
                  </wp:positionV>
                  <wp:extent cx="3053147" cy="1065051"/>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0315" t="54137" r="3438" b="24008"/>
                          <a:stretch>
                            <a:fillRect/>
                          </a:stretch>
                        </pic:blipFill>
                        <pic:spPr>
                          <a:xfrm>
                            <a:off x="0" y="0"/>
                            <a:ext cx="3053147" cy="1065051"/>
                          </a:xfrm>
                          <a:prstGeom prst="rect">
                            <a:avLst/>
                          </a:prstGeom>
                          <a:ln/>
                        </pic:spPr>
                      </pic:pic>
                    </a:graphicData>
                  </a:graphic>
                </wp:anchor>
              </w:drawing>
            </w:r>
          </w:p>
        </w:tc>
        <w:tc>
          <w:tcPr>
            <w:tcW w:w="1155" w:type="dxa"/>
            <w:shd w:val="clear" w:color="auto" w:fill="auto"/>
            <w:tcMar>
              <w:top w:w="100" w:type="dxa"/>
              <w:left w:w="100" w:type="dxa"/>
              <w:bottom w:w="100" w:type="dxa"/>
              <w:right w:w="100" w:type="dxa"/>
            </w:tcMar>
            <w:vAlign w:val="center"/>
          </w:tcPr>
          <w:p w14:paraId="50C8E9F1" w14:textId="77777777" w:rsidR="00F254E1" w:rsidRDefault="00217B56">
            <w:pPr>
              <w:widowControl w:val="0"/>
              <w:pBdr>
                <w:top w:val="nil"/>
                <w:left w:val="nil"/>
                <w:bottom w:val="nil"/>
                <w:right w:val="nil"/>
                <w:between w:val="nil"/>
              </w:pBdr>
              <w:spacing w:line="240" w:lineRule="auto"/>
              <w:jc w:val="center"/>
              <w:rPr>
                <w:b/>
                <w:sz w:val="18"/>
                <w:szCs w:val="18"/>
              </w:rPr>
            </w:pPr>
            <w:proofErr w:type="spellStart"/>
            <w:r>
              <w:rPr>
                <w:b/>
                <w:sz w:val="18"/>
                <w:szCs w:val="18"/>
              </w:rPr>
              <w:t>dACC</w:t>
            </w:r>
            <w:proofErr w:type="spellEnd"/>
          </w:p>
        </w:tc>
        <w:tc>
          <w:tcPr>
            <w:tcW w:w="2445" w:type="dxa"/>
            <w:shd w:val="clear" w:color="auto" w:fill="auto"/>
            <w:tcMar>
              <w:top w:w="100" w:type="dxa"/>
              <w:left w:w="100" w:type="dxa"/>
              <w:bottom w:w="100" w:type="dxa"/>
              <w:right w:w="100" w:type="dxa"/>
            </w:tcMar>
            <w:vAlign w:val="center"/>
          </w:tcPr>
          <w:p w14:paraId="46C3A42F"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179, 180</w:t>
            </w:r>
          </w:p>
        </w:tc>
      </w:tr>
      <w:tr w:rsidR="00F254E1" w14:paraId="20D05BEE" w14:textId="77777777">
        <w:trPr>
          <w:trHeight w:val="1635"/>
        </w:trPr>
        <w:tc>
          <w:tcPr>
            <w:tcW w:w="5205" w:type="dxa"/>
            <w:shd w:val="clear" w:color="auto" w:fill="auto"/>
            <w:tcMar>
              <w:top w:w="100" w:type="dxa"/>
              <w:left w:w="100" w:type="dxa"/>
              <w:bottom w:w="100" w:type="dxa"/>
              <w:right w:w="100" w:type="dxa"/>
            </w:tcMar>
          </w:tcPr>
          <w:p w14:paraId="3F173005" w14:textId="77777777" w:rsidR="00F254E1" w:rsidRDefault="00217B56">
            <w:pPr>
              <w:spacing w:before="240" w:after="240" w:line="480" w:lineRule="auto"/>
              <w:jc w:val="center"/>
              <w:rPr>
                <w:b/>
                <w:sz w:val="18"/>
                <w:szCs w:val="18"/>
              </w:rPr>
            </w:pPr>
            <w:r>
              <w:rPr>
                <w:noProof/>
                <w:lang w:val="nl-NL"/>
              </w:rPr>
              <w:drawing>
                <wp:anchor distT="0" distB="0" distL="0" distR="0" simplePos="0" relativeHeight="251662336" behindDoc="0" locked="0" layoutInCell="1" hidden="0" allowOverlap="1" wp14:anchorId="06F55ED8" wp14:editId="0E442657">
                  <wp:simplePos x="0" y="0"/>
                  <wp:positionH relativeFrom="column">
                    <wp:posOffset>0</wp:posOffset>
                  </wp:positionH>
                  <wp:positionV relativeFrom="paragraph">
                    <wp:posOffset>0</wp:posOffset>
                  </wp:positionV>
                  <wp:extent cx="3071813" cy="993281"/>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8743" t="78486"/>
                          <a:stretch>
                            <a:fillRect/>
                          </a:stretch>
                        </pic:blipFill>
                        <pic:spPr>
                          <a:xfrm>
                            <a:off x="0" y="0"/>
                            <a:ext cx="3071813" cy="993281"/>
                          </a:xfrm>
                          <a:prstGeom prst="rect">
                            <a:avLst/>
                          </a:prstGeom>
                          <a:ln/>
                        </pic:spPr>
                      </pic:pic>
                    </a:graphicData>
                  </a:graphic>
                </wp:anchor>
              </w:drawing>
            </w:r>
          </w:p>
        </w:tc>
        <w:tc>
          <w:tcPr>
            <w:tcW w:w="1155" w:type="dxa"/>
            <w:shd w:val="clear" w:color="auto" w:fill="auto"/>
            <w:tcMar>
              <w:top w:w="100" w:type="dxa"/>
              <w:left w:w="100" w:type="dxa"/>
              <w:bottom w:w="100" w:type="dxa"/>
              <w:right w:w="100" w:type="dxa"/>
            </w:tcMar>
            <w:vAlign w:val="center"/>
          </w:tcPr>
          <w:p w14:paraId="7799FEA3"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PFC</w:t>
            </w:r>
          </w:p>
        </w:tc>
        <w:tc>
          <w:tcPr>
            <w:tcW w:w="2445" w:type="dxa"/>
            <w:shd w:val="clear" w:color="auto" w:fill="auto"/>
            <w:tcMar>
              <w:top w:w="100" w:type="dxa"/>
              <w:left w:w="100" w:type="dxa"/>
              <w:bottom w:w="100" w:type="dxa"/>
              <w:right w:w="100" w:type="dxa"/>
            </w:tcMar>
            <w:vAlign w:val="center"/>
          </w:tcPr>
          <w:p w14:paraId="69CAB6B6" w14:textId="77777777" w:rsidR="00F254E1" w:rsidRDefault="00217B56">
            <w:pPr>
              <w:widowControl w:val="0"/>
              <w:pBdr>
                <w:top w:val="nil"/>
                <w:left w:val="nil"/>
                <w:bottom w:val="nil"/>
                <w:right w:val="nil"/>
                <w:between w:val="nil"/>
              </w:pBdr>
              <w:spacing w:line="240" w:lineRule="auto"/>
              <w:jc w:val="center"/>
              <w:rPr>
                <w:b/>
                <w:sz w:val="18"/>
                <w:szCs w:val="18"/>
              </w:rPr>
            </w:pPr>
            <w:r>
              <w:rPr>
                <w:b/>
                <w:sz w:val="18"/>
                <w:szCs w:val="18"/>
              </w:rPr>
              <w:t>3-6, 11-28, 31, 32, 35, 36, 41, 42, 47, 48, 51, 52, 179, 180, 187, 188</w:t>
            </w:r>
          </w:p>
        </w:tc>
      </w:tr>
    </w:tbl>
    <w:p w14:paraId="74637DF1" w14:textId="77777777" w:rsidR="00F254E1" w:rsidRDefault="00F254E1"/>
    <w:p w14:paraId="27E38781" w14:textId="77777777" w:rsidR="00F254E1" w:rsidRDefault="00F254E1"/>
    <w:p w14:paraId="5ED22A91" w14:textId="77777777" w:rsidR="00F254E1" w:rsidRDefault="00217B56">
      <w:pPr>
        <w:pStyle w:val="Heading1"/>
        <w:spacing w:before="240" w:after="240" w:line="480" w:lineRule="auto"/>
        <w:jc w:val="both"/>
      </w:pPr>
      <w:bookmarkStart w:id="8" w:name="_gz2upkd8nxpa" w:colFirst="0" w:colLast="0"/>
      <w:bookmarkStart w:id="9" w:name="_9dk93urrbai2" w:colFirst="0" w:colLast="0"/>
      <w:bookmarkEnd w:id="8"/>
      <w:bookmarkEnd w:id="9"/>
      <w:r>
        <w:t>Supplementary Results</w:t>
      </w:r>
    </w:p>
    <w:p w14:paraId="3FB7DA30" w14:textId="77777777" w:rsidR="00F254E1" w:rsidRDefault="00217B56">
      <w:pPr>
        <w:pStyle w:val="Heading2"/>
        <w:shd w:val="clear" w:color="auto" w:fill="FFFFFF"/>
        <w:spacing w:before="240" w:after="240" w:line="360" w:lineRule="auto"/>
        <w:jc w:val="both"/>
      </w:pPr>
      <w:bookmarkStart w:id="10" w:name="_6d5p8u3getpy" w:colFirst="0" w:colLast="0"/>
      <w:bookmarkEnd w:id="10"/>
      <w:r>
        <w:t>Participants</w:t>
      </w:r>
    </w:p>
    <w:p w14:paraId="0B3A314B" w14:textId="77777777" w:rsidR="00F254E1" w:rsidRDefault="00217B56">
      <w:pPr>
        <w:shd w:val="clear" w:color="auto" w:fill="FFFFFF"/>
        <w:spacing w:before="240" w:after="240" w:line="360" w:lineRule="auto"/>
        <w:jc w:val="both"/>
        <w:rPr>
          <w:sz w:val="20"/>
          <w:szCs w:val="20"/>
          <w:highlight w:val="white"/>
        </w:rPr>
      </w:pPr>
      <w:r>
        <w:rPr>
          <w:sz w:val="20"/>
          <w:szCs w:val="20"/>
          <w:highlight w:val="white"/>
        </w:rPr>
        <w:t>Included adult ADHD participants were significantly older than the TD adults (mean age ADHD= 28.5±4.6; mean age control 25.1±1.9; t(39)=3.90, p&lt;0.01; but 80% of the adults with ADHD were under 30). TD controls did not differ from the ADHD participants in IQ (p&gt;0.05). In addition, children and adults with ADHD differed from TD controls in ADHD symptom severity, as well as in anxiety and depressive symptoms.</w:t>
      </w:r>
    </w:p>
    <w:p w14:paraId="5281B328" w14:textId="77777777" w:rsidR="00F254E1" w:rsidRDefault="00217B56">
      <w:pPr>
        <w:shd w:val="clear" w:color="auto" w:fill="FFFFFF"/>
        <w:spacing w:before="240" w:after="240" w:line="360" w:lineRule="auto"/>
        <w:jc w:val="both"/>
        <w:rPr>
          <w:sz w:val="20"/>
          <w:szCs w:val="20"/>
          <w:highlight w:val="white"/>
        </w:rPr>
      </w:pPr>
      <w:r>
        <w:rPr>
          <w:sz w:val="20"/>
          <w:szCs w:val="20"/>
          <w:highlight w:val="white"/>
        </w:rPr>
        <w:t>Pre-methylphenidate, FD differed significantly between children and adults (ADHD: t(45)=5.48, p&lt;0.01; controls: t(13)=4.99, p&lt;0.01).</w:t>
      </w:r>
    </w:p>
    <w:p w14:paraId="5402C58B" w14:textId="78B7F768" w:rsidR="00F254E1" w:rsidRPr="00A22093" w:rsidRDefault="00217B56" w:rsidP="00A22093">
      <w:pPr>
        <w:shd w:val="clear" w:color="auto" w:fill="FFFFFF"/>
        <w:spacing w:before="240" w:after="240" w:line="360" w:lineRule="auto"/>
        <w:jc w:val="both"/>
        <w:rPr>
          <w:sz w:val="20"/>
          <w:szCs w:val="20"/>
          <w:highlight w:val="white"/>
        </w:rPr>
      </w:pPr>
      <w:r>
        <w:rPr>
          <w:sz w:val="20"/>
          <w:szCs w:val="20"/>
          <w:highlight w:val="white"/>
        </w:rPr>
        <w:t>Excluded children did not differ in age, IQ, ADHD symptom-severity, anxiety symptoms, or depressive symptoms from the included children (p&gt;0.05). Children with ADHD had significantly higher FDs than controls at pre-methylphenidate, but FD significantly decreased post-methylphenidate (F(1,87)=18.84, p&lt;0.01). Pre-methylphenidate, adult ADHD FD values did not differ from controls, but they decreased post-methylphenidate (F(1,96)=10.08</w:t>
      </w:r>
      <w:r w:rsidR="001F537D">
        <w:rPr>
          <w:sz w:val="20"/>
          <w:szCs w:val="20"/>
          <w:highlight w:val="white"/>
        </w:rPr>
        <w:t>, p&lt;0.01)(Supplementary Figure 2</w:t>
      </w:r>
      <w:r>
        <w:rPr>
          <w:sz w:val="20"/>
          <w:szCs w:val="20"/>
          <w:highlight w:val="white"/>
        </w:rPr>
        <w:t xml:space="preserve">). Post-methylphenidate, FD of ADHD </w:t>
      </w:r>
      <w:r>
        <w:rPr>
          <w:sz w:val="20"/>
          <w:szCs w:val="20"/>
          <w:highlight w:val="white"/>
        </w:rPr>
        <w:lastRenderedPageBreak/>
        <w:t xml:space="preserve">participants did not differ from controls. Importantly, except in two cases, (CS and BC in the PFC) none of the connectivity measures were correlated with motion (Supplementary </w:t>
      </w:r>
      <w:r w:rsidR="001F537D">
        <w:rPr>
          <w:sz w:val="20"/>
          <w:szCs w:val="20"/>
          <w:highlight w:val="white"/>
        </w:rPr>
        <w:t>T</w:t>
      </w:r>
      <w:r w:rsidR="00E47330">
        <w:rPr>
          <w:sz w:val="20"/>
          <w:szCs w:val="20"/>
          <w:highlight w:val="white"/>
        </w:rPr>
        <w:t xml:space="preserve">able </w:t>
      </w:r>
      <w:r w:rsidR="00A3788C">
        <w:rPr>
          <w:sz w:val="20"/>
          <w:szCs w:val="20"/>
          <w:highlight w:val="white"/>
        </w:rPr>
        <w:t>1</w:t>
      </w:r>
      <w:r>
        <w:rPr>
          <w:sz w:val="20"/>
          <w:szCs w:val="20"/>
          <w:highlight w:val="white"/>
        </w:rPr>
        <w:t xml:space="preserve">). </w:t>
      </w:r>
      <w:bookmarkStart w:id="11" w:name="_b2wd83s108bg" w:colFirst="0" w:colLast="0"/>
      <w:bookmarkStart w:id="12" w:name="_GoBack"/>
      <w:bookmarkEnd w:id="11"/>
      <w:bookmarkEnd w:id="12"/>
    </w:p>
    <w:p w14:paraId="09614BA1" w14:textId="5E711131" w:rsidR="00F254E1" w:rsidRDefault="00DE6001">
      <w:pPr>
        <w:pStyle w:val="Heading3"/>
        <w:spacing w:line="240" w:lineRule="auto"/>
        <w:rPr>
          <w:color w:val="000000"/>
        </w:rPr>
      </w:pPr>
      <w:bookmarkStart w:id="13" w:name="_x0nbyife8z6p" w:colFirst="0" w:colLast="0"/>
      <w:bookmarkEnd w:id="13"/>
      <w:r>
        <w:rPr>
          <w:color w:val="000000"/>
        </w:rPr>
        <w:t>Supplementary T</w:t>
      </w:r>
      <w:r w:rsidR="00463F0C">
        <w:rPr>
          <w:color w:val="000000"/>
        </w:rPr>
        <w:t>able 3</w:t>
      </w:r>
      <w:r w:rsidR="00217B56">
        <w:rPr>
          <w:color w:val="000000"/>
        </w:rPr>
        <w:t xml:space="preserve">.| Correlation results of all connectivity measures with </w:t>
      </w:r>
      <w:proofErr w:type="spellStart"/>
      <w:r w:rsidR="00217B56">
        <w:rPr>
          <w:color w:val="000000"/>
        </w:rPr>
        <w:t>Framewise</w:t>
      </w:r>
      <w:proofErr w:type="spellEnd"/>
      <w:r w:rsidR="00217B56">
        <w:rPr>
          <w:color w:val="000000"/>
        </w:rPr>
        <w:t xml:space="preserve"> Displacement.</w:t>
      </w:r>
    </w:p>
    <w:p w14:paraId="749F02B4" w14:textId="77777777" w:rsidR="00F254E1" w:rsidRDefault="00F254E1">
      <w:pPr>
        <w:rPr>
          <w:sz w:val="18"/>
          <w:szCs w:val="18"/>
        </w:rPr>
      </w:pPr>
    </w:p>
    <w:tbl>
      <w:tblPr>
        <w:tblStyle w:val="a0"/>
        <w:tblW w:w="8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620"/>
        <w:gridCol w:w="1620"/>
        <w:gridCol w:w="1665"/>
        <w:gridCol w:w="1665"/>
      </w:tblGrid>
      <w:tr w:rsidR="00F254E1" w14:paraId="3D7B14AE" w14:textId="77777777">
        <w:tc>
          <w:tcPr>
            <w:tcW w:w="1860" w:type="dxa"/>
            <w:shd w:val="clear" w:color="auto" w:fill="B7B7B7"/>
            <w:tcMar>
              <w:top w:w="100" w:type="dxa"/>
              <w:left w:w="100" w:type="dxa"/>
              <w:bottom w:w="100" w:type="dxa"/>
              <w:right w:w="100" w:type="dxa"/>
            </w:tcMar>
          </w:tcPr>
          <w:p w14:paraId="13379B78" w14:textId="77777777" w:rsidR="00F254E1" w:rsidRDefault="00F254E1">
            <w:pPr>
              <w:widowControl w:val="0"/>
              <w:spacing w:line="240" w:lineRule="auto"/>
              <w:rPr>
                <w:sz w:val="18"/>
                <w:szCs w:val="18"/>
              </w:rPr>
            </w:pPr>
          </w:p>
          <w:p w14:paraId="5754099B" w14:textId="77777777" w:rsidR="00F254E1" w:rsidRDefault="00217B56">
            <w:pPr>
              <w:widowControl w:val="0"/>
              <w:spacing w:line="240" w:lineRule="auto"/>
              <w:rPr>
                <w:sz w:val="18"/>
                <w:szCs w:val="18"/>
              </w:rPr>
            </w:pPr>
            <w:r>
              <w:rPr>
                <w:sz w:val="18"/>
                <w:szCs w:val="18"/>
              </w:rPr>
              <w:t>variable</w:t>
            </w:r>
          </w:p>
        </w:tc>
        <w:tc>
          <w:tcPr>
            <w:tcW w:w="1620" w:type="dxa"/>
            <w:shd w:val="clear" w:color="auto" w:fill="B7B7B7"/>
            <w:tcMar>
              <w:top w:w="100" w:type="dxa"/>
              <w:left w:w="100" w:type="dxa"/>
              <w:bottom w:w="100" w:type="dxa"/>
              <w:right w:w="100" w:type="dxa"/>
            </w:tcMar>
          </w:tcPr>
          <w:p w14:paraId="4E01764B" w14:textId="77777777" w:rsidR="00F254E1" w:rsidRDefault="00217B56">
            <w:pPr>
              <w:widowControl w:val="0"/>
              <w:spacing w:line="240" w:lineRule="auto"/>
              <w:rPr>
                <w:b/>
                <w:sz w:val="18"/>
                <w:szCs w:val="18"/>
              </w:rPr>
            </w:pPr>
            <w:r>
              <w:rPr>
                <w:b/>
                <w:sz w:val="18"/>
                <w:szCs w:val="18"/>
              </w:rPr>
              <w:t>Children</w:t>
            </w:r>
          </w:p>
          <w:p w14:paraId="2924062C" w14:textId="77777777" w:rsidR="00F254E1" w:rsidRDefault="00217B56">
            <w:pPr>
              <w:widowControl w:val="0"/>
              <w:spacing w:line="240" w:lineRule="auto"/>
              <w:rPr>
                <w:sz w:val="18"/>
                <w:szCs w:val="18"/>
              </w:rPr>
            </w:pPr>
            <w:r>
              <w:rPr>
                <w:sz w:val="18"/>
                <w:szCs w:val="18"/>
              </w:rPr>
              <w:t>BL</w:t>
            </w:r>
          </w:p>
        </w:tc>
        <w:tc>
          <w:tcPr>
            <w:tcW w:w="1620" w:type="dxa"/>
            <w:shd w:val="clear" w:color="auto" w:fill="B7B7B7"/>
            <w:tcMar>
              <w:top w:w="100" w:type="dxa"/>
              <w:left w:w="100" w:type="dxa"/>
              <w:bottom w:w="100" w:type="dxa"/>
              <w:right w:w="100" w:type="dxa"/>
            </w:tcMar>
          </w:tcPr>
          <w:p w14:paraId="660D812D" w14:textId="77777777" w:rsidR="00F254E1" w:rsidRDefault="00F254E1">
            <w:pPr>
              <w:widowControl w:val="0"/>
              <w:spacing w:line="240" w:lineRule="auto"/>
              <w:rPr>
                <w:sz w:val="18"/>
                <w:szCs w:val="18"/>
              </w:rPr>
            </w:pPr>
          </w:p>
          <w:p w14:paraId="2F218838" w14:textId="77777777" w:rsidR="00F254E1" w:rsidRDefault="00217B56">
            <w:pPr>
              <w:widowControl w:val="0"/>
              <w:spacing w:line="240" w:lineRule="auto"/>
              <w:rPr>
                <w:sz w:val="18"/>
                <w:szCs w:val="18"/>
              </w:rPr>
            </w:pPr>
            <w:r>
              <w:rPr>
                <w:sz w:val="18"/>
                <w:szCs w:val="18"/>
              </w:rPr>
              <w:t>MPH</w:t>
            </w:r>
          </w:p>
        </w:tc>
        <w:tc>
          <w:tcPr>
            <w:tcW w:w="1665" w:type="dxa"/>
            <w:shd w:val="clear" w:color="auto" w:fill="B7B7B7"/>
            <w:tcMar>
              <w:top w:w="100" w:type="dxa"/>
              <w:left w:w="100" w:type="dxa"/>
              <w:bottom w:w="100" w:type="dxa"/>
              <w:right w:w="100" w:type="dxa"/>
            </w:tcMar>
          </w:tcPr>
          <w:p w14:paraId="3473A343" w14:textId="77777777" w:rsidR="00F254E1" w:rsidRDefault="00217B56">
            <w:pPr>
              <w:widowControl w:val="0"/>
              <w:spacing w:line="240" w:lineRule="auto"/>
              <w:rPr>
                <w:b/>
                <w:sz w:val="18"/>
                <w:szCs w:val="18"/>
              </w:rPr>
            </w:pPr>
            <w:r>
              <w:rPr>
                <w:b/>
                <w:sz w:val="18"/>
                <w:szCs w:val="18"/>
              </w:rPr>
              <w:t>Adults</w:t>
            </w:r>
          </w:p>
          <w:p w14:paraId="534B0FCA" w14:textId="77777777" w:rsidR="00F254E1" w:rsidRDefault="00217B56">
            <w:pPr>
              <w:widowControl w:val="0"/>
              <w:spacing w:line="240" w:lineRule="auto"/>
              <w:rPr>
                <w:sz w:val="18"/>
                <w:szCs w:val="18"/>
              </w:rPr>
            </w:pPr>
            <w:r>
              <w:rPr>
                <w:sz w:val="18"/>
                <w:szCs w:val="18"/>
              </w:rPr>
              <w:t>BL</w:t>
            </w:r>
          </w:p>
        </w:tc>
        <w:tc>
          <w:tcPr>
            <w:tcW w:w="1665" w:type="dxa"/>
            <w:shd w:val="clear" w:color="auto" w:fill="B7B7B7"/>
            <w:tcMar>
              <w:top w:w="100" w:type="dxa"/>
              <w:left w:w="100" w:type="dxa"/>
              <w:bottom w:w="100" w:type="dxa"/>
              <w:right w:w="100" w:type="dxa"/>
            </w:tcMar>
          </w:tcPr>
          <w:p w14:paraId="01A9990B" w14:textId="77777777" w:rsidR="00F254E1" w:rsidRDefault="00F254E1">
            <w:pPr>
              <w:widowControl w:val="0"/>
              <w:spacing w:line="240" w:lineRule="auto"/>
              <w:rPr>
                <w:sz w:val="18"/>
                <w:szCs w:val="18"/>
              </w:rPr>
            </w:pPr>
          </w:p>
          <w:p w14:paraId="6260FA9C" w14:textId="77777777" w:rsidR="00F254E1" w:rsidRDefault="00217B56">
            <w:pPr>
              <w:widowControl w:val="0"/>
              <w:spacing w:line="240" w:lineRule="auto"/>
              <w:rPr>
                <w:sz w:val="18"/>
                <w:szCs w:val="18"/>
              </w:rPr>
            </w:pPr>
            <w:r>
              <w:rPr>
                <w:sz w:val="18"/>
                <w:szCs w:val="18"/>
              </w:rPr>
              <w:t>MPH</w:t>
            </w:r>
          </w:p>
        </w:tc>
      </w:tr>
      <w:tr w:rsidR="00F254E1" w14:paraId="38075E6E" w14:textId="77777777">
        <w:tc>
          <w:tcPr>
            <w:tcW w:w="1860" w:type="dxa"/>
            <w:shd w:val="clear" w:color="auto" w:fill="auto"/>
            <w:tcMar>
              <w:top w:w="100" w:type="dxa"/>
              <w:left w:w="100" w:type="dxa"/>
              <w:bottom w:w="100" w:type="dxa"/>
              <w:right w:w="100" w:type="dxa"/>
            </w:tcMar>
          </w:tcPr>
          <w:p w14:paraId="35D52CA1" w14:textId="77777777" w:rsidR="00F254E1" w:rsidRDefault="00217B56">
            <w:pPr>
              <w:widowControl w:val="0"/>
              <w:spacing w:line="240" w:lineRule="auto"/>
              <w:rPr>
                <w:b/>
                <w:sz w:val="18"/>
                <w:szCs w:val="18"/>
              </w:rPr>
            </w:pPr>
            <w:r>
              <w:rPr>
                <w:b/>
                <w:sz w:val="18"/>
                <w:szCs w:val="18"/>
              </w:rPr>
              <w:t>STRIATUM</w:t>
            </w:r>
          </w:p>
        </w:tc>
        <w:tc>
          <w:tcPr>
            <w:tcW w:w="1620" w:type="dxa"/>
            <w:shd w:val="clear" w:color="auto" w:fill="auto"/>
            <w:tcMar>
              <w:top w:w="100" w:type="dxa"/>
              <w:left w:w="100" w:type="dxa"/>
              <w:bottom w:w="100" w:type="dxa"/>
              <w:right w:w="100" w:type="dxa"/>
            </w:tcMar>
          </w:tcPr>
          <w:p w14:paraId="4E1DF906" w14:textId="77777777" w:rsidR="00F254E1" w:rsidRDefault="00F254E1">
            <w:pPr>
              <w:widowControl w:val="0"/>
              <w:spacing w:line="240" w:lineRule="auto"/>
              <w:rPr>
                <w:sz w:val="18"/>
                <w:szCs w:val="18"/>
              </w:rPr>
            </w:pPr>
          </w:p>
        </w:tc>
        <w:tc>
          <w:tcPr>
            <w:tcW w:w="1620" w:type="dxa"/>
            <w:shd w:val="clear" w:color="auto" w:fill="auto"/>
            <w:tcMar>
              <w:top w:w="100" w:type="dxa"/>
              <w:left w:w="100" w:type="dxa"/>
              <w:bottom w:w="100" w:type="dxa"/>
              <w:right w:w="100" w:type="dxa"/>
            </w:tcMar>
          </w:tcPr>
          <w:p w14:paraId="6EE74187"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38C9DCE4"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332BF29E" w14:textId="77777777" w:rsidR="00F254E1" w:rsidRDefault="00F254E1">
            <w:pPr>
              <w:widowControl w:val="0"/>
              <w:spacing w:line="240" w:lineRule="auto"/>
              <w:rPr>
                <w:sz w:val="18"/>
                <w:szCs w:val="18"/>
              </w:rPr>
            </w:pPr>
          </w:p>
        </w:tc>
      </w:tr>
      <w:tr w:rsidR="00F254E1" w14:paraId="73E7406E" w14:textId="77777777">
        <w:tc>
          <w:tcPr>
            <w:tcW w:w="1860" w:type="dxa"/>
            <w:shd w:val="clear" w:color="auto" w:fill="auto"/>
            <w:tcMar>
              <w:top w:w="100" w:type="dxa"/>
              <w:left w:w="100" w:type="dxa"/>
              <w:bottom w:w="100" w:type="dxa"/>
              <w:right w:w="100" w:type="dxa"/>
            </w:tcMar>
          </w:tcPr>
          <w:p w14:paraId="0DBE834C" w14:textId="77777777" w:rsidR="00F254E1" w:rsidRDefault="00217B56">
            <w:pPr>
              <w:widowControl w:val="0"/>
              <w:spacing w:line="240" w:lineRule="auto"/>
              <w:rPr>
                <w:sz w:val="18"/>
                <w:szCs w:val="18"/>
              </w:rPr>
            </w:pPr>
            <w:r>
              <w:rPr>
                <w:sz w:val="18"/>
                <w:szCs w:val="18"/>
              </w:rPr>
              <w:t>strength</w:t>
            </w:r>
          </w:p>
        </w:tc>
        <w:tc>
          <w:tcPr>
            <w:tcW w:w="1620" w:type="dxa"/>
            <w:shd w:val="clear" w:color="auto" w:fill="auto"/>
            <w:tcMar>
              <w:top w:w="100" w:type="dxa"/>
              <w:left w:w="100" w:type="dxa"/>
              <w:bottom w:w="100" w:type="dxa"/>
              <w:right w:w="100" w:type="dxa"/>
            </w:tcMar>
          </w:tcPr>
          <w:p w14:paraId="60BFAC36" w14:textId="77777777" w:rsidR="00F254E1" w:rsidRDefault="00217B56">
            <w:pPr>
              <w:widowControl w:val="0"/>
              <w:spacing w:line="240" w:lineRule="auto"/>
              <w:rPr>
                <w:sz w:val="18"/>
                <w:szCs w:val="18"/>
              </w:rPr>
            </w:pPr>
            <w:r>
              <w:rPr>
                <w:sz w:val="18"/>
                <w:szCs w:val="18"/>
              </w:rPr>
              <w:t>r=-0.07,p=0.60</w:t>
            </w:r>
          </w:p>
        </w:tc>
        <w:tc>
          <w:tcPr>
            <w:tcW w:w="1620" w:type="dxa"/>
            <w:shd w:val="clear" w:color="auto" w:fill="auto"/>
            <w:tcMar>
              <w:top w:w="100" w:type="dxa"/>
              <w:left w:w="100" w:type="dxa"/>
              <w:bottom w:w="100" w:type="dxa"/>
              <w:right w:w="100" w:type="dxa"/>
            </w:tcMar>
          </w:tcPr>
          <w:p w14:paraId="343E76E6" w14:textId="77777777" w:rsidR="00F254E1" w:rsidRDefault="00217B56">
            <w:pPr>
              <w:widowControl w:val="0"/>
              <w:spacing w:line="240" w:lineRule="auto"/>
              <w:rPr>
                <w:sz w:val="18"/>
                <w:szCs w:val="18"/>
              </w:rPr>
            </w:pPr>
            <w:r>
              <w:rPr>
                <w:sz w:val="18"/>
                <w:szCs w:val="18"/>
              </w:rPr>
              <w:t>r=-0.24, p=0.12</w:t>
            </w:r>
          </w:p>
        </w:tc>
        <w:tc>
          <w:tcPr>
            <w:tcW w:w="1665" w:type="dxa"/>
            <w:shd w:val="clear" w:color="auto" w:fill="auto"/>
            <w:tcMar>
              <w:top w:w="100" w:type="dxa"/>
              <w:left w:w="100" w:type="dxa"/>
              <w:bottom w:w="100" w:type="dxa"/>
              <w:right w:w="100" w:type="dxa"/>
            </w:tcMar>
          </w:tcPr>
          <w:p w14:paraId="5B6422E1" w14:textId="77777777" w:rsidR="00F254E1" w:rsidRDefault="00217B56">
            <w:pPr>
              <w:widowControl w:val="0"/>
              <w:spacing w:line="240" w:lineRule="auto"/>
              <w:rPr>
                <w:sz w:val="18"/>
                <w:szCs w:val="18"/>
              </w:rPr>
            </w:pPr>
            <w:r>
              <w:rPr>
                <w:sz w:val="18"/>
                <w:szCs w:val="18"/>
              </w:rPr>
              <w:t>r=-0.12, p=0.38</w:t>
            </w:r>
          </w:p>
        </w:tc>
        <w:tc>
          <w:tcPr>
            <w:tcW w:w="1665" w:type="dxa"/>
            <w:shd w:val="clear" w:color="auto" w:fill="auto"/>
            <w:tcMar>
              <w:top w:w="100" w:type="dxa"/>
              <w:left w:w="100" w:type="dxa"/>
              <w:bottom w:w="100" w:type="dxa"/>
              <w:right w:w="100" w:type="dxa"/>
            </w:tcMar>
          </w:tcPr>
          <w:p w14:paraId="2B9AFCF6" w14:textId="77777777" w:rsidR="00F254E1" w:rsidRDefault="00217B56">
            <w:pPr>
              <w:widowControl w:val="0"/>
              <w:spacing w:line="240" w:lineRule="auto"/>
              <w:rPr>
                <w:sz w:val="18"/>
                <w:szCs w:val="18"/>
              </w:rPr>
            </w:pPr>
            <w:r>
              <w:rPr>
                <w:sz w:val="18"/>
                <w:szCs w:val="18"/>
              </w:rPr>
              <w:t>r=-0.20, p=0.18</w:t>
            </w:r>
          </w:p>
        </w:tc>
      </w:tr>
      <w:tr w:rsidR="00F254E1" w14:paraId="472DBA13" w14:textId="77777777">
        <w:tc>
          <w:tcPr>
            <w:tcW w:w="1860" w:type="dxa"/>
            <w:shd w:val="clear" w:color="auto" w:fill="auto"/>
            <w:tcMar>
              <w:top w:w="100" w:type="dxa"/>
              <w:left w:w="100" w:type="dxa"/>
              <w:bottom w:w="100" w:type="dxa"/>
              <w:right w:w="100" w:type="dxa"/>
            </w:tcMar>
          </w:tcPr>
          <w:p w14:paraId="099FBEB7" w14:textId="77777777" w:rsidR="00F254E1" w:rsidRDefault="00217B56">
            <w:pPr>
              <w:widowControl w:val="0"/>
              <w:spacing w:line="240" w:lineRule="auto"/>
              <w:rPr>
                <w:sz w:val="18"/>
                <w:szCs w:val="18"/>
              </w:rPr>
            </w:pPr>
            <w:r>
              <w:rPr>
                <w:sz w:val="18"/>
                <w:szCs w:val="18"/>
              </w:rPr>
              <w:t>Eigenvector centrality</w:t>
            </w:r>
          </w:p>
        </w:tc>
        <w:tc>
          <w:tcPr>
            <w:tcW w:w="1620" w:type="dxa"/>
            <w:shd w:val="clear" w:color="auto" w:fill="auto"/>
            <w:tcMar>
              <w:top w:w="100" w:type="dxa"/>
              <w:left w:w="100" w:type="dxa"/>
              <w:bottom w:w="100" w:type="dxa"/>
              <w:right w:w="100" w:type="dxa"/>
            </w:tcMar>
          </w:tcPr>
          <w:p w14:paraId="5064249B" w14:textId="77777777" w:rsidR="00F254E1" w:rsidRDefault="00217B56">
            <w:pPr>
              <w:widowControl w:val="0"/>
              <w:spacing w:line="240" w:lineRule="auto"/>
              <w:rPr>
                <w:sz w:val="18"/>
                <w:szCs w:val="18"/>
              </w:rPr>
            </w:pPr>
            <w:r>
              <w:rPr>
                <w:sz w:val="18"/>
                <w:szCs w:val="18"/>
              </w:rPr>
              <w:t>r=-0.01, p=0.94</w:t>
            </w:r>
          </w:p>
        </w:tc>
        <w:tc>
          <w:tcPr>
            <w:tcW w:w="1620" w:type="dxa"/>
            <w:shd w:val="clear" w:color="auto" w:fill="auto"/>
            <w:tcMar>
              <w:top w:w="100" w:type="dxa"/>
              <w:left w:w="100" w:type="dxa"/>
              <w:bottom w:w="100" w:type="dxa"/>
              <w:right w:w="100" w:type="dxa"/>
            </w:tcMar>
          </w:tcPr>
          <w:p w14:paraId="2CDD3C01" w14:textId="77777777" w:rsidR="00F254E1" w:rsidRDefault="00217B56">
            <w:pPr>
              <w:widowControl w:val="0"/>
              <w:spacing w:line="240" w:lineRule="auto"/>
              <w:rPr>
                <w:sz w:val="18"/>
                <w:szCs w:val="18"/>
              </w:rPr>
            </w:pPr>
            <w:r>
              <w:rPr>
                <w:sz w:val="18"/>
                <w:szCs w:val="18"/>
              </w:rPr>
              <w:t>r=0.2, p=0.19</w:t>
            </w:r>
          </w:p>
        </w:tc>
        <w:tc>
          <w:tcPr>
            <w:tcW w:w="1665" w:type="dxa"/>
            <w:shd w:val="clear" w:color="auto" w:fill="auto"/>
            <w:tcMar>
              <w:top w:w="100" w:type="dxa"/>
              <w:left w:w="100" w:type="dxa"/>
              <w:bottom w:w="100" w:type="dxa"/>
              <w:right w:w="100" w:type="dxa"/>
            </w:tcMar>
          </w:tcPr>
          <w:p w14:paraId="3E53C935" w14:textId="77777777" w:rsidR="00F254E1" w:rsidRDefault="00217B56">
            <w:pPr>
              <w:widowControl w:val="0"/>
              <w:spacing w:line="240" w:lineRule="auto"/>
              <w:rPr>
                <w:sz w:val="18"/>
                <w:szCs w:val="18"/>
              </w:rPr>
            </w:pPr>
            <w:r>
              <w:rPr>
                <w:sz w:val="18"/>
                <w:szCs w:val="18"/>
              </w:rPr>
              <w:t>r=-0.12, p=0.37</w:t>
            </w:r>
          </w:p>
        </w:tc>
        <w:tc>
          <w:tcPr>
            <w:tcW w:w="1665" w:type="dxa"/>
            <w:shd w:val="clear" w:color="auto" w:fill="auto"/>
            <w:tcMar>
              <w:top w:w="100" w:type="dxa"/>
              <w:left w:w="100" w:type="dxa"/>
              <w:bottom w:w="100" w:type="dxa"/>
              <w:right w:w="100" w:type="dxa"/>
            </w:tcMar>
          </w:tcPr>
          <w:p w14:paraId="2F5ABDBD" w14:textId="77777777" w:rsidR="00F254E1" w:rsidRDefault="00217B56">
            <w:pPr>
              <w:widowControl w:val="0"/>
              <w:spacing w:line="240" w:lineRule="auto"/>
              <w:rPr>
                <w:sz w:val="18"/>
                <w:szCs w:val="18"/>
              </w:rPr>
            </w:pPr>
            <w:r>
              <w:rPr>
                <w:sz w:val="18"/>
                <w:szCs w:val="18"/>
              </w:rPr>
              <w:t>r=-0.03, p=0.85</w:t>
            </w:r>
          </w:p>
        </w:tc>
      </w:tr>
      <w:tr w:rsidR="00F254E1" w14:paraId="509A2937" w14:textId="77777777">
        <w:tc>
          <w:tcPr>
            <w:tcW w:w="1860" w:type="dxa"/>
            <w:shd w:val="clear" w:color="auto" w:fill="auto"/>
            <w:tcMar>
              <w:top w:w="100" w:type="dxa"/>
              <w:left w:w="100" w:type="dxa"/>
              <w:bottom w:w="100" w:type="dxa"/>
              <w:right w:w="100" w:type="dxa"/>
            </w:tcMar>
          </w:tcPr>
          <w:p w14:paraId="40485081" w14:textId="77777777" w:rsidR="00F254E1" w:rsidRDefault="00217B56">
            <w:pPr>
              <w:widowControl w:val="0"/>
              <w:spacing w:line="240" w:lineRule="auto"/>
              <w:rPr>
                <w:sz w:val="18"/>
                <w:szCs w:val="18"/>
              </w:rPr>
            </w:pPr>
            <w:proofErr w:type="spellStart"/>
            <w:r>
              <w:rPr>
                <w:sz w:val="18"/>
                <w:szCs w:val="18"/>
              </w:rPr>
              <w:t>Betweenness</w:t>
            </w:r>
            <w:proofErr w:type="spellEnd"/>
            <w:r>
              <w:rPr>
                <w:sz w:val="18"/>
                <w:szCs w:val="18"/>
              </w:rPr>
              <w:t xml:space="preserve"> Centrality</w:t>
            </w:r>
          </w:p>
        </w:tc>
        <w:tc>
          <w:tcPr>
            <w:tcW w:w="1620" w:type="dxa"/>
            <w:shd w:val="clear" w:color="auto" w:fill="auto"/>
            <w:tcMar>
              <w:top w:w="100" w:type="dxa"/>
              <w:left w:w="100" w:type="dxa"/>
              <w:bottom w:w="100" w:type="dxa"/>
              <w:right w:w="100" w:type="dxa"/>
            </w:tcMar>
          </w:tcPr>
          <w:p w14:paraId="31454A64" w14:textId="77777777" w:rsidR="00F254E1" w:rsidRDefault="00217B56">
            <w:pPr>
              <w:widowControl w:val="0"/>
              <w:spacing w:line="240" w:lineRule="auto"/>
              <w:rPr>
                <w:sz w:val="18"/>
                <w:szCs w:val="18"/>
              </w:rPr>
            </w:pPr>
            <w:r>
              <w:rPr>
                <w:sz w:val="18"/>
                <w:szCs w:val="18"/>
              </w:rPr>
              <w:t>r=0.23, p=0.08</w:t>
            </w:r>
          </w:p>
        </w:tc>
        <w:tc>
          <w:tcPr>
            <w:tcW w:w="1620" w:type="dxa"/>
            <w:shd w:val="clear" w:color="auto" w:fill="auto"/>
            <w:tcMar>
              <w:top w:w="100" w:type="dxa"/>
              <w:left w:w="100" w:type="dxa"/>
              <w:bottom w:w="100" w:type="dxa"/>
              <w:right w:w="100" w:type="dxa"/>
            </w:tcMar>
          </w:tcPr>
          <w:p w14:paraId="4A43BCE3" w14:textId="77777777" w:rsidR="00F254E1" w:rsidRDefault="00217B56">
            <w:pPr>
              <w:widowControl w:val="0"/>
              <w:spacing w:line="240" w:lineRule="auto"/>
              <w:rPr>
                <w:sz w:val="18"/>
                <w:szCs w:val="18"/>
              </w:rPr>
            </w:pPr>
            <w:r>
              <w:rPr>
                <w:sz w:val="18"/>
                <w:szCs w:val="18"/>
              </w:rPr>
              <w:t>r&lt;0.01, 0.98</w:t>
            </w:r>
          </w:p>
        </w:tc>
        <w:tc>
          <w:tcPr>
            <w:tcW w:w="1665" w:type="dxa"/>
            <w:shd w:val="clear" w:color="auto" w:fill="auto"/>
            <w:tcMar>
              <w:top w:w="100" w:type="dxa"/>
              <w:left w:w="100" w:type="dxa"/>
              <w:bottom w:w="100" w:type="dxa"/>
              <w:right w:w="100" w:type="dxa"/>
            </w:tcMar>
          </w:tcPr>
          <w:p w14:paraId="23B23326" w14:textId="77777777" w:rsidR="00F254E1" w:rsidRDefault="00217B56">
            <w:pPr>
              <w:widowControl w:val="0"/>
              <w:spacing w:line="240" w:lineRule="auto"/>
              <w:rPr>
                <w:sz w:val="18"/>
                <w:szCs w:val="18"/>
              </w:rPr>
            </w:pPr>
            <w:r>
              <w:rPr>
                <w:sz w:val="18"/>
                <w:szCs w:val="18"/>
              </w:rPr>
              <w:t>r=0.02, p=0.91</w:t>
            </w:r>
          </w:p>
        </w:tc>
        <w:tc>
          <w:tcPr>
            <w:tcW w:w="1665" w:type="dxa"/>
            <w:shd w:val="clear" w:color="auto" w:fill="auto"/>
            <w:tcMar>
              <w:top w:w="100" w:type="dxa"/>
              <w:left w:w="100" w:type="dxa"/>
              <w:bottom w:w="100" w:type="dxa"/>
              <w:right w:w="100" w:type="dxa"/>
            </w:tcMar>
          </w:tcPr>
          <w:p w14:paraId="0660F4C0" w14:textId="77777777" w:rsidR="00F254E1" w:rsidRDefault="00217B56">
            <w:pPr>
              <w:widowControl w:val="0"/>
              <w:spacing w:line="240" w:lineRule="auto"/>
              <w:rPr>
                <w:sz w:val="18"/>
                <w:szCs w:val="18"/>
              </w:rPr>
            </w:pPr>
            <w:r>
              <w:rPr>
                <w:sz w:val="18"/>
                <w:szCs w:val="18"/>
              </w:rPr>
              <w:t>r=-0.18, p=0.24</w:t>
            </w:r>
          </w:p>
        </w:tc>
      </w:tr>
      <w:tr w:rsidR="00F254E1" w14:paraId="16B91BA0" w14:textId="77777777">
        <w:tc>
          <w:tcPr>
            <w:tcW w:w="1860" w:type="dxa"/>
            <w:shd w:val="clear" w:color="auto" w:fill="auto"/>
            <w:tcMar>
              <w:top w:w="100" w:type="dxa"/>
              <w:left w:w="100" w:type="dxa"/>
              <w:bottom w:w="100" w:type="dxa"/>
              <w:right w:w="100" w:type="dxa"/>
            </w:tcMar>
          </w:tcPr>
          <w:p w14:paraId="452BF70D" w14:textId="77777777" w:rsidR="00F254E1" w:rsidRDefault="00217B56">
            <w:pPr>
              <w:widowControl w:val="0"/>
              <w:spacing w:line="240" w:lineRule="auto"/>
              <w:rPr>
                <w:b/>
                <w:sz w:val="18"/>
                <w:szCs w:val="18"/>
              </w:rPr>
            </w:pPr>
            <w:r>
              <w:rPr>
                <w:b/>
                <w:sz w:val="18"/>
                <w:szCs w:val="18"/>
              </w:rPr>
              <w:t>THALAMUS</w:t>
            </w:r>
          </w:p>
        </w:tc>
        <w:tc>
          <w:tcPr>
            <w:tcW w:w="1620" w:type="dxa"/>
            <w:shd w:val="clear" w:color="auto" w:fill="auto"/>
            <w:tcMar>
              <w:top w:w="100" w:type="dxa"/>
              <w:left w:w="100" w:type="dxa"/>
              <w:bottom w:w="100" w:type="dxa"/>
              <w:right w:w="100" w:type="dxa"/>
            </w:tcMar>
          </w:tcPr>
          <w:p w14:paraId="42B17FEB" w14:textId="77777777" w:rsidR="00F254E1" w:rsidRDefault="00F254E1">
            <w:pPr>
              <w:widowControl w:val="0"/>
              <w:spacing w:line="240" w:lineRule="auto"/>
              <w:rPr>
                <w:b/>
                <w:sz w:val="18"/>
                <w:szCs w:val="18"/>
              </w:rPr>
            </w:pPr>
          </w:p>
        </w:tc>
        <w:tc>
          <w:tcPr>
            <w:tcW w:w="1620" w:type="dxa"/>
            <w:shd w:val="clear" w:color="auto" w:fill="auto"/>
            <w:tcMar>
              <w:top w:w="100" w:type="dxa"/>
              <w:left w:w="100" w:type="dxa"/>
              <w:bottom w:w="100" w:type="dxa"/>
              <w:right w:w="100" w:type="dxa"/>
            </w:tcMar>
          </w:tcPr>
          <w:p w14:paraId="2E853E2D"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48AF1C17"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00D56CBC" w14:textId="77777777" w:rsidR="00F254E1" w:rsidRDefault="00F254E1">
            <w:pPr>
              <w:widowControl w:val="0"/>
              <w:spacing w:line="240" w:lineRule="auto"/>
              <w:rPr>
                <w:sz w:val="18"/>
                <w:szCs w:val="18"/>
              </w:rPr>
            </w:pPr>
          </w:p>
        </w:tc>
      </w:tr>
      <w:tr w:rsidR="00F254E1" w14:paraId="45436984" w14:textId="77777777">
        <w:tc>
          <w:tcPr>
            <w:tcW w:w="1860" w:type="dxa"/>
            <w:shd w:val="clear" w:color="auto" w:fill="auto"/>
            <w:tcMar>
              <w:top w:w="100" w:type="dxa"/>
              <w:left w:w="100" w:type="dxa"/>
              <w:bottom w:w="100" w:type="dxa"/>
              <w:right w:w="100" w:type="dxa"/>
            </w:tcMar>
          </w:tcPr>
          <w:p w14:paraId="56658CDC" w14:textId="77777777" w:rsidR="00F254E1" w:rsidRDefault="00217B56">
            <w:pPr>
              <w:widowControl w:val="0"/>
              <w:spacing w:line="240" w:lineRule="auto"/>
              <w:rPr>
                <w:sz w:val="18"/>
                <w:szCs w:val="18"/>
              </w:rPr>
            </w:pPr>
            <w:r>
              <w:rPr>
                <w:sz w:val="18"/>
                <w:szCs w:val="18"/>
              </w:rPr>
              <w:t>strength</w:t>
            </w:r>
          </w:p>
        </w:tc>
        <w:tc>
          <w:tcPr>
            <w:tcW w:w="1620" w:type="dxa"/>
            <w:shd w:val="clear" w:color="auto" w:fill="auto"/>
            <w:tcMar>
              <w:top w:w="100" w:type="dxa"/>
              <w:left w:w="100" w:type="dxa"/>
              <w:bottom w:w="100" w:type="dxa"/>
              <w:right w:w="100" w:type="dxa"/>
            </w:tcMar>
          </w:tcPr>
          <w:p w14:paraId="10D9C10F" w14:textId="77777777" w:rsidR="00F254E1" w:rsidRDefault="00217B56">
            <w:pPr>
              <w:widowControl w:val="0"/>
              <w:spacing w:line="240" w:lineRule="auto"/>
              <w:rPr>
                <w:sz w:val="18"/>
                <w:szCs w:val="18"/>
              </w:rPr>
            </w:pPr>
            <w:r>
              <w:rPr>
                <w:sz w:val="18"/>
                <w:szCs w:val="18"/>
              </w:rPr>
              <w:t>r=0.01, p=0.92</w:t>
            </w:r>
          </w:p>
        </w:tc>
        <w:tc>
          <w:tcPr>
            <w:tcW w:w="1620" w:type="dxa"/>
            <w:shd w:val="clear" w:color="auto" w:fill="auto"/>
            <w:tcMar>
              <w:top w:w="100" w:type="dxa"/>
              <w:left w:w="100" w:type="dxa"/>
              <w:bottom w:w="100" w:type="dxa"/>
              <w:right w:w="100" w:type="dxa"/>
            </w:tcMar>
          </w:tcPr>
          <w:p w14:paraId="0CD01240" w14:textId="77777777" w:rsidR="00F254E1" w:rsidRDefault="00217B56">
            <w:pPr>
              <w:widowControl w:val="0"/>
              <w:spacing w:line="240" w:lineRule="auto"/>
              <w:rPr>
                <w:sz w:val="18"/>
                <w:szCs w:val="18"/>
              </w:rPr>
            </w:pPr>
            <w:r>
              <w:rPr>
                <w:sz w:val="18"/>
                <w:szCs w:val="18"/>
              </w:rPr>
              <w:t>r=0.01, p=0.96</w:t>
            </w:r>
          </w:p>
        </w:tc>
        <w:tc>
          <w:tcPr>
            <w:tcW w:w="1665" w:type="dxa"/>
            <w:shd w:val="clear" w:color="auto" w:fill="auto"/>
            <w:tcMar>
              <w:top w:w="100" w:type="dxa"/>
              <w:left w:w="100" w:type="dxa"/>
              <w:bottom w:w="100" w:type="dxa"/>
              <w:right w:w="100" w:type="dxa"/>
            </w:tcMar>
          </w:tcPr>
          <w:p w14:paraId="2558E4C3" w14:textId="77777777" w:rsidR="00F254E1" w:rsidRDefault="00217B56">
            <w:pPr>
              <w:widowControl w:val="0"/>
              <w:spacing w:line="240" w:lineRule="auto"/>
              <w:rPr>
                <w:sz w:val="18"/>
                <w:szCs w:val="18"/>
              </w:rPr>
            </w:pPr>
            <w:r>
              <w:rPr>
                <w:sz w:val="18"/>
                <w:szCs w:val="18"/>
              </w:rPr>
              <w:t>r=-0.06, p=0.67</w:t>
            </w:r>
          </w:p>
        </w:tc>
        <w:tc>
          <w:tcPr>
            <w:tcW w:w="1665" w:type="dxa"/>
            <w:shd w:val="clear" w:color="auto" w:fill="auto"/>
            <w:tcMar>
              <w:top w:w="100" w:type="dxa"/>
              <w:left w:w="100" w:type="dxa"/>
              <w:bottom w:w="100" w:type="dxa"/>
              <w:right w:w="100" w:type="dxa"/>
            </w:tcMar>
          </w:tcPr>
          <w:p w14:paraId="5E4CD991" w14:textId="77777777" w:rsidR="00F254E1" w:rsidRDefault="00217B56">
            <w:pPr>
              <w:widowControl w:val="0"/>
              <w:spacing w:line="240" w:lineRule="auto"/>
              <w:rPr>
                <w:sz w:val="18"/>
                <w:szCs w:val="18"/>
              </w:rPr>
            </w:pPr>
            <w:r>
              <w:rPr>
                <w:sz w:val="18"/>
                <w:szCs w:val="18"/>
              </w:rPr>
              <w:t>r=-0.25, p=0.10</w:t>
            </w:r>
          </w:p>
        </w:tc>
      </w:tr>
      <w:tr w:rsidR="00F254E1" w14:paraId="36B7AD24" w14:textId="77777777">
        <w:tc>
          <w:tcPr>
            <w:tcW w:w="1860" w:type="dxa"/>
            <w:shd w:val="clear" w:color="auto" w:fill="auto"/>
            <w:tcMar>
              <w:top w:w="100" w:type="dxa"/>
              <w:left w:w="100" w:type="dxa"/>
              <w:bottom w:w="100" w:type="dxa"/>
              <w:right w:w="100" w:type="dxa"/>
            </w:tcMar>
          </w:tcPr>
          <w:p w14:paraId="4633BEA0" w14:textId="77777777" w:rsidR="00F254E1" w:rsidRDefault="00217B56">
            <w:pPr>
              <w:widowControl w:val="0"/>
              <w:spacing w:line="240" w:lineRule="auto"/>
              <w:rPr>
                <w:sz w:val="18"/>
                <w:szCs w:val="18"/>
              </w:rPr>
            </w:pPr>
            <w:r>
              <w:rPr>
                <w:sz w:val="18"/>
                <w:szCs w:val="18"/>
              </w:rPr>
              <w:t>Eigenvector centrality</w:t>
            </w:r>
          </w:p>
        </w:tc>
        <w:tc>
          <w:tcPr>
            <w:tcW w:w="1620" w:type="dxa"/>
            <w:shd w:val="clear" w:color="auto" w:fill="auto"/>
            <w:tcMar>
              <w:top w:w="100" w:type="dxa"/>
              <w:left w:w="100" w:type="dxa"/>
              <w:bottom w:w="100" w:type="dxa"/>
              <w:right w:w="100" w:type="dxa"/>
            </w:tcMar>
          </w:tcPr>
          <w:p w14:paraId="4A24D984" w14:textId="77777777" w:rsidR="00F254E1" w:rsidRDefault="00217B56">
            <w:pPr>
              <w:widowControl w:val="0"/>
              <w:spacing w:line="240" w:lineRule="auto"/>
              <w:rPr>
                <w:sz w:val="18"/>
                <w:szCs w:val="18"/>
              </w:rPr>
            </w:pPr>
            <w:r>
              <w:rPr>
                <w:sz w:val="18"/>
                <w:szCs w:val="18"/>
              </w:rPr>
              <w:t>r=0.17, p=0.21</w:t>
            </w:r>
          </w:p>
        </w:tc>
        <w:tc>
          <w:tcPr>
            <w:tcW w:w="1620" w:type="dxa"/>
            <w:shd w:val="clear" w:color="auto" w:fill="auto"/>
            <w:tcMar>
              <w:top w:w="100" w:type="dxa"/>
              <w:left w:w="100" w:type="dxa"/>
              <w:bottom w:w="100" w:type="dxa"/>
              <w:right w:w="100" w:type="dxa"/>
            </w:tcMar>
          </w:tcPr>
          <w:p w14:paraId="02B96B2F" w14:textId="77777777" w:rsidR="00F254E1" w:rsidRDefault="00217B56">
            <w:pPr>
              <w:widowControl w:val="0"/>
              <w:spacing w:line="240" w:lineRule="auto"/>
              <w:rPr>
                <w:sz w:val="18"/>
                <w:szCs w:val="18"/>
              </w:rPr>
            </w:pPr>
            <w:r>
              <w:rPr>
                <w:sz w:val="18"/>
                <w:szCs w:val="18"/>
              </w:rPr>
              <w:t>r=0.10, p=0.53</w:t>
            </w:r>
          </w:p>
        </w:tc>
        <w:tc>
          <w:tcPr>
            <w:tcW w:w="1665" w:type="dxa"/>
            <w:shd w:val="clear" w:color="auto" w:fill="auto"/>
            <w:tcMar>
              <w:top w:w="100" w:type="dxa"/>
              <w:left w:w="100" w:type="dxa"/>
              <w:bottom w:w="100" w:type="dxa"/>
              <w:right w:w="100" w:type="dxa"/>
            </w:tcMar>
          </w:tcPr>
          <w:p w14:paraId="1E518F77" w14:textId="77777777" w:rsidR="00F254E1" w:rsidRDefault="00217B56">
            <w:pPr>
              <w:widowControl w:val="0"/>
              <w:spacing w:line="240" w:lineRule="auto"/>
              <w:rPr>
                <w:sz w:val="18"/>
                <w:szCs w:val="18"/>
              </w:rPr>
            </w:pPr>
            <w:r>
              <w:rPr>
                <w:sz w:val="18"/>
                <w:szCs w:val="18"/>
              </w:rPr>
              <w:t>r=-0.03, p=0.84</w:t>
            </w:r>
          </w:p>
        </w:tc>
        <w:tc>
          <w:tcPr>
            <w:tcW w:w="1665" w:type="dxa"/>
            <w:shd w:val="clear" w:color="auto" w:fill="auto"/>
            <w:tcMar>
              <w:top w:w="100" w:type="dxa"/>
              <w:left w:w="100" w:type="dxa"/>
              <w:bottom w:w="100" w:type="dxa"/>
              <w:right w:w="100" w:type="dxa"/>
            </w:tcMar>
          </w:tcPr>
          <w:p w14:paraId="39F99436" w14:textId="77777777" w:rsidR="00F254E1" w:rsidRDefault="00217B56">
            <w:pPr>
              <w:widowControl w:val="0"/>
              <w:spacing w:line="240" w:lineRule="auto"/>
              <w:rPr>
                <w:sz w:val="18"/>
                <w:szCs w:val="18"/>
              </w:rPr>
            </w:pPr>
            <w:r>
              <w:rPr>
                <w:sz w:val="18"/>
                <w:szCs w:val="18"/>
              </w:rPr>
              <w:t>r=-0.14, p=0.36</w:t>
            </w:r>
          </w:p>
        </w:tc>
      </w:tr>
      <w:tr w:rsidR="00F254E1" w14:paraId="6AFC7F86" w14:textId="77777777">
        <w:tc>
          <w:tcPr>
            <w:tcW w:w="1860" w:type="dxa"/>
            <w:shd w:val="clear" w:color="auto" w:fill="auto"/>
            <w:tcMar>
              <w:top w:w="100" w:type="dxa"/>
              <w:left w:w="100" w:type="dxa"/>
              <w:bottom w:w="100" w:type="dxa"/>
              <w:right w:w="100" w:type="dxa"/>
            </w:tcMar>
          </w:tcPr>
          <w:p w14:paraId="3F7A0988" w14:textId="77777777" w:rsidR="00F254E1" w:rsidRDefault="00217B56">
            <w:pPr>
              <w:widowControl w:val="0"/>
              <w:spacing w:line="240" w:lineRule="auto"/>
              <w:rPr>
                <w:sz w:val="18"/>
                <w:szCs w:val="18"/>
              </w:rPr>
            </w:pPr>
            <w:proofErr w:type="spellStart"/>
            <w:r>
              <w:rPr>
                <w:sz w:val="18"/>
                <w:szCs w:val="18"/>
              </w:rPr>
              <w:t>Betweenness</w:t>
            </w:r>
            <w:proofErr w:type="spellEnd"/>
            <w:r>
              <w:rPr>
                <w:sz w:val="18"/>
                <w:szCs w:val="18"/>
              </w:rPr>
              <w:t xml:space="preserve"> Centrality</w:t>
            </w:r>
          </w:p>
        </w:tc>
        <w:tc>
          <w:tcPr>
            <w:tcW w:w="1620" w:type="dxa"/>
            <w:shd w:val="clear" w:color="auto" w:fill="auto"/>
            <w:tcMar>
              <w:top w:w="100" w:type="dxa"/>
              <w:left w:w="100" w:type="dxa"/>
              <w:bottom w:w="100" w:type="dxa"/>
              <w:right w:w="100" w:type="dxa"/>
            </w:tcMar>
          </w:tcPr>
          <w:p w14:paraId="47CC7CE0" w14:textId="77777777" w:rsidR="00F254E1" w:rsidRDefault="00217B56">
            <w:pPr>
              <w:widowControl w:val="0"/>
              <w:spacing w:line="240" w:lineRule="auto"/>
              <w:rPr>
                <w:sz w:val="18"/>
                <w:szCs w:val="18"/>
              </w:rPr>
            </w:pPr>
            <w:r>
              <w:rPr>
                <w:sz w:val="18"/>
                <w:szCs w:val="18"/>
              </w:rPr>
              <w:t>r=0.18, p=0.17</w:t>
            </w:r>
          </w:p>
        </w:tc>
        <w:tc>
          <w:tcPr>
            <w:tcW w:w="1620" w:type="dxa"/>
            <w:shd w:val="clear" w:color="auto" w:fill="auto"/>
            <w:tcMar>
              <w:top w:w="100" w:type="dxa"/>
              <w:left w:w="100" w:type="dxa"/>
              <w:bottom w:w="100" w:type="dxa"/>
              <w:right w:w="100" w:type="dxa"/>
            </w:tcMar>
          </w:tcPr>
          <w:p w14:paraId="0ADF6862" w14:textId="77777777" w:rsidR="00F254E1" w:rsidRDefault="00217B56">
            <w:pPr>
              <w:widowControl w:val="0"/>
              <w:spacing w:line="240" w:lineRule="auto"/>
              <w:rPr>
                <w:sz w:val="18"/>
                <w:szCs w:val="18"/>
              </w:rPr>
            </w:pPr>
            <w:r>
              <w:rPr>
                <w:sz w:val="18"/>
                <w:szCs w:val="18"/>
              </w:rPr>
              <w:t>r=0.24, p=0.12</w:t>
            </w:r>
          </w:p>
        </w:tc>
        <w:tc>
          <w:tcPr>
            <w:tcW w:w="1665" w:type="dxa"/>
            <w:shd w:val="clear" w:color="auto" w:fill="auto"/>
            <w:tcMar>
              <w:top w:w="100" w:type="dxa"/>
              <w:left w:w="100" w:type="dxa"/>
              <w:bottom w:w="100" w:type="dxa"/>
              <w:right w:w="100" w:type="dxa"/>
            </w:tcMar>
          </w:tcPr>
          <w:p w14:paraId="37B42442" w14:textId="77777777" w:rsidR="00F254E1" w:rsidRDefault="00217B56">
            <w:pPr>
              <w:widowControl w:val="0"/>
              <w:spacing w:line="240" w:lineRule="auto"/>
              <w:rPr>
                <w:sz w:val="18"/>
                <w:szCs w:val="18"/>
              </w:rPr>
            </w:pPr>
            <w:r>
              <w:rPr>
                <w:sz w:val="18"/>
                <w:szCs w:val="18"/>
              </w:rPr>
              <w:t>r=0.23, p=0.09</w:t>
            </w:r>
          </w:p>
        </w:tc>
        <w:tc>
          <w:tcPr>
            <w:tcW w:w="1665" w:type="dxa"/>
            <w:shd w:val="clear" w:color="auto" w:fill="auto"/>
            <w:tcMar>
              <w:top w:w="100" w:type="dxa"/>
              <w:left w:w="100" w:type="dxa"/>
              <w:bottom w:w="100" w:type="dxa"/>
              <w:right w:w="100" w:type="dxa"/>
            </w:tcMar>
          </w:tcPr>
          <w:p w14:paraId="14DFDBB6" w14:textId="77777777" w:rsidR="00F254E1" w:rsidRDefault="00217B56">
            <w:pPr>
              <w:widowControl w:val="0"/>
              <w:spacing w:line="240" w:lineRule="auto"/>
              <w:rPr>
                <w:sz w:val="18"/>
                <w:szCs w:val="18"/>
              </w:rPr>
            </w:pPr>
            <w:r>
              <w:rPr>
                <w:sz w:val="18"/>
                <w:szCs w:val="18"/>
              </w:rPr>
              <w:t>r&lt;-0.01, p&gt;0.99</w:t>
            </w:r>
          </w:p>
        </w:tc>
      </w:tr>
      <w:tr w:rsidR="00F254E1" w14:paraId="418E340C" w14:textId="77777777">
        <w:tc>
          <w:tcPr>
            <w:tcW w:w="1860" w:type="dxa"/>
            <w:shd w:val="clear" w:color="auto" w:fill="auto"/>
            <w:tcMar>
              <w:top w:w="100" w:type="dxa"/>
              <w:left w:w="100" w:type="dxa"/>
              <w:bottom w:w="100" w:type="dxa"/>
              <w:right w:w="100" w:type="dxa"/>
            </w:tcMar>
          </w:tcPr>
          <w:p w14:paraId="73B53089" w14:textId="77777777" w:rsidR="00F254E1" w:rsidRDefault="00217B56">
            <w:pPr>
              <w:widowControl w:val="0"/>
              <w:spacing w:line="240" w:lineRule="auto"/>
              <w:rPr>
                <w:b/>
                <w:sz w:val="18"/>
                <w:szCs w:val="18"/>
              </w:rPr>
            </w:pPr>
            <w:r>
              <w:rPr>
                <w:b/>
                <w:sz w:val="18"/>
                <w:szCs w:val="18"/>
              </w:rPr>
              <w:t>DACC</w:t>
            </w:r>
          </w:p>
        </w:tc>
        <w:tc>
          <w:tcPr>
            <w:tcW w:w="1620" w:type="dxa"/>
            <w:shd w:val="clear" w:color="auto" w:fill="auto"/>
            <w:tcMar>
              <w:top w:w="100" w:type="dxa"/>
              <w:left w:w="100" w:type="dxa"/>
              <w:bottom w:w="100" w:type="dxa"/>
              <w:right w:w="100" w:type="dxa"/>
            </w:tcMar>
          </w:tcPr>
          <w:p w14:paraId="0913F787" w14:textId="77777777" w:rsidR="00F254E1" w:rsidRDefault="00F254E1">
            <w:pPr>
              <w:widowControl w:val="0"/>
              <w:spacing w:line="240" w:lineRule="auto"/>
              <w:rPr>
                <w:sz w:val="18"/>
                <w:szCs w:val="18"/>
              </w:rPr>
            </w:pPr>
          </w:p>
        </w:tc>
        <w:tc>
          <w:tcPr>
            <w:tcW w:w="1620" w:type="dxa"/>
            <w:shd w:val="clear" w:color="auto" w:fill="auto"/>
            <w:tcMar>
              <w:top w:w="100" w:type="dxa"/>
              <w:left w:w="100" w:type="dxa"/>
              <w:bottom w:w="100" w:type="dxa"/>
              <w:right w:w="100" w:type="dxa"/>
            </w:tcMar>
          </w:tcPr>
          <w:p w14:paraId="5E0B9DFA"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7EB878E7"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06032424" w14:textId="77777777" w:rsidR="00F254E1" w:rsidRDefault="00F254E1">
            <w:pPr>
              <w:widowControl w:val="0"/>
              <w:spacing w:line="240" w:lineRule="auto"/>
              <w:rPr>
                <w:sz w:val="18"/>
                <w:szCs w:val="18"/>
              </w:rPr>
            </w:pPr>
          </w:p>
        </w:tc>
      </w:tr>
      <w:tr w:rsidR="00F254E1" w14:paraId="78C9D18E" w14:textId="77777777">
        <w:tc>
          <w:tcPr>
            <w:tcW w:w="1860" w:type="dxa"/>
            <w:shd w:val="clear" w:color="auto" w:fill="auto"/>
            <w:tcMar>
              <w:top w:w="100" w:type="dxa"/>
              <w:left w:w="100" w:type="dxa"/>
              <w:bottom w:w="100" w:type="dxa"/>
              <w:right w:w="100" w:type="dxa"/>
            </w:tcMar>
          </w:tcPr>
          <w:p w14:paraId="076F8854" w14:textId="77777777" w:rsidR="00F254E1" w:rsidRDefault="00217B56">
            <w:pPr>
              <w:widowControl w:val="0"/>
              <w:spacing w:line="240" w:lineRule="auto"/>
              <w:rPr>
                <w:sz w:val="18"/>
                <w:szCs w:val="18"/>
              </w:rPr>
            </w:pPr>
            <w:r>
              <w:rPr>
                <w:sz w:val="18"/>
                <w:szCs w:val="18"/>
              </w:rPr>
              <w:t>strength</w:t>
            </w:r>
          </w:p>
        </w:tc>
        <w:tc>
          <w:tcPr>
            <w:tcW w:w="1620" w:type="dxa"/>
            <w:shd w:val="clear" w:color="auto" w:fill="auto"/>
            <w:tcMar>
              <w:top w:w="100" w:type="dxa"/>
              <w:left w:w="100" w:type="dxa"/>
              <w:bottom w:w="100" w:type="dxa"/>
              <w:right w:w="100" w:type="dxa"/>
            </w:tcMar>
          </w:tcPr>
          <w:p w14:paraId="5CCDBB6E" w14:textId="77777777" w:rsidR="00F254E1" w:rsidRDefault="00217B56">
            <w:pPr>
              <w:widowControl w:val="0"/>
              <w:spacing w:line="240" w:lineRule="auto"/>
              <w:rPr>
                <w:sz w:val="18"/>
                <w:szCs w:val="18"/>
              </w:rPr>
            </w:pPr>
            <w:r>
              <w:rPr>
                <w:sz w:val="18"/>
                <w:szCs w:val="18"/>
              </w:rPr>
              <w:t>r=-0.11, p=0.43</w:t>
            </w:r>
          </w:p>
        </w:tc>
        <w:tc>
          <w:tcPr>
            <w:tcW w:w="1620" w:type="dxa"/>
            <w:shd w:val="clear" w:color="auto" w:fill="auto"/>
            <w:tcMar>
              <w:top w:w="100" w:type="dxa"/>
              <w:left w:w="100" w:type="dxa"/>
              <w:bottom w:w="100" w:type="dxa"/>
              <w:right w:w="100" w:type="dxa"/>
            </w:tcMar>
          </w:tcPr>
          <w:p w14:paraId="5B9C5EA6" w14:textId="77777777" w:rsidR="00F254E1" w:rsidRDefault="00217B56">
            <w:pPr>
              <w:widowControl w:val="0"/>
              <w:spacing w:line="240" w:lineRule="auto"/>
              <w:rPr>
                <w:sz w:val="18"/>
                <w:szCs w:val="18"/>
              </w:rPr>
            </w:pPr>
            <w:r>
              <w:rPr>
                <w:sz w:val="18"/>
                <w:szCs w:val="18"/>
              </w:rPr>
              <w:t>r=-0.17, p=0.27</w:t>
            </w:r>
          </w:p>
        </w:tc>
        <w:tc>
          <w:tcPr>
            <w:tcW w:w="1665" w:type="dxa"/>
            <w:shd w:val="clear" w:color="auto" w:fill="auto"/>
            <w:tcMar>
              <w:top w:w="100" w:type="dxa"/>
              <w:left w:w="100" w:type="dxa"/>
              <w:bottom w:w="100" w:type="dxa"/>
              <w:right w:w="100" w:type="dxa"/>
            </w:tcMar>
          </w:tcPr>
          <w:p w14:paraId="18E7F188" w14:textId="77777777" w:rsidR="00F254E1" w:rsidRDefault="00217B56">
            <w:pPr>
              <w:widowControl w:val="0"/>
              <w:spacing w:line="240" w:lineRule="auto"/>
              <w:rPr>
                <w:sz w:val="18"/>
                <w:szCs w:val="18"/>
              </w:rPr>
            </w:pPr>
            <w:r>
              <w:rPr>
                <w:sz w:val="18"/>
                <w:szCs w:val="18"/>
              </w:rPr>
              <w:t>r=-0.06, p=0.67</w:t>
            </w:r>
          </w:p>
        </w:tc>
        <w:tc>
          <w:tcPr>
            <w:tcW w:w="1665" w:type="dxa"/>
            <w:shd w:val="clear" w:color="auto" w:fill="auto"/>
            <w:tcMar>
              <w:top w:w="100" w:type="dxa"/>
              <w:left w:w="100" w:type="dxa"/>
              <w:bottom w:w="100" w:type="dxa"/>
              <w:right w:w="100" w:type="dxa"/>
            </w:tcMar>
          </w:tcPr>
          <w:p w14:paraId="15299F1D" w14:textId="77777777" w:rsidR="00F254E1" w:rsidRDefault="00217B56">
            <w:pPr>
              <w:widowControl w:val="0"/>
              <w:spacing w:line="240" w:lineRule="auto"/>
              <w:rPr>
                <w:sz w:val="18"/>
                <w:szCs w:val="18"/>
              </w:rPr>
            </w:pPr>
            <w:r>
              <w:rPr>
                <w:sz w:val="18"/>
                <w:szCs w:val="18"/>
              </w:rPr>
              <w:t>r=-0.26, p=0.08</w:t>
            </w:r>
          </w:p>
        </w:tc>
      </w:tr>
      <w:tr w:rsidR="00F254E1" w14:paraId="3C578511" w14:textId="77777777">
        <w:tc>
          <w:tcPr>
            <w:tcW w:w="1860" w:type="dxa"/>
            <w:shd w:val="clear" w:color="auto" w:fill="auto"/>
            <w:tcMar>
              <w:top w:w="100" w:type="dxa"/>
              <w:left w:w="100" w:type="dxa"/>
              <w:bottom w:w="100" w:type="dxa"/>
              <w:right w:w="100" w:type="dxa"/>
            </w:tcMar>
          </w:tcPr>
          <w:p w14:paraId="7179335D" w14:textId="77777777" w:rsidR="00F254E1" w:rsidRDefault="00217B56">
            <w:pPr>
              <w:widowControl w:val="0"/>
              <w:spacing w:line="240" w:lineRule="auto"/>
              <w:rPr>
                <w:sz w:val="18"/>
                <w:szCs w:val="18"/>
              </w:rPr>
            </w:pPr>
            <w:r>
              <w:rPr>
                <w:sz w:val="18"/>
                <w:szCs w:val="18"/>
              </w:rPr>
              <w:t>Eigenvector centrality</w:t>
            </w:r>
          </w:p>
        </w:tc>
        <w:tc>
          <w:tcPr>
            <w:tcW w:w="1620" w:type="dxa"/>
            <w:shd w:val="clear" w:color="auto" w:fill="auto"/>
            <w:tcMar>
              <w:top w:w="100" w:type="dxa"/>
              <w:left w:w="100" w:type="dxa"/>
              <w:bottom w:w="100" w:type="dxa"/>
              <w:right w:w="100" w:type="dxa"/>
            </w:tcMar>
          </w:tcPr>
          <w:p w14:paraId="51B45D83" w14:textId="77777777" w:rsidR="00F254E1" w:rsidRDefault="00217B56">
            <w:pPr>
              <w:widowControl w:val="0"/>
              <w:spacing w:line="240" w:lineRule="auto"/>
              <w:rPr>
                <w:sz w:val="18"/>
                <w:szCs w:val="18"/>
              </w:rPr>
            </w:pPr>
            <w:r>
              <w:rPr>
                <w:sz w:val="18"/>
                <w:szCs w:val="18"/>
              </w:rPr>
              <w:t>r=-0.01, p=0.93</w:t>
            </w:r>
          </w:p>
        </w:tc>
        <w:tc>
          <w:tcPr>
            <w:tcW w:w="1620" w:type="dxa"/>
            <w:shd w:val="clear" w:color="auto" w:fill="auto"/>
            <w:tcMar>
              <w:top w:w="100" w:type="dxa"/>
              <w:left w:w="100" w:type="dxa"/>
              <w:bottom w:w="100" w:type="dxa"/>
              <w:right w:w="100" w:type="dxa"/>
            </w:tcMar>
          </w:tcPr>
          <w:p w14:paraId="0F7445A2" w14:textId="77777777" w:rsidR="00F254E1" w:rsidRDefault="00217B56">
            <w:pPr>
              <w:widowControl w:val="0"/>
              <w:spacing w:line="240" w:lineRule="auto"/>
              <w:rPr>
                <w:sz w:val="18"/>
                <w:szCs w:val="18"/>
              </w:rPr>
            </w:pPr>
            <w:r>
              <w:rPr>
                <w:sz w:val="18"/>
                <w:szCs w:val="18"/>
              </w:rPr>
              <w:t>r=-0.06, p=0.7</w:t>
            </w:r>
          </w:p>
        </w:tc>
        <w:tc>
          <w:tcPr>
            <w:tcW w:w="1665" w:type="dxa"/>
            <w:shd w:val="clear" w:color="auto" w:fill="auto"/>
            <w:tcMar>
              <w:top w:w="100" w:type="dxa"/>
              <w:left w:w="100" w:type="dxa"/>
              <w:bottom w:w="100" w:type="dxa"/>
              <w:right w:w="100" w:type="dxa"/>
            </w:tcMar>
          </w:tcPr>
          <w:p w14:paraId="7A9FFF8F" w14:textId="77777777" w:rsidR="00F254E1" w:rsidRDefault="00217B56">
            <w:pPr>
              <w:widowControl w:val="0"/>
              <w:spacing w:line="240" w:lineRule="auto"/>
              <w:rPr>
                <w:sz w:val="18"/>
                <w:szCs w:val="18"/>
              </w:rPr>
            </w:pPr>
            <w:r>
              <w:rPr>
                <w:sz w:val="18"/>
                <w:szCs w:val="18"/>
              </w:rPr>
              <w:t>r=-0.07, p=0.59</w:t>
            </w:r>
          </w:p>
        </w:tc>
        <w:tc>
          <w:tcPr>
            <w:tcW w:w="1665" w:type="dxa"/>
            <w:shd w:val="clear" w:color="auto" w:fill="auto"/>
            <w:tcMar>
              <w:top w:w="100" w:type="dxa"/>
              <w:left w:w="100" w:type="dxa"/>
              <w:bottom w:w="100" w:type="dxa"/>
              <w:right w:w="100" w:type="dxa"/>
            </w:tcMar>
          </w:tcPr>
          <w:p w14:paraId="671C1B7D" w14:textId="77777777" w:rsidR="00F254E1" w:rsidRDefault="00217B56">
            <w:pPr>
              <w:widowControl w:val="0"/>
              <w:spacing w:line="240" w:lineRule="auto"/>
              <w:rPr>
                <w:sz w:val="18"/>
                <w:szCs w:val="18"/>
              </w:rPr>
            </w:pPr>
            <w:r>
              <w:rPr>
                <w:sz w:val="18"/>
                <w:szCs w:val="18"/>
              </w:rPr>
              <w:t>r=-0.10, p=0.51</w:t>
            </w:r>
          </w:p>
        </w:tc>
      </w:tr>
      <w:tr w:rsidR="00F254E1" w14:paraId="191D69EF" w14:textId="77777777">
        <w:tc>
          <w:tcPr>
            <w:tcW w:w="1860" w:type="dxa"/>
            <w:shd w:val="clear" w:color="auto" w:fill="auto"/>
            <w:tcMar>
              <w:top w:w="100" w:type="dxa"/>
              <w:left w:w="100" w:type="dxa"/>
              <w:bottom w:w="100" w:type="dxa"/>
              <w:right w:w="100" w:type="dxa"/>
            </w:tcMar>
          </w:tcPr>
          <w:p w14:paraId="0498C448" w14:textId="77777777" w:rsidR="00F254E1" w:rsidRDefault="00217B56">
            <w:pPr>
              <w:widowControl w:val="0"/>
              <w:spacing w:line="240" w:lineRule="auto"/>
              <w:rPr>
                <w:sz w:val="18"/>
                <w:szCs w:val="18"/>
              </w:rPr>
            </w:pPr>
            <w:proofErr w:type="spellStart"/>
            <w:r>
              <w:rPr>
                <w:sz w:val="18"/>
                <w:szCs w:val="18"/>
              </w:rPr>
              <w:t>Betweenness</w:t>
            </w:r>
            <w:proofErr w:type="spellEnd"/>
            <w:r>
              <w:rPr>
                <w:sz w:val="18"/>
                <w:szCs w:val="18"/>
              </w:rPr>
              <w:t xml:space="preserve"> Centrality</w:t>
            </w:r>
          </w:p>
        </w:tc>
        <w:tc>
          <w:tcPr>
            <w:tcW w:w="1620" w:type="dxa"/>
            <w:shd w:val="clear" w:color="auto" w:fill="auto"/>
            <w:tcMar>
              <w:top w:w="100" w:type="dxa"/>
              <w:left w:w="100" w:type="dxa"/>
              <w:bottom w:w="100" w:type="dxa"/>
              <w:right w:w="100" w:type="dxa"/>
            </w:tcMar>
          </w:tcPr>
          <w:p w14:paraId="73AEAF3B" w14:textId="77777777" w:rsidR="00F254E1" w:rsidRDefault="00217B56">
            <w:pPr>
              <w:widowControl w:val="0"/>
              <w:spacing w:line="240" w:lineRule="auto"/>
              <w:rPr>
                <w:sz w:val="18"/>
                <w:szCs w:val="18"/>
              </w:rPr>
            </w:pPr>
            <w:r>
              <w:rPr>
                <w:sz w:val="18"/>
                <w:szCs w:val="18"/>
              </w:rPr>
              <w:t>r=-0.19, p=0.14</w:t>
            </w:r>
          </w:p>
        </w:tc>
        <w:tc>
          <w:tcPr>
            <w:tcW w:w="1620" w:type="dxa"/>
            <w:shd w:val="clear" w:color="auto" w:fill="auto"/>
            <w:tcMar>
              <w:top w:w="100" w:type="dxa"/>
              <w:left w:w="100" w:type="dxa"/>
              <w:bottom w:w="100" w:type="dxa"/>
              <w:right w:w="100" w:type="dxa"/>
            </w:tcMar>
          </w:tcPr>
          <w:p w14:paraId="0F8569AA" w14:textId="77777777" w:rsidR="00F254E1" w:rsidRDefault="00217B56">
            <w:pPr>
              <w:widowControl w:val="0"/>
              <w:spacing w:line="240" w:lineRule="auto"/>
              <w:rPr>
                <w:sz w:val="18"/>
                <w:szCs w:val="18"/>
              </w:rPr>
            </w:pPr>
            <w:r>
              <w:rPr>
                <w:sz w:val="18"/>
                <w:szCs w:val="18"/>
              </w:rPr>
              <w:t>r=-0.3, p=0.05</w:t>
            </w:r>
          </w:p>
        </w:tc>
        <w:tc>
          <w:tcPr>
            <w:tcW w:w="1665" w:type="dxa"/>
            <w:shd w:val="clear" w:color="auto" w:fill="auto"/>
            <w:tcMar>
              <w:top w:w="100" w:type="dxa"/>
              <w:left w:w="100" w:type="dxa"/>
              <w:bottom w:w="100" w:type="dxa"/>
              <w:right w:w="100" w:type="dxa"/>
            </w:tcMar>
          </w:tcPr>
          <w:p w14:paraId="0C3362B9" w14:textId="77777777" w:rsidR="00F254E1" w:rsidRDefault="00217B56">
            <w:pPr>
              <w:widowControl w:val="0"/>
              <w:spacing w:line="240" w:lineRule="auto"/>
              <w:rPr>
                <w:sz w:val="18"/>
                <w:szCs w:val="18"/>
              </w:rPr>
            </w:pPr>
            <w:r>
              <w:rPr>
                <w:sz w:val="18"/>
                <w:szCs w:val="18"/>
              </w:rPr>
              <w:t>r=-0.10, p=0.47</w:t>
            </w:r>
          </w:p>
        </w:tc>
        <w:tc>
          <w:tcPr>
            <w:tcW w:w="1665" w:type="dxa"/>
            <w:shd w:val="clear" w:color="auto" w:fill="auto"/>
            <w:tcMar>
              <w:top w:w="100" w:type="dxa"/>
              <w:left w:w="100" w:type="dxa"/>
              <w:bottom w:w="100" w:type="dxa"/>
              <w:right w:w="100" w:type="dxa"/>
            </w:tcMar>
          </w:tcPr>
          <w:p w14:paraId="2A5EFD05" w14:textId="77777777" w:rsidR="00F254E1" w:rsidRDefault="00217B56">
            <w:pPr>
              <w:widowControl w:val="0"/>
              <w:spacing w:line="240" w:lineRule="auto"/>
              <w:rPr>
                <w:sz w:val="18"/>
                <w:szCs w:val="18"/>
              </w:rPr>
            </w:pPr>
            <w:r>
              <w:rPr>
                <w:sz w:val="18"/>
                <w:szCs w:val="18"/>
              </w:rPr>
              <w:t>r=-0.05, p=0.74</w:t>
            </w:r>
          </w:p>
        </w:tc>
      </w:tr>
      <w:tr w:rsidR="00F254E1" w14:paraId="0EF26B77" w14:textId="77777777">
        <w:tc>
          <w:tcPr>
            <w:tcW w:w="1860" w:type="dxa"/>
            <w:shd w:val="clear" w:color="auto" w:fill="auto"/>
            <w:tcMar>
              <w:top w:w="100" w:type="dxa"/>
              <w:left w:w="100" w:type="dxa"/>
              <w:bottom w:w="100" w:type="dxa"/>
              <w:right w:w="100" w:type="dxa"/>
            </w:tcMar>
          </w:tcPr>
          <w:p w14:paraId="1875A362" w14:textId="77777777" w:rsidR="00F254E1" w:rsidRDefault="00217B56">
            <w:pPr>
              <w:widowControl w:val="0"/>
              <w:spacing w:line="240" w:lineRule="auto"/>
              <w:rPr>
                <w:b/>
                <w:sz w:val="18"/>
                <w:szCs w:val="18"/>
              </w:rPr>
            </w:pPr>
            <w:r>
              <w:rPr>
                <w:b/>
                <w:sz w:val="18"/>
                <w:szCs w:val="18"/>
              </w:rPr>
              <w:t>PFC</w:t>
            </w:r>
          </w:p>
        </w:tc>
        <w:tc>
          <w:tcPr>
            <w:tcW w:w="1620" w:type="dxa"/>
            <w:shd w:val="clear" w:color="auto" w:fill="auto"/>
            <w:tcMar>
              <w:top w:w="100" w:type="dxa"/>
              <w:left w:w="100" w:type="dxa"/>
              <w:bottom w:w="100" w:type="dxa"/>
              <w:right w:w="100" w:type="dxa"/>
            </w:tcMar>
          </w:tcPr>
          <w:p w14:paraId="7409AADC" w14:textId="77777777" w:rsidR="00F254E1" w:rsidRDefault="00F254E1">
            <w:pPr>
              <w:widowControl w:val="0"/>
              <w:spacing w:line="240" w:lineRule="auto"/>
              <w:rPr>
                <w:sz w:val="18"/>
                <w:szCs w:val="18"/>
              </w:rPr>
            </w:pPr>
          </w:p>
        </w:tc>
        <w:tc>
          <w:tcPr>
            <w:tcW w:w="1620" w:type="dxa"/>
            <w:shd w:val="clear" w:color="auto" w:fill="auto"/>
            <w:tcMar>
              <w:top w:w="100" w:type="dxa"/>
              <w:left w:w="100" w:type="dxa"/>
              <w:bottom w:w="100" w:type="dxa"/>
              <w:right w:w="100" w:type="dxa"/>
            </w:tcMar>
          </w:tcPr>
          <w:p w14:paraId="31ECA5F8"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5EA7F23C" w14:textId="77777777" w:rsidR="00F254E1" w:rsidRDefault="00F254E1">
            <w:pPr>
              <w:widowControl w:val="0"/>
              <w:spacing w:line="240" w:lineRule="auto"/>
              <w:rPr>
                <w:sz w:val="18"/>
                <w:szCs w:val="18"/>
              </w:rPr>
            </w:pPr>
          </w:p>
        </w:tc>
        <w:tc>
          <w:tcPr>
            <w:tcW w:w="1665" w:type="dxa"/>
            <w:shd w:val="clear" w:color="auto" w:fill="auto"/>
            <w:tcMar>
              <w:top w:w="100" w:type="dxa"/>
              <w:left w:w="100" w:type="dxa"/>
              <w:bottom w:w="100" w:type="dxa"/>
              <w:right w:w="100" w:type="dxa"/>
            </w:tcMar>
          </w:tcPr>
          <w:p w14:paraId="6C04CB26" w14:textId="77777777" w:rsidR="00F254E1" w:rsidRDefault="00F254E1">
            <w:pPr>
              <w:widowControl w:val="0"/>
              <w:spacing w:line="240" w:lineRule="auto"/>
              <w:rPr>
                <w:sz w:val="18"/>
                <w:szCs w:val="18"/>
              </w:rPr>
            </w:pPr>
          </w:p>
        </w:tc>
      </w:tr>
      <w:tr w:rsidR="00F254E1" w14:paraId="1FC268EB" w14:textId="77777777">
        <w:tc>
          <w:tcPr>
            <w:tcW w:w="1860" w:type="dxa"/>
            <w:shd w:val="clear" w:color="auto" w:fill="auto"/>
            <w:tcMar>
              <w:top w:w="100" w:type="dxa"/>
              <w:left w:w="100" w:type="dxa"/>
              <w:bottom w:w="100" w:type="dxa"/>
              <w:right w:w="100" w:type="dxa"/>
            </w:tcMar>
          </w:tcPr>
          <w:p w14:paraId="0511750C" w14:textId="77777777" w:rsidR="00F254E1" w:rsidRDefault="00217B56">
            <w:pPr>
              <w:widowControl w:val="0"/>
              <w:spacing w:line="240" w:lineRule="auto"/>
              <w:rPr>
                <w:sz w:val="18"/>
                <w:szCs w:val="18"/>
              </w:rPr>
            </w:pPr>
            <w:r>
              <w:rPr>
                <w:sz w:val="18"/>
                <w:szCs w:val="18"/>
              </w:rPr>
              <w:t>strength</w:t>
            </w:r>
          </w:p>
        </w:tc>
        <w:tc>
          <w:tcPr>
            <w:tcW w:w="1620" w:type="dxa"/>
            <w:shd w:val="clear" w:color="auto" w:fill="auto"/>
            <w:tcMar>
              <w:top w:w="100" w:type="dxa"/>
              <w:left w:w="100" w:type="dxa"/>
              <w:bottom w:w="100" w:type="dxa"/>
              <w:right w:w="100" w:type="dxa"/>
            </w:tcMar>
          </w:tcPr>
          <w:p w14:paraId="09C40569" w14:textId="77777777" w:rsidR="00F254E1" w:rsidRDefault="00217B56">
            <w:pPr>
              <w:widowControl w:val="0"/>
              <w:spacing w:line="240" w:lineRule="auto"/>
              <w:rPr>
                <w:sz w:val="18"/>
                <w:szCs w:val="18"/>
              </w:rPr>
            </w:pPr>
            <w:r>
              <w:rPr>
                <w:sz w:val="18"/>
                <w:szCs w:val="18"/>
              </w:rPr>
              <w:t>r=-0.10, p=0.46</w:t>
            </w:r>
          </w:p>
        </w:tc>
        <w:tc>
          <w:tcPr>
            <w:tcW w:w="1620" w:type="dxa"/>
            <w:shd w:val="clear" w:color="auto" w:fill="auto"/>
            <w:tcMar>
              <w:top w:w="100" w:type="dxa"/>
              <w:left w:w="100" w:type="dxa"/>
              <w:bottom w:w="100" w:type="dxa"/>
              <w:right w:w="100" w:type="dxa"/>
            </w:tcMar>
          </w:tcPr>
          <w:p w14:paraId="40103B87" w14:textId="77777777" w:rsidR="00F254E1" w:rsidRDefault="00217B56">
            <w:pPr>
              <w:widowControl w:val="0"/>
              <w:spacing w:line="240" w:lineRule="auto"/>
              <w:rPr>
                <w:sz w:val="18"/>
                <w:szCs w:val="18"/>
              </w:rPr>
            </w:pPr>
            <w:r>
              <w:rPr>
                <w:sz w:val="18"/>
                <w:szCs w:val="18"/>
              </w:rPr>
              <w:t>r=0.17, p=0.26</w:t>
            </w:r>
          </w:p>
        </w:tc>
        <w:tc>
          <w:tcPr>
            <w:tcW w:w="1665" w:type="dxa"/>
            <w:shd w:val="clear" w:color="auto" w:fill="auto"/>
            <w:tcMar>
              <w:top w:w="100" w:type="dxa"/>
              <w:left w:w="100" w:type="dxa"/>
              <w:bottom w:w="100" w:type="dxa"/>
              <w:right w:w="100" w:type="dxa"/>
            </w:tcMar>
          </w:tcPr>
          <w:p w14:paraId="49C86E3A" w14:textId="77777777" w:rsidR="00F254E1" w:rsidRDefault="00217B56">
            <w:pPr>
              <w:widowControl w:val="0"/>
              <w:spacing w:line="240" w:lineRule="auto"/>
              <w:rPr>
                <w:sz w:val="18"/>
                <w:szCs w:val="18"/>
              </w:rPr>
            </w:pPr>
            <w:r>
              <w:rPr>
                <w:sz w:val="18"/>
                <w:szCs w:val="18"/>
              </w:rPr>
              <w:t>r=0.52, p&lt;0.01</w:t>
            </w:r>
          </w:p>
        </w:tc>
        <w:tc>
          <w:tcPr>
            <w:tcW w:w="1665" w:type="dxa"/>
            <w:shd w:val="clear" w:color="auto" w:fill="auto"/>
            <w:tcMar>
              <w:top w:w="100" w:type="dxa"/>
              <w:left w:w="100" w:type="dxa"/>
              <w:bottom w:w="100" w:type="dxa"/>
              <w:right w:w="100" w:type="dxa"/>
            </w:tcMar>
          </w:tcPr>
          <w:p w14:paraId="29398C26" w14:textId="77777777" w:rsidR="00F254E1" w:rsidRDefault="00217B56">
            <w:pPr>
              <w:widowControl w:val="0"/>
              <w:spacing w:line="240" w:lineRule="auto"/>
              <w:rPr>
                <w:sz w:val="18"/>
                <w:szCs w:val="18"/>
              </w:rPr>
            </w:pPr>
            <w:r>
              <w:rPr>
                <w:sz w:val="18"/>
                <w:szCs w:val="18"/>
              </w:rPr>
              <w:t>r=0.3, p=0.04</w:t>
            </w:r>
          </w:p>
        </w:tc>
      </w:tr>
      <w:tr w:rsidR="00F254E1" w14:paraId="6FEE6510" w14:textId="77777777">
        <w:tc>
          <w:tcPr>
            <w:tcW w:w="1860" w:type="dxa"/>
            <w:shd w:val="clear" w:color="auto" w:fill="auto"/>
            <w:tcMar>
              <w:top w:w="100" w:type="dxa"/>
              <w:left w:w="100" w:type="dxa"/>
              <w:bottom w:w="100" w:type="dxa"/>
              <w:right w:w="100" w:type="dxa"/>
            </w:tcMar>
          </w:tcPr>
          <w:p w14:paraId="003FD46B" w14:textId="77777777" w:rsidR="00F254E1" w:rsidRDefault="00217B56">
            <w:pPr>
              <w:widowControl w:val="0"/>
              <w:spacing w:line="240" w:lineRule="auto"/>
              <w:rPr>
                <w:sz w:val="18"/>
                <w:szCs w:val="18"/>
              </w:rPr>
            </w:pPr>
            <w:r>
              <w:rPr>
                <w:sz w:val="18"/>
                <w:szCs w:val="18"/>
              </w:rPr>
              <w:t>Eigenvector centrality</w:t>
            </w:r>
          </w:p>
        </w:tc>
        <w:tc>
          <w:tcPr>
            <w:tcW w:w="1620" w:type="dxa"/>
            <w:shd w:val="clear" w:color="auto" w:fill="auto"/>
            <w:tcMar>
              <w:top w:w="100" w:type="dxa"/>
              <w:left w:w="100" w:type="dxa"/>
              <w:bottom w:w="100" w:type="dxa"/>
              <w:right w:w="100" w:type="dxa"/>
            </w:tcMar>
          </w:tcPr>
          <w:p w14:paraId="2BC4C691" w14:textId="77777777" w:rsidR="00F254E1" w:rsidRDefault="00217B56">
            <w:pPr>
              <w:widowControl w:val="0"/>
              <w:spacing w:line="240" w:lineRule="auto"/>
              <w:rPr>
                <w:sz w:val="18"/>
                <w:szCs w:val="18"/>
              </w:rPr>
            </w:pPr>
            <w:r>
              <w:rPr>
                <w:sz w:val="18"/>
                <w:szCs w:val="18"/>
              </w:rPr>
              <w:t>r=-0.03, p=0.80</w:t>
            </w:r>
          </w:p>
        </w:tc>
        <w:tc>
          <w:tcPr>
            <w:tcW w:w="1620" w:type="dxa"/>
            <w:shd w:val="clear" w:color="auto" w:fill="auto"/>
            <w:tcMar>
              <w:top w:w="100" w:type="dxa"/>
              <w:left w:w="100" w:type="dxa"/>
              <w:bottom w:w="100" w:type="dxa"/>
              <w:right w:w="100" w:type="dxa"/>
            </w:tcMar>
          </w:tcPr>
          <w:p w14:paraId="37027D46" w14:textId="77777777" w:rsidR="00F254E1" w:rsidRDefault="00217B56">
            <w:pPr>
              <w:widowControl w:val="0"/>
              <w:spacing w:line="240" w:lineRule="auto"/>
              <w:rPr>
                <w:sz w:val="18"/>
                <w:szCs w:val="18"/>
              </w:rPr>
            </w:pPr>
            <w:r>
              <w:rPr>
                <w:sz w:val="18"/>
                <w:szCs w:val="18"/>
              </w:rPr>
              <w:t>r=-0.01, p=0.95</w:t>
            </w:r>
          </w:p>
        </w:tc>
        <w:tc>
          <w:tcPr>
            <w:tcW w:w="1665" w:type="dxa"/>
            <w:shd w:val="clear" w:color="auto" w:fill="auto"/>
            <w:tcMar>
              <w:top w:w="100" w:type="dxa"/>
              <w:left w:w="100" w:type="dxa"/>
              <w:bottom w:w="100" w:type="dxa"/>
              <w:right w:w="100" w:type="dxa"/>
            </w:tcMar>
          </w:tcPr>
          <w:p w14:paraId="758CAB10" w14:textId="77777777" w:rsidR="00F254E1" w:rsidRDefault="00217B56">
            <w:pPr>
              <w:widowControl w:val="0"/>
              <w:spacing w:line="240" w:lineRule="auto"/>
              <w:rPr>
                <w:sz w:val="18"/>
                <w:szCs w:val="18"/>
              </w:rPr>
            </w:pPr>
            <w:r>
              <w:rPr>
                <w:sz w:val="18"/>
                <w:szCs w:val="18"/>
              </w:rPr>
              <w:t>r=-0.02, p=0.86</w:t>
            </w:r>
          </w:p>
        </w:tc>
        <w:tc>
          <w:tcPr>
            <w:tcW w:w="1665" w:type="dxa"/>
            <w:shd w:val="clear" w:color="auto" w:fill="auto"/>
            <w:tcMar>
              <w:top w:w="100" w:type="dxa"/>
              <w:left w:w="100" w:type="dxa"/>
              <w:bottom w:w="100" w:type="dxa"/>
              <w:right w:w="100" w:type="dxa"/>
            </w:tcMar>
          </w:tcPr>
          <w:p w14:paraId="308B6D57" w14:textId="77777777" w:rsidR="00F254E1" w:rsidRDefault="00217B56">
            <w:pPr>
              <w:widowControl w:val="0"/>
              <w:spacing w:line="240" w:lineRule="auto"/>
              <w:rPr>
                <w:sz w:val="18"/>
                <w:szCs w:val="18"/>
              </w:rPr>
            </w:pPr>
            <w:r>
              <w:rPr>
                <w:sz w:val="18"/>
                <w:szCs w:val="18"/>
              </w:rPr>
              <w:t>r=0.16, p=0.28</w:t>
            </w:r>
          </w:p>
        </w:tc>
      </w:tr>
      <w:tr w:rsidR="00F254E1" w14:paraId="46F821B5" w14:textId="77777777">
        <w:tc>
          <w:tcPr>
            <w:tcW w:w="1860" w:type="dxa"/>
            <w:shd w:val="clear" w:color="auto" w:fill="auto"/>
            <w:tcMar>
              <w:top w:w="100" w:type="dxa"/>
              <w:left w:w="100" w:type="dxa"/>
              <w:bottom w:w="100" w:type="dxa"/>
              <w:right w:w="100" w:type="dxa"/>
            </w:tcMar>
          </w:tcPr>
          <w:p w14:paraId="27A81B70" w14:textId="77777777" w:rsidR="00F254E1" w:rsidRDefault="00217B56">
            <w:pPr>
              <w:widowControl w:val="0"/>
              <w:spacing w:line="240" w:lineRule="auto"/>
              <w:rPr>
                <w:sz w:val="18"/>
                <w:szCs w:val="18"/>
              </w:rPr>
            </w:pPr>
            <w:proofErr w:type="spellStart"/>
            <w:r>
              <w:rPr>
                <w:sz w:val="18"/>
                <w:szCs w:val="18"/>
              </w:rPr>
              <w:t>Betweenness</w:t>
            </w:r>
            <w:proofErr w:type="spellEnd"/>
            <w:r>
              <w:rPr>
                <w:sz w:val="18"/>
                <w:szCs w:val="18"/>
              </w:rPr>
              <w:t xml:space="preserve"> Centrality</w:t>
            </w:r>
          </w:p>
        </w:tc>
        <w:tc>
          <w:tcPr>
            <w:tcW w:w="1620" w:type="dxa"/>
            <w:shd w:val="clear" w:color="auto" w:fill="auto"/>
            <w:tcMar>
              <w:top w:w="100" w:type="dxa"/>
              <w:left w:w="100" w:type="dxa"/>
              <w:bottom w:w="100" w:type="dxa"/>
              <w:right w:w="100" w:type="dxa"/>
            </w:tcMar>
          </w:tcPr>
          <w:p w14:paraId="77315EA4" w14:textId="77777777" w:rsidR="00F254E1" w:rsidRDefault="00217B56">
            <w:pPr>
              <w:widowControl w:val="0"/>
              <w:spacing w:line="240" w:lineRule="auto"/>
              <w:rPr>
                <w:sz w:val="18"/>
                <w:szCs w:val="18"/>
              </w:rPr>
            </w:pPr>
            <w:r>
              <w:rPr>
                <w:sz w:val="18"/>
                <w:szCs w:val="18"/>
              </w:rPr>
              <w:t>r=-0.02, p=0.86</w:t>
            </w:r>
          </w:p>
        </w:tc>
        <w:tc>
          <w:tcPr>
            <w:tcW w:w="1620" w:type="dxa"/>
            <w:shd w:val="clear" w:color="auto" w:fill="auto"/>
            <w:tcMar>
              <w:top w:w="100" w:type="dxa"/>
              <w:left w:w="100" w:type="dxa"/>
              <w:bottom w:w="100" w:type="dxa"/>
              <w:right w:w="100" w:type="dxa"/>
            </w:tcMar>
          </w:tcPr>
          <w:p w14:paraId="3C08BA4E" w14:textId="77777777" w:rsidR="00F254E1" w:rsidRDefault="00217B56">
            <w:pPr>
              <w:widowControl w:val="0"/>
              <w:spacing w:line="240" w:lineRule="auto"/>
              <w:rPr>
                <w:sz w:val="18"/>
                <w:szCs w:val="18"/>
              </w:rPr>
            </w:pPr>
            <w:r>
              <w:rPr>
                <w:sz w:val="18"/>
                <w:szCs w:val="18"/>
              </w:rPr>
              <w:t>r=-0.29, p=0.05</w:t>
            </w:r>
          </w:p>
        </w:tc>
        <w:tc>
          <w:tcPr>
            <w:tcW w:w="1665" w:type="dxa"/>
            <w:shd w:val="clear" w:color="auto" w:fill="auto"/>
            <w:tcMar>
              <w:top w:w="100" w:type="dxa"/>
              <w:left w:w="100" w:type="dxa"/>
              <w:bottom w:w="100" w:type="dxa"/>
              <w:right w:w="100" w:type="dxa"/>
            </w:tcMar>
          </w:tcPr>
          <w:p w14:paraId="35E01E93" w14:textId="77777777" w:rsidR="00F254E1" w:rsidRDefault="00217B56">
            <w:pPr>
              <w:widowControl w:val="0"/>
              <w:spacing w:line="240" w:lineRule="auto"/>
              <w:rPr>
                <w:sz w:val="18"/>
                <w:szCs w:val="18"/>
              </w:rPr>
            </w:pPr>
            <w:r>
              <w:rPr>
                <w:sz w:val="18"/>
                <w:szCs w:val="18"/>
              </w:rPr>
              <w:t>r=-0.58, p&lt;0.01</w:t>
            </w:r>
          </w:p>
        </w:tc>
        <w:tc>
          <w:tcPr>
            <w:tcW w:w="1665" w:type="dxa"/>
            <w:shd w:val="clear" w:color="auto" w:fill="auto"/>
            <w:tcMar>
              <w:top w:w="100" w:type="dxa"/>
              <w:left w:w="100" w:type="dxa"/>
              <w:bottom w:w="100" w:type="dxa"/>
              <w:right w:w="100" w:type="dxa"/>
            </w:tcMar>
          </w:tcPr>
          <w:p w14:paraId="7201B7E1" w14:textId="77777777" w:rsidR="00F254E1" w:rsidRDefault="00217B56">
            <w:pPr>
              <w:widowControl w:val="0"/>
              <w:spacing w:line="240" w:lineRule="auto"/>
              <w:rPr>
                <w:sz w:val="18"/>
                <w:szCs w:val="18"/>
              </w:rPr>
            </w:pPr>
            <w:r>
              <w:rPr>
                <w:sz w:val="18"/>
                <w:szCs w:val="18"/>
              </w:rPr>
              <w:t>r=-0.25, p=0.08</w:t>
            </w:r>
          </w:p>
        </w:tc>
      </w:tr>
    </w:tbl>
    <w:p w14:paraId="3831F70B" w14:textId="77777777" w:rsidR="00F254E1" w:rsidRDefault="00F254E1"/>
    <w:p w14:paraId="6FDF361D" w14:textId="77777777" w:rsidR="00F254E1" w:rsidRDefault="00F254E1"/>
    <w:p w14:paraId="612BDD8F" w14:textId="38FF7981" w:rsidR="00F254E1" w:rsidRPr="001F537D" w:rsidRDefault="00217B56">
      <w:pPr>
        <w:pStyle w:val="Heading3"/>
        <w:spacing w:line="240" w:lineRule="auto"/>
        <w:rPr>
          <w:b w:val="0"/>
          <w:color w:val="000000"/>
        </w:rPr>
      </w:pPr>
      <w:bookmarkStart w:id="14" w:name="_u5jdxiy46ysh" w:colFirst="0" w:colLast="0"/>
      <w:bookmarkEnd w:id="14"/>
      <w:r>
        <w:rPr>
          <w:color w:val="000000"/>
        </w:rPr>
        <w:lastRenderedPageBreak/>
        <w:t xml:space="preserve">Supplementary Figure </w:t>
      </w:r>
      <w:r w:rsidR="001F537D">
        <w:rPr>
          <w:color w:val="000000"/>
        </w:rPr>
        <w:t>2</w:t>
      </w:r>
      <w:r>
        <w:rPr>
          <w:color w:val="000000"/>
        </w:rPr>
        <w:t xml:space="preserve">.| Mean </w:t>
      </w:r>
      <w:proofErr w:type="spellStart"/>
      <w:r>
        <w:rPr>
          <w:color w:val="000000"/>
        </w:rPr>
        <w:t>Framewise</w:t>
      </w:r>
      <w:proofErr w:type="spellEnd"/>
      <w:r>
        <w:rPr>
          <w:color w:val="000000"/>
        </w:rPr>
        <w:t xml:space="preserve"> Displacement at pre and post MPH challenge for participants with ADHD (green) and control participants (grey). </w:t>
      </w:r>
      <w:r w:rsidRPr="001F537D">
        <w:rPr>
          <w:b w:val="0"/>
          <w:color w:val="000000"/>
        </w:rPr>
        <w:t>Showing estimated means with confidence intervals.</w:t>
      </w:r>
    </w:p>
    <w:p w14:paraId="6ADFADDC" w14:textId="77777777" w:rsidR="00F254E1" w:rsidRDefault="00217B56">
      <w:r>
        <w:rPr>
          <w:noProof/>
          <w:lang w:val="nl-NL"/>
        </w:rPr>
        <w:drawing>
          <wp:inline distT="114300" distB="114300" distL="114300" distR="114300" wp14:anchorId="677F8EFA" wp14:editId="239CEF94">
            <wp:extent cx="3414713" cy="34147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14713" cy="3414713"/>
                    </a:xfrm>
                    <a:prstGeom prst="rect">
                      <a:avLst/>
                    </a:prstGeom>
                    <a:ln/>
                  </pic:spPr>
                </pic:pic>
              </a:graphicData>
            </a:graphic>
          </wp:inline>
        </w:drawing>
      </w:r>
    </w:p>
    <w:p w14:paraId="221DB4E1" w14:textId="77777777" w:rsidR="00F254E1" w:rsidRDefault="00217B56">
      <w:pPr>
        <w:pStyle w:val="Heading3"/>
        <w:spacing w:line="240" w:lineRule="auto"/>
        <w:rPr>
          <w:color w:val="000000"/>
        </w:rPr>
      </w:pPr>
      <w:bookmarkStart w:id="15" w:name="_qd4gk9uoq1mw" w:colFirst="0" w:colLast="0"/>
      <w:bookmarkEnd w:id="15"/>
      <w:r>
        <w:br w:type="page"/>
      </w:r>
    </w:p>
    <w:p w14:paraId="6CCD9E49" w14:textId="77777777" w:rsidR="00F254E1" w:rsidRDefault="00F254E1">
      <w:bookmarkStart w:id="16" w:name="_khkydvhbqfp5" w:colFirst="0" w:colLast="0"/>
      <w:bookmarkEnd w:id="16"/>
    </w:p>
    <w:p w14:paraId="273E40B2" w14:textId="77777777" w:rsidR="00E47330" w:rsidRDefault="00E47330" w:rsidP="00217B56">
      <w:pPr>
        <w:pStyle w:val="Heading1"/>
        <w:spacing w:before="240" w:after="240" w:line="480" w:lineRule="auto"/>
        <w:jc w:val="both"/>
      </w:pPr>
      <w:r>
        <w:t xml:space="preserve">References: </w:t>
      </w:r>
    </w:p>
    <w:p w14:paraId="1A44AEFA" w14:textId="77777777" w:rsidR="00B23636" w:rsidRPr="001119FA" w:rsidRDefault="00E47330" w:rsidP="00BE496F">
      <w:pPr>
        <w:widowControl w:val="0"/>
        <w:autoSpaceDE w:val="0"/>
        <w:autoSpaceDN w:val="0"/>
        <w:adjustRightInd w:val="0"/>
        <w:spacing w:before="240" w:line="240" w:lineRule="auto"/>
        <w:ind w:left="640" w:hanging="640"/>
        <w:rPr>
          <w:noProof/>
          <w:szCs w:val="24"/>
          <w:lang w:val="nl-NL"/>
        </w:rPr>
      </w:pPr>
      <w:r>
        <w:fldChar w:fldCharType="begin" w:fldLock="1"/>
      </w:r>
      <w:r>
        <w:instrText xml:space="preserve">ADDIN Mendeley Bibliography CSL_BIBLIOGRAPHY </w:instrText>
      </w:r>
      <w:r>
        <w:fldChar w:fldCharType="separate"/>
      </w:r>
      <w:r w:rsidR="00B23636" w:rsidRPr="00B23636">
        <w:rPr>
          <w:noProof/>
          <w:szCs w:val="24"/>
        </w:rPr>
        <w:t xml:space="preserve">1. </w:t>
      </w:r>
      <w:r w:rsidR="00B23636" w:rsidRPr="00B23636">
        <w:rPr>
          <w:noProof/>
          <w:szCs w:val="24"/>
        </w:rPr>
        <w:tab/>
        <w:t xml:space="preserve">Ferdinand R, van der Ende J. DISC-IV Diagnostic Interview Schedule for Children [Dutch translation NIMH-DISC-IV]. </w:t>
      </w:r>
      <w:r w:rsidR="00B23636" w:rsidRPr="001119FA">
        <w:rPr>
          <w:noProof/>
          <w:szCs w:val="24"/>
          <w:lang w:val="nl-NL"/>
        </w:rPr>
        <w:t>Rotterdam, the Netherlands: Afdeling Kinder- en Jeugdpsychiatrie, Sophia Kinderziekenhuis/Academisch Ziekenhuis Rotterdam; 1998.</w:t>
      </w:r>
    </w:p>
    <w:p w14:paraId="57F97D24" w14:textId="77777777" w:rsidR="00B23636" w:rsidRPr="001119FA" w:rsidRDefault="00B23636" w:rsidP="00BE496F">
      <w:pPr>
        <w:widowControl w:val="0"/>
        <w:autoSpaceDE w:val="0"/>
        <w:autoSpaceDN w:val="0"/>
        <w:adjustRightInd w:val="0"/>
        <w:spacing w:before="240" w:line="240" w:lineRule="auto"/>
        <w:ind w:left="640" w:hanging="640"/>
        <w:rPr>
          <w:noProof/>
          <w:szCs w:val="24"/>
          <w:lang w:val="nl-NL"/>
        </w:rPr>
      </w:pPr>
      <w:r w:rsidRPr="00B23636">
        <w:rPr>
          <w:noProof/>
          <w:szCs w:val="24"/>
        </w:rPr>
        <w:t xml:space="preserve">2. </w:t>
      </w:r>
      <w:r w:rsidRPr="00B23636">
        <w:rPr>
          <w:noProof/>
          <w:szCs w:val="24"/>
        </w:rPr>
        <w:tab/>
        <w:t xml:space="preserve">Kooij J. Adult ADHD: Diagnostic assessment and treatment. </w:t>
      </w:r>
      <w:r w:rsidRPr="001119FA">
        <w:rPr>
          <w:noProof/>
          <w:szCs w:val="24"/>
          <w:lang w:val="nl-NL"/>
        </w:rPr>
        <w:t>London: Springer-Verlag; 2012.</w:t>
      </w:r>
    </w:p>
    <w:p w14:paraId="1942C37E" w14:textId="77777777" w:rsidR="00B23636" w:rsidRPr="00B23636" w:rsidRDefault="00B23636" w:rsidP="00BE496F">
      <w:pPr>
        <w:widowControl w:val="0"/>
        <w:autoSpaceDE w:val="0"/>
        <w:autoSpaceDN w:val="0"/>
        <w:adjustRightInd w:val="0"/>
        <w:spacing w:before="240" w:line="240" w:lineRule="auto"/>
        <w:ind w:left="640" w:hanging="640"/>
        <w:rPr>
          <w:noProof/>
          <w:szCs w:val="24"/>
        </w:rPr>
      </w:pPr>
      <w:r w:rsidRPr="001119FA">
        <w:rPr>
          <w:noProof/>
          <w:szCs w:val="24"/>
          <w:lang w:val="nl-NL"/>
        </w:rPr>
        <w:t xml:space="preserve">3. </w:t>
      </w:r>
      <w:r w:rsidRPr="001119FA">
        <w:rPr>
          <w:noProof/>
          <w:szCs w:val="24"/>
          <w:lang w:val="nl-NL"/>
        </w:rPr>
        <w:tab/>
        <w:t xml:space="preserve">Kort W, Compaan EL, Bleichrodt N, Resing WCM, Schittekatte M, Bosmans M. WISC-III NL. </w:t>
      </w:r>
      <w:r w:rsidRPr="00B23636">
        <w:rPr>
          <w:noProof/>
          <w:szCs w:val="24"/>
        </w:rPr>
        <w:t>London Psychol Corp. 2002. 2002.</w:t>
      </w:r>
    </w:p>
    <w:p w14:paraId="31528474" w14:textId="77777777" w:rsidR="00B23636" w:rsidRPr="00B23636" w:rsidRDefault="00B23636" w:rsidP="00BE496F">
      <w:pPr>
        <w:widowControl w:val="0"/>
        <w:autoSpaceDE w:val="0"/>
        <w:autoSpaceDN w:val="0"/>
        <w:adjustRightInd w:val="0"/>
        <w:spacing w:before="240" w:line="240" w:lineRule="auto"/>
        <w:ind w:left="640" w:hanging="640"/>
        <w:rPr>
          <w:noProof/>
          <w:szCs w:val="24"/>
        </w:rPr>
      </w:pPr>
      <w:r w:rsidRPr="00B23636">
        <w:rPr>
          <w:noProof/>
          <w:szCs w:val="24"/>
        </w:rPr>
        <w:t xml:space="preserve">4. </w:t>
      </w:r>
      <w:r w:rsidRPr="00B23636">
        <w:rPr>
          <w:noProof/>
          <w:szCs w:val="24"/>
        </w:rPr>
        <w:tab/>
        <w:t>Schmand B, Lindeboom J, van Harskamp F. Dutch Adult Reading Test. Lisse Swets En Zeitlinger. 1992. 1992.</w:t>
      </w:r>
    </w:p>
    <w:p w14:paraId="45B01B26" w14:textId="77777777" w:rsidR="00B23636" w:rsidRPr="001119FA" w:rsidRDefault="00B23636" w:rsidP="00BE496F">
      <w:pPr>
        <w:widowControl w:val="0"/>
        <w:autoSpaceDE w:val="0"/>
        <w:autoSpaceDN w:val="0"/>
        <w:adjustRightInd w:val="0"/>
        <w:spacing w:before="240" w:line="240" w:lineRule="auto"/>
        <w:ind w:left="640" w:hanging="640"/>
        <w:rPr>
          <w:noProof/>
          <w:szCs w:val="24"/>
          <w:lang w:val="nl-NL"/>
        </w:rPr>
      </w:pPr>
      <w:r w:rsidRPr="00B23636">
        <w:rPr>
          <w:noProof/>
          <w:szCs w:val="24"/>
        </w:rPr>
        <w:t xml:space="preserve">5. </w:t>
      </w:r>
      <w:r w:rsidRPr="00B23636">
        <w:rPr>
          <w:noProof/>
          <w:szCs w:val="24"/>
        </w:rPr>
        <w:tab/>
        <w:t xml:space="preserve">Esteban O, Markiewicz CJ, Blair RW, Moodie CA, Isik AI, Erramuzpe A, et al. fMRIPrep: a robust preprocessing pipeline for functional MRI. </w:t>
      </w:r>
      <w:r w:rsidRPr="001119FA">
        <w:rPr>
          <w:noProof/>
          <w:szCs w:val="24"/>
          <w:lang w:val="nl-NL"/>
        </w:rPr>
        <w:t>Nat Methods. 2019;16:111–116.</w:t>
      </w:r>
    </w:p>
    <w:p w14:paraId="100E65D0" w14:textId="77777777" w:rsidR="00B23636" w:rsidRPr="00B23636" w:rsidRDefault="00B23636" w:rsidP="00BE496F">
      <w:pPr>
        <w:widowControl w:val="0"/>
        <w:autoSpaceDE w:val="0"/>
        <w:autoSpaceDN w:val="0"/>
        <w:adjustRightInd w:val="0"/>
        <w:spacing w:before="240" w:line="240" w:lineRule="auto"/>
        <w:ind w:left="640" w:hanging="640"/>
        <w:rPr>
          <w:noProof/>
          <w:szCs w:val="24"/>
        </w:rPr>
      </w:pPr>
      <w:r w:rsidRPr="001119FA">
        <w:rPr>
          <w:noProof/>
          <w:szCs w:val="24"/>
          <w:lang w:val="nl-NL"/>
        </w:rPr>
        <w:t xml:space="preserve">6. </w:t>
      </w:r>
      <w:r w:rsidRPr="001119FA">
        <w:rPr>
          <w:noProof/>
          <w:szCs w:val="24"/>
          <w:lang w:val="nl-NL"/>
        </w:rPr>
        <w:tab/>
        <w:t xml:space="preserve">Pruim RHR, Mennes M, van Rooij D, Llera A, Buitelaar JK, Beckmann CF. </w:t>
      </w:r>
      <w:r w:rsidRPr="00B23636">
        <w:rPr>
          <w:noProof/>
          <w:szCs w:val="24"/>
        </w:rPr>
        <w:t>ICA-AROMA: A robust ICA-based strategy for removing motion artifacts from fMRI data. Neuroimage. 2015;112:267–277.</w:t>
      </w:r>
    </w:p>
    <w:p w14:paraId="13648A59" w14:textId="77777777" w:rsidR="00B23636" w:rsidRPr="00B23636" w:rsidRDefault="00B23636" w:rsidP="00BE496F">
      <w:pPr>
        <w:widowControl w:val="0"/>
        <w:autoSpaceDE w:val="0"/>
        <w:autoSpaceDN w:val="0"/>
        <w:adjustRightInd w:val="0"/>
        <w:spacing w:before="240" w:line="240" w:lineRule="auto"/>
        <w:ind w:left="640" w:hanging="640"/>
        <w:rPr>
          <w:noProof/>
          <w:szCs w:val="24"/>
        </w:rPr>
      </w:pPr>
      <w:r w:rsidRPr="00B23636">
        <w:rPr>
          <w:noProof/>
          <w:szCs w:val="24"/>
        </w:rPr>
        <w:t xml:space="preserve">7. </w:t>
      </w:r>
      <w:r w:rsidRPr="00B23636">
        <w:rPr>
          <w:noProof/>
          <w:szCs w:val="24"/>
        </w:rPr>
        <w:tab/>
        <w:t>Meijer KA, Eijlers AJC, Douw L, Uitdehaag BMJ, Barkhof F, Geurts JJG, et al. Increased connectivity of hub networks and cognitive impairment in multiple sclerosis. Neurology. 2017;88:2107–2114.</w:t>
      </w:r>
    </w:p>
    <w:p w14:paraId="131C2B23" w14:textId="77777777" w:rsidR="00B23636" w:rsidRPr="00B23636" w:rsidRDefault="00B23636" w:rsidP="00BE496F">
      <w:pPr>
        <w:widowControl w:val="0"/>
        <w:autoSpaceDE w:val="0"/>
        <w:autoSpaceDN w:val="0"/>
        <w:adjustRightInd w:val="0"/>
        <w:spacing w:before="240" w:line="240" w:lineRule="auto"/>
        <w:ind w:left="640" w:hanging="640"/>
        <w:rPr>
          <w:noProof/>
        </w:rPr>
      </w:pPr>
      <w:r w:rsidRPr="00B23636">
        <w:rPr>
          <w:noProof/>
          <w:szCs w:val="24"/>
        </w:rPr>
        <w:t xml:space="preserve">8. </w:t>
      </w:r>
      <w:r w:rsidRPr="00B23636">
        <w:rPr>
          <w:noProof/>
          <w:szCs w:val="24"/>
        </w:rPr>
        <w:tab/>
        <w:t>Ciric R, Wolf DH, Power JD, Roalf DR, Baum GL, Ruparel K, et al. Benchmarking of participant-level confound regression strategies for the control of motion artifact in studies of functional connectivity. Neuroimage. 2017;154:174–187.</w:t>
      </w:r>
    </w:p>
    <w:p w14:paraId="3AAF9709" w14:textId="77777777" w:rsidR="00E47330" w:rsidRDefault="00E47330" w:rsidP="00BE496F">
      <w:pPr>
        <w:spacing w:before="240"/>
      </w:pPr>
      <w:r>
        <w:fldChar w:fldCharType="end"/>
      </w:r>
    </w:p>
    <w:sectPr w:rsidR="00E47330">
      <w:footerReference w:type="default" r:id="rId10"/>
      <w:pgSz w:w="12240" w:h="15840"/>
      <w:pgMar w:top="1440" w:right="1440" w:bottom="1440" w:left="1440" w:header="720" w:footer="4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0B7C" w14:textId="77777777" w:rsidR="00AA7E05" w:rsidRDefault="00217B56">
      <w:pPr>
        <w:spacing w:line="240" w:lineRule="auto"/>
      </w:pPr>
      <w:r>
        <w:separator/>
      </w:r>
    </w:p>
  </w:endnote>
  <w:endnote w:type="continuationSeparator" w:id="0">
    <w:p w14:paraId="7553BECC" w14:textId="77777777" w:rsidR="00AA7E05" w:rsidRDefault="00217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BC35" w14:textId="23EDB923" w:rsidR="00F254E1" w:rsidRDefault="00217B56">
    <w:pPr>
      <w:jc w:val="right"/>
    </w:pPr>
    <w:r>
      <w:fldChar w:fldCharType="begin"/>
    </w:r>
    <w:r>
      <w:instrText>PAGE</w:instrText>
    </w:r>
    <w:r>
      <w:fldChar w:fldCharType="separate"/>
    </w:r>
    <w:r w:rsidR="00A2209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70A0" w14:textId="77777777" w:rsidR="00AA7E05" w:rsidRDefault="00217B56">
      <w:pPr>
        <w:spacing w:line="240" w:lineRule="auto"/>
      </w:pPr>
      <w:r>
        <w:separator/>
      </w:r>
    </w:p>
  </w:footnote>
  <w:footnote w:type="continuationSeparator" w:id="0">
    <w:p w14:paraId="2BB1E9D1" w14:textId="77777777" w:rsidR="00AA7E05" w:rsidRDefault="00217B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E1"/>
    <w:rsid w:val="001119FA"/>
    <w:rsid w:val="001F537D"/>
    <w:rsid w:val="00217B56"/>
    <w:rsid w:val="00463F0C"/>
    <w:rsid w:val="006B2109"/>
    <w:rsid w:val="00A22093"/>
    <w:rsid w:val="00A3788C"/>
    <w:rsid w:val="00AA7E05"/>
    <w:rsid w:val="00AC5CD4"/>
    <w:rsid w:val="00B23636"/>
    <w:rsid w:val="00BE496F"/>
    <w:rsid w:val="00DE6001"/>
    <w:rsid w:val="00E47330"/>
    <w:rsid w:val="00F254E1"/>
    <w:rsid w:val="00FF3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4FCEA"/>
  <w15:docId w15:val="{35BEA4A4-CE99-4D82-8400-5378B94E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240" w:after="240" w:line="480" w:lineRule="auto"/>
      <w:jc w:val="both"/>
      <w:outlineLvl w:val="2"/>
    </w:pPr>
    <w:rPr>
      <w:b/>
      <w:color w:val="434343"/>
      <w:sz w:val="20"/>
      <w:szCs w:val="20"/>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119FA"/>
    <w:rPr>
      <w:sz w:val="16"/>
      <w:szCs w:val="16"/>
    </w:rPr>
  </w:style>
  <w:style w:type="paragraph" w:styleId="CommentText">
    <w:name w:val="annotation text"/>
    <w:basedOn w:val="Normal"/>
    <w:link w:val="CommentTextChar"/>
    <w:uiPriority w:val="99"/>
    <w:semiHidden/>
    <w:unhideWhenUsed/>
    <w:rsid w:val="001119FA"/>
    <w:pPr>
      <w:spacing w:line="240" w:lineRule="auto"/>
    </w:pPr>
    <w:rPr>
      <w:sz w:val="20"/>
      <w:szCs w:val="20"/>
    </w:rPr>
  </w:style>
  <w:style w:type="character" w:customStyle="1" w:styleId="CommentTextChar">
    <w:name w:val="Comment Text Char"/>
    <w:basedOn w:val="DefaultParagraphFont"/>
    <w:link w:val="CommentText"/>
    <w:uiPriority w:val="99"/>
    <w:semiHidden/>
    <w:rsid w:val="001119FA"/>
    <w:rPr>
      <w:sz w:val="20"/>
      <w:szCs w:val="20"/>
    </w:rPr>
  </w:style>
  <w:style w:type="paragraph" w:styleId="CommentSubject">
    <w:name w:val="annotation subject"/>
    <w:basedOn w:val="CommentText"/>
    <w:next w:val="CommentText"/>
    <w:link w:val="CommentSubjectChar"/>
    <w:uiPriority w:val="99"/>
    <w:semiHidden/>
    <w:unhideWhenUsed/>
    <w:rsid w:val="001119FA"/>
    <w:rPr>
      <w:b/>
      <w:bCs/>
    </w:rPr>
  </w:style>
  <w:style w:type="character" w:customStyle="1" w:styleId="CommentSubjectChar">
    <w:name w:val="Comment Subject Char"/>
    <w:basedOn w:val="CommentTextChar"/>
    <w:link w:val="CommentSubject"/>
    <w:uiPriority w:val="99"/>
    <w:semiHidden/>
    <w:rsid w:val="001119FA"/>
    <w:rPr>
      <w:b/>
      <w:bCs/>
      <w:sz w:val="20"/>
      <w:szCs w:val="20"/>
    </w:rPr>
  </w:style>
  <w:style w:type="paragraph" w:styleId="BalloonText">
    <w:name w:val="Balloon Text"/>
    <w:basedOn w:val="Normal"/>
    <w:link w:val="BalloonTextChar"/>
    <w:uiPriority w:val="99"/>
    <w:semiHidden/>
    <w:unhideWhenUsed/>
    <w:rsid w:val="00111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DA23-C1DA-4EA5-9F69-DDA692B8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4185</Words>
  <Characters>23022</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Kaiser</cp:lastModifiedBy>
  <cp:revision>12</cp:revision>
  <dcterms:created xsi:type="dcterms:W3CDTF">2022-02-02T17:58:00Z</dcterms:created>
  <dcterms:modified xsi:type="dcterms:W3CDTF">2022-02-03T22:24:00Z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http://www.zotero.org/styles/neuropsychopharmacology</vt:lpwstr>
  </property>
  <property fmtid="{D5CDD505-2E9C-101B-9397-08002B2CF9AE}" pid="21" name="Mendeley Recent Style Name 9_1">
    <vt:lpwstr>Neuropsychopharmacology</vt:lpwstr>
  </property>
  <property fmtid="{D5CDD505-2E9C-101B-9397-08002B2CF9AE}" pid="22" name="Mendeley Document_1">
    <vt:lpwstr>True</vt:lpwstr>
  </property>
  <property fmtid="{D5CDD505-2E9C-101B-9397-08002B2CF9AE}" pid="23" name="Mendeley Citation Style_1">
    <vt:lpwstr>http://www.zotero.org/styles/neuropsychopharmacology</vt:lpwstr>
  </property>
  <property fmtid="{D5CDD505-2E9C-101B-9397-08002B2CF9AE}" pid="24" name="Mendeley Unique User Id_1">
    <vt:lpwstr>6bb8ba6a-c52d-3395-84e8-c0accb9f32c2</vt:lpwstr>
  </property>
</Properties>
</file>