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2" w:rsidRPr="00987B3D" w:rsidRDefault="00035FBC" w:rsidP="0002537F">
      <w:pPr>
        <w:jc w:val="both"/>
        <w:rPr>
          <w:b/>
          <w:lang w:val="en-US"/>
        </w:rPr>
      </w:pPr>
      <w:r w:rsidRPr="00987B3D">
        <w:rPr>
          <w:b/>
          <w:lang w:val="en-US"/>
        </w:rPr>
        <w:t>Supplementary Appendix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id w:val="19036401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87B3D" w:rsidRPr="00987B3D" w:rsidRDefault="00987B3D">
          <w:pPr>
            <w:pStyle w:val="TOCHeading"/>
            <w:rPr>
              <w:color w:val="auto"/>
            </w:rPr>
          </w:pPr>
          <w:r w:rsidRPr="00987B3D">
            <w:rPr>
              <w:color w:val="auto"/>
            </w:rPr>
            <w:t>Table of Contents</w:t>
          </w:r>
        </w:p>
        <w:p w:rsidR="003D0C8A" w:rsidRDefault="00987B3D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987B3D">
            <w:fldChar w:fldCharType="begin"/>
          </w:r>
          <w:r w:rsidRPr="00987B3D">
            <w:rPr>
              <w:lang w:val="en-US"/>
            </w:rPr>
            <w:instrText xml:space="preserve"> TOC \o "1-3" \h \z \u </w:instrText>
          </w:r>
          <w:r w:rsidRPr="00987B3D">
            <w:fldChar w:fldCharType="separate"/>
          </w:r>
          <w:hyperlink w:anchor="_Toc89888118" w:history="1">
            <w:r w:rsidR="003D0C8A" w:rsidRPr="009F2310">
              <w:rPr>
                <w:rStyle w:val="Hyperlink"/>
                <w:noProof/>
                <w:lang w:val="en-US"/>
              </w:rPr>
              <w:t>List of Investigators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_Toc89888118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2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3D0C8A" w:rsidRDefault="000B59B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888119" w:history="1">
            <w:r w:rsidR="003D0C8A" w:rsidRPr="009F2310">
              <w:rPr>
                <w:rStyle w:val="Hyperlink"/>
                <w:noProof/>
                <w:lang w:val="en-US"/>
              </w:rPr>
              <w:t>Methods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_Toc89888119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3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3D0C8A" w:rsidRDefault="000B59B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888120" w:history="1">
            <w:r w:rsidR="003D0C8A" w:rsidRPr="009F2310">
              <w:rPr>
                <w:rStyle w:val="Hyperlink"/>
                <w:noProof/>
                <w:lang w:val="en-US"/>
              </w:rPr>
              <w:t>Table S1. Patient characteristics convalescent sera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_Toc89888120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4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3D0C8A" w:rsidRDefault="000B59B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888121" w:history="1">
            <w:r w:rsidR="003D0C8A" w:rsidRPr="009F2310">
              <w:rPr>
                <w:rStyle w:val="Hyperlink"/>
                <w:noProof/>
                <w:lang w:val="en-US"/>
              </w:rPr>
              <w:t>Table S2. Patient characteristics vaccinated sera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_Toc89888121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5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3D0C8A" w:rsidRDefault="000B59B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888122" w:history="1">
            <w:r w:rsidR="003D0C8A" w:rsidRPr="009F2310">
              <w:rPr>
                <w:rStyle w:val="Hyperlink"/>
                <w:noProof/>
                <w:lang w:val="en-US"/>
              </w:rPr>
              <w:t>Table S3. Patient characteristics super immune sera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_Toc89888122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7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3D0C8A" w:rsidRDefault="000B59B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9888123" w:history="1">
            <w:r w:rsidR="003D0C8A" w:rsidRPr="009F2310">
              <w:rPr>
                <w:rStyle w:val="Hyperlink"/>
                <w:noProof/>
                <w:lang w:val="en-US"/>
              </w:rPr>
              <w:t>References</w:t>
            </w:r>
            <w:r w:rsidR="003D0C8A">
              <w:rPr>
                <w:noProof/>
                <w:webHidden/>
              </w:rPr>
              <w:tab/>
            </w:r>
            <w:r w:rsidR="003D0C8A">
              <w:rPr>
                <w:noProof/>
                <w:webHidden/>
              </w:rPr>
              <w:fldChar w:fldCharType="begin"/>
            </w:r>
            <w:r w:rsidR="003D0C8A">
              <w:rPr>
                <w:noProof/>
                <w:webHidden/>
              </w:rPr>
              <w:instrText xml:space="preserve"> PAGEREF _Toc89888123 \h </w:instrText>
            </w:r>
            <w:r w:rsidR="003D0C8A">
              <w:rPr>
                <w:noProof/>
                <w:webHidden/>
              </w:rPr>
            </w:r>
            <w:r w:rsidR="003D0C8A">
              <w:rPr>
                <w:noProof/>
                <w:webHidden/>
              </w:rPr>
              <w:fldChar w:fldCharType="separate"/>
            </w:r>
            <w:r w:rsidR="003D0C8A">
              <w:rPr>
                <w:noProof/>
                <w:webHidden/>
              </w:rPr>
              <w:t>8</w:t>
            </w:r>
            <w:r w:rsidR="003D0C8A">
              <w:rPr>
                <w:noProof/>
                <w:webHidden/>
              </w:rPr>
              <w:fldChar w:fldCharType="end"/>
            </w:r>
          </w:hyperlink>
        </w:p>
        <w:p w:rsidR="00987B3D" w:rsidRPr="00987B3D" w:rsidRDefault="00987B3D">
          <w:pPr>
            <w:rPr>
              <w:lang w:val="en-US"/>
            </w:rPr>
          </w:pPr>
          <w:r w:rsidRPr="00987B3D">
            <w:rPr>
              <w:b/>
              <w:bCs/>
              <w:noProof/>
            </w:rPr>
            <w:fldChar w:fldCharType="end"/>
          </w:r>
        </w:p>
      </w:sdtContent>
    </w:sdt>
    <w:p w:rsidR="00987B3D" w:rsidRPr="00987B3D" w:rsidRDefault="00987B3D" w:rsidP="0002537F">
      <w:pPr>
        <w:jc w:val="both"/>
        <w:rPr>
          <w:lang w:val="en-US"/>
        </w:rPr>
      </w:pPr>
    </w:p>
    <w:p w:rsidR="00987B3D" w:rsidRDefault="00987B3D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987B3D" w:rsidRPr="00987B3D" w:rsidRDefault="00987B3D" w:rsidP="00987B3D">
      <w:pPr>
        <w:pStyle w:val="Heading1"/>
        <w:rPr>
          <w:color w:val="auto"/>
          <w:lang w:val="en-US"/>
        </w:rPr>
      </w:pPr>
      <w:bookmarkStart w:id="0" w:name="_Toc89888118"/>
      <w:r w:rsidRPr="00987B3D">
        <w:rPr>
          <w:color w:val="auto"/>
          <w:lang w:val="en-US"/>
        </w:rPr>
        <w:lastRenderedPageBreak/>
        <w:t>List of Investigators</w:t>
      </w:r>
      <w:bookmarkEnd w:id="0"/>
    </w:p>
    <w:p w:rsidR="00987B3D" w:rsidRDefault="00987B3D">
      <w:pPr>
        <w:rPr>
          <w:lang w:val="en-US"/>
        </w:rPr>
      </w:pPr>
    </w:p>
    <w:p w:rsidR="00987B3D" w:rsidRDefault="00987B3D">
      <w:pPr>
        <w:rPr>
          <w:lang w:val="en-US"/>
        </w:rPr>
      </w:pPr>
      <w:r>
        <w:rPr>
          <w:lang w:val="en-US"/>
        </w:rPr>
        <w:t>Annika Rössler</w:t>
      </w:r>
    </w:p>
    <w:p w:rsidR="00987B3D" w:rsidRPr="000B59BC" w:rsidRDefault="00987B3D">
      <w:pPr>
        <w:rPr>
          <w:lang w:val="en-US"/>
        </w:rPr>
      </w:pPr>
      <w:r w:rsidRPr="000B59BC">
        <w:rPr>
          <w:lang w:val="en-US"/>
        </w:rPr>
        <w:t>Lydia Riepler</w:t>
      </w:r>
    </w:p>
    <w:p w:rsidR="00987B3D" w:rsidRPr="000B59BC" w:rsidRDefault="00987B3D">
      <w:pPr>
        <w:rPr>
          <w:lang w:val="en-US"/>
        </w:rPr>
      </w:pPr>
      <w:r w:rsidRPr="000B59BC">
        <w:rPr>
          <w:lang w:val="en-US"/>
        </w:rPr>
        <w:t>David Bante</w:t>
      </w:r>
    </w:p>
    <w:p w:rsidR="00987B3D" w:rsidRPr="000B59BC" w:rsidRDefault="00987B3D">
      <w:pPr>
        <w:rPr>
          <w:lang w:val="en-US"/>
        </w:rPr>
      </w:pPr>
      <w:r w:rsidRPr="000B59BC">
        <w:rPr>
          <w:lang w:val="en-US"/>
        </w:rPr>
        <w:t>Dorothee von Laer</w:t>
      </w:r>
    </w:p>
    <w:p w:rsidR="00987B3D" w:rsidRPr="00F17186" w:rsidRDefault="00987B3D" w:rsidP="00987B3D">
      <w:pPr>
        <w:rPr>
          <w:lang w:val="en-US"/>
        </w:rPr>
      </w:pPr>
      <w:r w:rsidRPr="00F17186">
        <w:rPr>
          <w:lang w:val="en-US"/>
        </w:rPr>
        <w:t>Janine Kimpel</w:t>
      </w:r>
      <w:r>
        <w:rPr>
          <w:lang w:val="en-US"/>
        </w:rPr>
        <w:t xml:space="preserve"> (Janine.Kimpel@i-med.ac.at)</w:t>
      </w:r>
    </w:p>
    <w:p w:rsidR="00987B3D" w:rsidRPr="000B59BC" w:rsidRDefault="00987B3D" w:rsidP="00987B3D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6453B9">
        <w:rPr>
          <w:rFonts w:cstheme="minorHAnsi"/>
          <w:lang w:val="en-US"/>
        </w:rPr>
        <w:t>Institute of Virology, Department of Hygiene, Microbiology and Public Health, Medical University of Innsbruck, Peter-Mayr-Str. 4b, 6020 Innsbruck, Austria</w:t>
      </w:r>
      <w:r w:rsidRPr="000B59BC">
        <w:rPr>
          <w:lang w:val="en-US"/>
        </w:rPr>
        <w:t xml:space="preserve"> </w:t>
      </w:r>
      <w:r w:rsidRPr="000B59BC">
        <w:rPr>
          <w:lang w:val="en-US"/>
        </w:rPr>
        <w:br w:type="page"/>
      </w:r>
    </w:p>
    <w:p w:rsidR="00035FBC" w:rsidRPr="00987B3D" w:rsidRDefault="0002537F" w:rsidP="00987B3D">
      <w:pPr>
        <w:pStyle w:val="Heading1"/>
        <w:rPr>
          <w:b w:val="0"/>
          <w:color w:val="auto"/>
          <w:lang w:val="en-US"/>
        </w:rPr>
      </w:pPr>
      <w:bookmarkStart w:id="1" w:name="_Toc89888119"/>
      <w:r w:rsidRPr="00987B3D">
        <w:rPr>
          <w:color w:val="auto"/>
          <w:lang w:val="en-US"/>
        </w:rPr>
        <w:lastRenderedPageBreak/>
        <w:t>Methods</w:t>
      </w:r>
      <w:bookmarkEnd w:id="1"/>
    </w:p>
    <w:p w:rsidR="00F4601B" w:rsidRPr="00987B3D" w:rsidRDefault="00F4601B" w:rsidP="0002537F">
      <w:pPr>
        <w:jc w:val="both"/>
        <w:rPr>
          <w:i/>
          <w:lang w:val="en-US"/>
        </w:rPr>
      </w:pPr>
      <w:r w:rsidRPr="00987B3D">
        <w:rPr>
          <w:i/>
          <w:lang w:val="en-US"/>
        </w:rPr>
        <w:t>Ethics statement</w:t>
      </w:r>
    </w:p>
    <w:p w:rsidR="00F4601B" w:rsidRPr="00987B3D" w:rsidRDefault="005E07D0" w:rsidP="0002537F">
      <w:pPr>
        <w:jc w:val="both"/>
        <w:rPr>
          <w:rFonts w:cstheme="minorHAnsi"/>
          <w:lang w:val="en-US"/>
        </w:rPr>
      </w:pPr>
      <w:r w:rsidRPr="00987B3D">
        <w:rPr>
          <w:lang w:val="en-US"/>
        </w:rPr>
        <w:t>The ethics committee (EC) of the Medical University of Innsbruck has approved the study</w:t>
      </w:r>
      <w:r w:rsidRPr="00987B3D">
        <w:rPr>
          <w:rFonts w:cstheme="minorHAnsi"/>
          <w:lang w:val="en-US"/>
        </w:rPr>
        <w:t xml:space="preserve"> with EC numbers: </w:t>
      </w:r>
      <w:r w:rsidRPr="00987B3D">
        <w:rPr>
          <w:rFonts w:eastAsia="Times New Roman" w:cstheme="minorHAnsi"/>
          <w:lang w:val="en-US"/>
        </w:rPr>
        <w:t xml:space="preserve">1330/2020, </w:t>
      </w:r>
      <w:r w:rsidR="0040660F" w:rsidRPr="00987B3D">
        <w:rPr>
          <w:lang w:val="en-US"/>
        </w:rPr>
        <w:t xml:space="preserve">1093/2021, 1168/202, </w:t>
      </w:r>
      <w:r w:rsidRPr="00987B3D">
        <w:rPr>
          <w:rFonts w:cstheme="minorHAnsi"/>
          <w:lang w:val="en-US"/>
        </w:rPr>
        <w:t>1191/2021</w:t>
      </w:r>
      <w:r w:rsidR="0040660F" w:rsidRPr="00987B3D">
        <w:rPr>
          <w:rFonts w:cstheme="minorHAnsi"/>
          <w:lang w:val="en-US"/>
        </w:rPr>
        <w:t xml:space="preserve">, and </w:t>
      </w:r>
      <w:r w:rsidR="0040660F" w:rsidRPr="00987B3D">
        <w:rPr>
          <w:lang w:val="en-US"/>
        </w:rPr>
        <w:t>1197/2021</w:t>
      </w:r>
      <w:r w:rsidRPr="00987B3D">
        <w:rPr>
          <w:rFonts w:cstheme="minorHAnsi"/>
          <w:lang w:val="en-US"/>
        </w:rPr>
        <w:t>.</w:t>
      </w:r>
    </w:p>
    <w:p w:rsidR="0002537F" w:rsidRPr="00987B3D" w:rsidRDefault="0002537F" w:rsidP="0002537F">
      <w:pPr>
        <w:jc w:val="both"/>
        <w:rPr>
          <w:i/>
          <w:lang w:val="en-US"/>
        </w:rPr>
      </w:pPr>
      <w:r w:rsidRPr="00987B3D">
        <w:rPr>
          <w:i/>
          <w:lang w:val="en-US"/>
        </w:rPr>
        <w:t>Focus forming neutralization assay</w:t>
      </w:r>
    </w:p>
    <w:p w:rsidR="0002537F" w:rsidRPr="00987B3D" w:rsidRDefault="0002537F" w:rsidP="00DF751F">
      <w:pPr>
        <w:jc w:val="both"/>
        <w:rPr>
          <w:lang w:val="en-US"/>
        </w:rPr>
      </w:pPr>
      <w:r w:rsidRPr="00987B3D">
        <w:rPr>
          <w:lang w:val="en-US"/>
        </w:rPr>
        <w:t>Focus forming neutralization assays were performed as previously described with the following modifications.</w:t>
      </w:r>
      <w:r w:rsidRPr="00987B3D">
        <w:rPr>
          <w:lang w:val="en-US"/>
        </w:rPr>
        <w:fldChar w:fldCharType="begin"/>
      </w:r>
      <w:r w:rsidRPr="00987B3D">
        <w:rPr>
          <w:lang w:val="en-US"/>
        </w:rPr>
        <w:instrText xml:space="preserve"> ADDIN EN.CITE &lt;EndNote&gt;&lt;Cite&gt;&lt;Author&gt;Riepler&lt;/Author&gt;&lt;Year&gt;2020&lt;/Year&gt;&lt;RecNum&gt;364&lt;/RecNum&gt;&lt;DisplayText&gt;[1]&lt;/DisplayText&gt;&lt;record&gt;&lt;rec-number&gt;364&lt;/rec-number&gt;&lt;foreign-keys&gt;&lt;key app="EN" db-id="axxsdfasstdwepeterm5afp1ra0psxzsax2a" timestamp="1628359831"&gt;364&lt;/key&gt;&lt;/foreign-keys&gt;&lt;ref-type name="Journal Article"&gt;17&lt;/ref-type&gt;&lt;contributors&gt;&lt;authors&gt;&lt;author&gt;Riepler, L.&lt;/author&gt;&lt;author&gt;Rössler, A.&lt;/author&gt;&lt;author&gt;Falch, A.&lt;/author&gt;&lt;author&gt;Volland, A.&lt;/author&gt;&lt;author&gt;Borena, W.&lt;/author&gt;&lt;author&gt;von Laer, D.&lt;/author&gt;&lt;author&gt;Kimpel, J.&lt;/author&gt;&lt;/authors&gt;&lt;/contributors&gt;&lt;auth-address&gt;Department of Hygiene, Microbiology and Public Health, Institute of Virology, Medical University of Innsbruck, 6020 Innsbruck, Austria.&lt;/auth-address&gt;&lt;titles&gt;&lt;title&gt;Comparison of Four SARS-CoV-2 Neutralization Assays&lt;/title&gt;&lt;secondary-title&gt;Vaccines (Basel)&lt;/secondary-title&gt;&lt;alt-title&gt;Vaccines&lt;/alt-title&gt;&lt;/titles&gt;&lt;periodical&gt;&lt;full-title&gt;Vaccines (Basel)&lt;/full-title&gt;&lt;/periodical&gt;&lt;alt-periodical&gt;&lt;full-title&gt;Vaccines&lt;/full-title&gt;&lt;/alt-periodical&gt;&lt;volume&gt;9&lt;/volume&gt;&lt;number&gt;1&lt;/number&gt;&lt;edition&gt;2021/01/01&lt;/edition&gt;&lt;keywords&gt;&lt;keyword&gt;SARS-CoV-2&lt;/keyword&gt;&lt;keyword&gt;neutralization assay&lt;/keyword&gt;&lt;keyword&gt;neutralizing antibodies&lt;/keyword&gt;&lt;keyword&gt;pseudotype virus&lt;/keyword&gt;&lt;/keywords&gt;&lt;dates&gt;&lt;year&gt;2020&lt;/year&gt;&lt;pub-dates&gt;&lt;date&gt;Dec 28&lt;/date&gt;&lt;/pub-dates&gt;&lt;/dates&gt;&lt;isbn&gt;2076-393X (Print)&amp;#xD;2076-393x&lt;/isbn&gt;&lt;accession-num&gt;33379160&lt;/accession-num&gt;&lt;urls&gt;&lt;/urls&gt;&lt;custom2&gt;PMC7824240&lt;/custom2&gt;&lt;electronic-resource-num&gt;10.3390/vaccines9010013&lt;/electronic-resource-num&gt;&lt;remote-database-provider&gt;NLM&lt;/remote-database-provider&gt;&lt;language&gt;eng&lt;/language&gt;&lt;/record&gt;&lt;/Cite&gt;&lt;/EndNote&gt;</w:instrText>
      </w:r>
      <w:r w:rsidRPr="00987B3D">
        <w:rPr>
          <w:lang w:val="en-US"/>
        </w:rPr>
        <w:fldChar w:fldCharType="separate"/>
      </w:r>
      <w:r w:rsidRPr="00987B3D">
        <w:rPr>
          <w:noProof/>
          <w:lang w:val="en-US"/>
        </w:rPr>
        <w:t>[1]</w:t>
      </w:r>
      <w:r w:rsidRPr="00987B3D">
        <w:rPr>
          <w:lang w:val="en-US"/>
        </w:rPr>
        <w:fldChar w:fldCharType="end"/>
      </w:r>
      <w:r w:rsidRPr="00987B3D">
        <w:rPr>
          <w:lang w:val="en-US"/>
        </w:rPr>
        <w:t xml:space="preserve"> Briefly, sera were heat inactivated for 30 minutes at 56°C and subsequently centrifuged for 5 minutes at 8,000 rpm in a tabletop centrifuge. Sera were four-fold diluted</w:t>
      </w:r>
      <w:r w:rsidR="00FC07F1" w:rsidRPr="00987B3D">
        <w:rPr>
          <w:lang w:val="en-US"/>
        </w:rPr>
        <w:t xml:space="preserve"> in duplicate samples</w:t>
      </w:r>
      <w:r w:rsidRPr="00987B3D">
        <w:rPr>
          <w:lang w:val="en-US"/>
        </w:rPr>
        <w:t xml:space="preserve"> in complete medium with 2% fetal calf serum (FCS) starting with a 1:16 dilution</w:t>
      </w:r>
      <w:r w:rsidR="00FC07F1" w:rsidRPr="00987B3D">
        <w:rPr>
          <w:lang w:val="en-US"/>
        </w:rPr>
        <w:t>. Virus (</w:t>
      </w:r>
      <w:r w:rsidR="00FC07F1" w:rsidRPr="00987B3D">
        <w:rPr>
          <w:rFonts w:cstheme="minorHAnsi"/>
          <w:lang w:val="en-US"/>
        </w:rPr>
        <w:t xml:space="preserve">B.1.1.7: isolate C69.1, GISAID ID EPI_ISL_3277382; B.1.351: isolate C24.1, GISAID ID EPI_ISL_1123262; B.1.617.2: </w:t>
      </w:r>
      <w:r w:rsidR="00FC07F1" w:rsidRPr="00987B3D">
        <w:rPr>
          <w:rFonts w:cstheme="minorHAnsi"/>
          <w:iCs/>
          <w:lang w:val="en-US"/>
        </w:rPr>
        <w:t>isolate SARS-CoV-2-hCoV-19/USA/NY-MSHSPSP-PV29995/2021</w:t>
      </w:r>
      <w:r w:rsidR="007A224F" w:rsidRPr="00987B3D">
        <w:rPr>
          <w:rFonts w:cstheme="minorHAnsi"/>
          <w:iCs/>
          <w:lang w:val="en-US"/>
        </w:rPr>
        <w:t>, GISAID ID</w:t>
      </w:r>
      <w:r w:rsidR="007A224F" w:rsidRPr="00987B3D">
        <w:rPr>
          <w:lang w:val="en-US"/>
        </w:rPr>
        <w:t xml:space="preserve"> EPI_ISL_2290769</w:t>
      </w:r>
      <w:r w:rsidR="00FC07F1" w:rsidRPr="00987B3D">
        <w:rPr>
          <w:rFonts w:cstheme="minorHAnsi"/>
          <w:iCs/>
          <w:lang w:val="en-US"/>
        </w:rPr>
        <w:t>; B.1.1.</w:t>
      </w:r>
      <w:r w:rsidR="007A224F" w:rsidRPr="00987B3D">
        <w:rPr>
          <w:rFonts w:cstheme="minorHAnsi"/>
          <w:iCs/>
          <w:lang w:val="en-US"/>
        </w:rPr>
        <w:t>529</w:t>
      </w:r>
      <w:r w:rsidR="00FC07F1" w:rsidRPr="00987B3D">
        <w:rPr>
          <w:rFonts w:cstheme="minorHAnsi"/>
          <w:iCs/>
          <w:lang w:val="en-US"/>
        </w:rPr>
        <w:t>: isolate E1</w:t>
      </w:r>
      <w:r w:rsidR="00B12139" w:rsidRPr="00987B3D">
        <w:rPr>
          <w:rFonts w:cstheme="minorHAnsi"/>
          <w:iCs/>
          <w:lang w:val="en-US"/>
        </w:rPr>
        <w:t>6.1</w:t>
      </w:r>
      <w:r w:rsidR="007A224F" w:rsidRPr="00987B3D">
        <w:rPr>
          <w:rFonts w:cstheme="minorHAnsi"/>
          <w:iCs/>
          <w:lang w:val="en-US"/>
        </w:rPr>
        <w:t xml:space="preserve">, GISAID ID </w:t>
      </w:r>
      <w:r w:rsidR="007A224F" w:rsidRPr="00987B3D">
        <w:rPr>
          <w:lang w:val="en-US"/>
        </w:rPr>
        <w:t>EPI_ISL_6902053</w:t>
      </w:r>
      <w:r w:rsidR="00FC07F1" w:rsidRPr="00987B3D">
        <w:rPr>
          <w:rFonts w:cstheme="minorHAnsi"/>
          <w:iCs/>
          <w:lang w:val="en-US"/>
        </w:rPr>
        <w:t xml:space="preserve">) </w:t>
      </w:r>
      <w:r w:rsidR="00FC07F1" w:rsidRPr="00987B3D">
        <w:rPr>
          <w:lang w:val="en-US"/>
        </w:rPr>
        <w:t xml:space="preserve">was added resulting in around </w:t>
      </w:r>
      <w:r w:rsidR="001562C6" w:rsidRPr="00987B3D">
        <w:rPr>
          <w:lang w:val="en-US"/>
        </w:rPr>
        <w:t>100-200</w:t>
      </w:r>
      <w:r w:rsidR="00FC07F1" w:rsidRPr="00987B3D">
        <w:rPr>
          <w:lang w:val="en-US"/>
        </w:rPr>
        <w:t xml:space="preserve"> infected cells in the control wells without serum and mixes were incubated for 1 hour at 37°C. Subsequently, serum/virus mixtures were transferred to confluent Vero cells stably overexpressing TMPRSS2 and ACE2. </w:t>
      </w:r>
      <w:r w:rsidR="002E64B1" w:rsidRPr="00987B3D">
        <w:rPr>
          <w:lang w:val="en-US"/>
        </w:rPr>
        <w:t>Two</w:t>
      </w:r>
      <w:r w:rsidR="00FC07F1" w:rsidRPr="00987B3D">
        <w:rPr>
          <w:lang w:val="en-US"/>
        </w:rPr>
        <w:t xml:space="preserve"> hours after infection</w:t>
      </w:r>
      <w:r w:rsidR="00F60E13" w:rsidRPr="00987B3D">
        <w:rPr>
          <w:lang w:val="en-US"/>
        </w:rPr>
        <w:t>,</w:t>
      </w:r>
      <w:r w:rsidR="00FC07F1" w:rsidRPr="00987B3D">
        <w:rPr>
          <w:lang w:val="en-US"/>
        </w:rPr>
        <w:t xml:space="preserve"> inoculum was removed and fresh medium was added. </w:t>
      </w:r>
      <w:r w:rsidR="001562C6" w:rsidRPr="00987B3D">
        <w:rPr>
          <w:lang w:val="en-US"/>
        </w:rPr>
        <w:t>Ten hours after infection, c</w:t>
      </w:r>
      <w:r w:rsidR="00FC07F1" w:rsidRPr="00987B3D">
        <w:rPr>
          <w:lang w:val="en-US"/>
        </w:rPr>
        <w:t xml:space="preserve">ells were fixed for 5 minutes with 96% ethanol and subsequently stained using the serum of a convalescent patient and </w:t>
      </w:r>
      <w:r w:rsidR="006611E4" w:rsidRPr="00987B3D">
        <w:rPr>
          <w:lang w:val="en-US"/>
        </w:rPr>
        <w:t xml:space="preserve">an Alexa Fluor Plus </w:t>
      </w:r>
      <w:r w:rsidR="006B2047" w:rsidRPr="00987B3D">
        <w:rPr>
          <w:lang w:val="en-US"/>
        </w:rPr>
        <w:t>488</w:t>
      </w:r>
      <w:r w:rsidR="00FC07F1" w:rsidRPr="00987B3D">
        <w:rPr>
          <w:lang w:val="en-US"/>
        </w:rPr>
        <w:t xml:space="preserve">-conjugated </w:t>
      </w:r>
      <w:r w:rsidR="006B2047" w:rsidRPr="00987B3D">
        <w:rPr>
          <w:lang w:val="en-US"/>
        </w:rPr>
        <w:t xml:space="preserve">goat </w:t>
      </w:r>
      <w:r w:rsidR="00FC07F1" w:rsidRPr="00987B3D">
        <w:rPr>
          <w:lang w:val="en-US"/>
        </w:rPr>
        <w:t>anti-human IgG secondary antibody (</w:t>
      </w:r>
      <w:r w:rsidR="006B2047" w:rsidRPr="00987B3D">
        <w:rPr>
          <w:lang w:val="en-US"/>
        </w:rPr>
        <w:t xml:space="preserve">Invitrogen, Thermo Fisher Scientific, </w:t>
      </w:r>
      <w:r w:rsidR="003E448D" w:rsidRPr="00987B3D">
        <w:rPr>
          <w:lang w:val="en-US"/>
        </w:rPr>
        <w:t>Vienna, Austria</w:t>
      </w:r>
      <w:r w:rsidR="00FC07F1" w:rsidRPr="00987B3D">
        <w:rPr>
          <w:lang w:val="en-US"/>
        </w:rPr>
        <w:t xml:space="preserve">). Plates were analyzed using an ImmunoSpot S6 Ultra-V reader and FluoroSpot software (CTL Europe GmbH, Bonn, Germany). Continuous 50% neutralization titers were calculated in </w:t>
      </w:r>
      <w:r w:rsidR="00DF751F" w:rsidRPr="00987B3D">
        <w:rPr>
          <w:lang w:val="en-US"/>
        </w:rPr>
        <w:t xml:space="preserve">GraphPad Prism 9.0.1 (GraphPad Software, Inc., La Jolla, CA, USA) </w:t>
      </w:r>
      <w:r w:rsidR="00FC07F1" w:rsidRPr="00987B3D">
        <w:rPr>
          <w:lang w:val="en-US"/>
        </w:rPr>
        <w:t>using a non-linear regression</w:t>
      </w:r>
      <w:r w:rsidR="00DF751F" w:rsidRPr="00987B3D">
        <w:rPr>
          <w:lang w:val="en-US"/>
        </w:rPr>
        <w:t>.</w:t>
      </w:r>
      <w:r w:rsidR="00FC07F1" w:rsidRPr="00987B3D">
        <w:rPr>
          <w:lang w:val="en-US"/>
        </w:rPr>
        <w:t xml:space="preserve"> </w:t>
      </w:r>
      <w:r w:rsidR="00DF751F" w:rsidRPr="00987B3D">
        <w:rPr>
          <w:lang w:val="en-US"/>
        </w:rPr>
        <w:t>Titers &gt;1:16 were regarded as positive.</w:t>
      </w:r>
    </w:p>
    <w:p w:rsidR="00DF751F" w:rsidRPr="00987B3D" w:rsidRDefault="00DF751F" w:rsidP="0002537F">
      <w:pPr>
        <w:jc w:val="both"/>
        <w:rPr>
          <w:lang w:val="en-US"/>
        </w:rPr>
      </w:pPr>
    </w:p>
    <w:p w:rsidR="00CE236C" w:rsidRPr="00987B3D" w:rsidRDefault="00CE236C">
      <w:pPr>
        <w:rPr>
          <w:b/>
          <w:lang w:val="en-US"/>
        </w:rPr>
      </w:pPr>
      <w:r w:rsidRPr="00987B3D">
        <w:rPr>
          <w:b/>
          <w:lang w:val="en-US"/>
        </w:rPr>
        <w:br w:type="page"/>
      </w:r>
    </w:p>
    <w:p w:rsidR="00DF751F" w:rsidRPr="00987B3D" w:rsidRDefault="00DF751F" w:rsidP="00987B3D">
      <w:pPr>
        <w:pStyle w:val="Heading1"/>
        <w:rPr>
          <w:b w:val="0"/>
          <w:color w:val="auto"/>
          <w:lang w:val="en-US"/>
        </w:rPr>
      </w:pPr>
      <w:bookmarkStart w:id="2" w:name="_Toc89888120"/>
      <w:r w:rsidRPr="00987B3D">
        <w:rPr>
          <w:color w:val="auto"/>
          <w:lang w:val="en-US"/>
        </w:rPr>
        <w:lastRenderedPageBreak/>
        <w:t xml:space="preserve">Table </w:t>
      </w:r>
      <w:r w:rsidR="00987B3D" w:rsidRPr="00987B3D">
        <w:rPr>
          <w:b w:val="0"/>
          <w:color w:val="auto"/>
          <w:lang w:val="en-US"/>
        </w:rPr>
        <w:t>S</w:t>
      </w:r>
      <w:r w:rsidRPr="00987B3D">
        <w:rPr>
          <w:color w:val="auto"/>
          <w:lang w:val="en-US"/>
        </w:rPr>
        <w:t xml:space="preserve">1. Patient </w:t>
      </w:r>
      <w:r w:rsidR="00F962B6" w:rsidRPr="00987B3D">
        <w:rPr>
          <w:color w:val="auto"/>
          <w:lang w:val="en-US"/>
        </w:rPr>
        <w:t>c</w:t>
      </w:r>
      <w:r w:rsidRPr="00987B3D">
        <w:rPr>
          <w:color w:val="auto"/>
          <w:lang w:val="en-US"/>
        </w:rPr>
        <w:t>haracteristics</w:t>
      </w:r>
      <w:r w:rsidR="00F962B6" w:rsidRPr="00987B3D">
        <w:rPr>
          <w:color w:val="auto"/>
          <w:lang w:val="en-US"/>
        </w:rPr>
        <w:t xml:space="preserve"> convalescent sera</w:t>
      </w:r>
      <w:bookmarkEnd w:id="2"/>
    </w:p>
    <w:tbl>
      <w:tblPr>
        <w:tblStyle w:val="LightShading"/>
        <w:tblW w:w="5604" w:type="dxa"/>
        <w:tblLook w:val="04A0" w:firstRow="1" w:lastRow="0" w:firstColumn="1" w:lastColumn="0" w:noHBand="0" w:noVBand="1"/>
      </w:tblPr>
      <w:tblGrid>
        <w:gridCol w:w="2126"/>
        <w:gridCol w:w="2000"/>
        <w:gridCol w:w="1478"/>
      </w:tblGrid>
      <w:tr w:rsidR="000B59BC" w:rsidRPr="00987B3D" w:rsidTr="000B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Infection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Vaccination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Age [years]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60-69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70</w:t>
            </w:r>
            <w:r>
              <w:rPr>
                <w:rFonts w:ascii="Calibri" w:eastAsia="Times New Roman" w:hAnsi="Calibri" w:cs="Calibri"/>
                <w:lang w:val="en-US"/>
              </w:rPr>
              <w:t>-79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0B5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0-69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50</w:t>
            </w:r>
            <w:r>
              <w:rPr>
                <w:rFonts w:ascii="Calibri" w:eastAsia="Times New Roman" w:hAnsi="Calibri" w:cs="Calibri"/>
                <w:lang w:val="en-US"/>
              </w:rPr>
              <w:t>-59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30</w:t>
            </w:r>
            <w:r>
              <w:rPr>
                <w:rFonts w:ascii="Calibri" w:eastAsia="Times New Roman" w:hAnsi="Calibri" w:cs="Calibri"/>
                <w:lang w:val="en-US"/>
              </w:rPr>
              <w:t>-39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B.1.1.7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B.1.351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31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B.1.617.2</w:t>
            </w:r>
          </w:p>
        </w:tc>
        <w:tc>
          <w:tcPr>
            <w:tcW w:w="2000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-</w:t>
            </w:r>
          </w:p>
        </w:tc>
        <w:tc>
          <w:tcPr>
            <w:tcW w:w="147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</w:tbl>
    <w:p w:rsidR="0002537F" w:rsidRPr="00987B3D" w:rsidRDefault="0002537F" w:rsidP="0002537F">
      <w:pPr>
        <w:jc w:val="both"/>
        <w:rPr>
          <w:lang w:val="en-US"/>
        </w:rPr>
      </w:pPr>
    </w:p>
    <w:p w:rsidR="00F962B6" w:rsidRPr="00987B3D" w:rsidRDefault="00CE236C">
      <w:pPr>
        <w:rPr>
          <w:b/>
          <w:lang w:val="en-US"/>
        </w:rPr>
      </w:pPr>
      <w:r w:rsidRPr="00987B3D">
        <w:rPr>
          <w:b/>
          <w:lang w:val="en-US"/>
        </w:rPr>
        <w:br w:type="page"/>
      </w:r>
    </w:p>
    <w:p w:rsidR="00F962B6" w:rsidRPr="00987B3D" w:rsidRDefault="00F962B6" w:rsidP="00987B3D">
      <w:pPr>
        <w:pStyle w:val="Heading1"/>
        <w:rPr>
          <w:b w:val="0"/>
          <w:color w:val="auto"/>
          <w:lang w:val="en-US"/>
        </w:rPr>
      </w:pPr>
      <w:bookmarkStart w:id="3" w:name="_Toc89888121"/>
      <w:r w:rsidRPr="00987B3D">
        <w:rPr>
          <w:color w:val="auto"/>
          <w:lang w:val="en-US"/>
        </w:rPr>
        <w:lastRenderedPageBreak/>
        <w:t xml:space="preserve">Table </w:t>
      </w:r>
      <w:r w:rsidR="00987B3D" w:rsidRPr="00987B3D">
        <w:rPr>
          <w:b w:val="0"/>
          <w:color w:val="auto"/>
          <w:lang w:val="en-US"/>
        </w:rPr>
        <w:t>S</w:t>
      </w:r>
      <w:r w:rsidRPr="00987B3D">
        <w:rPr>
          <w:color w:val="auto"/>
          <w:lang w:val="en-US"/>
        </w:rPr>
        <w:t>2. Patient characteristics vaccinated sera</w:t>
      </w:r>
      <w:bookmarkEnd w:id="3"/>
    </w:p>
    <w:tbl>
      <w:tblPr>
        <w:tblStyle w:val="LightShading"/>
        <w:tblW w:w="6963" w:type="dxa"/>
        <w:tblLook w:val="04A0" w:firstRow="1" w:lastRow="0" w:firstColumn="1" w:lastColumn="0" w:noHBand="0" w:noVBand="1"/>
      </w:tblPr>
      <w:tblGrid>
        <w:gridCol w:w="2852"/>
        <w:gridCol w:w="2693"/>
        <w:gridCol w:w="1418"/>
      </w:tblGrid>
      <w:tr w:rsidR="000B59BC" w:rsidRPr="00987B3D" w:rsidTr="000B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Vaccination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b w:val="0"/>
                <w:bCs w:val="0"/>
                <w:lang w:val="en-US"/>
              </w:rPr>
              <w:t>Months</w:t>
            </w:r>
            <w:r w:rsidRPr="00987B3D">
              <w:rPr>
                <w:rFonts w:ascii="Calibri" w:eastAsia="Times New Roman" w:hAnsi="Calibri" w:cs="Calibri"/>
                <w:lang w:val="en-US"/>
              </w:rPr>
              <w:t xml:space="preserve"> 2nd dose 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Age [years]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ChAdOx1/ChAdOx1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F962B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F9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0B5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ChAdOx1/BNT162b2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111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noWrap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lastRenderedPageBreak/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BNT162b2/BNT162b2</w:t>
            </w:r>
          </w:p>
        </w:tc>
        <w:tc>
          <w:tcPr>
            <w:tcW w:w="269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0-9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hideMark/>
          </w:tcPr>
          <w:p w:rsidR="000B59BC" w:rsidRPr="00987B3D" w:rsidRDefault="000B59BC" w:rsidP="00111B8D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2693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0B59BC" w:rsidRPr="00987B3D" w:rsidRDefault="000B59BC" w:rsidP="0011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</w:tbl>
    <w:p w:rsidR="00F962B6" w:rsidRPr="00987B3D" w:rsidRDefault="00F962B6">
      <w:pPr>
        <w:rPr>
          <w:b/>
          <w:lang w:val="en-US"/>
        </w:rPr>
      </w:pPr>
      <w:r w:rsidRPr="00987B3D">
        <w:rPr>
          <w:b/>
          <w:lang w:val="en-US"/>
        </w:rPr>
        <w:br w:type="page"/>
      </w:r>
    </w:p>
    <w:p w:rsidR="00F962B6" w:rsidRPr="00987B3D" w:rsidRDefault="00F962B6" w:rsidP="00987B3D">
      <w:pPr>
        <w:pStyle w:val="Heading1"/>
        <w:rPr>
          <w:b w:val="0"/>
          <w:color w:val="auto"/>
          <w:lang w:val="en-US"/>
        </w:rPr>
      </w:pPr>
      <w:bookmarkStart w:id="4" w:name="_Toc89888122"/>
      <w:r w:rsidRPr="00987B3D">
        <w:rPr>
          <w:color w:val="auto"/>
          <w:lang w:val="en-US"/>
        </w:rPr>
        <w:lastRenderedPageBreak/>
        <w:t xml:space="preserve">Table </w:t>
      </w:r>
      <w:r w:rsidR="00987B3D" w:rsidRPr="00987B3D">
        <w:rPr>
          <w:b w:val="0"/>
          <w:color w:val="auto"/>
          <w:lang w:val="en-US"/>
        </w:rPr>
        <w:t>S</w:t>
      </w:r>
      <w:r w:rsidRPr="00987B3D">
        <w:rPr>
          <w:color w:val="auto"/>
          <w:lang w:val="en-US"/>
        </w:rPr>
        <w:t>3. Patient characteristics super immune sera</w:t>
      </w:r>
      <w:bookmarkEnd w:id="4"/>
    </w:p>
    <w:tbl>
      <w:tblPr>
        <w:tblStyle w:val="LightShading"/>
        <w:tblW w:w="6971" w:type="dxa"/>
        <w:tblLook w:val="04A0" w:firstRow="1" w:lastRow="0" w:firstColumn="1" w:lastColumn="0" w:noHBand="0" w:noVBand="1"/>
      </w:tblPr>
      <w:tblGrid>
        <w:gridCol w:w="1950"/>
        <w:gridCol w:w="3178"/>
        <w:gridCol w:w="1843"/>
      </w:tblGrid>
      <w:tr w:rsidR="000B59BC" w:rsidRPr="00987B3D" w:rsidTr="000B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D4794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immune status*</w:t>
            </w:r>
          </w:p>
        </w:tc>
        <w:tc>
          <w:tcPr>
            <w:tcW w:w="3178" w:type="dxa"/>
          </w:tcPr>
          <w:p w:rsidR="000B59BC" w:rsidRPr="00987B3D" w:rsidRDefault="000B59BC" w:rsidP="00D4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Vaccination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D47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Age [years]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con/vacc</w:t>
            </w:r>
          </w:p>
        </w:tc>
        <w:tc>
          <w:tcPr>
            <w:tcW w:w="3178" w:type="dxa"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con/vacc</w:t>
            </w:r>
          </w:p>
        </w:tc>
        <w:tc>
          <w:tcPr>
            <w:tcW w:w="3178" w:type="dxa"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BNT162b2/BNT162b2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con/vacc</w:t>
            </w:r>
          </w:p>
        </w:tc>
        <w:tc>
          <w:tcPr>
            <w:tcW w:w="3178" w:type="dxa"/>
          </w:tcPr>
          <w:p w:rsidR="000B59BC" w:rsidRPr="00987B3D" w:rsidRDefault="000B59BC" w:rsidP="004D3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con/vacc</w:t>
            </w:r>
          </w:p>
        </w:tc>
        <w:tc>
          <w:tcPr>
            <w:tcW w:w="3178" w:type="dxa"/>
          </w:tcPr>
          <w:p w:rsidR="000B59BC" w:rsidRPr="00987B3D" w:rsidRDefault="000B59BC" w:rsidP="004D3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  <w:hideMark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con/vacc</w:t>
            </w:r>
          </w:p>
        </w:tc>
        <w:tc>
          <w:tcPr>
            <w:tcW w:w="3178" w:type="dxa"/>
          </w:tcPr>
          <w:p w:rsidR="000B59BC" w:rsidRPr="00987B3D" w:rsidRDefault="000B59BC" w:rsidP="004D3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</w:t>
            </w:r>
          </w:p>
        </w:tc>
        <w:tc>
          <w:tcPr>
            <w:tcW w:w="1843" w:type="dxa"/>
            <w:noWrap/>
            <w:hideMark/>
          </w:tcPr>
          <w:p w:rsidR="000B59BC" w:rsidRPr="00987B3D" w:rsidRDefault="000B59BC" w:rsidP="0026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26491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178" w:type="dxa"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3" w:type="dxa"/>
            <w:noWrap/>
          </w:tcPr>
          <w:p w:rsidR="000B59BC" w:rsidRPr="00987B3D" w:rsidRDefault="000B59BC" w:rsidP="0026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3A155E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vacc/con</w:t>
            </w:r>
          </w:p>
        </w:tc>
        <w:tc>
          <w:tcPr>
            <w:tcW w:w="3178" w:type="dxa"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ChAdOx1/ChAdOx1</w:t>
            </w:r>
          </w:p>
        </w:tc>
        <w:tc>
          <w:tcPr>
            <w:tcW w:w="1843" w:type="dxa"/>
            <w:noWrap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3A155E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vacc/con</w:t>
            </w:r>
          </w:p>
        </w:tc>
        <w:tc>
          <w:tcPr>
            <w:tcW w:w="3178" w:type="dxa"/>
          </w:tcPr>
          <w:p w:rsidR="000B59BC" w:rsidRPr="00987B3D" w:rsidRDefault="000B59BC" w:rsidP="003A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BNT162b2/BNT162b2</w:t>
            </w:r>
          </w:p>
        </w:tc>
        <w:tc>
          <w:tcPr>
            <w:tcW w:w="1843" w:type="dxa"/>
            <w:noWrap/>
          </w:tcPr>
          <w:p w:rsidR="000B59BC" w:rsidRPr="00987B3D" w:rsidRDefault="000B59BC" w:rsidP="003A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3A155E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vacc/con</w:t>
            </w:r>
          </w:p>
        </w:tc>
        <w:tc>
          <w:tcPr>
            <w:tcW w:w="3178" w:type="dxa"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1843" w:type="dxa"/>
            <w:noWrap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3A155E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vacc/con</w:t>
            </w:r>
          </w:p>
        </w:tc>
        <w:tc>
          <w:tcPr>
            <w:tcW w:w="3178" w:type="dxa"/>
          </w:tcPr>
          <w:p w:rsidR="000B59BC" w:rsidRPr="00987B3D" w:rsidRDefault="000B59BC" w:rsidP="003A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Spikevax/Spikevax</w:t>
            </w:r>
          </w:p>
        </w:tc>
        <w:tc>
          <w:tcPr>
            <w:tcW w:w="1843" w:type="dxa"/>
            <w:noWrap/>
          </w:tcPr>
          <w:p w:rsidR="000B59BC" w:rsidRPr="00987B3D" w:rsidRDefault="000B59BC" w:rsidP="003A1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0B59BC" w:rsidRPr="00987B3D" w:rsidTr="000B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noWrap/>
          </w:tcPr>
          <w:p w:rsidR="000B59BC" w:rsidRPr="00987B3D" w:rsidRDefault="000B59BC" w:rsidP="003A155E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vacc/con</w:t>
            </w:r>
          </w:p>
        </w:tc>
        <w:tc>
          <w:tcPr>
            <w:tcW w:w="3178" w:type="dxa"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lang w:val="en-US"/>
              </w:rPr>
              <w:t>ChAdOx1/ChAdOx1</w:t>
            </w:r>
          </w:p>
        </w:tc>
        <w:tc>
          <w:tcPr>
            <w:tcW w:w="1843" w:type="dxa"/>
            <w:noWrap/>
          </w:tcPr>
          <w:p w:rsidR="000B59BC" w:rsidRPr="00987B3D" w:rsidRDefault="000B59BC" w:rsidP="003A1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987B3D">
              <w:rPr>
                <w:rFonts w:ascii="Calibri" w:eastAsia="Times New Roman" w:hAnsi="Calibri" w:cs="Calibri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lang w:val="en-US"/>
              </w:rPr>
              <w:t>0-</w:t>
            </w:r>
            <w:r>
              <w:rPr>
                <w:rFonts w:ascii="Calibri" w:eastAsia="Times New Roman" w:hAnsi="Calibri" w:cs="Calibri"/>
                <w:lang w:val="en-US"/>
              </w:rPr>
              <w:t>4</w:t>
            </w:r>
            <w:bookmarkStart w:id="5" w:name="_GoBack"/>
            <w:bookmarkEnd w:id="5"/>
            <w:r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</w:tbl>
    <w:p w:rsidR="00D47946" w:rsidRPr="00987B3D" w:rsidRDefault="00D47946" w:rsidP="00D47946">
      <w:pPr>
        <w:rPr>
          <w:lang w:val="en-US"/>
        </w:rPr>
      </w:pPr>
      <w:r w:rsidRPr="00987B3D">
        <w:rPr>
          <w:lang w:val="en-US"/>
        </w:rPr>
        <w:t xml:space="preserve">*vacc/con: vaccination with two doses </w:t>
      </w:r>
      <w:r w:rsidR="00F718EA" w:rsidRPr="00987B3D">
        <w:rPr>
          <w:lang w:val="en-US"/>
        </w:rPr>
        <w:t xml:space="preserve">Spikevax, </w:t>
      </w:r>
      <w:r w:rsidRPr="00987B3D">
        <w:rPr>
          <w:lang w:val="en-US"/>
        </w:rPr>
        <w:t>ChAdOx1 or BNT162b2 and subsequent infection; con/vacc: infection and subsequent vaccination either with one or two doses</w:t>
      </w:r>
    </w:p>
    <w:p w:rsidR="00F962B6" w:rsidRPr="00987B3D" w:rsidRDefault="00F962B6">
      <w:pPr>
        <w:rPr>
          <w:b/>
          <w:lang w:val="en-US"/>
        </w:rPr>
      </w:pPr>
      <w:r w:rsidRPr="00987B3D">
        <w:rPr>
          <w:b/>
          <w:lang w:val="en-US"/>
        </w:rPr>
        <w:br w:type="page"/>
      </w:r>
    </w:p>
    <w:p w:rsidR="0002537F" w:rsidRPr="00987B3D" w:rsidRDefault="0002537F" w:rsidP="00987B3D">
      <w:pPr>
        <w:pStyle w:val="Heading1"/>
        <w:rPr>
          <w:b w:val="0"/>
          <w:color w:val="auto"/>
          <w:lang w:val="en-US"/>
        </w:rPr>
      </w:pPr>
      <w:bookmarkStart w:id="6" w:name="_Toc89888123"/>
      <w:r w:rsidRPr="00987B3D">
        <w:rPr>
          <w:color w:val="auto"/>
          <w:lang w:val="en-US"/>
        </w:rPr>
        <w:lastRenderedPageBreak/>
        <w:t>References</w:t>
      </w:r>
      <w:bookmarkEnd w:id="6"/>
    </w:p>
    <w:p w:rsidR="00F60E13" w:rsidRPr="00987B3D" w:rsidRDefault="0002537F" w:rsidP="00F60E13">
      <w:pPr>
        <w:pStyle w:val="EndNoteBibliography"/>
        <w:ind w:left="720" w:hanging="720"/>
      </w:pPr>
      <w:r w:rsidRPr="00987B3D">
        <w:fldChar w:fldCharType="begin"/>
      </w:r>
      <w:r w:rsidRPr="00987B3D">
        <w:instrText xml:space="preserve"> ADDIN EN.REFLIST </w:instrText>
      </w:r>
      <w:r w:rsidRPr="00987B3D">
        <w:fldChar w:fldCharType="separate"/>
      </w:r>
      <w:r w:rsidR="00F60E13" w:rsidRPr="00987B3D">
        <w:t>1.</w:t>
      </w:r>
      <w:r w:rsidR="00F60E13" w:rsidRPr="00987B3D">
        <w:tab/>
        <w:t xml:space="preserve">Riepler, L., et al., </w:t>
      </w:r>
      <w:r w:rsidR="00F60E13" w:rsidRPr="00987B3D">
        <w:rPr>
          <w:i/>
        </w:rPr>
        <w:t>Comparison of Four SARS-CoV-2 Neutralization Assays.</w:t>
      </w:r>
      <w:r w:rsidR="00F60E13" w:rsidRPr="00987B3D">
        <w:t xml:space="preserve"> Vaccines (Basel), 2020. </w:t>
      </w:r>
      <w:r w:rsidR="00F60E13" w:rsidRPr="00987B3D">
        <w:rPr>
          <w:b/>
        </w:rPr>
        <w:t>9</w:t>
      </w:r>
      <w:r w:rsidR="00F60E13" w:rsidRPr="00987B3D">
        <w:t>(1).</w:t>
      </w:r>
    </w:p>
    <w:p w:rsidR="0002537F" w:rsidRPr="00987B3D" w:rsidRDefault="0002537F" w:rsidP="0002537F">
      <w:pPr>
        <w:jc w:val="both"/>
        <w:rPr>
          <w:lang w:val="en-US"/>
        </w:rPr>
      </w:pPr>
      <w:r w:rsidRPr="00987B3D">
        <w:rPr>
          <w:lang w:val="en-US"/>
        </w:rPr>
        <w:fldChar w:fldCharType="end"/>
      </w:r>
    </w:p>
    <w:sectPr w:rsidR="0002537F" w:rsidRPr="00987B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3D" w:rsidRDefault="00987B3D" w:rsidP="00987B3D">
      <w:pPr>
        <w:spacing w:after="0" w:line="240" w:lineRule="auto"/>
      </w:pPr>
      <w:r>
        <w:separator/>
      </w:r>
    </w:p>
  </w:endnote>
  <w:endnote w:type="continuationSeparator" w:id="0">
    <w:p w:rsidR="00987B3D" w:rsidRDefault="00987B3D" w:rsidP="009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25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B3D" w:rsidRDefault="00987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7B3D" w:rsidRDefault="0098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3D" w:rsidRDefault="00987B3D" w:rsidP="00987B3D">
      <w:pPr>
        <w:spacing w:after="0" w:line="240" w:lineRule="auto"/>
      </w:pPr>
      <w:r>
        <w:separator/>
      </w:r>
    </w:p>
  </w:footnote>
  <w:footnote w:type="continuationSeparator" w:id="0">
    <w:p w:rsidR="00987B3D" w:rsidRDefault="00987B3D" w:rsidP="0098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xsdfasstdwepeterm5afp1ra0psxzsax2a&quot;&gt;Janine_new&lt;record-ids&gt;&lt;item&gt;364&lt;/item&gt;&lt;/record-ids&gt;&lt;/item&gt;&lt;/Libraries&gt;"/>
  </w:docVars>
  <w:rsids>
    <w:rsidRoot w:val="00035FBC"/>
    <w:rsid w:val="0002537F"/>
    <w:rsid w:val="00035FBC"/>
    <w:rsid w:val="000A131E"/>
    <w:rsid w:val="000B59BC"/>
    <w:rsid w:val="000C20BE"/>
    <w:rsid w:val="00111B8D"/>
    <w:rsid w:val="001562C6"/>
    <w:rsid w:val="001D1E6B"/>
    <w:rsid w:val="001E0E6A"/>
    <w:rsid w:val="002367B4"/>
    <w:rsid w:val="00264913"/>
    <w:rsid w:val="002742B4"/>
    <w:rsid w:val="002E64B1"/>
    <w:rsid w:val="003A2F32"/>
    <w:rsid w:val="003D0C8A"/>
    <w:rsid w:val="003E448D"/>
    <w:rsid w:val="0040660F"/>
    <w:rsid w:val="00415E1E"/>
    <w:rsid w:val="004A19EC"/>
    <w:rsid w:val="004D3C96"/>
    <w:rsid w:val="005E07D0"/>
    <w:rsid w:val="006611E4"/>
    <w:rsid w:val="006B2047"/>
    <w:rsid w:val="006E597D"/>
    <w:rsid w:val="007A224F"/>
    <w:rsid w:val="007D06D6"/>
    <w:rsid w:val="008755BA"/>
    <w:rsid w:val="00905482"/>
    <w:rsid w:val="00987B3D"/>
    <w:rsid w:val="00A43521"/>
    <w:rsid w:val="00B12139"/>
    <w:rsid w:val="00BD0E05"/>
    <w:rsid w:val="00CE236C"/>
    <w:rsid w:val="00D47946"/>
    <w:rsid w:val="00DF751F"/>
    <w:rsid w:val="00F4601B"/>
    <w:rsid w:val="00F60E13"/>
    <w:rsid w:val="00F718EA"/>
    <w:rsid w:val="00F962B6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0253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02537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2537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02537F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7D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F962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D"/>
  </w:style>
  <w:style w:type="paragraph" w:styleId="Footer">
    <w:name w:val="footer"/>
    <w:basedOn w:val="Normal"/>
    <w:link w:val="FooterChar"/>
    <w:uiPriority w:val="99"/>
    <w:unhideWhenUsed/>
    <w:rsid w:val="009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D"/>
  </w:style>
  <w:style w:type="character" w:customStyle="1" w:styleId="Heading1Char">
    <w:name w:val="Heading 1 Char"/>
    <w:basedOn w:val="DefaultParagraphFont"/>
    <w:link w:val="Heading1"/>
    <w:uiPriority w:val="9"/>
    <w:rsid w:val="00987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3D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87B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7B3D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0B5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0253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02537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2537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02537F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7D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F962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D"/>
  </w:style>
  <w:style w:type="paragraph" w:styleId="Footer">
    <w:name w:val="footer"/>
    <w:basedOn w:val="Normal"/>
    <w:link w:val="FooterChar"/>
    <w:uiPriority w:val="99"/>
    <w:unhideWhenUsed/>
    <w:rsid w:val="009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D"/>
  </w:style>
  <w:style w:type="character" w:customStyle="1" w:styleId="Heading1Char">
    <w:name w:val="Heading 1 Char"/>
    <w:basedOn w:val="DefaultParagraphFont"/>
    <w:link w:val="Heading1"/>
    <w:uiPriority w:val="9"/>
    <w:rsid w:val="00987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B3D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87B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7B3D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0B5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A512-FB6D-49F2-B72E-3D82B2E4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MUI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Kimpel Alexandra Janine</dc:creator>
  <cp:lastModifiedBy>a.janine.kimpel@gmail.com</cp:lastModifiedBy>
  <cp:revision>14</cp:revision>
  <dcterms:created xsi:type="dcterms:W3CDTF">2021-12-08T18:00:00Z</dcterms:created>
  <dcterms:modified xsi:type="dcterms:W3CDTF">2021-12-09T07:01:00Z</dcterms:modified>
</cp:coreProperties>
</file>