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1508" w14:textId="1ADA9510" w:rsidR="00F3659E" w:rsidRPr="00C35E16" w:rsidRDefault="00F3659E" w:rsidP="00C35E16">
      <w:pPr>
        <w:tabs>
          <w:tab w:val="left" w:pos="1152"/>
        </w:tabs>
        <w:spacing w:line="240" w:lineRule="auto"/>
        <w:rPr>
          <w:b/>
          <w:bCs/>
        </w:rPr>
      </w:pPr>
      <w:bookmarkStart w:id="0" w:name="_Toc88838639"/>
      <w:r w:rsidRPr="00C35E16">
        <w:rPr>
          <w:b/>
          <w:bCs/>
        </w:rPr>
        <w:t>Supplementary Table i: description of participant demographics, by cohort assignment and vaccine status at the end of the analysis period, June 2020 to September 2021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807"/>
        <w:gridCol w:w="790"/>
        <w:gridCol w:w="807"/>
        <w:gridCol w:w="596"/>
        <w:gridCol w:w="749"/>
        <w:gridCol w:w="596"/>
        <w:gridCol w:w="894"/>
        <w:gridCol w:w="882"/>
        <w:gridCol w:w="790"/>
        <w:gridCol w:w="749"/>
        <w:gridCol w:w="596"/>
        <w:gridCol w:w="703"/>
        <w:gridCol w:w="596"/>
        <w:gridCol w:w="894"/>
        <w:gridCol w:w="882"/>
      </w:tblGrid>
      <w:tr w:rsidR="00F3659E" w:rsidRPr="00F3659E" w14:paraId="3451D782" w14:textId="77777777" w:rsidTr="00B942AC">
        <w:trPr>
          <w:trHeight w:val="29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1A4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Demographics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BFA3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46B468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Naïve cohort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7CAE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Positive cohort</w:t>
            </w:r>
          </w:p>
        </w:tc>
      </w:tr>
      <w:tr w:rsidR="00F3659E" w:rsidRPr="00F3659E" w14:paraId="1ED58D47" w14:textId="77777777" w:rsidTr="00B942AC">
        <w:trPr>
          <w:trHeight w:val="40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2C567AC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71C55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76C3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Dose 2</w:t>
            </w:r>
          </w:p>
          <w:p w14:paraId="1C359D3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FDD6A4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Unvaccinated</w:t>
            </w:r>
          </w:p>
          <w:p w14:paraId="7C41EB3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9B8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unvaccinated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5BF6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Dose 2</w:t>
            </w:r>
          </w:p>
          <w:p w14:paraId="5F0BEDA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7A8199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Unvaccinated</w:t>
            </w:r>
          </w:p>
          <w:p w14:paraId="36EBC4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DD77C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unvaccinated </w:t>
            </w:r>
          </w:p>
        </w:tc>
      </w:tr>
      <w:tr w:rsidR="00F3659E" w:rsidRPr="00F3659E" w14:paraId="4252D000" w14:textId="77777777" w:rsidTr="00B942AC">
        <w:trPr>
          <w:trHeight w:val="58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1998D47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D7DE8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64386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Pfizer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D578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Pfizer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7ABF3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short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6D9D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ChAdOX1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DF77F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Ch </w:t>
            </w:r>
          </w:p>
        </w:tc>
        <w:tc>
          <w:tcPr>
            <w:tcW w:w="0" w:type="auto"/>
            <w:vMerge/>
            <w:vAlign w:val="center"/>
            <w:hideMark/>
          </w:tcPr>
          <w:p w14:paraId="340A831E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54F2D0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3D2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Pfizer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D46C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Pfizer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216A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short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3912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ChAdOX1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E36A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P-value </w:t>
            </w:r>
            <w:proofErr w:type="spellStart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</w:t>
            </w:r>
            <w:proofErr w:type="spellEnd"/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long vs Ch </w:t>
            </w:r>
          </w:p>
        </w:tc>
        <w:tc>
          <w:tcPr>
            <w:tcW w:w="0" w:type="auto"/>
            <w:vMerge/>
            <w:vAlign w:val="center"/>
            <w:hideMark/>
          </w:tcPr>
          <w:p w14:paraId="586BC809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5DCC2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3659E" w:rsidRPr="00F3659E" w14:paraId="1CD756E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025B73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47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76F6D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7DD9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2D852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5A47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729F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57099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18E3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C68F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83A73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B2E0D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6970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FE6B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7EBB0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9351B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3163B113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2DACC5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9B4A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5699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A4D9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495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31C0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3175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1CB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454D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228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0755A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6DE58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0C0BB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296B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 (25.6)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844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1282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4500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01C4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E9F8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ED757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C07C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0.0030</w:t>
            </w:r>
          </w:p>
        </w:tc>
      </w:tr>
      <w:tr w:rsidR="00F3659E" w:rsidRPr="00F3659E" w14:paraId="341C6E9C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8D022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7E98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30017 (83.9)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E7DB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1952 (79.7)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EB0C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17637 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3176A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09C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1666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B066B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267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410 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2AAF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ACCFD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453 (74.4)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AE98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5942 (82.1)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0E7A0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6C7B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796 (87.7)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CB65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DCA0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375 (87.4)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3B5AE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0.0051</w:t>
            </w:r>
          </w:p>
        </w:tc>
      </w:tr>
      <w:tr w:rsidR="00F3659E" w:rsidRPr="00F3659E" w14:paraId="16C33B2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CC287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A51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46186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2400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329A2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511B4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90E48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9B4E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1AC2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A255C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C155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9A25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59D2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AA7D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55458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586FB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0.1943</w:t>
            </w:r>
          </w:p>
        </w:tc>
      </w:tr>
      <w:tr w:rsidR="00F3659E" w:rsidRPr="00F3659E" w14:paraId="36EB1B15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C19931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ECBF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836A1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88F5E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54D7B3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7C31D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91B9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7563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685A9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68A49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7EAB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82DF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2D22F3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6B4C5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C98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C5F27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44E54F43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7ACC2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6874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1297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B06E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8E2D8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748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757C4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D300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97F83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1981F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9C88F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40806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8B644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930F1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B61B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48ED6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8CA0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B7C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0.2493</w:t>
            </w:r>
          </w:p>
        </w:tc>
      </w:tr>
      <w:tr w:rsidR="00F3659E" w:rsidRPr="00F3659E" w14:paraId="3E52DF49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1E9FB9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 to 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242A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7106 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235D8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379 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7D69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3920 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8125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817D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391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8BD5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14C7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 (36.1)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32FD4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2C845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 (20.7)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DD996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1531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52ED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6441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 (20.3)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3C82D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3CB8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 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53724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F3659E" w:rsidRPr="00F3659E" w14:paraId="02C88AFC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4CCBCA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 to 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2B6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8848 (24.7)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9C066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639 (26.1)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AE8A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5158 (24.7)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F650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6A262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485 (25.6)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46131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561A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 (25.8)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411B6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C5C4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 (25.1)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C63F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1710 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3AC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729BA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 (24.1)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9C5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5766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 (24.5)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B304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0.6700</w:t>
            </w:r>
          </w:p>
        </w:tc>
      </w:tr>
      <w:tr w:rsidR="00F3659E" w:rsidRPr="00F3659E" w14:paraId="06C5A09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88A20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 to 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C3D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10874 (30.4)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89DA7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781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8EF95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6410 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097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992B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564 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3EF26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5B3B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 (19.5)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2CD8C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483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C092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2213 (30.6)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BD7B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1ECE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 (31.3)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D4F6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4B5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 (22.1)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A493C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</w:tr>
      <w:tr w:rsidR="00F3659E" w:rsidRPr="00F3659E" w14:paraId="1BFE786A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ADB6C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 to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939B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7085 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3925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533 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5648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4255 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F07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70DA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357 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776DC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AFBE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F996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8BCF6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 (17.4)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A00F2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1419 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727DF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5696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 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C6D16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C39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 (15.6)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078E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0.0417</w:t>
            </w:r>
          </w:p>
        </w:tc>
      </w:tr>
      <w:tr w:rsidR="00F3659E" w:rsidRPr="00F3659E" w14:paraId="1A6A4F9F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5E2C7D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 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D70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558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3D6D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EBD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352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A76A0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C5D2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AF42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A6F45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F92FE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ECF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5E99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EF38B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5FD6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A701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E28DC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6CA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0.5656</w:t>
            </w:r>
          </w:p>
        </w:tc>
      </w:tr>
      <w:tr w:rsidR="00F3659E" w:rsidRPr="00F3659E" w14:paraId="15522021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D5429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29B1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46DE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8A6CF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827B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C1D8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A8D16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71F3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F5219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15DED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2C12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8920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B784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0834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8CB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D519F9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6749AC5A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A74E16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B49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31634 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DD83B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2104 (85.9)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396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18855 (90.5)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77A54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CB66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1697 (89.6)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BED2A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347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386 (83.5)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4170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3C27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492 (80.8)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7B95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6174 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BE8A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C25B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772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2DDA9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2702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345 (80.4)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AA3F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0.0057</w:t>
            </w:r>
          </w:p>
        </w:tc>
      </w:tr>
      <w:tr w:rsidR="00F3659E" w:rsidRPr="00F3659E" w14:paraId="6F929D31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5EFAF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8D1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2486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6BE6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228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863F2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1204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192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E247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 (5.1)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88E3C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975C9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C85DD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C47EB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3DC6C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675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FFEF7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92E8B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F6CD1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785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975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0.0506</w:t>
            </w:r>
          </w:p>
        </w:tc>
      </w:tr>
      <w:tr w:rsidR="00F3659E" w:rsidRPr="00F3659E" w14:paraId="125FD504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A55CBB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35C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621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629F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2E0F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E53A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6B1B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15AEC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DE1F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7B53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7EE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D292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E4E3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1BB0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49703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1FF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950EA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F3659E" w:rsidRPr="00F3659E" w14:paraId="3F0DCA3F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BC4B6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race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62DD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535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8918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42DA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C0DE5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1DC3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E701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3481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84D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EB4D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1BC9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1DBF8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91C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E747C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960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A6CCD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</w:tr>
      <w:tr w:rsidR="00F3659E" w:rsidRPr="00F3659E" w14:paraId="7CD3F0FA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14A0D1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ethnic group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A21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427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FB84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6E1AF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0E64F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43C6F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3417B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7FA8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6072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55ED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3294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4463B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B216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21C6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D9A0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ED75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0.3152</w:t>
            </w:r>
          </w:p>
        </w:tc>
      </w:tr>
      <w:tr w:rsidR="00F3659E" w:rsidRPr="00F3659E" w14:paraId="482E84F8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09C02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Prefer not to say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DD5D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0250A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DD20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4480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FD0AB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8FBD6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63075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1D81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FA1C5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1F14B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6AB72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00302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30BE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B58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ED504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0.5355</w:t>
            </w:r>
          </w:p>
        </w:tc>
      </w:tr>
      <w:tr w:rsidR="00F3659E" w:rsidRPr="00F3659E" w14:paraId="1311E8DE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0069F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Medical conditions 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AC42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43BD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BA331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46A60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5BA4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CEDD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3814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848D1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2579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B614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4BEE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F9562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6AC45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A90C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1CA7D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26CECBCC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1F3CC1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medical condition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A831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26670 (74.6)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4E8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1747 (71.3)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D863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15616 (74.9)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5EAD3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280F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1373 (72.5)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FA442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15BE4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360 (77.9)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3154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7261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443 (72.7)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18D87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5409 (74.8)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366D2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067C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664 (73.1)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EA8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C413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348 (81.1)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E6B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0.0034</w:t>
            </w:r>
          </w:p>
        </w:tc>
      </w:tr>
      <w:tr w:rsidR="00F3659E" w:rsidRPr="00F3659E" w14:paraId="0EA53A04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6D182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Immunosuppression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3FE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803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83DA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5347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450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E911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4FAEC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F0CE6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06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F06A5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BD11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01182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085D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5F5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A2402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41CC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15E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0.1903</w:t>
            </w:r>
          </w:p>
        </w:tc>
      </w:tr>
      <w:tr w:rsidR="00F3659E" w:rsidRPr="00F3659E" w14:paraId="0FFB2E49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F696A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Chronic respiratory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C10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4439 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AFB4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337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FA26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2577 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52C9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C966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E245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9620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6522D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F6B1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51D3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871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6EC0F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ED927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194ED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2D6A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2301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0.0247</w:t>
            </w:r>
          </w:p>
        </w:tc>
      </w:tr>
      <w:tr w:rsidR="00F3659E" w:rsidRPr="00F3659E" w14:paraId="23AED949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2B5F0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Chronic non-respiratory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8F4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3856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E2FC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278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7B332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2200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66BE9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B0CD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174C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E822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34C14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E6AA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1894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820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9C08C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9F65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D247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D3C3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EC6A1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0.0211</w:t>
            </w:r>
          </w:p>
        </w:tc>
      </w:tr>
      <w:tr w:rsidR="00F3659E" w:rsidRPr="00F3659E" w14:paraId="53AFAA29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D292B3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Staff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293F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02B0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D462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83F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6E2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FE3DF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B2F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7DF3B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FCC73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296B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0CC4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16F9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B2D15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16D0F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CBC46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0D0196AE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1FD3EB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Administrative/Executive (office based)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19CD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5434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B907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A313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3427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23B62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0F97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403 (21.3)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2A405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F2945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 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3155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9A803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5998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902 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5041F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04E5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957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4828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B00D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0.4278</w:t>
            </w:r>
          </w:p>
        </w:tc>
      </w:tr>
      <w:tr w:rsidR="00F3659E" w:rsidRPr="00F3659E" w14:paraId="62669CD3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E3BC6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Nursing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7D50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12184 (34.1)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C3321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886 (36.2)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64CA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6826 (32.7)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C915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49B2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594 (31.3)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16B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B4BDF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 (35.3)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9A52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7252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 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2274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2653 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A44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694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346 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2A431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5C7BB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 (40.8)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02AA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0.0874</w:t>
            </w:r>
          </w:p>
        </w:tc>
      </w:tr>
      <w:tr w:rsidR="00F3659E" w:rsidRPr="00F3659E" w14:paraId="542B401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B4098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Healthcare Assistant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9B6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2901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C56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5ADE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1567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07549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4527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1B9D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5DA6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77E4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9176B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84606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7387B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2B57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B43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889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BDD1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0.0092</w:t>
            </w:r>
          </w:p>
        </w:tc>
      </w:tr>
      <w:tr w:rsidR="00F3659E" w:rsidRPr="00F3659E" w14:paraId="2DECBDA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5DDC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958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4248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B498A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589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51B0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2287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EE5E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AC09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5F1B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76564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D83A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47667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 (23.5)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335D9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910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99583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D94B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3E0F4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DCF0E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 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13C80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0.0071</w:t>
            </w:r>
          </w:p>
        </w:tc>
      </w:tr>
      <w:tr w:rsidR="00F3659E" w:rsidRPr="00F3659E" w14:paraId="6133FAD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33BF9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Midwife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94E6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777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2BE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A08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457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D7064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18B1B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660D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F6A3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6A865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080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41D1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02D8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27851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290AA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9D5E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DEB0D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0.7795</w:t>
            </w:r>
          </w:p>
        </w:tc>
      </w:tr>
      <w:tr w:rsidR="00F3659E" w:rsidRPr="00F3659E" w14:paraId="1C4DA53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B84F8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Physiotherapist/Occupational Therapist/SALT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8D6A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1438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7016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2C033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816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470F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EF2D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C156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1ACA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BA41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60CE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D829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348 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B774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07E5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0174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EC84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85A6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0.2177</w:t>
            </w:r>
          </w:p>
        </w:tc>
      </w:tr>
      <w:tr w:rsidR="00F3659E" w:rsidRPr="00F3659E" w14:paraId="0169976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73897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Estates/Porters/Security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2F9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530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B505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A4D43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304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6E11B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AA0A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5E97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E78B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8F05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88A60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70AE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4A130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C844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06A5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1784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0FD1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0.7329</w:t>
            </w:r>
          </w:p>
        </w:tc>
      </w:tr>
      <w:tr w:rsidR="00F3659E" w:rsidRPr="00F3659E" w14:paraId="41ECCB9F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E1F83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Pharmacist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B95B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737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A92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C115E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463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112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EE40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1F8F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A52B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D448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EBEA9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93B7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EE453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27E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28BD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A7E3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C9C08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0.3258</w:t>
            </w:r>
          </w:p>
        </w:tc>
      </w:tr>
      <w:tr w:rsidR="00F3659E" w:rsidRPr="00F3659E" w14:paraId="5D8C7316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C69E8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Healthcare Scientist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7A64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1390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29FB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B663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978 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0F850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6E98D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EA0E0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2802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E35D5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11B1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A041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B0CF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D453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43F3A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7A79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13FA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0.6145</w:t>
            </w:r>
          </w:p>
        </w:tc>
      </w:tr>
      <w:tr w:rsidR="00F3659E" w:rsidRPr="00F3659E" w14:paraId="29CDFFB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7FBAA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Student (Medical/Nursing/Midwifery/Other)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E9F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1200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67A7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04B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709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BCEEA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C61C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DEB78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327E8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2D7A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C36E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6B7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259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93B2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24B68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7B81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191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A653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0.2764</w:t>
            </w:r>
          </w:p>
        </w:tc>
      </w:tr>
      <w:tr w:rsidR="00F3659E" w:rsidRPr="00F3659E" w14:paraId="6ED1F24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87E20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B7F9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4929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0BC3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288 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490CE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3009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8093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A63A1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 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10240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4220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E26B7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239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351A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938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50DA4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373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15A3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FCF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 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784A9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0.4355</w:t>
            </w:r>
          </w:p>
        </w:tc>
      </w:tr>
      <w:tr w:rsidR="00F3659E" w:rsidRPr="00F3659E" w14:paraId="312C0012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921FC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Occupational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962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22FA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FFCDD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87FF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50890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A60D0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4E17C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F26E6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833C9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B843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FE720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69459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FA3F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253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7C136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609C063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0B8903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Office based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3DCB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7002 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87C4F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363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9BB60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4402 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A23DB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7AC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501 (26.4)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02CBB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4F37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1E7B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7632B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83E78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1208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4F7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ABFAE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C56A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4CF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6EDC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0.0019</w:t>
            </w:r>
          </w:p>
        </w:tc>
      </w:tr>
      <w:tr w:rsidR="00F3659E" w:rsidRPr="00F3659E" w14:paraId="27FA3FEC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A7449F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Patient facing (non-clinical)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05D0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1378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FDCA8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 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4EA5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829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2E57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D5A1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18E5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F3F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11E7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D9D3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85B1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240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F334B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99C0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3B3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98D2E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DF2E2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0.4330</w:t>
            </w:r>
          </w:p>
        </w:tc>
      </w:tr>
      <w:tr w:rsidR="00F3659E" w:rsidRPr="00F3659E" w14:paraId="47074595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30B96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Outpatient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064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7341 (20.5)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7D372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527 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B9EF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4524 (21.7)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E3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53D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365 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0F1B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D59F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64DB2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39414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 (15.8)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8981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1266 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2AB3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3586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 (18.2)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66614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F6FE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 (20.5)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6411B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0.1135</w:t>
            </w:r>
          </w:p>
        </w:tc>
      </w:tr>
      <w:tr w:rsidR="00F3659E" w:rsidRPr="00F3659E" w14:paraId="174C71AE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54B41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Maternity/Labour Ward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4EC8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477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93EB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CA577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894B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0DDA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E476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A42C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D558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A7AB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6E572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12862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B254B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69181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E373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294BC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0.3407</w:t>
            </w:r>
          </w:p>
        </w:tc>
      </w:tr>
      <w:tr w:rsidR="00F3659E" w:rsidRPr="00F3659E" w14:paraId="7AE3D4F0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1D1A9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Ambulance/Emergency Department/Inpatient Wards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53C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6456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9F870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495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0B689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3309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B73A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4920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6F704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329D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 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E129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04A0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 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98CA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1685 (23.3)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AB283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32E56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 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9874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6573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 (26.8)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0B771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0.0967</w:t>
            </w:r>
          </w:p>
        </w:tc>
      </w:tr>
      <w:tr w:rsidR="00F3659E" w:rsidRPr="00F3659E" w14:paraId="7767812C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6CEE81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Intensive Care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693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1669 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4E7D1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 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20CB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962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2E641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C204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1FD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0139F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1A860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93F8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2524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306 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0B0B3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B22C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314B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9BA2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819E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0.4806</w:t>
            </w:r>
          </w:p>
        </w:tc>
      </w:tr>
      <w:tr w:rsidR="00F3659E" w:rsidRPr="00F3659E" w14:paraId="5A688DB4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35A49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Theatres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B928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866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180D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678CB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506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8F45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69BEF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D04C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09D5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EDDC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CE68B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941D6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37F77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1D794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C28C1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5D68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4CAE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0.2012</w:t>
            </w:r>
          </w:p>
        </w:tc>
      </w:tr>
      <w:tr w:rsidR="00F3659E" w:rsidRPr="00F3659E" w14:paraId="75D0647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11C69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BE92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10579 (29.6)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AD0EB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646 (26.4)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1AFC4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6029 (28.9)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4D93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1AAFD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597 (31.5)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D7FA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A2D08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 (27.3)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26820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7A01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 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444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2300 (31.8)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F4298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E947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311 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56C4F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F7C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 (31.5)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E7C72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0.8968</w:t>
            </w:r>
          </w:p>
        </w:tc>
      </w:tr>
      <w:tr w:rsidR="00F3659E" w:rsidRPr="00F3659E" w14:paraId="5CC2ABA4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BB4CC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Patient contact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3E88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3C44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1DE5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05E5D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4FCA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09A64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3CF9A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41C81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701E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02224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953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47B6C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3AB34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B6D5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FCE86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3E6ECA0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F9EED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0B69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5105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29F6E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0F3C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3311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C4CB3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4161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350 (18.5)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C0D4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A8631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EF73E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3F38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757A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807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E7C43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FCA4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E0AEA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9563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8C9CF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0.2235</w:t>
            </w:r>
          </w:p>
        </w:tc>
      </w:tr>
      <w:tr w:rsidR="00F3659E" w:rsidRPr="00F3659E" w14:paraId="7F86601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48887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914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30663 (85.7)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369D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2241 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FDE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17532 (84.1)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7D4CB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F49C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1545 (81.5)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1E79C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31AF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403 (87.2)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2628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D31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555 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B4935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6428 (88.8)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564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B3C3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786 (86.6)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1B2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57763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389 (90.7)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5DE0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0.2235</w:t>
            </w:r>
          </w:p>
        </w:tc>
      </w:tr>
      <w:tr w:rsidR="00F3659E" w:rsidRPr="00F3659E" w14:paraId="19B77494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07F68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Frequency of COVID-19 patient contact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4B6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8C322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6C1E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E9D0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FCC06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6E57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2D52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5730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A9AA1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EF12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29D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D415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0FF2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92C6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D90591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2B8F9DC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010A2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AD9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12752 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C84F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674 (27.5)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F64A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8363 (40.1)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468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1611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852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A0E2A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23D3B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 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7D21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89F39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 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5267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1896 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4A57D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18B59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 (30.1)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FA22B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2924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 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83B3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0.3594</w:t>
            </w:r>
          </w:p>
        </w:tc>
      </w:tr>
      <w:tr w:rsidR="00F3659E" w:rsidRPr="00F3659E" w14:paraId="0F7F2561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A4B728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Every day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47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8797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AC099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706 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F9CAB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4218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E394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1AC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394 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F45C8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8F77C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 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F2A5A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C986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 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89C2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2435 (33.7)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FA7E0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C266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 (31.1)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47B4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9339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 (36.8)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AC42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0.1875</w:t>
            </w:r>
          </w:p>
        </w:tc>
      </w:tr>
      <w:tr w:rsidR="00F3659E" w:rsidRPr="00F3659E" w14:paraId="5FDC885A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C9B2D0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Once week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D8E5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6229 (17.4)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AB2D2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511 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EE5F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3396 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F8F73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2FF1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3FB9C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C6950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 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4F2A6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B29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1FA31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1430 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BFBE4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F3BAB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E707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D86B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 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5AE4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0.8006</w:t>
            </w:r>
          </w:p>
        </w:tc>
      </w:tr>
      <w:tr w:rsidR="00F3659E" w:rsidRPr="00F3659E" w14:paraId="1B57637E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7D05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Once month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180A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3257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A1BD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234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EC8C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1903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DB153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CA93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87E89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2B0B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72175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F78E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30E86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50F77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232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BE869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CF67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C7F6E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0.8355</w:t>
            </w:r>
          </w:p>
        </w:tc>
      </w:tr>
      <w:tr w:rsidR="00F3659E" w:rsidRPr="00F3659E" w14:paraId="4B3CFE74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0AA60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Less month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4D0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4733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30332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325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28015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2963 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C90B9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CDE87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CAE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DC3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8DED0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CA2E2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5A8D5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803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ED8C3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29D22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6F314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1485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0198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0.4800</w:t>
            </w:r>
          </w:p>
        </w:tc>
      </w:tr>
      <w:tr w:rsidR="00F3659E" w:rsidRPr="00F3659E" w14:paraId="3C568120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FA91F9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Index of Multiple Deprivation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F004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7AA9B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CCB57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5B02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8676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FBAE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02E9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B327C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09125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298A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765BB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A84A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A68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6C72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6394F6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40DEAF18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487B5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(least deprived)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717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8871 (24.8)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5ACBA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672 (27.4)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43AE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5350 (25.7)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B96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506CA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383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400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AE2C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 (15.6)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5B0F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5F9A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 (26.6)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A619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1823 (25.2)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CCFC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5B27D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 (21.4)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14E96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4BF7E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 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71413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0.0045</w:t>
            </w:r>
          </w:p>
        </w:tc>
      </w:tr>
      <w:tr w:rsidR="00F3659E" w:rsidRPr="00F3659E" w14:paraId="350D68E6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F011B2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BBA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8073 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A37F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569 (23.2)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5CD03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4771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ADAB3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8E75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473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45C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C330A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2F56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1A58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 (24.1)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C2A27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1633 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E043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8A07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 (19.7)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C95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2716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66927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0.2099</w:t>
            </w:r>
          </w:p>
        </w:tc>
      </w:tr>
      <w:tr w:rsidR="00F3659E" w:rsidRPr="00F3659E" w14:paraId="2CD220F3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E03AA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F6E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7515 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2D19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505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46C7C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4482 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6AB42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8DD8A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403 (21.3)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BCE65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DC89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A6A39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E112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43C07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1501 (20.7)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3C0FF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C618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 (25.2)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771F4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71A4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B877A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0.0811</w:t>
            </w:r>
          </w:p>
        </w:tc>
      </w:tr>
      <w:tr w:rsidR="00F3659E" w:rsidRPr="00F3659E" w14:paraId="19CDBAE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46CC5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AED9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6020 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8AF1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363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01CF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3532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91ED3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4653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362 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017D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49D9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 (18.2)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179DC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0D035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 (15.6)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46A40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1225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0EB4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2C68F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 (18.2)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C32AB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977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85F9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0.8721</w:t>
            </w:r>
          </w:p>
        </w:tc>
      </w:tr>
      <w:tr w:rsidR="00F3659E" w:rsidRPr="00F3659E" w14:paraId="615321C6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8883BF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(most deprived)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2D69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3858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5FD63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A9067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2037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6AF0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A4F14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C997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D146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 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98CA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8D3E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 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B1060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875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4092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45254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B37D3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692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 (17.9)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B845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0.0004</w:t>
            </w:r>
          </w:p>
        </w:tc>
      </w:tr>
      <w:tr w:rsidR="00F3659E" w:rsidRPr="00F3659E" w14:paraId="4C315B62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39A4C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328A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1431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BA8C3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 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A211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777E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38C20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778DF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8ECC6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4516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FB3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F4EC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BE6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740E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6A19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4FA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0A176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F3659E" w:rsidRPr="00F3659E" w14:paraId="59F31623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B8D94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Geographical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32B7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67B0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9106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73D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6D2C3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44E4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D9BD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FD2C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E70A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9AAA4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3DF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28E74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3DA38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73AD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A6C21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659E" w:rsidRPr="00F3659E" w14:paraId="092CCE5A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528FC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Midlands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237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2825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B5D9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263 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64AE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1308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DCF6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A697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335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FC42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8104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8960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EF24F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69DC9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606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4063E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46311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D74AC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5B95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83ED2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0.7164</w:t>
            </w:r>
          </w:p>
        </w:tc>
      </w:tr>
      <w:tr w:rsidR="00F3659E" w:rsidRPr="00F3659E" w14:paraId="48BAF479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5117D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of England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CA42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3363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2156E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 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009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2056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915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F4729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DB9D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042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7051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F613F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6816E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793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42D2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91DEF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22EC7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D56E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FF57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0.2724</w:t>
            </w:r>
          </w:p>
        </w:tc>
      </w:tr>
      <w:tr w:rsidR="00F3659E" w:rsidRPr="00F3659E" w14:paraId="2098AB91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4197B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5B4C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3688 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D3F3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283 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EE4A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1913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D7FC6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FA7AF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4C52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0549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DF718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1437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 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B2ECD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944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3501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8CF5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AD52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07D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114BE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0.1898</w:t>
            </w:r>
          </w:p>
        </w:tc>
      </w:tr>
      <w:tr w:rsidR="00F3659E" w:rsidRPr="00F3659E" w14:paraId="6B0BA378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FA8F54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 East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93F1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647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D62A5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228B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333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4A61F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DAE2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2FE5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9510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7FFE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4112D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BA3D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49F0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A71BE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607F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C7E8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1EB4D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0.8859</w:t>
            </w:r>
          </w:p>
        </w:tc>
      </w:tr>
      <w:tr w:rsidR="00F3659E" w:rsidRPr="00F3659E" w14:paraId="6B78D3D1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B21DD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North West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EEB1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3429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AD6FA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281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035A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1432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370A0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89926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371 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C15E2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663A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AA5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55A4A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99FD9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882 (12.2)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A29E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99907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 (21.3)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47E0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69C3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5484D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0.4253</w:t>
            </w:r>
          </w:p>
        </w:tc>
      </w:tr>
      <w:tr w:rsidR="00F3659E" w:rsidRPr="00F3659E" w14:paraId="03C2DE5B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2DD1C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East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929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3548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3AB18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A1F4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2139 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4FA5D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99EC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 (5.9)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22B5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9DEB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4E3EB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C8BDC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 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25908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782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7447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7A81F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D7C5E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10B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40E3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0.0049</w:t>
            </w:r>
          </w:p>
        </w:tc>
      </w:tr>
      <w:tr w:rsidR="00F3659E" w:rsidRPr="00F3659E" w14:paraId="7B45281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D8F258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West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5F7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5540 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2B8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 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1596B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3843 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432F5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7CDC0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1328B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0E5C6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AFC4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AC55F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A53A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820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17D14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C3B58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17F31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D61E5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 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56A6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0.0843</w:t>
            </w:r>
          </w:p>
        </w:tc>
      </w:tr>
      <w:tr w:rsidR="00F3659E" w:rsidRPr="00F3659E" w14:paraId="35EA451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FF41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West Midlands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4DCD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2717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F8276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0D50D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1563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35CE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04CC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3F65D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284E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217AA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BC96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AB27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630 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3C3EB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FC08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931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F8D0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212DE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0.7754</w:t>
            </w:r>
          </w:p>
        </w:tc>
      </w:tr>
      <w:tr w:rsidR="00F3659E" w:rsidRPr="00F3659E" w14:paraId="7A96AD07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696535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Yorkshire and Humber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CAB0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2644 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8E58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29832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1420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98F0E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5E3B7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1CEA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4ACA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3B5D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7AA9F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D6F3A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703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4ED4E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4A0CA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D3B2F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84865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2A8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0.8385</w:t>
            </w:r>
          </w:p>
        </w:tc>
      </w:tr>
      <w:tr w:rsidR="00F3659E" w:rsidRPr="00F3659E" w14:paraId="039860B1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8D45E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7C0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5449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12DC1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428 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91B6A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3908 (18.7)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A177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03EDE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CB7CE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849C8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 (19.7)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7536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B1E9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 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9126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645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6CA39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CD023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 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DBE05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3924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 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2A8E0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0.8320</w:t>
            </w:r>
          </w:p>
        </w:tc>
      </w:tr>
      <w:tr w:rsidR="00F3659E" w:rsidRPr="00F3659E" w14:paraId="1103E08E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22339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Northern Ireland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DE8A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1127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3D35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FAE0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487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B46BA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92E47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52D02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07D00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4FD1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2EB6B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25913C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416816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3042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036F8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9CD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AEA52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F3659E" w:rsidRPr="00F3659E" w14:paraId="30E26E45" w14:textId="77777777" w:rsidTr="00B942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A7150" w14:textId="77777777" w:rsidR="00F3659E" w:rsidRPr="00F3659E" w:rsidRDefault="00F3659E" w:rsidP="00B942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A001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791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1B5F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FE8F2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441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C5F35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5A20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F5DAA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D333E2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A238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B1648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6B811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451419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20D66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CE06A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241AF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EAA91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1.0000</w:t>
            </w:r>
          </w:p>
        </w:tc>
      </w:tr>
      <w:tr w:rsidR="00F3659E" w:rsidRPr="00F3659E" w14:paraId="16752F6E" w14:textId="77777777" w:rsidTr="00B942A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D0EA0" w14:textId="77777777" w:rsidR="00F3659E" w:rsidRPr="00F3659E" w:rsidRDefault="00F3659E" w:rsidP="00B9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70DDA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35768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7B5C9B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9C7C40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578A3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5DB66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2B21C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C7888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68E90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C16414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290A43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7B929E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B48EF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DE66B7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17360D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8153B5" w14:textId="77777777" w:rsidR="00F3659E" w:rsidRPr="00F3659E" w:rsidRDefault="00F3659E" w:rsidP="00B9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45FBDE3" w14:textId="157422B9" w:rsidR="00B84577" w:rsidRPr="00F3659E" w:rsidRDefault="00F3659E" w:rsidP="00776F92">
      <w:pPr>
        <w:spacing w:line="240" w:lineRule="auto"/>
        <w:rPr>
          <w:rFonts w:ascii="Arial" w:hAnsi="Arial" w:cs="Arial"/>
        </w:rPr>
      </w:pPr>
      <w:r w:rsidRPr="00F3659E">
        <w:rPr>
          <w:rFonts w:ascii="Arial" w:hAnsi="Arial" w:cs="Arial"/>
          <w:sz w:val="20"/>
          <w:szCs w:val="20"/>
        </w:rPr>
        <w:t>*</w:t>
      </w:r>
      <w:r w:rsidRPr="00F3659E">
        <w:rPr>
          <w:rFonts w:ascii="Arial" w:hAnsi="Arial" w:cs="Arial"/>
          <w:sz w:val="16"/>
          <w:szCs w:val="16"/>
        </w:rPr>
        <w:t>Index of Multiple Deprivation (IMD), which is a measure of neighbourhood relative deprivation calculated by the Office of National Statistics, was obtained through linkage with participant postcodes; For ease of presentation, we have excluded participants who only received dose-1 (n=630 in the native cohort and n=307 in the positive cohort).  Please note that this table presents and compare</w:t>
      </w:r>
      <w:r w:rsidR="00C35E16">
        <w:rPr>
          <w:rFonts w:ascii="Arial" w:hAnsi="Arial" w:cs="Arial"/>
          <w:sz w:val="16"/>
          <w:szCs w:val="16"/>
        </w:rPr>
        <w:t>s</w:t>
      </w:r>
      <w:r w:rsidRPr="00F3659E">
        <w:rPr>
          <w:rFonts w:ascii="Arial" w:hAnsi="Arial" w:cs="Arial"/>
          <w:sz w:val="16"/>
          <w:szCs w:val="16"/>
        </w:rPr>
        <w:t xml:space="preserve"> the demographics for the small number of participants who remained unvaccinated at the end of the analysis period, however, </w:t>
      </w:r>
      <w:r w:rsidR="00C35E16">
        <w:rPr>
          <w:rFonts w:ascii="Arial" w:hAnsi="Arial" w:cs="Arial"/>
          <w:sz w:val="16"/>
          <w:szCs w:val="16"/>
        </w:rPr>
        <w:t>most</w:t>
      </w:r>
      <w:r w:rsidRPr="00F3659E">
        <w:rPr>
          <w:rFonts w:ascii="Arial" w:hAnsi="Arial" w:cs="Arial"/>
          <w:sz w:val="16"/>
          <w:szCs w:val="16"/>
        </w:rPr>
        <w:t xml:space="preserve"> participants contributed unvaccinated follow-up time to this analysis. </w:t>
      </w:r>
    </w:p>
    <w:sectPr w:rsidR="00B84577" w:rsidRPr="00F3659E" w:rsidSect="00776F92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0189" w14:textId="77777777" w:rsidR="00F3659E" w:rsidRDefault="00F3659E" w:rsidP="00F3659E">
      <w:pPr>
        <w:spacing w:after="0" w:line="240" w:lineRule="auto"/>
      </w:pPr>
      <w:r>
        <w:separator/>
      </w:r>
    </w:p>
  </w:endnote>
  <w:endnote w:type="continuationSeparator" w:id="0">
    <w:p w14:paraId="46F118B4" w14:textId="77777777" w:rsidR="00F3659E" w:rsidRDefault="00F3659E" w:rsidP="00F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54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26F86" w14:textId="6CA56B78" w:rsidR="00F3659E" w:rsidRDefault="00F3659E">
        <w:pPr>
          <w:pStyle w:val="Footer"/>
          <w:jc w:val="right"/>
        </w:pPr>
        <w:r w:rsidRPr="00F3659E">
          <w:rPr>
            <w:rFonts w:ascii="Arial" w:hAnsi="Arial" w:cs="Arial"/>
          </w:rPr>
          <w:fldChar w:fldCharType="begin"/>
        </w:r>
        <w:r w:rsidRPr="00F3659E">
          <w:rPr>
            <w:rFonts w:ascii="Arial" w:hAnsi="Arial" w:cs="Arial"/>
          </w:rPr>
          <w:instrText xml:space="preserve"> PAGE   \* MERGEFORMAT </w:instrText>
        </w:r>
        <w:r w:rsidRPr="00F3659E">
          <w:rPr>
            <w:rFonts w:ascii="Arial" w:hAnsi="Arial" w:cs="Arial"/>
          </w:rPr>
          <w:fldChar w:fldCharType="separate"/>
        </w:r>
        <w:r w:rsidRPr="00F3659E">
          <w:rPr>
            <w:rFonts w:ascii="Arial" w:hAnsi="Arial" w:cs="Arial"/>
            <w:noProof/>
          </w:rPr>
          <w:t>2</w:t>
        </w:r>
        <w:r w:rsidRPr="00F3659E">
          <w:rPr>
            <w:rFonts w:ascii="Arial" w:hAnsi="Arial" w:cs="Arial"/>
            <w:noProof/>
          </w:rPr>
          <w:fldChar w:fldCharType="end"/>
        </w:r>
      </w:p>
    </w:sdtContent>
  </w:sdt>
  <w:p w14:paraId="5906659C" w14:textId="77777777" w:rsidR="00F3659E" w:rsidRDefault="00F36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4DF9" w14:textId="77777777" w:rsidR="00F3659E" w:rsidRDefault="00F3659E" w:rsidP="00F3659E">
      <w:pPr>
        <w:spacing w:after="0" w:line="240" w:lineRule="auto"/>
      </w:pPr>
      <w:r>
        <w:separator/>
      </w:r>
    </w:p>
  </w:footnote>
  <w:footnote w:type="continuationSeparator" w:id="0">
    <w:p w14:paraId="3E25C4F8" w14:textId="77777777" w:rsidR="00F3659E" w:rsidRDefault="00F3659E" w:rsidP="00F3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3AF"/>
    <w:multiLevelType w:val="hybridMultilevel"/>
    <w:tmpl w:val="E4AAEBB0"/>
    <w:lvl w:ilvl="0" w:tplc="46BE3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0AAC"/>
    <w:multiLevelType w:val="hybridMultilevel"/>
    <w:tmpl w:val="86DE76E4"/>
    <w:lvl w:ilvl="0" w:tplc="D728C6F0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20D"/>
    <w:multiLevelType w:val="hybridMultilevel"/>
    <w:tmpl w:val="FFFFFFFF"/>
    <w:lvl w:ilvl="0" w:tplc="E72C2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0C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AE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F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CE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8A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3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8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8D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324"/>
    <w:multiLevelType w:val="hybridMultilevel"/>
    <w:tmpl w:val="138C4C12"/>
    <w:lvl w:ilvl="0" w:tplc="66761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7249"/>
    <w:multiLevelType w:val="hybridMultilevel"/>
    <w:tmpl w:val="3E42D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14BF8"/>
    <w:multiLevelType w:val="hybridMultilevel"/>
    <w:tmpl w:val="9F28563E"/>
    <w:lvl w:ilvl="0" w:tplc="E88A92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48FF"/>
    <w:multiLevelType w:val="hybridMultilevel"/>
    <w:tmpl w:val="1924CBBA"/>
    <w:lvl w:ilvl="0" w:tplc="64603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F1B"/>
    <w:multiLevelType w:val="hybridMultilevel"/>
    <w:tmpl w:val="CE5C305C"/>
    <w:lvl w:ilvl="0" w:tplc="AD762D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90F3B"/>
    <w:multiLevelType w:val="hybridMultilevel"/>
    <w:tmpl w:val="19D8D328"/>
    <w:lvl w:ilvl="0" w:tplc="5854F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55F59"/>
    <w:multiLevelType w:val="hybridMultilevel"/>
    <w:tmpl w:val="89FE4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310DF"/>
    <w:multiLevelType w:val="hybridMultilevel"/>
    <w:tmpl w:val="C1324050"/>
    <w:lvl w:ilvl="0" w:tplc="E02EF4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1CA7"/>
    <w:multiLevelType w:val="hybridMultilevel"/>
    <w:tmpl w:val="3E42D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9E"/>
    <w:rsid w:val="00160211"/>
    <w:rsid w:val="00681809"/>
    <w:rsid w:val="00776F92"/>
    <w:rsid w:val="008E2326"/>
    <w:rsid w:val="00AE333F"/>
    <w:rsid w:val="00B84577"/>
    <w:rsid w:val="00C35E16"/>
    <w:rsid w:val="00EE5932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8C07"/>
  <w15:chartTrackingRefBased/>
  <w15:docId w15:val="{A4542481-44AF-46B3-8170-CAA5ADD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9E"/>
  </w:style>
  <w:style w:type="paragraph" w:styleId="Heading1">
    <w:name w:val="heading 1"/>
    <w:basedOn w:val="Normal"/>
    <w:link w:val="Heading1Char"/>
    <w:uiPriority w:val="9"/>
    <w:qFormat/>
    <w:rsid w:val="00F3659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59E"/>
    <w:rPr>
      <w:rFonts w:ascii="Arial" w:eastAsia="Times New Roman" w:hAnsi="Arial" w:cs="Times New Roman"/>
      <w:b/>
      <w:bCs/>
      <w:kern w:val="36"/>
      <w:sz w:val="24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59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F3659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659E"/>
    <w:rPr>
      <w:color w:val="2B579A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3659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659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3659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3659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365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5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9E"/>
  </w:style>
  <w:style w:type="paragraph" w:styleId="Footer">
    <w:name w:val="footer"/>
    <w:basedOn w:val="Normal"/>
    <w:link w:val="FooterChar"/>
    <w:uiPriority w:val="99"/>
    <w:unhideWhenUsed/>
    <w:rsid w:val="00F3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9E"/>
  </w:style>
  <w:style w:type="paragraph" w:styleId="Revision">
    <w:name w:val="Revision"/>
    <w:hidden/>
    <w:uiPriority w:val="99"/>
    <w:semiHidden/>
    <w:rsid w:val="00F3659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3659E"/>
  </w:style>
  <w:style w:type="character" w:customStyle="1" w:styleId="normaltextrun">
    <w:name w:val="normaltextrun"/>
    <w:basedOn w:val="DefaultParagraphFont"/>
    <w:rsid w:val="00F3659E"/>
  </w:style>
  <w:style w:type="paragraph" w:styleId="NoSpacing">
    <w:name w:val="No Spacing"/>
    <w:uiPriority w:val="1"/>
    <w:qFormat/>
    <w:rsid w:val="00F3659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3659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65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3659E"/>
    <w:pPr>
      <w:spacing w:after="100"/>
    </w:pPr>
  </w:style>
  <w:style w:type="character" w:customStyle="1" w:styleId="TitleChar">
    <w:name w:val="Title Char"/>
    <w:basedOn w:val="DefaultParagraphFont"/>
    <w:link w:val="Title"/>
    <w:uiPriority w:val="10"/>
    <w:rsid w:val="00F36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3659E"/>
    <w:pPr>
      <w:spacing w:after="100"/>
      <w:ind w:left="220"/>
    </w:pPr>
    <w:rPr>
      <w:rFonts w:eastAsiaTheme="minorEastAsia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3659E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3659E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3659E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3659E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3659E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3659E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3659E"/>
    <w:pPr>
      <w:spacing w:after="100"/>
      <w:ind w:left="1760"/>
    </w:pPr>
    <w:rPr>
      <w:rFonts w:eastAsiaTheme="minorEastAsia"/>
      <w:lang w:eastAsia="en-GB"/>
    </w:rPr>
  </w:style>
  <w:style w:type="paragraph" w:customStyle="1" w:styleId="Style1">
    <w:name w:val="Style1"/>
    <w:basedOn w:val="Normal"/>
    <w:qFormat/>
    <w:rsid w:val="00F3659E"/>
  </w:style>
  <w:style w:type="paragraph" w:customStyle="1" w:styleId="Style2">
    <w:name w:val="Style2"/>
    <w:basedOn w:val="Style1"/>
    <w:qFormat/>
    <w:rsid w:val="00F3659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548E-9B6B-4800-AEE9-BD625DC5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Foulkes</dc:creator>
  <cp:keywords/>
  <dc:description/>
  <cp:lastModifiedBy>Victoria Hall</cp:lastModifiedBy>
  <cp:revision>4</cp:revision>
  <dcterms:created xsi:type="dcterms:W3CDTF">2021-11-29T20:34:00Z</dcterms:created>
  <dcterms:modified xsi:type="dcterms:W3CDTF">2021-11-29T20:41:00Z</dcterms:modified>
</cp:coreProperties>
</file>