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D046" w14:textId="67368C5A" w:rsidR="00EF590A" w:rsidRDefault="00EF590A" w:rsidP="00C5395F">
      <w:pPr>
        <w:spacing w:line="360" w:lineRule="auto"/>
        <w:rPr>
          <w:rFonts w:ascii="Times New Roman" w:hAnsi="Times New Roman" w:cs="Times New Roman"/>
          <w:b/>
          <w:bCs/>
        </w:rPr>
      </w:pPr>
      <w:r>
        <w:rPr>
          <w:rFonts w:ascii="Times New Roman" w:hAnsi="Times New Roman" w:cs="Times New Roman"/>
          <w:b/>
          <w:bCs/>
        </w:rPr>
        <w:t>Appendix</w:t>
      </w:r>
      <w:r w:rsidR="00CA5356">
        <w:rPr>
          <w:rFonts w:ascii="Times New Roman" w:hAnsi="Times New Roman" w:cs="Times New Roman"/>
          <w:b/>
          <w:bCs/>
        </w:rPr>
        <w:t xml:space="preserve"> A</w:t>
      </w:r>
    </w:p>
    <w:p w14:paraId="756B1A4B" w14:textId="77777777" w:rsidR="00A10E76" w:rsidRPr="00B71A52" w:rsidRDefault="00A10E76" w:rsidP="00A10E76">
      <w:pPr>
        <w:spacing w:line="360" w:lineRule="auto"/>
        <w:rPr>
          <w:rFonts w:ascii="Times New Roman" w:hAnsi="Times New Roman" w:cs="Times New Roman"/>
          <w:b/>
          <w:bCs/>
        </w:rPr>
      </w:pPr>
      <w:r w:rsidRPr="003A019E">
        <w:rPr>
          <w:rFonts w:ascii="Times New Roman" w:hAnsi="Times New Roman" w:cs="Times New Roman"/>
          <w:b/>
          <w:bCs/>
        </w:rPr>
        <w:t xml:space="preserve">Evaluating the impact of </w:t>
      </w:r>
      <w:r w:rsidRPr="00B71A52">
        <w:rPr>
          <w:rFonts w:ascii="Times New Roman" w:hAnsi="Times New Roman" w:cs="Times New Roman"/>
          <w:b/>
          <w:bCs/>
        </w:rPr>
        <w:t xml:space="preserve">a pulse oximetry remote monitoring programme on mortality and healthcare utilisation in patients with </w:t>
      </w:r>
      <w:r>
        <w:rPr>
          <w:rFonts w:ascii="Times New Roman" w:hAnsi="Times New Roman" w:cs="Times New Roman"/>
          <w:b/>
          <w:bCs/>
        </w:rPr>
        <w:t>c</w:t>
      </w:r>
      <w:r w:rsidRPr="00B71A52">
        <w:rPr>
          <w:rFonts w:ascii="Times New Roman" w:hAnsi="Times New Roman" w:cs="Times New Roman"/>
          <w:b/>
          <w:bCs/>
        </w:rPr>
        <w:t xml:space="preserve">ovid-19 assessed in Accident and Emergency departments in England: a </w:t>
      </w:r>
      <w:r>
        <w:rPr>
          <w:rFonts w:ascii="Times New Roman" w:hAnsi="Times New Roman" w:cs="Times New Roman"/>
          <w:b/>
          <w:bCs/>
        </w:rPr>
        <w:t>retrospective matched cohort study</w:t>
      </w:r>
    </w:p>
    <w:p w14:paraId="28DCAF73" w14:textId="77777777" w:rsidR="00A10E76" w:rsidRPr="00B71A52" w:rsidRDefault="00A10E76" w:rsidP="00A10E76">
      <w:pPr>
        <w:spacing w:line="360" w:lineRule="auto"/>
        <w:rPr>
          <w:rFonts w:ascii="Times New Roman" w:hAnsi="Times New Roman" w:cs="Times New Roman"/>
        </w:rPr>
      </w:pPr>
    </w:p>
    <w:p w14:paraId="4DA39E12" w14:textId="77777777" w:rsidR="00086290" w:rsidRPr="00A51E02" w:rsidRDefault="00086290" w:rsidP="00086290">
      <w:pPr>
        <w:spacing w:line="360" w:lineRule="auto"/>
        <w:rPr>
          <w:rFonts w:ascii="Times New Roman" w:hAnsi="Times New Roman" w:cs="Times New Roman"/>
          <w:vertAlign w:val="superscript"/>
        </w:rPr>
      </w:pPr>
      <w:r w:rsidRPr="00EF1C09">
        <w:rPr>
          <w:rFonts w:ascii="Times New Roman" w:hAnsi="Times New Roman" w:cs="Times New Roman"/>
        </w:rPr>
        <w:t>Beaney T</w:t>
      </w:r>
      <w:r>
        <w:rPr>
          <w:rFonts w:ascii="Times New Roman" w:hAnsi="Times New Roman" w:cs="Times New Roman"/>
          <w:vertAlign w:val="superscript"/>
        </w:rPr>
        <w:t>1,2</w:t>
      </w:r>
      <w:r w:rsidRPr="00EF1C09">
        <w:rPr>
          <w:rFonts w:ascii="Times New Roman" w:hAnsi="Times New Roman" w:cs="Times New Roman"/>
        </w:rPr>
        <w:t>, Clarke J</w:t>
      </w:r>
      <w:r>
        <w:rPr>
          <w:rFonts w:ascii="Times New Roman" w:hAnsi="Times New Roman" w:cs="Times New Roman"/>
          <w:vertAlign w:val="superscript"/>
        </w:rPr>
        <w:t>1,3</w:t>
      </w:r>
      <w:r>
        <w:rPr>
          <w:rFonts w:ascii="Times New Roman" w:hAnsi="Times New Roman" w:cs="Times New Roman"/>
        </w:rPr>
        <w:t>,</w:t>
      </w:r>
      <w:r>
        <w:rPr>
          <w:rFonts w:ascii="Times New Roman" w:hAnsi="Times New Roman" w:cs="Times New Roman"/>
          <w:vertAlign w:val="superscript"/>
        </w:rPr>
        <w:t xml:space="preserve"> </w:t>
      </w:r>
      <w:r w:rsidRPr="00EF1C09">
        <w:rPr>
          <w:rFonts w:ascii="Times New Roman" w:hAnsi="Times New Roman" w:cs="Times New Roman"/>
        </w:rPr>
        <w:t>Alboksmaty</w:t>
      </w:r>
      <w:r>
        <w:rPr>
          <w:rFonts w:ascii="Times New Roman" w:hAnsi="Times New Roman" w:cs="Times New Roman"/>
        </w:rPr>
        <w:t xml:space="preserve"> A</w:t>
      </w:r>
      <w:r>
        <w:rPr>
          <w:rFonts w:ascii="Times New Roman" w:hAnsi="Times New Roman" w:cs="Times New Roman"/>
          <w:vertAlign w:val="superscript"/>
        </w:rPr>
        <w:t>1,2</w:t>
      </w:r>
      <w:r>
        <w:rPr>
          <w:rFonts w:ascii="Times New Roman" w:hAnsi="Times New Roman" w:cs="Times New Roman"/>
        </w:rPr>
        <w:t>, Flott K</w:t>
      </w:r>
      <w:r>
        <w:rPr>
          <w:rFonts w:ascii="Times New Roman" w:hAnsi="Times New Roman" w:cs="Times New Roman"/>
          <w:vertAlign w:val="superscript"/>
        </w:rPr>
        <w:t>1</w:t>
      </w:r>
      <w:r>
        <w:rPr>
          <w:rFonts w:ascii="Times New Roman" w:hAnsi="Times New Roman" w:cs="Times New Roman"/>
        </w:rPr>
        <w:t>, Fowler A</w:t>
      </w:r>
      <w:r>
        <w:rPr>
          <w:rFonts w:ascii="Times New Roman" w:hAnsi="Times New Roman" w:cs="Times New Roman"/>
          <w:vertAlign w:val="superscript"/>
        </w:rPr>
        <w:t>4</w:t>
      </w:r>
      <w:r>
        <w:rPr>
          <w:rFonts w:ascii="Times New Roman" w:hAnsi="Times New Roman" w:cs="Times New Roman"/>
        </w:rPr>
        <w:t>, Benger JR</w:t>
      </w:r>
      <w:r>
        <w:rPr>
          <w:rFonts w:ascii="Times New Roman" w:hAnsi="Times New Roman" w:cs="Times New Roman"/>
          <w:vertAlign w:val="superscript"/>
        </w:rPr>
        <w:t>5</w:t>
      </w:r>
      <w:r>
        <w:rPr>
          <w:rFonts w:ascii="Times New Roman" w:hAnsi="Times New Roman" w:cs="Times New Roman"/>
        </w:rPr>
        <w:t>, Aylin P</w:t>
      </w:r>
      <w:r>
        <w:rPr>
          <w:rFonts w:ascii="Times New Roman" w:hAnsi="Times New Roman" w:cs="Times New Roman"/>
          <w:vertAlign w:val="superscript"/>
        </w:rPr>
        <w:t>1,2</w:t>
      </w:r>
      <w:r>
        <w:rPr>
          <w:rFonts w:ascii="Times New Roman" w:hAnsi="Times New Roman" w:cs="Times New Roman"/>
        </w:rPr>
        <w:t>, Elkin S</w:t>
      </w:r>
      <w:r>
        <w:rPr>
          <w:rFonts w:ascii="Times New Roman" w:hAnsi="Times New Roman" w:cs="Times New Roman"/>
          <w:vertAlign w:val="superscript"/>
        </w:rPr>
        <w:t>6</w:t>
      </w:r>
      <w:r>
        <w:rPr>
          <w:rFonts w:ascii="Times New Roman" w:hAnsi="Times New Roman" w:cs="Times New Roman"/>
        </w:rPr>
        <w:t>, Darzi A</w:t>
      </w:r>
      <w:r>
        <w:rPr>
          <w:rFonts w:ascii="Times New Roman" w:hAnsi="Times New Roman" w:cs="Times New Roman"/>
          <w:vertAlign w:val="superscript"/>
        </w:rPr>
        <w:t>1</w:t>
      </w:r>
      <w:r>
        <w:rPr>
          <w:rFonts w:ascii="Times New Roman" w:hAnsi="Times New Roman" w:cs="Times New Roman"/>
        </w:rPr>
        <w:t>,</w:t>
      </w:r>
      <w:r w:rsidRPr="00A51E02">
        <w:rPr>
          <w:rFonts w:ascii="Times New Roman" w:hAnsi="Times New Roman" w:cs="Times New Roman"/>
        </w:rPr>
        <w:t xml:space="preserve"> </w:t>
      </w:r>
      <w:r w:rsidRPr="00EF1C09">
        <w:rPr>
          <w:rFonts w:ascii="Times New Roman" w:hAnsi="Times New Roman" w:cs="Times New Roman"/>
        </w:rPr>
        <w:t>Neves A</w:t>
      </w:r>
      <w:r>
        <w:rPr>
          <w:rFonts w:ascii="Times New Roman" w:hAnsi="Times New Roman" w:cs="Times New Roman"/>
        </w:rPr>
        <w:t>L</w:t>
      </w:r>
      <w:r>
        <w:rPr>
          <w:rFonts w:ascii="Times New Roman" w:hAnsi="Times New Roman" w:cs="Times New Roman"/>
          <w:vertAlign w:val="superscript"/>
        </w:rPr>
        <w:t>1</w:t>
      </w:r>
    </w:p>
    <w:p w14:paraId="18F3F7B3" w14:textId="77777777" w:rsidR="00086290" w:rsidRDefault="00086290" w:rsidP="00086290">
      <w:pPr>
        <w:spacing w:line="360" w:lineRule="auto"/>
      </w:pPr>
    </w:p>
    <w:p w14:paraId="62725BBA" w14:textId="77777777" w:rsidR="00086290" w:rsidRPr="00EF6CA5" w:rsidRDefault="00086290" w:rsidP="00086290">
      <w:pPr>
        <w:pStyle w:val="ListParagraph"/>
        <w:numPr>
          <w:ilvl w:val="0"/>
          <w:numId w:val="1"/>
        </w:numPr>
        <w:spacing w:line="360" w:lineRule="auto"/>
        <w:rPr>
          <w:rFonts w:ascii="Times New Roman" w:hAnsi="Times New Roman" w:cs="Times New Roman"/>
        </w:rPr>
      </w:pPr>
      <w:r w:rsidRPr="00EF6CA5">
        <w:rPr>
          <w:rFonts w:ascii="Times New Roman" w:hAnsi="Times New Roman" w:cs="Times New Roman"/>
        </w:rPr>
        <w:t xml:space="preserve">Patient Safety Translational Research Centre, Institute of Global Health Innovation, Imperial College London, </w:t>
      </w:r>
      <w:r>
        <w:rPr>
          <w:rFonts w:ascii="Times New Roman" w:hAnsi="Times New Roman" w:cs="Times New Roman"/>
        </w:rPr>
        <w:t xml:space="preserve">London, SW7 2AZ, </w:t>
      </w:r>
      <w:r w:rsidRPr="00EF6CA5">
        <w:rPr>
          <w:rFonts w:ascii="Times New Roman" w:hAnsi="Times New Roman" w:cs="Times New Roman"/>
        </w:rPr>
        <w:t>United Kingdom</w:t>
      </w:r>
    </w:p>
    <w:p w14:paraId="5835D645" w14:textId="77777777" w:rsidR="00086290" w:rsidRPr="00EF6CA5" w:rsidRDefault="00086290" w:rsidP="00086290">
      <w:pPr>
        <w:pStyle w:val="ListParagraph"/>
        <w:numPr>
          <w:ilvl w:val="0"/>
          <w:numId w:val="1"/>
        </w:numPr>
        <w:spacing w:line="360" w:lineRule="auto"/>
        <w:rPr>
          <w:rFonts w:ascii="Times New Roman" w:hAnsi="Times New Roman" w:cs="Times New Roman"/>
        </w:rPr>
      </w:pPr>
      <w:r w:rsidRPr="00EF6CA5">
        <w:rPr>
          <w:rFonts w:ascii="Times New Roman" w:hAnsi="Times New Roman" w:cs="Times New Roman"/>
        </w:rPr>
        <w:t>Department of Primary Care and Public Health, Imperial College London, London, W6 8RP, United Kingdom</w:t>
      </w:r>
    </w:p>
    <w:p w14:paraId="2469FDE5" w14:textId="77777777" w:rsidR="00086290" w:rsidRDefault="00086290" w:rsidP="00086290">
      <w:pPr>
        <w:pStyle w:val="ListParagraph"/>
        <w:numPr>
          <w:ilvl w:val="0"/>
          <w:numId w:val="1"/>
        </w:numPr>
        <w:spacing w:line="360" w:lineRule="auto"/>
        <w:rPr>
          <w:rFonts w:ascii="Times New Roman" w:hAnsi="Times New Roman" w:cs="Times New Roman"/>
        </w:rPr>
      </w:pPr>
      <w:r w:rsidRPr="00EF6CA5">
        <w:rPr>
          <w:rFonts w:ascii="Times New Roman" w:hAnsi="Times New Roman" w:cs="Times New Roman"/>
        </w:rPr>
        <w:t>Centre for Mathematics of Precision Healthcare, Department of Mathematics, Imperial College London</w:t>
      </w:r>
      <w:r>
        <w:rPr>
          <w:rFonts w:ascii="Times New Roman" w:hAnsi="Times New Roman" w:cs="Times New Roman"/>
        </w:rPr>
        <w:t>, London, SW7 2AZ, United Kingdom</w:t>
      </w:r>
    </w:p>
    <w:p w14:paraId="113DF217" w14:textId="77777777" w:rsidR="00086290" w:rsidRDefault="00086290" w:rsidP="00086290">
      <w:pPr>
        <w:pStyle w:val="ListParagraph"/>
        <w:numPr>
          <w:ilvl w:val="0"/>
          <w:numId w:val="1"/>
        </w:numPr>
        <w:spacing w:line="360" w:lineRule="auto"/>
        <w:rPr>
          <w:rFonts w:ascii="Times New Roman" w:hAnsi="Times New Roman" w:cs="Times New Roman"/>
        </w:rPr>
      </w:pPr>
      <w:r w:rsidRPr="00CB0A7E">
        <w:rPr>
          <w:rFonts w:ascii="Times New Roman" w:hAnsi="Times New Roman" w:cs="Times New Roman"/>
        </w:rPr>
        <w:t>NHS England and Improvement, London,</w:t>
      </w:r>
      <w:r>
        <w:rPr>
          <w:rFonts w:ascii="Times New Roman" w:hAnsi="Times New Roman" w:cs="Times New Roman"/>
        </w:rPr>
        <w:t xml:space="preserve"> SE1 6LH,</w:t>
      </w:r>
      <w:r w:rsidRPr="00CB0A7E">
        <w:rPr>
          <w:rFonts w:ascii="Times New Roman" w:hAnsi="Times New Roman" w:cs="Times New Roman"/>
        </w:rPr>
        <w:t xml:space="preserve"> U</w:t>
      </w:r>
      <w:r>
        <w:rPr>
          <w:rFonts w:ascii="Times New Roman" w:hAnsi="Times New Roman" w:cs="Times New Roman"/>
        </w:rPr>
        <w:t xml:space="preserve">nited </w:t>
      </w:r>
      <w:r w:rsidRPr="00CB0A7E">
        <w:rPr>
          <w:rFonts w:ascii="Times New Roman" w:hAnsi="Times New Roman" w:cs="Times New Roman"/>
        </w:rPr>
        <w:t>K</w:t>
      </w:r>
      <w:r>
        <w:rPr>
          <w:rFonts w:ascii="Times New Roman" w:hAnsi="Times New Roman" w:cs="Times New Roman"/>
        </w:rPr>
        <w:t>ingdom</w:t>
      </w:r>
    </w:p>
    <w:p w14:paraId="107D232A" w14:textId="77777777" w:rsidR="00086290" w:rsidRPr="00CB0A7E" w:rsidRDefault="00086290" w:rsidP="00086290">
      <w:pPr>
        <w:pStyle w:val="ListParagraph"/>
        <w:numPr>
          <w:ilvl w:val="0"/>
          <w:numId w:val="1"/>
        </w:numPr>
        <w:spacing w:line="360" w:lineRule="auto"/>
        <w:rPr>
          <w:rFonts w:ascii="Times New Roman" w:hAnsi="Times New Roman" w:cs="Times New Roman"/>
        </w:rPr>
      </w:pPr>
      <w:r w:rsidRPr="00CB0A7E">
        <w:rPr>
          <w:rFonts w:ascii="Times New Roman" w:hAnsi="Times New Roman" w:cs="Times New Roman"/>
        </w:rPr>
        <w:t>NHS Digital, 7-8 Wellington Place, Leeds, West Yorkshire, LS1 4AP, United Kingdom</w:t>
      </w:r>
    </w:p>
    <w:p w14:paraId="2BBACEB0" w14:textId="77777777" w:rsidR="00086290" w:rsidRPr="00EF6CA5" w:rsidRDefault="00086290" w:rsidP="00086290">
      <w:pPr>
        <w:pStyle w:val="ListParagraph"/>
        <w:numPr>
          <w:ilvl w:val="0"/>
          <w:numId w:val="1"/>
        </w:numPr>
        <w:spacing w:line="360" w:lineRule="auto"/>
        <w:rPr>
          <w:rFonts w:ascii="Times New Roman" w:hAnsi="Times New Roman" w:cs="Times New Roman"/>
        </w:rPr>
      </w:pPr>
      <w:r w:rsidRPr="00EF6CA5">
        <w:rPr>
          <w:rFonts w:ascii="Times New Roman" w:hAnsi="Times New Roman" w:cs="Times New Roman"/>
        </w:rPr>
        <w:t>National Heart and Lung Institute, Imperial College London, London, SW7 2AZ United Kingdom</w:t>
      </w:r>
    </w:p>
    <w:p w14:paraId="6CEE07B8" w14:textId="77777777" w:rsidR="008D325F" w:rsidRPr="003A019E" w:rsidRDefault="008D325F" w:rsidP="008D325F">
      <w:pPr>
        <w:spacing w:line="360" w:lineRule="auto"/>
        <w:rPr>
          <w:rFonts w:ascii="Times New Roman" w:hAnsi="Times New Roman" w:cs="Times New Roman"/>
        </w:rPr>
      </w:pPr>
    </w:p>
    <w:p w14:paraId="02AB11E9" w14:textId="77777777" w:rsidR="008D325F" w:rsidRPr="003A019E" w:rsidRDefault="008D325F" w:rsidP="008D325F">
      <w:pPr>
        <w:spacing w:line="360" w:lineRule="auto"/>
        <w:rPr>
          <w:rFonts w:ascii="Times New Roman" w:hAnsi="Times New Roman" w:cs="Times New Roman"/>
        </w:rPr>
      </w:pPr>
    </w:p>
    <w:p w14:paraId="3EDDF1F5" w14:textId="77777777" w:rsidR="008D325F" w:rsidRPr="003A019E" w:rsidRDefault="008D325F" w:rsidP="008D325F">
      <w:pPr>
        <w:spacing w:line="360" w:lineRule="auto"/>
        <w:rPr>
          <w:rFonts w:ascii="Times New Roman" w:hAnsi="Times New Roman" w:cs="Times New Roman"/>
        </w:rPr>
      </w:pPr>
    </w:p>
    <w:p w14:paraId="63980916" w14:textId="77777777" w:rsidR="008D325F" w:rsidRPr="003A019E" w:rsidRDefault="008D325F" w:rsidP="008D325F">
      <w:pPr>
        <w:spacing w:line="360" w:lineRule="auto"/>
        <w:rPr>
          <w:rFonts w:ascii="Times New Roman" w:hAnsi="Times New Roman" w:cs="Times New Roman"/>
        </w:rPr>
      </w:pPr>
    </w:p>
    <w:p w14:paraId="5AA17CF6" w14:textId="77777777" w:rsidR="008D325F" w:rsidRPr="003A019E" w:rsidRDefault="008D325F" w:rsidP="008D325F">
      <w:pPr>
        <w:spacing w:line="360" w:lineRule="auto"/>
        <w:rPr>
          <w:rFonts w:ascii="Times New Roman" w:hAnsi="Times New Roman" w:cs="Times New Roman"/>
        </w:rPr>
      </w:pPr>
      <w:r w:rsidRPr="003A019E">
        <w:rPr>
          <w:rFonts w:ascii="Times New Roman" w:hAnsi="Times New Roman" w:cs="Times New Roman"/>
        </w:rPr>
        <w:t>Corresponding Author:</w:t>
      </w:r>
    </w:p>
    <w:p w14:paraId="0043DFC2" w14:textId="77777777" w:rsidR="008D325F" w:rsidRPr="003A019E" w:rsidRDefault="008D325F" w:rsidP="008D325F">
      <w:pPr>
        <w:spacing w:line="360" w:lineRule="auto"/>
        <w:rPr>
          <w:rFonts w:ascii="Times New Roman" w:hAnsi="Times New Roman" w:cs="Times New Roman"/>
        </w:rPr>
      </w:pPr>
      <w:r w:rsidRPr="003A019E">
        <w:rPr>
          <w:rFonts w:ascii="Times New Roman" w:hAnsi="Times New Roman" w:cs="Times New Roman"/>
        </w:rPr>
        <w:t>Dr Thomas Beaney</w:t>
      </w:r>
    </w:p>
    <w:p w14:paraId="46EBC8A7" w14:textId="77777777" w:rsidR="008D325F" w:rsidRPr="003A019E" w:rsidRDefault="008D325F" w:rsidP="008D325F">
      <w:pPr>
        <w:spacing w:line="360" w:lineRule="auto"/>
        <w:rPr>
          <w:rFonts w:ascii="Times New Roman" w:hAnsi="Times New Roman" w:cs="Times New Roman"/>
        </w:rPr>
      </w:pPr>
      <w:r>
        <w:rPr>
          <w:rFonts w:ascii="Times New Roman" w:hAnsi="Times New Roman" w:cs="Times New Roman"/>
        </w:rPr>
        <w:t>Patient Safety Translational Research Centre,</w:t>
      </w:r>
      <w:r w:rsidRPr="003A019E">
        <w:rPr>
          <w:rFonts w:ascii="Times New Roman" w:hAnsi="Times New Roman" w:cs="Times New Roman"/>
        </w:rPr>
        <w:t xml:space="preserve"> Institute of Global Health Innovation, Imperial College London, London, SW7 2AZ, United Kingdom</w:t>
      </w:r>
    </w:p>
    <w:p w14:paraId="5E7D8AD4" w14:textId="77777777" w:rsidR="008D325F" w:rsidRPr="003A019E" w:rsidRDefault="008D325F" w:rsidP="008D325F">
      <w:pPr>
        <w:spacing w:line="360" w:lineRule="auto"/>
        <w:rPr>
          <w:rFonts w:ascii="Times New Roman" w:hAnsi="Times New Roman" w:cs="Times New Roman"/>
        </w:rPr>
      </w:pPr>
      <w:r w:rsidRPr="003A019E">
        <w:rPr>
          <w:rFonts w:ascii="Times New Roman" w:hAnsi="Times New Roman" w:cs="Times New Roman"/>
        </w:rPr>
        <w:t>Email: thomas.beaney@imperial.ac.uk</w:t>
      </w:r>
    </w:p>
    <w:p w14:paraId="3AB462B6" w14:textId="0EB34A47" w:rsidR="00BE7A49" w:rsidRDefault="00BE7A49" w:rsidP="008D325F">
      <w:pPr>
        <w:rPr>
          <w:rFonts w:ascii="Times New Roman" w:hAnsi="Times New Roman" w:cs="Times New Roman"/>
          <w:b/>
          <w:bCs/>
        </w:rPr>
      </w:pPr>
      <w:r>
        <w:rPr>
          <w:rFonts w:ascii="Times New Roman" w:hAnsi="Times New Roman" w:cs="Times New Roman"/>
          <w:b/>
          <w:bCs/>
        </w:rPr>
        <w:br w:type="page"/>
      </w:r>
    </w:p>
    <w:p w14:paraId="449836ED" w14:textId="48BDF6DD" w:rsidR="00EF590A" w:rsidRPr="00EF590A" w:rsidRDefault="00EF590A" w:rsidP="00C5395F">
      <w:pPr>
        <w:spacing w:line="360" w:lineRule="auto"/>
        <w:rPr>
          <w:rFonts w:ascii="Times New Roman" w:hAnsi="Times New Roman" w:cs="Times New Roman"/>
          <w:b/>
          <w:bCs/>
        </w:rPr>
      </w:pPr>
      <w:r w:rsidRPr="00EF590A">
        <w:rPr>
          <w:rFonts w:ascii="Times New Roman" w:hAnsi="Times New Roman" w:cs="Times New Roman"/>
          <w:b/>
          <w:bCs/>
        </w:rPr>
        <w:lastRenderedPageBreak/>
        <w:t>Data cleaning</w:t>
      </w:r>
    </w:p>
    <w:p w14:paraId="585DE0D4" w14:textId="602F2FE4" w:rsidR="00EF590A" w:rsidRDefault="00EF590A" w:rsidP="00C5395F">
      <w:pPr>
        <w:spacing w:line="360" w:lineRule="auto"/>
        <w:rPr>
          <w:rFonts w:ascii="Times New Roman" w:hAnsi="Times New Roman" w:cs="Times New Roman"/>
        </w:rPr>
      </w:pPr>
    </w:p>
    <w:p w14:paraId="0D4D2070" w14:textId="2C53B50E" w:rsidR="00EF590A" w:rsidRDefault="00EF590A" w:rsidP="00C5395F">
      <w:pPr>
        <w:spacing w:line="360" w:lineRule="auto"/>
        <w:rPr>
          <w:rFonts w:ascii="Times New Roman" w:hAnsi="Times New Roman" w:cs="Times New Roman"/>
        </w:rPr>
      </w:pPr>
      <w:r>
        <w:rPr>
          <w:rFonts w:ascii="Times New Roman" w:hAnsi="Times New Roman" w:cs="Times New Roman"/>
        </w:rPr>
        <w:t>Note: the described datasets were used for several distinct analyses by the study team, with data cleaning rules the same or similar between studies. For this reason, some of the text in the appendices may be identical to that of other published articles by the study authors</w:t>
      </w:r>
      <w:r w:rsidR="0088282C">
        <w:rPr>
          <w:rFonts w:ascii="Times New Roman" w:hAnsi="Times New Roman" w:cs="Times New Roman"/>
        </w:rPr>
        <w:t xml:space="preserve"> on the same data source</w:t>
      </w:r>
      <w:r w:rsidR="00DB5B45">
        <w:rPr>
          <w:rFonts w:ascii="Times New Roman" w:hAnsi="Times New Roman" w:cs="Times New Roman"/>
        </w:rPr>
        <w:t>.</w:t>
      </w:r>
    </w:p>
    <w:p w14:paraId="3199466A" w14:textId="77777777" w:rsidR="00EF590A" w:rsidRDefault="00EF590A" w:rsidP="00C5395F">
      <w:pPr>
        <w:spacing w:line="360" w:lineRule="auto"/>
        <w:rPr>
          <w:rFonts w:ascii="Times New Roman" w:hAnsi="Times New Roman" w:cs="Times New Roman"/>
        </w:rPr>
      </w:pPr>
    </w:p>
    <w:p w14:paraId="0ADDCE97" w14:textId="77777777" w:rsidR="00EF590A" w:rsidRPr="008C34F5" w:rsidRDefault="00EF590A" w:rsidP="00C5395F">
      <w:pPr>
        <w:spacing w:line="360" w:lineRule="auto"/>
        <w:rPr>
          <w:rFonts w:ascii="Times New Roman" w:hAnsi="Times New Roman" w:cs="Times New Roman"/>
          <w:i/>
          <w:iCs/>
        </w:rPr>
      </w:pPr>
      <w:r>
        <w:rPr>
          <w:rFonts w:ascii="Times New Roman" w:hAnsi="Times New Roman" w:cs="Times New Roman"/>
          <w:i/>
          <w:iCs/>
        </w:rPr>
        <w:t>Covid</w:t>
      </w:r>
      <w:r w:rsidRPr="008C34F5">
        <w:rPr>
          <w:rFonts w:ascii="Times New Roman" w:hAnsi="Times New Roman" w:cs="Times New Roman"/>
          <w:i/>
          <w:iCs/>
        </w:rPr>
        <w:t>-19 testing data</w:t>
      </w:r>
    </w:p>
    <w:p w14:paraId="2FAC9BAD" w14:textId="77777777" w:rsidR="00EF590A" w:rsidRDefault="00EF590A" w:rsidP="00C5395F">
      <w:pPr>
        <w:spacing w:line="360" w:lineRule="auto"/>
        <w:rPr>
          <w:rFonts w:ascii="Times New Roman" w:hAnsi="Times New Roman" w:cs="Times New Roman"/>
        </w:rPr>
      </w:pPr>
      <w:r>
        <w:rPr>
          <w:rFonts w:ascii="Times New Roman" w:hAnsi="Times New Roman" w:cs="Times New Roman"/>
        </w:rPr>
        <w:t>Testing data was provided through the Public Health England Second Generation Surveillance System (SGSS). This dataset captures routine laboratory data on infectious diseases for England, including Covid-19, with all diagnostic laboratories required to notify positive test results within 24 hours.</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{"citationItems":[{"id":"ITEM-1","itemData":{"author":[{"dropping-particle":"","family":"Public Health England","given":"","non-dropping-particle":"","parse-names":false,"suffix":""}],"id":"ITEM-1","issued":{"date-parts":[["2020"]]},"title":"Laboratory reporting to Public Health England: A guide for diagnostic laboratories","type":"report"},"uris":["http://www.mendeley.com/documents/?uuid=60729bf0-1c88-43ab-af99-722204ef630b"]}],"mendeley":{"formattedCitation":"&lt;sup&gt;1&lt;/sup&gt;","plainTextFormattedCitation":"1","previouslyFormattedCitation":"&lt;sup&gt;1&lt;/sup&gt;"},"properties":{"noteIndex":0},"schema":"https://github.com/citation-style-language/schema/raw/master/csl-citation.json"}</w:instrText>
      </w:r>
      <w:r>
        <w:rPr>
          <w:rFonts w:ascii="Times New Roman" w:hAnsi="Times New Roman" w:cs="Times New Roman"/>
        </w:rPr>
        <w:fldChar w:fldCharType="separate"/>
      </w:r>
      <w:r w:rsidRPr="002974DF">
        <w:rPr>
          <w:rFonts w:ascii="Times New Roman" w:hAnsi="Times New Roman" w:cs="Times New Roman"/>
          <w:noProof/>
          <w:vertAlign w:val="superscript"/>
        </w:rPr>
        <w:t>1</w:t>
      </w:r>
      <w:r>
        <w:rPr>
          <w:rFonts w:ascii="Times New Roman" w:hAnsi="Times New Roman" w:cs="Times New Roman"/>
        </w:rPr>
        <w:fldChar w:fldCharType="end"/>
      </w:r>
      <w:r>
        <w:rPr>
          <w:rFonts w:ascii="Times New Roman" w:hAnsi="Times New Roman" w:cs="Times New Roman"/>
        </w:rPr>
        <w:t xml:space="preserve"> Data included 3,251,225 tests performed from 1</w:t>
      </w:r>
      <w:r w:rsidRPr="002974DF">
        <w:rPr>
          <w:rFonts w:ascii="Times New Roman" w:hAnsi="Times New Roman" w:cs="Times New Roman"/>
          <w:vertAlign w:val="superscript"/>
        </w:rPr>
        <w:t>st</w:t>
      </w:r>
      <w:r>
        <w:rPr>
          <w:rFonts w:ascii="Times New Roman" w:hAnsi="Times New Roman" w:cs="Times New Roman"/>
        </w:rPr>
        <w:t xml:space="preserve"> October 2020 to 30</w:t>
      </w:r>
      <w:r w:rsidRPr="002974DF">
        <w:rPr>
          <w:rFonts w:ascii="Times New Roman" w:hAnsi="Times New Roman" w:cs="Times New Roman"/>
          <w:vertAlign w:val="superscript"/>
        </w:rPr>
        <w:t>th</w:t>
      </w:r>
      <w:r>
        <w:rPr>
          <w:rFonts w:ascii="Times New Roman" w:hAnsi="Times New Roman" w:cs="Times New Roman"/>
        </w:rPr>
        <w:t xml:space="preserve"> June 2021, inclusive.</w:t>
      </w:r>
    </w:p>
    <w:p w14:paraId="0BDCF805" w14:textId="77777777" w:rsidR="00EF590A" w:rsidRDefault="00EF590A" w:rsidP="00C5395F">
      <w:pPr>
        <w:spacing w:line="360" w:lineRule="auto"/>
        <w:rPr>
          <w:rFonts w:ascii="Times New Roman" w:hAnsi="Times New Roman" w:cs="Times New Roman"/>
        </w:rPr>
      </w:pPr>
    </w:p>
    <w:p w14:paraId="372385D3" w14:textId="77777777" w:rsidR="00EF590A" w:rsidRDefault="00EF590A" w:rsidP="00C5395F">
      <w:pPr>
        <w:spacing w:line="360" w:lineRule="auto"/>
        <w:rPr>
          <w:rFonts w:ascii="Times New Roman" w:hAnsi="Times New Roman" w:cs="Times New Roman"/>
        </w:rPr>
      </w:pPr>
      <w:r>
        <w:rPr>
          <w:rFonts w:ascii="Times New Roman" w:hAnsi="Times New Roman" w:cs="Times New Roman"/>
        </w:rPr>
        <w:t>Provided data included test date and result date. 99% of results were reported within 5 days of the test, and 6,544 (0.2%) were reported more than 7 days from date of test. Where the result data occurred before the test date. In 1,603 cases, the result date was recorded as prior to the test date. In these instances, where the difference between the testing date and reporting date was 7 days or less, the test date and reporting date were swapped. In the 191 instances where reporting date was more than 7 days before the testing date, the test was excluded.</w:t>
      </w:r>
    </w:p>
    <w:p w14:paraId="68D1B75B" w14:textId="77777777" w:rsidR="00EF590A" w:rsidRDefault="00EF590A" w:rsidP="00C5395F">
      <w:pPr>
        <w:spacing w:line="360" w:lineRule="auto"/>
        <w:rPr>
          <w:rFonts w:ascii="Times New Roman" w:hAnsi="Times New Roman" w:cs="Times New Roman"/>
        </w:rPr>
      </w:pPr>
    </w:p>
    <w:p w14:paraId="507417BE" w14:textId="7EA23B94" w:rsidR="00EF590A" w:rsidRDefault="00EF590A" w:rsidP="00C5395F">
      <w:pPr>
        <w:spacing w:line="360" w:lineRule="auto"/>
        <w:rPr>
          <w:rFonts w:ascii="Times New Roman" w:hAnsi="Times New Roman" w:cs="Times New Roman"/>
        </w:rPr>
      </w:pPr>
      <w:r>
        <w:rPr>
          <w:rFonts w:ascii="Times New Roman" w:hAnsi="Times New Roman" w:cs="Times New Roman"/>
        </w:rPr>
        <w:t xml:space="preserve">For this analysis, only tests performed up to </w:t>
      </w:r>
      <w:r w:rsidR="00325B05" w:rsidRPr="00325B05">
        <w:rPr>
          <w:rFonts w:ascii="Times New Roman" w:hAnsi="Times New Roman" w:cs="Times New Roman"/>
        </w:rPr>
        <w:t>3</w:t>
      </w:r>
      <w:r w:rsidR="00325B05" w:rsidRPr="00325B05">
        <w:rPr>
          <w:rFonts w:ascii="Times New Roman" w:hAnsi="Times New Roman" w:cs="Times New Roman"/>
          <w:vertAlign w:val="superscript"/>
        </w:rPr>
        <w:t>rd</w:t>
      </w:r>
      <w:r w:rsidR="00325B05" w:rsidRPr="00325B05">
        <w:rPr>
          <w:rFonts w:ascii="Times New Roman" w:hAnsi="Times New Roman" w:cs="Times New Roman"/>
        </w:rPr>
        <w:t xml:space="preserve"> May</w:t>
      </w:r>
      <w:r w:rsidRPr="00325B05">
        <w:rPr>
          <w:rFonts w:ascii="Times New Roman" w:hAnsi="Times New Roman" w:cs="Times New Roman"/>
        </w:rPr>
        <w:t xml:space="preserve"> 2021</w:t>
      </w:r>
      <w:r>
        <w:rPr>
          <w:rFonts w:ascii="Times New Roman" w:hAnsi="Times New Roman" w:cs="Times New Roman"/>
        </w:rPr>
        <w:t xml:space="preserve"> were included (after swapping test and result dates where applicable), given that secondary care data was available up until the end of May 2021. </w:t>
      </w:r>
      <w:r w:rsidRPr="00BA55DB">
        <w:rPr>
          <w:rFonts w:ascii="Times New Roman" w:hAnsi="Times New Roman" w:cs="Times New Roman"/>
        </w:rPr>
        <w:t>Of the 2,92</w:t>
      </w:r>
      <w:r w:rsidR="00BA55DB" w:rsidRPr="00BA55DB">
        <w:rPr>
          <w:rFonts w:ascii="Times New Roman" w:hAnsi="Times New Roman" w:cs="Times New Roman"/>
        </w:rPr>
        <w:t>8</w:t>
      </w:r>
      <w:r w:rsidRPr="00BA55DB">
        <w:rPr>
          <w:rFonts w:ascii="Times New Roman" w:hAnsi="Times New Roman" w:cs="Times New Roman"/>
        </w:rPr>
        <w:t>,</w:t>
      </w:r>
      <w:r w:rsidR="00BA55DB" w:rsidRPr="00BA55DB">
        <w:rPr>
          <w:rFonts w:ascii="Times New Roman" w:hAnsi="Times New Roman" w:cs="Times New Roman"/>
        </w:rPr>
        <w:t>802</w:t>
      </w:r>
      <w:r w:rsidRPr="00BA55DB">
        <w:rPr>
          <w:rFonts w:ascii="Times New Roman" w:hAnsi="Times New Roman" w:cs="Times New Roman"/>
        </w:rPr>
        <w:t xml:space="preserve"> positive Covid-19 tests, 2,</w:t>
      </w:r>
      <w:r w:rsidR="00BA55DB" w:rsidRPr="00BA55DB">
        <w:rPr>
          <w:rFonts w:ascii="Times New Roman" w:hAnsi="Times New Roman" w:cs="Times New Roman"/>
        </w:rPr>
        <w:t>352</w:t>
      </w:r>
      <w:r w:rsidRPr="00BA55DB">
        <w:rPr>
          <w:rFonts w:ascii="Times New Roman" w:hAnsi="Times New Roman" w:cs="Times New Roman"/>
        </w:rPr>
        <w:t>,</w:t>
      </w:r>
      <w:r w:rsidR="00BA55DB" w:rsidRPr="00BA55DB">
        <w:rPr>
          <w:rFonts w:ascii="Times New Roman" w:hAnsi="Times New Roman" w:cs="Times New Roman"/>
        </w:rPr>
        <w:t>390</w:t>
      </w:r>
      <w:r w:rsidRPr="00BA55DB">
        <w:rPr>
          <w:rFonts w:ascii="Times New Roman" w:hAnsi="Times New Roman" w:cs="Times New Roman"/>
        </w:rPr>
        <w:t xml:space="preserve"> (80.3%) were from Pillar 2 testing, 561,</w:t>
      </w:r>
      <w:r w:rsidR="00BA55DB" w:rsidRPr="00BA55DB">
        <w:rPr>
          <w:rFonts w:ascii="Times New Roman" w:hAnsi="Times New Roman" w:cs="Times New Roman"/>
        </w:rPr>
        <w:t>852</w:t>
      </w:r>
      <w:r w:rsidRPr="00BA55DB">
        <w:rPr>
          <w:rFonts w:ascii="Times New Roman" w:hAnsi="Times New Roman" w:cs="Times New Roman"/>
        </w:rPr>
        <w:t xml:space="preserve"> (19.2%) from Pillar 1, and 14,</w:t>
      </w:r>
      <w:r w:rsidR="00BA55DB" w:rsidRPr="00BA55DB">
        <w:rPr>
          <w:rFonts w:ascii="Times New Roman" w:hAnsi="Times New Roman" w:cs="Times New Roman"/>
        </w:rPr>
        <w:t>560</w:t>
      </w:r>
      <w:r w:rsidRPr="00BA55DB">
        <w:rPr>
          <w:rFonts w:ascii="Times New Roman" w:hAnsi="Times New Roman" w:cs="Times New Roman"/>
        </w:rPr>
        <w:t xml:space="preserve"> (0.5%) from Pillar 4.</w:t>
      </w:r>
      <w:r w:rsidR="00CA5356">
        <w:rPr>
          <w:rFonts w:ascii="Times New Roman" w:hAnsi="Times New Roman" w:cs="Times New Roman"/>
        </w:rPr>
        <w:fldChar w:fldCharType="begin" w:fldLock="1"/>
      </w:r>
      <w:r w:rsidR="00CA5356">
        <w:rPr>
          <w:rFonts w:ascii="Times New Roman" w:hAnsi="Times New Roman" w:cs="Times New Roman"/>
        </w:rPr>
        <w:instrText>ADDIN CSL_CITATION {"citationItems":[{"id":"ITEM-1","itemData":{"URL":"https://www.gov.uk/government/publications/coronavirus-covid-19-testing-data-methodology/covid-19-testing-data-methodology-note","accessed":{"date-parts":[["2021","10","6"]]},"author":[{"dropping-particle":"","family":"Department of Health &amp; Social Care","given":"","non-dropping-particle":"","parse-names":false,"suffix":""}],"id":"ITEM-1","issued":{"date-parts":[["2021"]]},"title":"COVID-19 testing data: methodology note","type":"webpage"},"uris":["http://www.mendeley.com/documents/?uuid=6ba654c6-9e4e-3e46-841d-ce928e454a50"]}],"mendeley":{"formattedCitation":"&lt;sup&gt;2&lt;/sup&gt;","plainTextFormattedCitation":"2"},"properties":{"noteIndex":0},"schema":"https://github.com/citation-style-language/schema/raw/master/csl-citation.json"}</w:instrText>
      </w:r>
      <w:r w:rsidR="00CA5356">
        <w:rPr>
          <w:rFonts w:ascii="Times New Roman" w:hAnsi="Times New Roman" w:cs="Times New Roman"/>
        </w:rPr>
        <w:fldChar w:fldCharType="separate"/>
      </w:r>
      <w:r w:rsidR="00CA5356" w:rsidRPr="00CA5356">
        <w:rPr>
          <w:rFonts w:ascii="Times New Roman" w:hAnsi="Times New Roman" w:cs="Times New Roman"/>
          <w:noProof/>
          <w:vertAlign w:val="superscript"/>
        </w:rPr>
        <w:t>2</w:t>
      </w:r>
      <w:r w:rsidR="00CA5356">
        <w:rPr>
          <w:rFonts w:ascii="Times New Roman" w:hAnsi="Times New Roman" w:cs="Times New Roman"/>
        </w:rPr>
        <w:fldChar w:fldCharType="end"/>
      </w:r>
      <w:r w:rsidRPr="00BA55DB">
        <w:rPr>
          <w:rFonts w:ascii="Times New Roman" w:hAnsi="Times New Roman" w:cs="Times New Roman"/>
        </w:rPr>
        <w:t xml:space="preserve"> Test type was recorded for Pillar 2 tests only, and of these, 2,2</w:t>
      </w:r>
      <w:r w:rsidR="00BA55DB" w:rsidRPr="00BA55DB">
        <w:rPr>
          <w:rFonts w:ascii="Times New Roman" w:hAnsi="Times New Roman" w:cs="Times New Roman"/>
        </w:rPr>
        <w:t>50</w:t>
      </w:r>
      <w:r w:rsidRPr="00BA55DB">
        <w:rPr>
          <w:rFonts w:ascii="Times New Roman" w:hAnsi="Times New Roman" w:cs="Times New Roman"/>
        </w:rPr>
        <w:t>,</w:t>
      </w:r>
      <w:r w:rsidR="00BA55DB" w:rsidRPr="00BA55DB">
        <w:rPr>
          <w:rFonts w:ascii="Times New Roman" w:hAnsi="Times New Roman" w:cs="Times New Roman"/>
        </w:rPr>
        <w:t>288</w:t>
      </w:r>
      <w:r w:rsidRPr="00BA55DB">
        <w:rPr>
          <w:rFonts w:ascii="Times New Roman" w:hAnsi="Times New Roman" w:cs="Times New Roman"/>
        </w:rPr>
        <w:t xml:space="preserve"> (95.7%) were Polymerase Chain Reaction (PCR) tests, 10</w:t>
      </w:r>
      <w:r w:rsidR="00BA55DB" w:rsidRPr="00BA55DB">
        <w:rPr>
          <w:rFonts w:ascii="Times New Roman" w:hAnsi="Times New Roman" w:cs="Times New Roman"/>
        </w:rPr>
        <w:t>2</w:t>
      </w:r>
      <w:r w:rsidRPr="00BA55DB">
        <w:rPr>
          <w:rFonts w:ascii="Times New Roman" w:hAnsi="Times New Roman" w:cs="Times New Roman"/>
        </w:rPr>
        <w:t>,</w:t>
      </w:r>
      <w:r w:rsidR="00BA55DB" w:rsidRPr="00BA55DB">
        <w:rPr>
          <w:rFonts w:ascii="Times New Roman" w:hAnsi="Times New Roman" w:cs="Times New Roman"/>
        </w:rPr>
        <w:t>102</w:t>
      </w:r>
      <w:r w:rsidRPr="00BA55DB">
        <w:rPr>
          <w:rFonts w:ascii="Times New Roman" w:hAnsi="Times New Roman" w:cs="Times New Roman"/>
        </w:rPr>
        <w:t xml:space="preserve"> (4.3%) were lateral flow tests. </w:t>
      </w:r>
    </w:p>
    <w:p w14:paraId="10BFAD44" w14:textId="77777777" w:rsidR="00EF590A" w:rsidRDefault="00EF590A" w:rsidP="00C5395F">
      <w:pPr>
        <w:spacing w:line="360" w:lineRule="auto"/>
        <w:rPr>
          <w:rFonts w:ascii="Times New Roman" w:hAnsi="Times New Roman" w:cs="Times New Roman"/>
        </w:rPr>
      </w:pPr>
    </w:p>
    <w:p w14:paraId="00CF5743" w14:textId="2F4D7068" w:rsidR="00C00846" w:rsidRDefault="00EF590A" w:rsidP="00C5395F">
      <w:pPr>
        <w:spacing w:line="360" w:lineRule="auto"/>
        <w:rPr>
          <w:rFonts w:ascii="Times New Roman" w:hAnsi="Times New Roman" w:cs="Times New Roman"/>
        </w:rPr>
      </w:pPr>
      <w:r>
        <w:rPr>
          <w:rFonts w:ascii="Times New Roman" w:hAnsi="Times New Roman" w:cs="Times New Roman"/>
        </w:rPr>
        <w:t xml:space="preserve">For this analysis, </w:t>
      </w:r>
      <w:r w:rsidR="002F280B">
        <w:rPr>
          <w:rFonts w:ascii="Times New Roman" w:hAnsi="Times New Roman" w:cs="Times New Roman"/>
        </w:rPr>
        <w:t>only the</w:t>
      </w:r>
      <w:r>
        <w:rPr>
          <w:rFonts w:ascii="Times New Roman" w:hAnsi="Times New Roman" w:cs="Times New Roman"/>
        </w:rPr>
        <w:t xml:space="preserve"> first positive test </w:t>
      </w:r>
      <w:r w:rsidR="002F280B">
        <w:rPr>
          <w:rFonts w:ascii="Times New Roman" w:hAnsi="Times New Roman" w:cs="Times New Roman"/>
        </w:rPr>
        <w:t>was taken where</w:t>
      </w:r>
      <w:r>
        <w:rPr>
          <w:rFonts w:ascii="Times New Roman" w:hAnsi="Times New Roman" w:cs="Times New Roman"/>
        </w:rPr>
        <w:t xml:space="preserve"> more than one was recorded for any given individual</w:t>
      </w:r>
      <w:r w:rsidR="002F280B">
        <w:rPr>
          <w:rFonts w:ascii="Times New Roman" w:hAnsi="Times New Roman" w:cs="Times New Roman"/>
        </w:rPr>
        <w:t>, resulting in a total eligible population of 2,536,</w:t>
      </w:r>
      <w:r w:rsidR="00252A60">
        <w:rPr>
          <w:rFonts w:ascii="Times New Roman" w:hAnsi="Times New Roman" w:cs="Times New Roman"/>
        </w:rPr>
        <w:t>322</w:t>
      </w:r>
      <w:r>
        <w:rPr>
          <w:rFonts w:ascii="Times New Roman" w:hAnsi="Times New Roman" w:cs="Times New Roman"/>
        </w:rPr>
        <w:t>.</w:t>
      </w:r>
      <w:r w:rsidR="00613FB5">
        <w:rPr>
          <w:rFonts w:ascii="Times New Roman" w:hAnsi="Times New Roman" w:cs="Times New Roman"/>
        </w:rPr>
        <w:t xml:space="preserve"> </w:t>
      </w:r>
    </w:p>
    <w:p w14:paraId="7C669821" w14:textId="77777777" w:rsidR="00B0166B" w:rsidRDefault="00B0166B" w:rsidP="00C5395F">
      <w:pPr>
        <w:spacing w:line="360" w:lineRule="auto"/>
        <w:rPr>
          <w:rFonts w:ascii="Times New Roman" w:hAnsi="Times New Roman" w:cs="Times New Roman"/>
        </w:rPr>
      </w:pPr>
    </w:p>
    <w:p w14:paraId="7185FB77" w14:textId="7AFE594C" w:rsidR="00C00846" w:rsidRDefault="00C00846" w:rsidP="00C5395F">
      <w:pPr>
        <w:spacing w:line="360" w:lineRule="auto"/>
        <w:rPr>
          <w:rFonts w:ascii="Times New Roman" w:hAnsi="Times New Roman" w:cs="Times New Roman"/>
        </w:rPr>
      </w:pPr>
    </w:p>
    <w:p w14:paraId="0AB4A52F" w14:textId="4F31B731" w:rsidR="002F280B" w:rsidRDefault="002F280B" w:rsidP="00C5395F">
      <w:pPr>
        <w:spacing w:line="360" w:lineRule="auto"/>
        <w:rPr>
          <w:rFonts w:ascii="Times New Roman" w:hAnsi="Times New Roman" w:cs="Times New Roman"/>
        </w:rPr>
      </w:pPr>
    </w:p>
    <w:p w14:paraId="414DB8B4" w14:textId="77777777" w:rsidR="002F280B" w:rsidRDefault="002F280B" w:rsidP="00C5395F">
      <w:pPr>
        <w:spacing w:line="360" w:lineRule="auto"/>
        <w:rPr>
          <w:rFonts w:ascii="Times New Roman" w:hAnsi="Times New Roman" w:cs="Times New Roman"/>
        </w:rPr>
      </w:pPr>
    </w:p>
    <w:p w14:paraId="5CA81511" w14:textId="2543AFC0" w:rsidR="00C00846" w:rsidRPr="00613FB5" w:rsidRDefault="00C00846" w:rsidP="00C5395F">
      <w:pPr>
        <w:spacing w:line="360" w:lineRule="auto"/>
        <w:rPr>
          <w:rFonts w:ascii="Times New Roman" w:hAnsi="Times New Roman" w:cs="Times New Roman"/>
          <w:i/>
          <w:iCs/>
        </w:rPr>
      </w:pPr>
      <w:r w:rsidRPr="00613FB5">
        <w:rPr>
          <w:rFonts w:ascii="Times New Roman" w:hAnsi="Times New Roman" w:cs="Times New Roman"/>
          <w:i/>
          <w:iCs/>
        </w:rPr>
        <w:lastRenderedPageBreak/>
        <w:t xml:space="preserve">COVID Oximetry @home (CO@h) </w:t>
      </w:r>
      <w:r>
        <w:rPr>
          <w:rFonts w:ascii="Times New Roman" w:hAnsi="Times New Roman" w:cs="Times New Roman"/>
          <w:i/>
          <w:iCs/>
        </w:rPr>
        <w:t>programme data</w:t>
      </w:r>
    </w:p>
    <w:p w14:paraId="71E0CE2A" w14:textId="636248C4" w:rsidR="0088282C" w:rsidRDefault="00C00846" w:rsidP="00C5395F">
      <w:pPr>
        <w:spacing w:line="360" w:lineRule="auto"/>
        <w:rPr>
          <w:rFonts w:ascii="Times New Roman" w:hAnsi="Times New Roman" w:cs="Times New Roman"/>
        </w:rPr>
      </w:pPr>
      <w:r>
        <w:rPr>
          <w:rFonts w:ascii="Times New Roman" w:hAnsi="Times New Roman" w:cs="Times New Roman"/>
        </w:rPr>
        <w:t>Data on patients enrolled (‘onboarded’) onto the CO@h programme were submitted directly from CO@h sites via NHS Digital’s Strategic Data Collection Service.</w:t>
      </w:r>
      <w:r w:rsidR="00466E55">
        <w:rPr>
          <w:rFonts w:ascii="Times New Roman" w:hAnsi="Times New Roman" w:cs="Times New Roman"/>
        </w:rPr>
        <w:fldChar w:fldCharType="begin" w:fldLock="1"/>
      </w:r>
      <w:r w:rsidR="00CA5356">
        <w:rPr>
          <w:rFonts w:ascii="Times New Roman" w:hAnsi="Times New Roman" w:cs="Times New Roman"/>
        </w:rPr>
        <w:instrText>ADDIN CSL_CITATION {"citationItems":[{"id":"ITEM-1","itemData":{"URL":"https://digital.nhs.uk/services/strategic-data-collection-service-sdcs","accessed":{"date-parts":[["2021","10","6"]]},"author":[{"dropping-particle":"","family":"NHS Digital","given":"","non-dropping-particle":"","parse-names":false,"suffix":""}],"id":"ITEM-1","issued":{"date-parts":[["0"]]},"title":"Strategic Data Collection Service (SDCS)","type":"webpage"},"uris":["http://www.mendeley.com/documents/?uuid=9c4f757c-9c6b-3f3b-812b-887320554fcb"]}],"mendeley":{"formattedCitation":"&lt;sup&gt;3&lt;/sup&gt;","plainTextFormattedCitation":"3","previouslyFormattedCitation":"&lt;sup&gt;2&lt;/sup&gt;"},"properties":{"noteIndex":0},"schema":"https://github.com/citation-style-language/schema/raw/master/csl-citation.json"}</w:instrText>
      </w:r>
      <w:r w:rsidR="00466E55">
        <w:rPr>
          <w:rFonts w:ascii="Times New Roman" w:hAnsi="Times New Roman" w:cs="Times New Roman"/>
        </w:rPr>
        <w:fldChar w:fldCharType="separate"/>
      </w:r>
      <w:r w:rsidR="00CA5356" w:rsidRPr="00CA5356">
        <w:rPr>
          <w:rFonts w:ascii="Times New Roman" w:hAnsi="Times New Roman" w:cs="Times New Roman"/>
          <w:noProof/>
          <w:vertAlign w:val="superscript"/>
        </w:rPr>
        <w:t>3</w:t>
      </w:r>
      <w:r w:rsidR="00466E55">
        <w:rPr>
          <w:rFonts w:ascii="Times New Roman" w:hAnsi="Times New Roman" w:cs="Times New Roman"/>
        </w:rPr>
        <w:fldChar w:fldCharType="end"/>
      </w:r>
      <w:r>
        <w:rPr>
          <w:rFonts w:ascii="Times New Roman" w:hAnsi="Times New Roman" w:cs="Times New Roman"/>
        </w:rPr>
        <w:t xml:space="preserve"> Data included a deidentified NHS patient ID of the patient onboarded, along with the date of onboarding to and offboarding from the programme.</w:t>
      </w:r>
      <w:r w:rsidR="007813CC">
        <w:rPr>
          <w:rFonts w:ascii="Times New Roman" w:hAnsi="Times New Roman" w:cs="Times New Roman"/>
        </w:rPr>
        <w:t xml:space="preserve"> Any patient with an offboarding date but no onboarding date were excluded from the analyses.</w:t>
      </w:r>
    </w:p>
    <w:p w14:paraId="5FCB0BFB" w14:textId="77777777" w:rsidR="00613FB5" w:rsidRDefault="00613FB5" w:rsidP="00C5395F">
      <w:pPr>
        <w:spacing w:line="360" w:lineRule="auto"/>
        <w:rPr>
          <w:rFonts w:ascii="Times New Roman" w:hAnsi="Times New Roman" w:cs="Times New Roman"/>
        </w:rPr>
      </w:pPr>
    </w:p>
    <w:p w14:paraId="63AD65F8" w14:textId="77777777" w:rsidR="00D60A55" w:rsidRPr="00D36A83" w:rsidRDefault="00D60A55" w:rsidP="00C5395F">
      <w:pPr>
        <w:spacing w:line="360" w:lineRule="auto"/>
        <w:rPr>
          <w:rFonts w:ascii="Times New Roman" w:hAnsi="Times New Roman" w:cs="Times New Roman"/>
          <w:i/>
          <w:iCs/>
        </w:rPr>
      </w:pPr>
      <w:r w:rsidRPr="00D36A83">
        <w:rPr>
          <w:rFonts w:ascii="Times New Roman" w:hAnsi="Times New Roman" w:cs="Times New Roman"/>
          <w:i/>
          <w:iCs/>
        </w:rPr>
        <w:t>Primary care data</w:t>
      </w:r>
    </w:p>
    <w:p w14:paraId="0E2DBB28" w14:textId="12D640CE" w:rsidR="00D60A55" w:rsidRDefault="00D60A55" w:rsidP="00C5395F">
      <w:pPr>
        <w:spacing w:line="360" w:lineRule="auto"/>
        <w:rPr>
          <w:rFonts w:ascii="Times New Roman" w:hAnsi="Times New Roman" w:cs="Times New Roman"/>
        </w:rPr>
      </w:pPr>
      <w:r w:rsidRPr="00D36A83">
        <w:rPr>
          <w:rFonts w:ascii="Times New Roman" w:hAnsi="Times New Roman" w:cs="Times New Roman"/>
        </w:rPr>
        <w:t>Primary care data came from the General Practice Extraction Service (GPES) Data for Pandemic Planning and Research (GDPPR)</w:t>
      </w:r>
      <w:r>
        <w:rPr>
          <w:rFonts w:ascii="Times New Roman" w:hAnsi="Times New Roman" w:cs="Times New Roman"/>
        </w:rPr>
        <w:t>.</w:t>
      </w:r>
      <w:r>
        <w:rPr>
          <w:rFonts w:ascii="Times New Roman" w:hAnsi="Times New Roman" w:cs="Times New Roman"/>
        </w:rPr>
        <w:fldChar w:fldCharType="begin" w:fldLock="1"/>
      </w:r>
      <w:r w:rsidR="00CA5356">
        <w:rPr>
          <w:rFonts w:ascii="Times New Roman" w:hAnsi="Times New Roman" w:cs="Times New Roman"/>
        </w:rPr>
        <w:instrText>ADDIN CSL_CITATION {"citationItems":[{"id":"ITEM-1","itemData":{"URL":"https://digital.nhs.uk/coronavirus/gpes-data-for-pandemic-planning-and-research/guide-for-analysts-and-users-of-the-data","accessed":{"date-parts":[["2021","9","30"]]},"author":[{"dropping-particle":"","family":"NHS Digital","given":"","non-dropping-particle":"","parse-names":false,"suffix":""}],"id":"ITEM-1","issued":{"date-parts":[["2021"]]},"title":"General Practice Extraction Service (GPES) Data for pandemic planning and research: a guide for analysts and users of the data","type":"webpage"},"uris":["http://www.mendeley.com/documents/?uuid=427f2f45-b623-4ada-bd39-0f1ec07aa159"]}],"mendeley":{"formattedCitation":"&lt;sup&gt;4&lt;/sup&gt;","plainTextFormattedCitation":"4","previouslyFormattedCitation":"&lt;sup&gt;3&lt;/sup&gt;"},"properties":{"noteIndex":0},"schema":"https://github.com/citation-style-language/schema/raw/master/csl-citation.json"}</w:instrText>
      </w:r>
      <w:r>
        <w:rPr>
          <w:rFonts w:ascii="Times New Roman" w:hAnsi="Times New Roman" w:cs="Times New Roman"/>
        </w:rPr>
        <w:fldChar w:fldCharType="separate"/>
      </w:r>
      <w:r w:rsidR="00CA5356" w:rsidRPr="00CA5356">
        <w:rPr>
          <w:rFonts w:ascii="Times New Roman" w:hAnsi="Times New Roman" w:cs="Times New Roman"/>
          <w:noProof/>
          <w:vertAlign w:val="superscript"/>
        </w:rPr>
        <w:t>4</w:t>
      </w:r>
      <w:r>
        <w:rPr>
          <w:rFonts w:ascii="Times New Roman" w:hAnsi="Times New Roman" w:cs="Times New Roman"/>
        </w:rPr>
        <w:fldChar w:fldCharType="end"/>
      </w:r>
      <w:r>
        <w:rPr>
          <w:rFonts w:ascii="Times New Roman" w:hAnsi="Times New Roman" w:cs="Times New Roman"/>
        </w:rPr>
        <w:t xml:space="preserve"> Data included month and year of birth, sex, ethnicity, Lower Layer Super Output Area (LSOA) of residence, a marker for Clinically Extremely Vulnerable (CEV) status, and a marker for residence in a care home. LSOA was used to link to 2019 </w:t>
      </w:r>
      <w:r w:rsidRPr="00235B71">
        <w:rPr>
          <w:rFonts w:ascii="Times New Roman" w:hAnsi="Times New Roman" w:cs="Times New Roman"/>
        </w:rPr>
        <w:t>deciles of Index of Multiple Deprivation (IMD)</w:t>
      </w:r>
      <w:r>
        <w:rPr>
          <w:rFonts w:ascii="Times New Roman" w:hAnsi="Times New Roman" w:cs="Times New Roman"/>
        </w:rPr>
        <w:t>.</w:t>
      </w:r>
      <w:r>
        <w:rPr>
          <w:rFonts w:ascii="Times New Roman" w:hAnsi="Times New Roman" w:cs="Times New Roman"/>
        </w:rPr>
        <w:fldChar w:fldCharType="begin" w:fldLock="1"/>
      </w:r>
      <w:r w:rsidR="00CA5356">
        <w:rPr>
          <w:rFonts w:ascii="Times New Roman" w:hAnsi="Times New Roman" w:cs="Times New Roman"/>
        </w:rPr>
        <w:instrText>ADDIN CSL_CITATION {"citationItems":[{"id":"ITEM-1","itemData":{"URL":"https://www.gov.uk/government/statistics/english-indices-of-deprivation-2019","accessed":{"date-parts":[["2020","10","18"]]},"author":[{"dropping-particle":"","family":"Ministry of Housing","given":"","non-dropping-particle":"","parse-names":false,"suffix":""},{"dropping-particle":"","family":"Communities &amp; Local Government","given":"","non-dropping-particle":"","parse-names":false,"suffix":""}],"id":"ITEM-1","issued":{"date-parts":[["0"]]},"title":"English indices of deprivation 2019","type":"webpage"},"uris":["http://www.mendeley.com/documents/?uuid=e0ca203f-c0db-3fc9-a0ba-1f5e1ecf9fd5"]}],"mendeley":{"formattedCitation":"&lt;sup&gt;5&lt;/sup&gt;","plainTextFormattedCitation":"5","previouslyFormattedCitation":"&lt;sup&gt;4&lt;/sup&gt;"},"properties":{"noteIndex":0},"schema":"https://github.com/citation-style-language/schema/raw/master/csl-citation.json"}</w:instrText>
      </w:r>
      <w:r>
        <w:rPr>
          <w:rFonts w:ascii="Times New Roman" w:hAnsi="Times New Roman" w:cs="Times New Roman"/>
        </w:rPr>
        <w:fldChar w:fldCharType="separate"/>
      </w:r>
      <w:r w:rsidR="00CA5356" w:rsidRPr="00CA5356">
        <w:rPr>
          <w:rFonts w:ascii="Times New Roman" w:hAnsi="Times New Roman" w:cs="Times New Roman"/>
          <w:noProof/>
          <w:vertAlign w:val="superscript"/>
        </w:rPr>
        <w:t>5</w:t>
      </w:r>
      <w:r>
        <w:rPr>
          <w:rFonts w:ascii="Times New Roman" w:hAnsi="Times New Roman" w:cs="Times New Roman"/>
        </w:rPr>
        <w:fldChar w:fldCharType="end"/>
      </w:r>
      <w:r>
        <w:rPr>
          <w:rFonts w:ascii="Times New Roman" w:hAnsi="Times New Roman" w:cs="Times New Roman"/>
        </w:rPr>
        <w:t xml:space="preserve"> Age was calculated from date of positive Covid-19 test, assuming a birthdate on the 15</w:t>
      </w:r>
      <w:r w:rsidRPr="00235B71">
        <w:rPr>
          <w:rFonts w:ascii="Times New Roman" w:hAnsi="Times New Roman" w:cs="Times New Roman"/>
          <w:vertAlign w:val="superscript"/>
        </w:rPr>
        <w:t>th</w:t>
      </w:r>
      <w:r>
        <w:rPr>
          <w:rFonts w:ascii="Times New Roman" w:hAnsi="Times New Roman" w:cs="Times New Roman"/>
        </w:rPr>
        <w:t xml:space="preserve"> day of the month.</w:t>
      </w:r>
    </w:p>
    <w:p w14:paraId="0B719BC4" w14:textId="77777777" w:rsidR="00D60A55" w:rsidRDefault="00D60A55" w:rsidP="00C5395F">
      <w:pPr>
        <w:spacing w:line="360" w:lineRule="auto"/>
        <w:rPr>
          <w:rFonts w:ascii="Times New Roman" w:hAnsi="Times New Roman" w:cs="Times New Roman"/>
        </w:rPr>
      </w:pPr>
    </w:p>
    <w:p w14:paraId="20716474" w14:textId="77777777" w:rsidR="00D60A55" w:rsidRDefault="00D60A55" w:rsidP="00C5395F">
      <w:pPr>
        <w:spacing w:line="360" w:lineRule="auto"/>
        <w:rPr>
          <w:rFonts w:ascii="Times New Roman" w:hAnsi="Times New Roman" w:cs="Times New Roman"/>
        </w:rPr>
      </w:pPr>
      <w:r>
        <w:rPr>
          <w:rFonts w:ascii="Times New Roman" w:hAnsi="Times New Roman" w:cs="Times New Roman"/>
        </w:rPr>
        <w:t>Entries include a date to which each journal item applies, and a date on which the journal item was recorded. The former was used in priority, but where missing, was replaced with the journal item recording date. For LSOA, CEV status and care home residence, only entries occurring up to the date of positive Covid-19 test were included. For month and year of birth, sex and ethnicity, if no entry were included prior to the date of Covid-19 test, then the earliest recorded entry after the test was included.</w:t>
      </w:r>
    </w:p>
    <w:p w14:paraId="39277D19" w14:textId="77777777" w:rsidR="00D60A55" w:rsidRDefault="00D60A55" w:rsidP="00C5395F">
      <w:pPr>
        <w:spacing w:line="360" w:lineRule="auto"/>
        <w:rPr>
          <w:rFonts w:ascii="Times New Roman" w:hAnsi="Times New Roman" w:cs="Times New Roman"/>
        </w:rPr>
      </w:pPr>
    </w:p>
    <w:p w14:paraId="3AF70272" w14:textId="1A235604" w:rsidR="00D60A55" w:rsidRDefault="00D60A55" w:rsidP="00C5395F">
      <w:pPr>
        <w:spacing w:line="360" w:lineRule="auto"/>
        <w:rPr>
          <w:rFonts w:ascii="Times New Roman" w:hAnsi="Times New Roman" w:cs="Times New Roman"/>
        </w:rPr>
      </w:pPr>
    </w:p>
    <w:p w14:paraId="58A799C3" w14:textId="30C2C487" w:rsidR="00B75110" w:rsidRDefault="00B75110" w:rsidP="00C5395F">
      <w:pPr>
        <w:spacing w:line="360" w:lineRule="auto"/>
        <w:rPr>
          <w:rFonts w:ascii="Times New Roman" w:hAnsi="Times New Roman" w:cs="Times New Roman"/>
        </w:rPr>
      </w:pPr>
    </w:p>
    <w:p w14:paraId="3125AB81" w14:textId="77777777" w:rsidR="00D60A55" w:rsidRPr="00D36A83" w:rsidRDefault="00D60A55" w:rsidP="00C5395F">
      <w:pPr>
        <w:spacing w:line="360" w:lineRule="auto"/>
        <w:rPr>
          <w:rFonts w:ascii="Times New Roman" w:hAnsi="Times New Roman" w:cs="Times New Roman"/>
          <w:i/>
          <w:iCs/>
        </w:rPr>
      </w:pPr>
      <w:r w:rsidRPr="00D36A83">
        <w:rPr>
          <w:rFonts w:ascii="Times New Roman" w:hAnsi="Times New Roman" w:cs="Times New Roman"/>
          <w:i/>
          <w:iCs/>
        </w:rPr>
        <w:t>Secondary care data</w:t>
      </w:r>
    </w:p>
    <w:p w14:paraId="0D313069" w14:textId="73D94204" w:rsidR="00D60A55" w:rsidRDefault="00D60A55" w:rsidP="00C5395F">
      <w:pPr>
        <w:spacing w:line="360" w:lineRule="auto"/>
        <w:rPr>
          <w:rFonts w:ascii="Times New Roman" w:hAnsi="Times New Roman" w:cs="Times New Roman"/>
        </w:rPr>
      </w:pPr>
      <w:r w:rsidRPr="00235B71">
        <w:rPr>
          <w:rFonts w:ascii="Times New Roman" w:hAnsi="Times New Roman" w:cs="Times New Roman"/>
        </w:rPr>
        <w:t>Data on hospital admissions came from the Hospital Episode Statistics (HES) data set up to 31st May 2021, linked to Office for National Statistics (ONS) data on death registrations up to 5th July 2021</w:t>
      </w:r>
      <w:r>
        <w:rPr>
          <w:rFonts w:ascii="Times New Roman" w:hAnsi="Times New Roman" w:cs="Times New Roman"/>
        </w:rPr>
        <w:t>.</w:t>
      </w:r>
      <w:r w:rsidR="00B1428D">
        <w:rPr>
          <w:rFonts w:ascii="Times New Roman" w:hAnsi="Times New Roman" w:cs="Times New Roman"/>
        </w:rPr>
        <w:fldChar w:fldCharType="begin" w:fldLock="1"/>
      </w:r>
      <w:r w:rsidR="00CA5356">
        <w:rPr>
          <w:rFonts w:ascii="Times New Roman" w:hAnsi="Times New Roman" w:cs="Times New Roman"/>
        </w:rPr>
        <w:instrText>ADDIN CSL_CITATION {"citationItems":[{"id":"ITEM-1","itemData":{"URL":"https://digital.nhs.uk/data-and-information/data-tools-and-services/data-services/hospital-episode-statistics","accessed":{"date-parts":[["2021","10","6"]]},"author":[{"dropping-particle":"","family":"Digital","given":"NHS","non-dropping-particle":"","parse-names":false,"suffix":""}],"id":"ITEM-1","issued":{"date-parts":[["0"]]},"title":"Hospital Episode Statistics (HES)","type":"webpage"},"uris":["http://www.mendeley.com/documents/?uuid=090554bc-c049-3410-be4f-4429829f6bf4"]}],"mendeley":{"formattedCitation":"&lt;sup&gt;6&lt;/sup&gt;","plainTextFormattedCitation":"6","previouslyFormattedCitation":"&lt;sup&gt;5&lt;/sup&gt;"},"properties":{"noteIndex":0},"schema":"https://github.com/citation-style-language/schema/raw/master/csl-citation.json"}</w:instrText>
      </w:r>
      <w:r w:rsidR="00B1428D">
        <w:rPr>
          <w:rFonts w:ascii="Times New Roman" w:hAnsi="Times New Roman" w:cs="Times New Roman"/>
        </w:rPr>
        <w:fldChar w:fldCharType="separate"/>
      </w:r>
      <w:r w:rsidR="00CA5356" w:rsidRPr="00CA5356">
        <w:rPr>
          <w:rFonts w:ascii="Times New Roman" w:hAnsi="Times New Roman" w:cs="Times New Roman"/>
          <w:noProof/>
          <w:vertAlign w:val="superscript"/>
        </w:rPr>
        <w:t>6</w:t>
      </w:r>
      <w:r w:rsidR="00B1428D">
        <w:rPr>
          <w:rFonts w:ascii="Times New Roman" w:hAnsi="Times New Roman" w:cs="Times New Roman"/>
        </w:rPr>
        <w:fldChar w:fldCharType="end"/>
      </w:r>
      <w:r>
        <w:rPr>
          <w:rFonts w:ascii="Times New Roman" w:hAnsi="Times New Roman" w:cs="Times New Roman"/>
        </w:rPr>
        <w:t xml:space="preserve"> </w:t>
      </w:r>
      <w:r w:rsidRPr="0080183C">
        <w:rPr>
          <w:rFonts w:ascii="Times New Roman" w:hAnsi="Times New Roman" w:cs="Times New Roman"/>
        </w:rPr>
        <w:t>Entries were excluded where missing admission dates, provider Trust code, or patient deidentified ID.</w:t>
      </w:r>
      <w:r>
        <w:rPr>
          <w:rFonts w:ascii="Times New Roman" w:hAnsi="Times New Roman" w:cs="Times New Roman"/>
        </w:rPr>
        <w:t xml:space="preserve"> </w:t>
      </w:r>
    </w:p>
    <w:p w14:paraId="331AD6A1" w14:textId="77777777" w:rsidR="00D60A55" w:rsidRDefault="00D60A55" w:rsidP="00C5395F">
      <w:pPr>
        <w:spacing w:line="360" w:lineRule="auto"/>
        <w:rPr>
          <w:rFonts w:ascii="Times New Roman" w:hAnsi="Times New Roman" w:cs="Times New Roman"/>
        </w:rPr>
      </w:pPr>
    </w:p>
    <w:p w14:paraId="27A8B7F4" w14:textId="0D5464BD" w:rsidR="00D60A55" w:rsidRDefault="00D60A55" w:rsidP="00C5395F">
      <w:pPr>
        <w:spacing w:line="360" w:lineRule="auto"/>
        <w:rPr>
          <w:rFonts w:ascii="Times New Roman" w:hAnsi="Times New Roman" w:cs="Times New Roman"/>
        </w:rPr>
      </w:pPr>
      <w:r w:rsidRPr="0080183C">
        <w:rPr>
          <w:rFonts w:ascii="Times New Roman" w:hAnsi="Times New Roman" w:cs="Times New Roman"/>
        </w:rPr>
        <w:t>Where multiple admission episodes were recorded within a spell, a single spell start and end date were created. Non-emergency hospital admissions were excluded from analyses.</w:t>
      </w:r>
      <w:r>
        <w:rPr>
          <w:rFonts w:ascii="Times New Roman" w:hAnsi="Times New Roman" w:cs="Times New Roman"/>
        </w:rPr>
        <w:t xml:space="preserve"> A binary indicator was created for any admission within 28 days of positive Covid-19 test. A second indicator was created for death (of any cause) within 28 days of positive Covid-19 </w:t>
      </w:r>
      <w:r>
        <w:rPr>
          <w:rFonts w:ascii="Times New Roman" w:hAnsi="Times New Roman" w:cs="Times New Roman"/>
        </w:rPr>
        <w:lastRenderedPageBreak/>
        <w:t>test</w:t>
      </w:r>
      <w:r w:rsidRPr="0080183C">
        <w:rPr>
          <w:rFonts w:ascii="Times New Roman" w:hAnsi="Times New Roman" w:cs="Times New Roman"/>
        </w:rPr>
        <w:t>.</w:t>
      </w:r>
      <w:r w:rsidR="00AB5F22">
        <w:rPr>
          <w:rFonts w:ascii="Times New Roman" w:hAnsi="Times New Roman" w:cs="Times New Roman"/>
        </w:rPr>
        <w:t xml:space="preserve"> Critical care admissions were defined as an admission episode for any level 2 or level 3 care within the defined spell.</w:t>
      </w:r>
    </w:p>
    <w:p w14:paraId="6F9DAB63" w14:textId="0EC4F3AC" w:rsidR="00D60A55" w:rsidRDefault="00D60A55" w:rsidP="00C5395F">
      <w:pPr>
        <w:spacing w:line="360" w:lineRule="auto"/>
        <w:rPr>
          <w:rFonts w:ascii="Times New Roman" w:hAnsi="Times New Roman" w:cs="Times New Roman"/>
        </w:rPr>
      </w:pPr>
    </w:p>
    <w:p w14:paraId="49157F0F" w14:textId="05CDE39E" w:rsidR="00D60A55" w:rsidRPr="00D60A55" w:rsidRDefault="00D60A55" w:rsidP="00C5395F">
      <w:pPr>
        <w:spacing w:line="360" w:lineRule="auto"/>
        <w:rPr>
          <w:rFonts w:ascii="Times New Roman" w:hAnsi="Times New Roman" w:cs="Times New Roman"/>
        </w:rPr>
      </w:pPr>
      <w:r>
        <w:rPr>
          <w:rFonts w:ascii="Times New Roman" w:hAnsi="Times New Roman" w:cs="Times New Roman"/>
        </w:rPr>
        <w:t>Data on accident and emergency (A&amp;E) attendances came from the Emergency Care Data Set (ECDS).</w:t>
      </w:r>
      <w:r w:rsidR="00B1428D">
        <w:rPr>
          <w:rFonts w:ascii="Times New Roman" w:hAnsi="Times New Roman" w:cs="Times New Roman"/>
        </w:rPr>
        <w:fldChar w:fldCharType="begin" w:fldLock="1"/>
      </w:r>
      <w:r w:rsidR="00CA5356">
        <w:rPr>
          <w:rFonts w:ascii="Times New Roman" w:hAnsi="Times New Roman" w:cs="Times New Roman"/>
        </w:rPr>
        <w:instrText>ADDIN CSL_CITATION {"citationItems":[{"id":"ITEM-1","itemData":{"URL":"https://digital.nhs.uk/data-and-information/data-collections-and-data-sets/data-sets/emergency-care-data-set-ecds","accessed":{"date-parts":[["2021","10","6"]]},"author":[{"dropping-particle":"","family":"NHS Digital","given":"","non-dropping-particle":"","parse-names":false,"suffix":""}],"id":"ITEM-1","issued":{"date-parts":[["0"]]},"title":"Emergency Care Data Set (ECDS)","type":"webpage"},"uris":["http://www.mendeley.com/documents/?uuid=c494e893-adb9-301c-a9b1-676127772a64"]}],"mendeley":{"formattedCitation":"&lt;sup&gt;7&lt;/sup&gt;","plainTextFormattedCitation":"7","previouslyFormattedCitation":"&lt;sup&gt;6&lt;/sup&gt;"},"properties":{"noteIndex":0},"schema":"https://github.com/citation-style-language/schema/raw/master/csl-citation.json"}</w:instrText>
      </w:r>
      <w:r w:rsidR="00B1428D">
        <w:rPr>
          <w:rFonts w:ascii="Times New Roman" w:hAnsi="Times New Roman" w:cs="Times New Roman"/>
        </w:rPr>
        <w:fldChar w:fldCharType="separate"/>
      </w:r>
      <w:r w:rsidR="00CA5356" w:rsidRPr="00CA5356">
        <w:rPr>
          <w:rFonts w:ascii="Times New Roman" w:hAnsi="Times New Roman" w:cs="Times New Roman"/>
          <w:noProof/>
          <w:vertAlign w:val="superscript"/>
        </w:rPr>
        <w:t>7</w:t>
      </w:r>
      <w:r w:rsidR="00B1428D">
        <w:rPr>
          <w:rFonts w:ascii="Times New Roman" w:hAnsi="Times New Roman" w:cs="Times New Roman"/>
        </w:rPr>
        <w:fldChar w:fldCharType="end"/>
      </w:r>
      <w:r>
        <w:rPr>
          <w:rFonts w:ascii="Times New Roman" w:hAnsi="Times New Roman" w:cs="Times New Roman"/>
        </w:rPr>
        <w:t xml:space="preserve"> </w:t>
      </w:r>
      <w:r w:rsidR="007813CC">
        <w:rPr>
          <w:rFonts w:ascii="Times New Roman" w:hAnsi="Times New Roman" w:cs="Times New Roman"/>
        </w:rPr>
        <w:t xml:space="preserve">Only A&amp;E presentations to NHS providers were selected (Trust codes beginning with ‘R’). </w:t>
      </w:r>
      <w:r>
        <w:rPr>
          <w:rFonts w:ascii="Times New Roman" w:hAnsi="Times New Roman" w:cs="Times New Roman"/>
        </w:rPr>
        <w:t xml:space="preserve">The A&amp;E attendance date, departure date and admission date (if subsequently admitted) are included. </w:t>
      </w:r>
      <w:r w:rsidRPr="00D60A55">
        <w:rPr>
          <w:rFonts w:ascii="Times New Roman" w:hAnsi="Times New Roman" w:cs="Times New Roman"/>
        </w:rPr>
        <w:t>In cases where attendance date was recorded as being after the departure date, the attendance date was set to the departure date, if departure date was equal to the admission date. Otherwise, attendance date was assumed to be correct.</w:t>
      </w:r>
    </w:p>
    <w:p w14:paraId="6153BB93" w14:textId="77777777" w:rsidR="00D60A55" w:rsidRDefault="00D60A55" w:rsidP="00C5395F">
      <w:pPr>
        <w:spacing w:line="360" w:lineRule="auto"/>
        <w:rPr>
          <w:rFonts w:ascii="Times New Roman" w:hAnsi="Times New Roman" w:cs="Times New Roman"/>
        </w:rPr>
      </w:pPr>
      <w:r w:rsidRPr="00D60A55">
        <w:rPr>
          <w:rFonts w:ascii="Times New Roman" w:hAnsi="Times New Roman" w:cs="Times New Roman"/>
        </w:rPr>
        <w:t>Where multiple A&amp;E attendances were recorded on the same day, a single attendance was kept for each patient, prioritising in turn:</w:t>
      </w:r>
    </w:p>
    <w:p w14:paraId="2FE7C94E" w14:textId="31D9AECE" w:rsidR="00D60A55" w:rsidRPr="00D60A55" w:rsidRDefault="00D60A55" w:rsidP="00C5395F">
      <w:pPr>
        <w:pStyle w:val="ListParagraph"/>
        <w:numPr>
          <w:ilvl w:val="0"/>
          <w:numId w:val="2"/>
        </w:numPr>
        <w:spacing w:line="360" w:lineRule="auto"/>
        <w:rPr>
          <w:rFonts w:ascii="Times New Roman" w:hAnsi="Times New Roman" w:cs="Times New Roman"/>
        </w:rPr>
      </w:pPr>
      <w:r w:rsidRPr="00D60A55">
        <w:rPr>
          <w:rFonts w:ascii="Times New Roman" w:hAnsi="Times New Roman" w:cs="Times New Roman"/>
        </w:rPr>
        <w:t>Any attendance associated with an admission</w:t>
      </w:r>
    </w:p>
    <w:p w14:paraId="6A228176" w14:textId="107E5A5A" w:rsidR="00D60A55" w:rsidRPr="00D60A55" w:rsidRDefault="00D60A55" w:rsidP="00C5395F">
      <w:pPr>
        <w:pStyle w:val="ListParagraph"/>
        <w:numPr>
          <w:ilvl w:val="0"/>
          <w:numId w:val="2"/>
        </w:numPr>
        <w:spacing w:line="360" w:lineRule="auto"/>
        <w:rPr>
          <w:rFonts w:ascii="Times New Roman" w:hAnsi="Times New Roman" w:cs="Times New Roman"/>
        </w:rPr>
      </w:pPr>
      <w:r w:rsidRPr="00D60A55">
        <w:rPr>
          <w:rFonts w:ascii="Times New Roman" w:hAnsi="Times New Roman" w:cs="Times New Roman"/>
        </w:rPr>
        <w:t>Earliest time of attendance</w:t>
      </w:r>
    </w:p>
    <w:p w14:paraId="48CD7AB0" w14:textId="68E309A7" w:rsidR="00D60A55" w:rsidRPr="00D60A55" w:rsidRDefault="00D60A55" w:rsidP="00C5395F">
      <w:pPr>
        <w:pStyle w:val="ListParagraph"/>
        <w:numPr>
          <w:ilvl w:val="0"/>
          <w:numId w:val="2"/>
        </w:numPr>
        <w:spacing w:line="360" w:lineRule="auto"/>
        <w:rPr>
          <w:rFonts w:ascii="Times New Roman" w:hAnsi="Times New Roman" w:cs="Times New Roman"/>
        </w:rPr>
      </w:pPr>
      <w:r w:rsidRPr="00D60A55">
        <w:rPr>
          <w:rFonts w:ascii="Times New Roman" w:hAnsi="Times New Roman" w:cs="Times New Roman"/>
        </w:rPr>
        <w:t>Earliest time of departure</w:t>
      </w:r>
    </w:p>
    <w:p w14:paraId="0DE87E38" w14:textId="77777777" w:rsidR="00D60A55" w:rsidRPr="00D60A55" w:rsidRDefault="00D60A55" w:rsidP="00C5395F">
      <w:pPr>
        <w:spacing w:line="360" w:lineRule="auto"/>
        <w:rPr>
          <w:rFonts w:ascii="Times New Roman" w:hAnsi="Times New Roman" w:cs="Times New Roman"/>
        </w:rPr>
      </w:pPr>
    </w:p>
    <w:p w14:paraId="34C4C6F5" w14:textId="796F5918" w:rsidR="00D60A55" w:rsidRDefault="00D60A55" w:rsidP="00C5395F">
      <w:pPr>
        <w:spacing w:line="360" w:lineRule="auto"/>
        <w:rPr>
          <w:rFonts w:ascii="Times New Roman" w:hAnsi="Times New Roman" w:cs="Times New Roman"/>
        </w:rPr>
      </w:pPr>
      <w:r>
        <w:rPr>
          <w:rFonts w:ascii="Times New Roman" w:hAnsi="Times New Roman" w:cs="Times New Roman"/>
        </w:rPr>
        <w:t>A binary indicator was created for one or more</w:t>
      </w:r>
      <w:r w:rsidRPr="00D60A55">
        <w:rPr>
          <w:rFonts w:ascii="Times New Roman" w:hAnsi="Times New Roman" w:cs="Times New Roman"/>
        </w:rPr>
        <w:t xml:space="preserve"> A&amp;E attendances </w:t>
      </w:r>
      <w:r>
        <w:rPr>
          <w:rFonts w:ascii="Times New Roman" w:hAnsi="Times New Roman" w:cs="Times New Roman"/>
        </w:rPr>
        <w:t>within 28 days of a positive Covid-19 test.</w:t>
      </w:r>
    </w:p>
    <w:p w14:paraId="3FB9D9EA" w14:textId="77777777" w:rsidR="00D60A55" w:rsidRPr="0080183C" w:rsidRDefault="00D60A55" w:rsidP="00C5395F">
      <w:pPr>
        <w:spacing w:line="360" w:lineRule="auto"/>
        <w:rPr>
          <w:rFonts w:ascii="Times New Roman" w:hAnsi="Times New Roman" w:cs="Times New Roman"/>
        </w:rPr>
      </w:pPr>
    </w:p>
    <w:p w14:paraId="0EA5E0D6" w14:textId="2606165D" w:rsidR="00D60A55" w:rsidRDefault="00D60A55" w:rsidP="00C5395F">
      <w:pPr>
        <w:spacing w:line="360" w:lineRule="auto"/>
        <w:rPr>
          <w:rFonts w:ascii="Times New Roman" w:hAnsi="Times New Roman" w:cs="Times New Roman"/>
        </w:rPr>
      </w:pPr>
      <w:r>
        <w:rPr>
          <w:rFonts w:ascii="Times New Roman" w:hAnsi="Times New Roman" w:cs="Times New Roman"/>
        </w:rPr>
        <w:t>Where age was missing from GDPPR, it was derived from month and year of birth in HES, or if also missing in HES, derived from month and year of birth in ECDS, using the same approach as for GDPPR.</w:t>
      </w:r>
      <w:r w:rsidR="00B0166B">
        <w:rPr>
          <w:rFonts w:ascii="Times New Roman" w:hAnsi="Times New Roman" w:cs="Times New Roman"/>
        </w:rPr>
        <w:t xml:space="preserve"> Where LSOA was missing from GDPPR, it was derived from HES/ECDS. CCG was derived first from testing data, and if missing, from CO@h programme data, followed by GDPPR/HES/ECDS if missing.</w:t>
      </w:r>
    </w:p>
    <w:p w14:paraId="5294C0F4" w14:textId="77777777" w:rsidR="00B0166B" w:rsidRDefault="00B0166B" w:rsidP="00C5395F">
      <w:pPr>
        <w:spacing w:line="360" w:lineRule="auto"/>
        <w:rPr>
          <w:rFonts w:ascii="Times New Roman" w:hAnsi="Times New Roman" w:cs="Times New Roman"/>
        </w:rPr>
      </w:pPr>
    </w:p>
    <w:p w14:paraId="0CAF3961" w14:textId="77777777" w:rsidR="00D60A55" w:rsidRDefault="00D60A55" w:rsidP="00C5395F">
      <w:pPr>
        <w:spacing w:line="360" w:lineRule="auto"/>
        <w:rPr>
          <w:rFonts w:ascii="Times New Roman" w:hAnsi="Times New Roman" w:cs="Times New Roman"/>
        </w:rPr>
      </w:pPr>
    </w:p>
    <w:p w14:paraId="3938E43A" w14:textId="77777777" w:rsidR="00D60A55" w:rsidRPr="0080183C" w:rsidRDefault="00D60A55" w:rsidP="00C5395F">
      <w:pPr>
        <w:spacing w:line="360" w:lineRule="auto"/>
        <w:rPr>
          <w:rFonts w:ascii="Times New Roman" w:hAnsi="Times New Roman" w:cs="Times New Roman"/>
          <w:i/>
          <w:iCs/>
        </w:rPr>
      </w:pPr>
      <w:r w:rsidRPr="0080183C">
        <w:rPr>
          <w:rFonts w:ascii="Times New Roman" w:hAnsi="Times New Roman" w:cs="Times New Roman"/>
          <w:i/>
          <w:iCs/>
        </w:rPr>
        <w:t>Co-morbidities</w:t>
      </w:r>
    </w:p>
    <w:p w14:paraId="5698626E" w14:textId="77777777" w:rsidR="00D60A55" w:rsidRDefault="00D60A55" w:rsidP="00C5395F">
      <w:pPr>
        <w:spacing w:line="360" w:lineRule="auto"/>
        <w:rPr>
          <w:rFonts w:ascii="Times New Roman" w:hAnsi="Times New Roman" w:cs="Times New Roman"/>
        </w:rPr>
      </w:pPr>
    </w:p>
    <w:p w14:paraId="2F04FC3D" w14:textId="3CDE0143" w:rsidR="00D60A55" w:rsidRDefault="00D60A55" w:rsidP="00C5395F">
      <w:pPr>
        <w:spacing w:line="360" w:lineRule="auto"/>
        <w:rPr>
          <w:rFonts w:ascii="Times New Roman" w:hAnsi="Times New Roman" w:cs="Times New Roman"/>
        </w:rPr>
      </w:pPr>
      <w:r w:rsidRPr="0080183C">
        <w:rPr>
          <w:rFonts w:ascii="Times New Roman" w:hAnsi="Times New Roman" w:cs="Times New Roman"/>
        </w:rPr>
        <w:t xml:space="preserve">SNOMED codes </w:t>
      </w:r>
      <w:r>
        <w:rPr>
          <w:rFonts w:ascii="Times New Roman" w:hAnsi="Times New Roman" w:cs="Times New Roman"/>
        </w:rPr>
        <w:t>were included in the GDPPR dataset</w:t>
      </w:r>
      <w:r w:rsidRPr="0080183C">
        <w:rPr>
          <w:rFonts w:ascii="Times New Roman" w:hAnsi="Times New Roman" w:cs="Times New Roman"/>
        </w:rPr>
        <w:t xml:space="preserve"> pertaining to specific SNOMED code cluster reference sets</w:t>
      </w:r>
      <w:r>
        <w:rPr>
          <w:rFonts w:ascii="Times New Roman" w:hAnsi="Times New Roman" w:cs="Times New Roman"/>
        </w:rPr>
        <w:t xml:space="preserve"> provided by NHS Digital</w:t>
      </w:r>
      <w:r w:rsidRPr="0080183C">
        <w:rPr>
          <w:rFonts w:ascii="Times New Roman" w:hAnsi="Times New Roman" w:cs="Times New Roman"/>
        </w:rPr>
        <w:t>.</w:t>
      </w:r>
      <w:r>
        <w:rPr>
          <w:rFonts w:ascii="Times New Roman" w:hAnsi="Times New Roman" w:cs="Times New Roman"/>
        </w:rPr>
        <w:fldChar w:fldCharType="begin" w:fldLock="1"/>
      </w:r>
      <w:r w:rsidR="00CA5356">
        <w:rPr>
          <w:rFonts w:ascii="Times New Roman" w:hAnsi="Times New Roman" w:cs="Times New Roman"/>
        </w:rPr>
        <w:instrText>ADDIN CSL_CITATION {"citationItems":[{"id":"ITEM-1","itemData":{"URL":"https://digital.nhs.uk/coronavirus/gpes-data-for-pandemic-planning-and-research/guide-for-analysts-and-users-of-the-data","accessed":{"date-parts":[["2021","9","30"]]},"author":[{"dropping-particle":"","family":"NHS Digital","given":"","non-dropping-particle":"","parse-names":false,"suffix":""}],"id":"ITEM-1","issued":{"date-parts":[["2021"]]},"title":"General Practice Extraction Service (GPES) Data for pandemic planning and research: a guide for analysts and users of the data","type":"webpage"},"uris":["http://www.mendeley.com/documents/?uuid=427f2f45-b623-4ada-bd39-0f1ec07aa159"]}],"mendeley":{"formattedCitation":"&lt;sup&gt;4&lt;/sup&gt;","plainTextFormattedCitation":"4","previouslyFormattedCitation":"&lt;sup&gt;3&lt;/sup&gt;"},"properties":{"noteIndex":0},"schema":"https://github.com/citation-style-language/schema/raw/master/csl-citation.json"}</w:instrText>
      </w:r>
      <w:r>
        <w:rPr>
          <w:rFonts w:ascii="Times New Roman" w:hAnsi="Times New Roman" w:cs="Times New Roman"/>
        </w:rPr>
        <w:fldChar w:fldCharType="separate"/>
      </w:r>
      <w:r w:rsidR="00CA5356" w:rsidRPr="00CA5356">
        <w:rPr>
          <w:rFonts w:ascii="Times New Roman" w:hAnsi="Times New Roman" w:cs="Times New Roman"/>
          <w:noProof/>
          <w:vertAlign w:val="superscript"/>
        </w:rPr>
        <w:t>4</w:t>
      </w:r>
      <w:r>
        <w:rPr>
          <w:rFonts w:ascii="Times New Roman" w:hAnsi="Times New Roman" w:cs="Times New Roman"/>
        </w:rPr>
        <w:fldChar w:fldCharType="end"/>
      </w:r>
      <w:r w:rsidRPr="0080183C">
        <w:rPr>
          <w:rFonts w:ascii="Times New Roman" w:hAnsi="Times New Roman" w:cs="Times New Roman"/>
        </w:rPr>
        <w:t xml:space="preserve"> 6</w:t>
      </w:r>
      <w:r>
        <w:rPr>
          <w:rFonts w:ascii="Times New Roman" w:hAnsi="Times New Roman" w:cs="Times New Roman"/>
        </w:rPr>
        <w:t>,</w:t>
      </w:r>
      <w:r w:rsidRPr="0080183C">
        <w:rPr>
          <w:rFonts w:ascii="Times New Roman" w:hAnsi="Times New Roman" w:cs="Times New Roman"/>
        </w:rPr>
        <w:t>485 unique codes were identified from GDPPR</w:t>
      </w:r>
      <w:r>
        <w:rPr>
          <w:rFonts w:ascii="Times New Roman" w:hAnsi="Times New Roman" w:cs="Times New Roman"/>
        </w:rPr>
        <w:t>. Codes were reviewed manually by authors TB and JC and removed if not relevant or assigned to the minimal number of relevant code clusters.</w:t>
      </w:r>
    </w:p>
    <w:p w14:paraId="6D4D87AD" w14:textId="77777777" w:rsidR="00D60A55" w:rsidRDefault="00D60A55" w:rsidP="00C5395F">
      <w:pPr>
        <w:spacing w:line="360" w:lineRule="auto"/>
        <w:rPr>
          <w:rFonts w:ascii="Times New Roman" w:hAnsi="Times New Roman" w:cs="Times New Roman"/>
        </w:rPr>
      </w:pPr>
    </w:p>
    <w:p w14:paraId="525AD7AE" w14:textId="02A5EB0A" w:rsidR="00D60A55" w:rsidRDefault="00D60A55" w:rsidP="00C5395F">
      <w:pPr>
        <w:spacing w:line="360" w:lineRule="auto"/>
        <w:rPr>
          <w:rFonts w:ascii="Times New Roman" w:hAnsi="Times New Roman" w:cs="Times New Roman"/>
        </w:rPr>
      </w:pPr>
      <w:r w:rsidRPr="0080183C">
        <w:rPr>
          <w:rFonts w:ascii="Times New Roman" w:hAnsi="Times New Roman" w:cs="Times New Roman"/>
        </w:rPr>
        <w:t xml:space="preserve">SNOMED reference clusters were </w:t>
      </w:r>
      <w:r>
        <w:rPr>
          <w:rFonts w:ascii="Times New Roman" w:hAnsi="Times New Roman" w:cs="Times New Roman"/>
        </w:rPr>
        <w:t>a</w:t>
      </w:r>
      <w:r w:rsidRPr="0080183C">
        <w:rPr>
          <w:rFonts w:ascii="Times New Roman" w:hAnsi="Times New Roman" w:cs="Times New Roman"/>
        </w:rPr>
        <w:t xml:space="preserve">ggregated into hierarchies of </w:t>
      </w:r>
      <w:r>
        <w:rPr>
          <w:rFonts w:ascii="Times New Roman" w:hAnsi="Times New Roman" w:cs="Times New Roman"/>
        </w:rPr>
        <w:t>similar conditions</w:t>
      </w:r>
      <w:r w:rsidRPr="0080183C">
        <w:rPr>
          <w:rFonts w:ascii="Times New Roman" w:hAnsi="Times New Roman" w:cs="Times New Roman"/>
        </w:rPr>
        <w:t>. Codes in each higher-order cluster were then reviewed to ensure groupings of relevant codes</w:t>
      </w:r>
      <w:r>
        <w:rPr>
          <w:rFonts w:ascii="Times New Roman" w:hAnsi="Times New Roman" w:cs="Times New Roman"/>
        </w:rPr>
        <w:t xml:space="preserve"> and </w:t>
      </w:r>
      <w:r>
        <w:rPr>
          <w:rFonts w:ascii="Times New Roman" w:hAnsi="Times New Roman" w:cs="Times New Roman"/>
        </w:rPr>
        <w:lastRenderedPageBreak/>
        <w:t xml:space="preserve">twelve relevant chronic disease categories were selected: </w:t>
      </w:r>
      <w:r w:rsidRPr="00732B36">
        <w:rPr>
          <w:rFonts w:ascii="Times New Roman" w:hAnsi="Times New Roman" w:cs="Times New Roman"/>
        </w:rPr>
        <w:t>hypertension, chronic cardiac disease, chronic kidney disease, chronic respiratory disease, dementia, diabetes, chronic neurological disease (including epilepsy), learning disability, malignancy/immunosuppression, severe mental illness, peripheral vascular disease and stroke/transient ischaemic attack (TIA).</w:t>
      </w:r>
      <w:r>
        <w:rPr>
          <w:rFonts w:ascii="Times New Roman" w:hAnsi="Times New Roman" w:cs="Times New Roman"/>
        </w:rPr>
        <w:t xml:space="preserve"> Categories for chronic respiratory disease, diabetes, epilepsy, malignancy/immunosuppression and severe mental illness included relevant medication codes. Broad diagnostic categories of diagnoses were chosen, as certain medications were not diagnostic of more granular diagnostic categories (for example, use of a long-acting bronchodilator/inhaled corticosteroid in both COPD and asthma) A full list of codes within each diagnostic category are available </w:t>
      </w:r>
      <w:r w:rsidR="00CA5356">
        <w:rPr>
          <w:rFonts w:ascii="Times New Roman" w:hAnsi="Times New Roman" w:cs="Times New Roman"/>
        </w:rPr>
        <w:t>in Appendix B</w:t>
      </w:r>
      <w:r>
        <w:rPr>
          <w:rFonts w:ascii="Times New Roman" w:hAnsi="Times New Roman" w:cs="Times New Roman"/>
        </w:rPr>
        <w:t>.</w:t>
      </w:r>
    </w:p>
    <w:p w14:paraId="02111458" w14:textId="77777777" w:rsidR="00D60A55" w:rsidRDefault="00D60A55" w:rsidP="00C5395F">
      <w:pPr>
        <w:spacing w:line="360" w:lineRule="auto"/>
        <w:rPr>
          <w:rFonts w:ascii="Times New Roman" w:hAnsi="Times New Roman" w:cs="Times New Roman"/>
        </w:rPr>
      </w:pPr>
    </w:p>
    <w:p w14:paraId="6446172F" w14:textId="16AC209B" w:rsidR="00D60A55" w:rsidRPr="0080183C" w:rsidRDefault="00D60A55" w:rsidP="00C5395F">
      <w:pPr>
        <w:spacing w:line="360" w:lineRule="auto"/>
        <w:rPr>
          <w:rFonts w:ascii="Times New Roman" w:hAnsi="Times New Roman" w:cs="Times New Roman"/>
        </w:rPr>
      </w:pPr>
      <w:r w:rsidRPr="0080183C">
        <w:rPr>
          <w:rFonts w:ascii="Times New Roman" w:hAnsi="Times New Roman" w:cs="Times New Roman"/>
        </w:rPr>
        <w:t xml:space="preserve">For each patient in GDPPR, all relevant </w:t>
      </w:r>
      <w:r>
        <w:rPr>
          <w:rFonts w:ascii="Times New Roman" w:hAnsi="Times New Roman" w:cs="Times New Roman"/>
        </w:rPr>
        <w:t>diagnostic</w:t>
      </w:r>
      <w:r w:rsidRPr="0080183C">
        <w:rPr>
          <w:rFonts w:ascii="Times New Roman" w:hAnsi="Times New Roman" w:cs="Times New Roman"/>
        </w:rPr>
        <w:t xml:space="preserve"> codes prior to the study index date (date of positive </w:t>
      </w:r>
      <w:r>
        <w:rPr>
          <w:rFonts w:ascii="Times New Roman" w:hAnsi="Times New Roman" w:cs="Times New Roman"/>
        </w:rPr>
        <w:t>Covid</w:t>
      </w:r>
      <w:r w:rsidRPr="0080183C">
        <w:rPr>
          <w:rFonts w:ascii="Times New Roman" w:hAnsi="Times New Roman" w:cs="Times New Roman"/>
        </w:rPr>
        <w:t>-19 test) were considered diagnostic. In cases where the latest SNOMED code indicated resolution of a condition (</w:t>
      </w:r>
      <w:r w:rsidR="0088282C" w:rsidRPr="0080183C">
        <w:rPr>
          <w:rFonts w:ascii="Times New Roman" w:hAnsi="Times New Roman" w:cs="Times New Roman"/>
        </w:rPr>
        <w:t>e.g.</w:t>
      </w:r>
      <w:r w:rsidRPr="0080183C">
        <w:rPr>
          <w:rFonts w:ascii="Times New Roman" w:hAnsi="Times New Roman" w:cs="Times New Roman"/>
        </w:rPr>
        <w:t xml:space="preserve"> ‘Atrial fibrillation resolved (finding)’), then the diagnosis was excluded for that patient. SNOMED codes relating to drug codes were only included up to 2 years prior to the index date.</w:t>
      </w:r>
    </w:p>
    <w:p w14:paraId="6FF44E26" w14:textId="77777777" w:rsidR="00D60A55" w:rsidRPr="0080183C" w:rsidRDefault="00D60A55" w:rsidP="00C5395F">
      <w:pPr>
        <w:spacing w:line="360" w:lineRule="auto"/>
        <w:rPr>
          <w:rFonts w:ascii="Times New Roman" w:hAnsi="Times New Roman" w:cs="Times New Roman"/>
        </w:rPr>
      </w:pPr>
    </w:p>
    <w:p w14:paraId="0A67041D" w14:textId="77777777" w:rsidR="00D60A55" w:rsidRPr="0080183C" w:rsidRDefault="00D60A55" w:rsidP="00C5395F">
      <w:pPr>
        <w:spacing w:line="360" w:lineRule="auto"/>
        <w:rPr>
          <w:rFonts w:ascii="Times New Roman" w:hAnsi="Times New Roman" w:cs="Times New Roman"/>
          <w:i/>
          <w:iCs/>
        </w:rPr>
      </w:pPr>
      <w:r w:rsidRPr="0080183C">
        <w:rPr>
          <w:rFonts w:ascii="Times New Roman" w:hAnsi="Times New Roman" w:cs="Times New Roman"/>
          <w:i/>
          <w:iCs/>
        </w:rPr>
        <w:t>BMI categorisation</w:t>
      </w:r>
    </w:p>
    <w:p w14:paraId="2D158D33" w14:textId="7F1205D8" w:rsidR="00D60A55" w:rsidRPr="0080183C" w:rsidRDefault="00D60A55" w:rsidP="00C5395F">
      <w:pPr>
        <w:spacing w:line="360" w:lineRule="auto"/>
        <w:rPr>
          <w:rFonts w:ascii="Times New Roman" w:hAnsi="Times New Roman" w:cs="Times New Roman"/>
        </w:rPr>
      </w:pPr>
      <w:r w:rsidRPr="0080183C">
        <w:rPr>
          <w:rFonts w:ascii="Times New Roman" w:hAnsi="Times New Roman" w:cs="Times New Roman"/>
        </w:rPr>
        <w:t>SNOMED codes for BMI were either diagnostic categories (eg ‘Body mass index 30+ - obesity (finding)’ or value codes (</w:t>
      </w:r>
      <w:r w:rsidR="0088282C" w:rsidRPr="0080183C">
        <w:rPr>
          <w:rFonts w:ascii="Times New Roman" w:hAnsi="Times New Roman" w:cs="Times New Roman"/>
        </w:rPr>
        <w:t>e.g.</w:t>
      </w:r>
      <w:r w:rsidRPr="0080183C">
        <w:rPr>
          <w:rFonts w:ascii="Times New Roman" w:hAnsi="Times New Roman" w:cs="Times New Roman"/>
        </w:rPr>
        <w:t xml:space="preserve"> ‘Body mass index (observable entity)’). Values were extracted and BMI was categorised according to the standard </w:t>
      </w:r>
      <w:r>
        <w:rPr>
          <w:rFonts w:ascii="Times New Roman" w:hAnsi="Times New Roman" w:cs="Times New Roman"/>
        </w:rPr>
        <w:t>World Health Organisation</w:t>
      </w:r>
      <w:r w:rsidRPr="0080183C">
        <w:rPr>
          <w:rFonts w:ascii="Times New Roman" w:hAnsi="Times New Roman" w:cs="Times New Roman"/>
        </w:rPr>
        <w:t xml:space="preserve"> classification of underweight (&lt;18.5 kg/m</w:t>
      </w:r>
      <w:r w:rsidRPr="0080183C">
        <w:rPr>
          <w:rFonts w:ascii="Times New Roman" w:hAnsi="Times New Roman" w:cs="Times New Roman"/>
          <w:vertAlign w:val="superscript"/>
        </w:rPr>
        <w:t>2</w:t>
      </w:r>
      <w:r w:rsidRPr="0080183C">
        <w:rPr>
          <w:rFonts w:ascii="Times New Roman" w:hAnsi="Times New Roman" w:cs="Times New Roman"/>
        </w:rPr>
        <w:t>), healthy weight (18.5-24.9 kg/m</w:t>
      </w:r>
      <w:r w:rsidRPr="0080183C">
        <w:rPr>
          <w:rFonts w:ascii="Times New Roman" w:hAnsi="Times New Roman" w:cs="Times New Roman"/>
          <w:vertAlign w:val="superscript"/>
        </w:rPr>
        <w:t>2</w:t>
      </w:r>
      <w:r w:rsidRPr="0080183C">
        <w:rPr>
          <w:rFonts w:ascii="Times New Roman" w:hAnsi="Times New Roman" w:cs="Times New Roman"/>
        </w:rPr>
        <w:t>), overweight (25.0-29.9 kg/m</w:t>
      </w:r>
      <w:r w:rsidRPr="0080183C">
        <w:rPr>
          <w:rFonts w:ascii="Times New Roman" w:hAnsi="Times New Roman" w:cs="Times New Roman"/>
          <w:vertAlign w:val="superscript"/>
        </w:rPr>
        <w:t>2</w:t>
      </w:r>
      <w:r w:rsidRPr="0080183C">
        <w:rPr>
          <w:rFonts w:ascii="Times New Roman" w:hAnsi="Times New Roman" w:cs="Times New Roman"/>
        </w:rPr>
        <w:t>) and obese (≥30.0 kg/m</w:t>
      </w:r>
      <w:r w:rsidRPr="0080183C">
        <w:rPr>
          <w:rFonts w:ascii="Times New Roman" w:hAnsi="Times New Roman" w:cs="Times New Roman"/>
          <w:vertAlign w:val="superscript"/>
        </w:rPr>
        <w:t>2</w:t>
      </w:r>
      <w:r w:rsidRPr="0080183C">
        <w:rPr>
          <w:rFonts w:ascii="Times New Roman" w:hAnsi="Times New Roman" w:cs="Times New Roman"/>
        </w:rPr>
        <w:t xml:space="preserve">). Value codes outside of the range 5.0-100.0 kg/m2 were excluded. </w:t>
      </w:r>
      <w:r>
        <w:rPr>
          <w:rFonts w:ascii="Times New Roman" w:hAnsi="Times New Roman" w:cs="Times New Roman"/>
        </w:rPr>
        <w:t>SNOMED</w:t>
      </w:r>
      <w:r w:rsidRPr="0080183C">
        <w:rPr>
          <w:rFonts w:ascii="Times New Roman" w:hAnsi="Times New Roman" w:cs="Times New Roman"/>
        </w:rPr>
        <w:t xml:space="preserve"> codes </w:t>
      </w:r>
      <w:r>
        <w:rPr>
          <w:rFonts w:ascii="Times New Roman" w:hAnsi="Times New Roman" w:cs="Times New Roman"/>
        </w:rPr>
        <w:t>which spanned more than one category</w:t>
      </w:r>
      <w:r w:rsidRPr="0080183C">
        <w:rPr>
          <w:rFonts w:ascii="Times New Roman" w:hAnsi="Times New Roman" w:cs="Times New Roman"/>
        </w:rPr>
        <w:t xml:space="preserve"> (</w:t>
      </w:r>
      <w:r w:rsidR="0088282C" w:rsidRPr="0080183C">
        <w:rPr>
          <w:rFonts w:ascii="Times New Roman" w:hAnsi="Times New Roman" w:cs="Times New Roman"/>
        </w:rPr>
        <w:t>e.g.</w:t>
      </w:r>
      <w:r w:rsidRPr="0080183C">
        <w:rPr>
          <w:rFonts w:ascii="Times New Roman" w:hAnsi="Times New Roman" w:cs="Times New Roman"/>
        </w:rPr>
        <w:t xml:space="preserve"> ‘Increased body mass index (finding)’) </w:t>
      </w:r>
      <w:r>
        <w:rPr>
          <w:rFonts w:ascii="Times New Roman" w:hAnsi="Times New Roman" w:cs="Times New Roman"/>
        </w:rPr>
        <w:t>and</w:t>
      </w:r>
      <w:r w:rsidRPr="0080183C">
        <w:rPr>
          <w:rFonts w:ascii="Times New Roman" w:hAnsi="Times New Roman" w:cs="Times New Roman"/>
        </w:rPr>
        <w:t xml:space="preserve"> child BMI categories were also excluded.</w:t>
      </w:r>
    </w:p>
    <w:p w14:paraId="2ED6AE00" w14:textId="77777777" w:rsidR="00D60A55" w:rsidRPr="0080183C" w:rsidRDefault="00D60A55" w:rsidP="00C5395F">
      <w:pPr>
        <w:spacing w:line="360" w:lineRule="auto"/>
        <w:rPr>
          <w:rFonts w:ascii="Times New Roman" w:hAnsi="Times New Roman" w:cs="Times New Roman"/>
        </w:rPr>
      </w:pPr>
    </w:p>
    <w:p w14:paraId="7CDE12FC" w14:textId="77777777" w:rsidR="00D60A55" w:rsidRPr="0080183C" w:rsidRDefault="00D60A55" w:rsidP="00C5395F">
      <w:pPr>
        <w:spacing w:line="360" w:lineRule="auto"/>
        <w:rPr>
          <w:rFonts w:ascii="Times New Roman" w:hAnsi="Times New Roman" w:cs="Times New Roman"/>
          <w:i/>
          <w:iCs/>
        </w:rPr>
      </w:pPr>
      <w:r w:rsidRPr="0080183C">
        <w:rPr>
          <w:rFonts w:ascii="Times New Roman" w:hAnsi="Times New Roman" w:cs="Times New Roman"/>
          <w:i/>
          <w:iCs/>
        </w:rPr>
        <w:t>Smoking categorisation</w:t>
      </w:r>
    </w:p>
    <w:p w14:paraId="6E8B3758" w14:textId="386255E9" w:rsidR="00D60A55" w:rsidRDefault="00D60A55" w:rsidP="00C5395F">
      <w:pPr>
        <w:spacing w:line="360" w:lineRule="auto"/>
        <w:rPr>
          <w:rFonts w:ascii="Times New Roman" w:hAnsi="Times New Roman" w:cs="Times New Roman"/>
        </w:rPr>
      </w:pPr>
      <w:r w:rsidRPr="0080183C">
        <w:rPr>
          <w:rFonts w:ascii="Times New Roman" w:hAnsi="Times New Roman" w:cs="Times New Roman"/>
        </w:rPr>
        <w:t>Smoking status was categorised into ‘never-smoker’, ‘ex-smoker’ and ‘current smoker’ according to the latest SNOMED code prior to and including the index date. For any patient where the latest SNOMED code indicated ‘never-smoker’, but a prior record indicated active smoking, then the patient was re-categorised as ‘ex-smoke</w:t>
      </w:r>
      <w:r>
        <w:rPr>
          <w:rFonts w:ascii="Times New Roman" w:hAnsi="Times New Roman" w:cs="Times New Roman"/>
        </w:rPr>
        <w:t>r.</w:t>
      </w:r>
    </w:p>
    <w:p w14:paraId="2F8692C1" w14:textId="32368AC4" w:rsidR="007813CC" w:rsidRDefault="007813CC" w:rsidP="00C5395F">
      <w:pPr>
        <w:spacing w:line="360" w:lineRule="auto"/>
        <w:rPr>
          <w:rFonts w:ascii="Times New Roman" w:hAnsi="Times New Roman" w:cs="Times New Roman"/>
        </w:rPr>
      </w:pPr>
    </w:p>
    <w:p w14:paraId="71765A84" w14:textId="77777777" w:rsidR="00CA5356" w:rsidRDefault="00CA5356" w:rsidP="00C5395F">
      <w:pPr>
        <w:spacing w:line="360" w:lineRule="auto"/>
        <w:rPr>
          <w:rFonts w:ascii="Times New Roman" w:hAnsi="Times New Roman" w:cs="Times New Roman"/>
        </w:rPr>
      </w:pPr>
    </w:p>
    <w:p w14:paraId="41799E91" w14:textId="71C50454" w:rsidR="007813CC" w:rsidRDefault="007813CC" w:rsidP="00C5395F">
      <w:pPr>
        <w:spacing w:line="360" w:lineRule="auto"/>
        <w:rPr>
          <w:rFonts w:ascii="Times New Roman" w:hAnsi="Times New Roman" w:cs="Times New Roman"/>
        </w:rPr>
      </w:pPr>
    </w:p>
    <w:p w14:paraId="2E43FAAF" w14:textId="0CE11E3C" w:rsidR="007813CC" w:rsidRPr="007813CC" w:rsidRDefault="007813CC" w:rsidP="00C5395F">
      <w:pPr>
        <w:spacing w:line="360" w:lineRule="auto"/>
        <w:rPr>
          <w:rFonts w:ascii="Times New Roman" w:hAnsi="Times New Roman" w:cs="Times New Roman"/>
          <w:b/>
          <w:bCs/>
        </w:rPr>
      </w:pPr>
      <w:r w:rsidRPr="007813CC">
        <w:rPr>
          <w:rFonts w:ascii="Times New Roman" w:hAnsi="Times New Roman" w:cs="Times New Roman"/>
          <w:b/>
          <w:bCs/>
        </w:rPr>
        <w:lastRenderedPageBreak/>
        <w:t>Statistical analysis</w:t>
      </w:r>
    </w:p>
    <w:p w14:paraId="3351964D" w14:textId="39AC2CFF" w:rsidR="007813CC" w:rsidRDefault="007813CC" w:rsidP="00C5395F">
      <w:pPr>
        <w:spacing w:line="360" w:lineRule="auto"/>
        <w:rPr>
          <w:rFonts w:ascii="Times New Roman" w:hAnsi="Times New Roman" w:cs="Times New Roman"/>
        </w:rPr>
      </w:pPr>
      <w:r w:rsidRPr="00B020FE">
        <w:rPr>
          <w:rFonts w:ascii="Times New Roman" w:hAnsi="Times New Roman" w:cs="Times New Roman"/>
        </w:rPr>
        <w:t xml:space="preserve">Coarsened Exact Matching was used to match </w:t>
      </w:r>
      <w:r w:rsidR="0099543A">
        <w:rPr>
          <w:rFonts w:ascii="Times New Roman" w:hAnsi="Times New Roman" w:cs="Times New Roman"/>
        </w:rPr>
        <w:t>onboarded patients (‘treated’)</w:t>
      </w:r>
      <w:r w:rsidRPr="00B020FE">
        <w:rPr>
          <w:rFonts w:ascii="Times New Roman" w:hAnsi="Times New Roman" w:cs="Times New Roman"/>
        </w:rPr>
        <w:t xml:space="preserve"> and controls, using the </w:t>
      </w:r>
      <w:r w:rsidRPr="007813CC">
        <w:rPr>
          <w:rFonts w:ascii="Times New Roman" w:hAnsi="Times New Roman" w:cs="Times New Roman"/>
          <w:i/>
          <w:iCs/>
        </w:rPr>
        <w:t>cem</w:t>
      </w:r>
      <w:r w:rsidRPr="00B020FE">
        <w:rPr>
          <w:rFonts w:ascii="Times New Roman" w:hAnsi="Times New Roman" w:cs="Times New Roman"/>
        </w:rPr>
        <w:t xml:space="preserve"> command in Stata following the approach defined by Blackwell et al (2010)</w:t>
      </w:r>
      <w:r>
        <w:rPr>
          <w:rFonts w:ascii="Times New Roman" w:hAnsi="Times New Roman" w:cs="Times New Roman"/>
        </w:rPr>
        <w:t>.</w:t>
      </w:r>
      <w:r>
        <w:rPr>
          <w:rFonts w:ascii="Times New Roman" w:hAnsi="Times New Roman" w:cs="Times New Roman"/>
        </w:rPr>
        <w:fldChar w:fldCharType="begin" w:fldLock="1"/>
      </w:r>
      <w:r w:rsidR="00CA5356">
        <w:rPr>
          <w:rFonts w:ascii="Times New Roman" w:hAnsi="Times New Roman" w:cs="Times New Roman"/>
        </w:rPr>
        <w:instrText>ADDIN CSL_CITATION {"citationItems":[{"id":"ITEM-1","itemData":{"DOI":"10.1177/1536867X0900900402","ISSN":"1536-867X","abstract":"In this article, we introduce a Stata implementation of coarsened exact matching, a new method for improving the estimation of causal effects by reducing imbalance in covariates between treated and control groups. Coarsened exact matching is faster, is easier to use and understand, requires fewer assumptions, is more easily automated, and possesses more attractive statistical properties for many applications than do existing matching methods. In coarsened exact matching, users temporarily coarsen their data, exact match on these coarsened data, and then run their analysis on the uncoarsened, matched data. Coarsened exact matching bounds the degree of model dependence and causal effect estimation error by ex ante user choice, is monotonic imbalance bounding (so that reducing the maximum imbalance on one variable has no effect on others), does not require a separate procedure to restrict data to common support, meets the congruence principle, is approximately invariant to measurement error, balances all nonlinearities and interactions in sample (i.e., not merely in expectation), and works with multiply imputed datasets. Other matching methods inherit many of the coarsened exact matching method's properties when applied to further match data preprocessed by coarsened exact matching. The cem command implements the coarsened exact matching algorithm in Stata.","author":[{"dropping-particle":"","family":"Blackwell","given":"Matthew","non-dropping-particle":"","parse-names":false,"suffix":""},{"dropping-particle":"","family":"Iacus","given":"Stefano","non-dropping-particle":"","parse-names":false,"suffix":""},{"dropping-particle":"","family":"King","given":"Gary","non-dropping-particle":"","parse-names":false,"suffix":""},{"dropping-particle":"","family":"Porro","given":"Giuseppe","non-dropping-particle":"","parse-names":false,"suffix":""}],"container-title":"The Stata Journal","id":"ITEM-1","issue":"4","issued":{"date-parts":[["2009","12","1"]]},"note":"doi: 10.1177/1536867X0900900402","page":"524-546","publisher":"SAGE Publications","title":"Cem: Coarsened Exact Matching in Stata","type":"article-journal","volume":"9"},"uris":["http://www.mendeley.com/documents/?uuid=150d1f82-f0f1-47a5-a112-e98cf4a1f3f1"]}],"mendeley":{"formattedCitation":"&lt;sup&gt;8&lt;/sup&gt;","plainTextFormattedCitation":"8","previouslyFormattedCitation":"&lt;sup&gt;7&lt;/sup&gt;"},"properties":{"noteIndex":0},"schema":"https://github.com/citation-style-language/schema/raw/master/csl-citation.json"}</w:instrText>
      </w:r>
      <w:r>
        <w:rPr>
          <w:rFonts w:ascii="Times New Roman" w:hAnsi="Times New Roman" w:cs="Times New Roman"/>
        </w:rPr>
        <w:fldChar w:fldCharType="separate"/>
      </w:r>
      <w:r w:rsidR="00CA5356" w:rsidRPr="00CA5356">
        <w:rPr>
          <w:rFonts w:ascii="Times New Roman" w:hAnsi="Times New Roman" w:cs="Times New Roman"/>
          <w:noProof/>
          <w:vertAlign w:val="superscript"/>
        </w:rPr>
        <w:t>8</w:t>
      </w:r>
      <w:r>
        <w:rPr>
          <w:rFonts w:ascii="Times New Roman" w:hAnsi="Times New Roman" w:cs="Times New Roman"/>
        </w:rPr>
        <w:fldChar w:fldCharType="end"/>
      </w:r>
      <w:r w:rsidR="00C5395F">
        <w:rPr>
          <w:rFonts w:ascii="Times New Roman" w:hAnsi="Times New Roman" w:cs="Times New Roman"/>
        </w:rPr>
        <w:t xml:space="preserve"> </w:t>
      </w:r>
      <w:r w:rsidR="00C5395F" w:rsidRPr="00B020FE">
        <w:rPr>
          <w:rFonts w:ascii="Times New Roman" w:hAnsi="Times New Roman" w:cs="Times New Roman"/>
        </w:rPr>
        <w:t xml:space="preserve">Patients with any of the matching variables missing (8,255; 12.7%) were dropped for the analysis, resulting in a total of 56,135 controls and 658 </w:t>
      </w:r>
      <w:r w:rsidR="0099543A">
        <w:rPr>
          <w:rFonts w:ascii="Times New Roman" w:hAnsi="Times New Roman" w:cs="Times New Roman"/>
        </w:rPr>
        <w:t>treated</w:t>
      </w:r>
      <w:r w:rsidR="00C5395F" w:rsidRPr="00B020FE">
        <w:rPr>
          <w:rFonts w:ascii="Times New Roman" w:hAnsi="Times New Roman" w:cs="Times New Roman"/>
        </w:rPr>
        <w:t>.</w:t>
      </w:r>
    </w:p>
    <w:p w14:paraId="07E82D29" w14:textId="711920F5" w:rsidR="00C5395F" w:rsidRDefault="00C5395F" w:rsidP="00C5395F">
      <w:pPr>
        <w:spacing w:line="360" w:lineRule="auto"/>
        <w:rPr>
          <w:rFonts w:ascii="Times New Roman" w:hAnsi="Times New Roman" w:cs="Times New Roman"/>
        </w:rPr>
      </w:pPr>
    </w:p>
    <w:p w14:paraId="16B3DD7C" w14:textId="77777777" w:rsidR="00C5395F" w:rsidRPr="00B020FE" w:rsidRDefault="00C5395F" w:rsidP="00C5395F">
      <w:pPr>
        <w:spacing w:line="360" w:lineRule="auto"/>
        <w:rPr>
          <w:rFonts w:ascii="Times New Roman" w:hAnsi="Times New Roman" w:cs="Times New Roman"/>
        </w:rPr>
      </w:pPr>
      <w:r w:rsidRPr="00B020FE">
        <w:rPr>
          <w:rFonts w:ascii="Times New Roman" w:hAnsi="Times New Roman" w:cs="Times New Roman"/>
        </w:rPr>
        <w:t xml:space="preserve">The following variables were chosen </w:t>
      </w:r>
      <w:r w:rsidRPr="00C5395F">
        <w:rPr>
          <w:rFonts w:ascii="Times New Roman" w:hAnsi="Times New Roman" w:cs="Times New Roman"/>
          <w:i/>
          <w:iCs/>
        </w:rPr>
        <w:t>a priori</w:t>
      </w:r>
      <w:r w:rsidRPr="00B020FE">
        <w:rPr>
          <w:rFonts w:ascii="Times New Roman" w:hAnsi="Times New Roman" w:cs="Times New Roman"/>
        </w:rPr>
        <w:t xml:space="preserve"> for inclusion in the matching algorithm:</w:t>
      </w:r>
    </w:p>
    <w:p w14:paraId="0D44AE00" w14:textId="12FB2D50" w:rsidR="00C5395F" w:rsidRPr="00C5395F" w:rsidRDefault="00C5395F" w:rsidP="00C5395F">
      <w:pPr>
        <w:pStyle w:val="ListParagraph"/>
        <w:numPr>
          <w:ilvl w:val="0"/>
          <w:numId w:val="3"/>
        </w:numPr>
        <w:spacing w:line="360" w:lineRule="auto"/>
        <w:rPr>
          <w:rFonts w:ascii="Times New Roman" w:hAnsi="Times New Roman" w:cs="Times New Roman"/>
        </w:rPr>
      </w:pPr>
      <w:r w:rsidRPr="00C5395F">
        <w:rPr>
          <w:rFonts w:ascii="Times New Roman" w:hAnsi="Times New Roman" w:cs="Times New Roman"/>
        </w:rPr>
        <w:t>Age category (&lt;50, 50-64, 65-79, 80+</w:t>
      </w:r>
      <w:r>
        <w:rPr>
          <w:rFonts w:ascii="Times New Roman" w:hAnsi="Times New Roman" w:cs="Times New Roman"/>
        </w:rPr>
        <w:t xml:space="preserve"> years</w:t>
      </w:r>
      <w:r w:rsidRPr="00C5395F">
        <w:rPr>
          <w:rFonts w:ascii="Times New Roman" w:hAnsi="Times New Roman" w:cs="Times New Roman"/>
        </w:rPr>
        <w:t>)</w:t>
      </w:r>
    </w:p>
    <w:p w14:paraId="1ED3E236" w14:textId="77777777" w:rsidR="00C5395F" w:rsidRPr="00C5395F" w:rsidRDefault="00C5395F" w:rsidP="00C5395F">
      <w:pPr>
        <w:pStyle w:val="ListParagraph"/>
        <w:numPr>
          <w:ilvl w:val="0"/>
          <w:numId w:val="3"/>
        </w:numPr>
        <w:spacing w:line="360" w:lineRule="auto"/>
        <w:rPr>
          <w:rFonts w:ascii="Times New Roman" w:hAnsi="Times New Roman" w:cs="Times New Roman"/>
        </w:rPr>
      </w:pPr>
      <w:r w:rsidRPr="00C5395F">
        <w:rPr>
          <w:rFonts w:ascii="Times New Roman" w:hAnsi="Times New Roman" w:cs="Times New Roman"/>
        </w:rPr>
        <w:t>Sex (female or male)</w:t>
      </w:r>
    </w:p>
    <w:p w14:paraId="4199EB89" w14:textId="77777777" w:rsidR="00C5395F" w:rsidRPr="00C5395F" w:rsidRDefault="00C5395F" w:rsidP="00C5395F">
      <w:pPr>
        <w:pStyle w:val="ListParagraph"/>
        <w:numPr>
          <w:ilvl w:val="0"/>
          <w:numId w:val="3"/>
        </w:numPr>
        <w:spacing w:line="360" w:lineRule="auto"/>
        <w:rPr>
          <w:rFonts w:ascii="Times New Roman" w:hAnsi="Times New Roman" w:cs="Times New Roman"/>
        </w:rPr>
      </w:pPr>
      <w:r w:rsidRPr="00C5395F">
        <w:rPr>
          <w:rFonts w:ascii="Times New Roman" w:hAnsi="Times New Roman" w:cs="Times New Roman"/>
        </w:rPr>
        <w:t>Ethnicity (using the five ONS categories: White, Asian/Asian British, Black/African/Caribbean/Black British, Mixed/Multiple ethnic groups, Other ethnic groups)</w:t>
      </w:r>
    </w:p>
    <w:p w14:paraId="48EDD045" w14:textId="1BE6F515" w:rsidR="00C5395F" w:rsidRPr="00C5395F" w:rsidRDefault="00C5395F" w:rsidP="00C5395F">
      <w:pPr>
        <w:pStyle w:val="ListParagraph"/>
        <w:numPr>
          <w:ilvl w:val="0"/>
          <w:numId w:val="3"/>
        </w:numPr>
        <w:spacing w:line="360" w:lineRule="auto"/>
        <w:rPr>
          <w:rFonts w:ascii="Times New Roman" w:hAnsi="Times New Roman" w:cs="Times New Roman"/>
        </w:rPr>
      </w:pPr>
      <w:r w:rsidRPr="00C5395F">
        <w:rPr>
          <w:rFonts w:ascii="Times New Roman" w:hAnsi="Times New Roman" w:cs="Times New Roman"/>
        </w:rPr>
        <w:t xml:space="preserve">Terciles of </w:t>
      </w:r>
      <w:r>
        <w:rPr>
          <w:rFonts w:ascii="Times New Roman" w:hAnsi="Times New Roman" w:cs="Times New Roman"/>
        </w:rPr>
        <w:t>IMD score</w:t>
      </w:r>
    </w:p>
    <w:p w14:paraId="665BB750" w14:textId="03B82B3C" w:rsidR="00C5395F" w:rsidRPr="00C5395F" w:rsidRDefault="00C5395F" w:rsidP="00C5395F">
      <w:pPr>
        <w:pStyle w:val="ListParagraph"/>
        <w:numPr>
          <w:ilvl w:val="0"/>
          <w:numId w:val="3"/>
        </w:numPr>
        <w:spacing w:line="360" w:lineRule="auto"/>
        <w:rPr>
          <w:rFonts w:ascii="Times New Roman" w:hAnsi="Times New Roman" w:cs="Times New Roman"/>
        </w:rPr>
      </w:pPr>
      <w:r w:rsidRPr="00C5395F">
        <w:rPr>
          <w:rFonts w:ascii="Times New Roman" w:hAnsi="Times New Roman" w:cs="Times New Roman"/>
        </w:rPr>
        <w:t>BMI category (underweight, healthy weight, overweight, obese)</w:t>
      </w:r>
    </w:p>
    <w:p w14:paraId="67946681" w14:textId="77777777" w:rsidR="00C5395F" w:rsidRPr="00C5395F" w:rsidRDefault="00C5395F" w:rsidP="00C5395F">
      <w:pPr>
        <w:pStyle w:val="ListParagraph"/>
        <w:numPr>
          <w:ilvl w:val="0"/>
          <w:numId w:val="3"/>
        </w:numPr>
        <w:spacing w:line="360" w:lineRule="auto"/>
        <w:rPr>
          <w:rFonts w:ascii="Times New Roman" w:hAnsi="Times New Roman" w:cs="Times New Roman"/>
        </w:rPr>
      </w:pPr>
      <w:r w:rsidRPr="00C5395F">
        <w:rPr>
          <w:rFonts w:ascii="Times New Roman" w:hAnsi="Times New Roman" w:cs="Times New Roman"/>
        </w:rPr>
        <w:t>Month of ED index date (September-October 2020 &amp; April-May 2021 were combined due to small numbers in September and May)</w:t>
      </w:r>
    </w:p>
    <w:p w14:paraId="432D5906" w14:textId="77777777" w:rsidR="00C5395F" w:rsidRPr="00C5395F" w:rsidRDefault="00C5395F" w:rsidP="00C5395F">
      <w:pPr>
        <w:pStyle w:val="ListParagraph"/>
        <w:numPr>
          <w:ilvl w:val="0"/>
          <w:numId w:val="3"/>
        </w:numPr>
        <w:spacing w:line="360" w:lineRule="auto"/>
        <w:rPr>
          <w:rFonts w:ascii="Times New Roman" w:hAnsi="Times New Roman" w:cs="Times New Roman"/>
        </w:rPr>
      </w:pPr>
      <w:r w:rsidRPr="00C5395F">
        <w:rPr>
          <w:rFonts w:ascii="Times New Roman" w:hAnsi="Times New Roman" w:cs="Times New Roman"/>
        </w:rPr>
        <w:t>Clinically Extremely Vulnerable (CEV) status (yes/no)</w:t>
      </w:r>
    </w:p>
    <w:p w14:paraId="3DBD262E" w14:textId="45506EE1" w:rsidR="00C5395F" w:rsidRPr="00C5395F" w:rsidRDefault="00C5395F" w:rsidP="00C5395F">
      <w:pPr>
        <w:pStyle w:val="ListParagraph"/>
        <w:numPr>
          <w:ilvl w:val="0"/>
          <w:numId w:val="3"/>
        </w:numPr>
        <w:spacing w:line="360" w:lineRule="auto"/>
        <w:rPr>
          <w:rFonts w:ascii="Times New Roman" w:hAnsi="Times New Roman" w:cs="Times New Roman"/>
        </w:rPr>
      </w:pPr>
      <w:r w:rsidRPr="00C5395F">
        <w:rPr>
          <w:rFonts w:ascii="Times New Roman" w:hAnsi="Times New Roman" w:cs="Times New Roman"/>
        </w:rPr>
        <w:t xml:space="preserve">Days from Covid test to </w:t>
      </w:r>
      <w:r>
        <w:rPr>
          <w:rFonts w:ascii="Times New Roman" w:hAnsi="Times New Roman" w:cs="Times New Roman"/>
        </w:rPr>
        <w:t>A&amp;E</w:t>
      </w:r>
      <w:r w:rsidRPr="00C5395F">
        <w:rPr>
          <w:rFonts w:ascii="Times New Roman" w:hAnsi="Times New Roman" w:cs="Times New Roman"/>
        </w:rPr>
        <w:t xml:space="preserve"> index date (cuts applied at: -3 to -1; 0 to 4; 5 to 10 days)</w:t>
      </w:r>
    </w:p>
    <w:p w14:paraId="68DEFC8B" w14:textId="77777777" w:rsidR="00C5395F" w:rsidRDefault="00C5395F" w:rsidP="00C5395F">
      <w:pPr>
        <w:spacing w:line="360" w:lineRule="auto"/>
        <w:rPr>
          <w:rFonts w:ascii="Times New Roman" w:hAnsi="Times New Roman" w:cs="Times New Roman"/>
        </w:rPr>
      </w:pPr>
    </w:p>
    <w:p w14:paraId="49C757CE" w14:textId="132FEBC8" w:rsidR="00C5395F" w:rsidRPr="00C5395F" w:rsidRDefault="00C5395F" w:rsidP="00C5395F">
      <w:pPr>
        <w:spacing w:line="360" w:lineRule="auto"/>
        <w:rPr>
          <w:rFonts w:ascii="Times New Roman" w:hAnsi="Times New Roman" w:cs="Times New Roman"/>
        </w:rPr>
      </w:pPr>
      <w:r w:rsidRPr="00C5395F">
        <w:rPr>
          <w:rFonts w:ascii="Times New Roman" w:hAnsi="Times New Roman" w:cs="Times New Roman"/>
        </w:rPr>
        <w:t xml:space="preserve">Logistic regression was used to estimate the treatment effect of the programme separately for each of the four binary outcomes occurring in the time period from </w:t>
      </w:r>
      <w:r>
        <w:rPr>
          <w:rFonts w:ascii="Times New Roman" w:hAnsi="Times New Roman" w:cs="Times New Roman"/>
        </w:rPr>
        <w:t>A&amp;E</w:t>
      </w:r>
      <w:r w:rsidRPr="00C5395F">
        <w:rPr>
          <w:rFonts w:ascii="Times New Roman" w:hAnsi="Times New Roman" w:cs="Times New Roman"/>
        </w:rPr>
        <w:t xml:space="preserve"> index date to 28 days:</w:t>
      </w:r>
    </w:p>
    <w:p w14:paraId="7F8067E7" w14:textId="77777777" w:rsidR="00C5395F" w:rsidRPr="00C5395F" w:rsidRDefault="00C5395F" w:rsidP="00C5395F">
      <w:pPr>
        <w:pStyle w:val="ListParagraph"/>
        <w:numPr>
          <w:ilvl w:val="0"/>
          <w:numId w:val="4"/>
        </w:numPr>
        <w:spacing w:line="360" w:lineRule="auto"/>
        <w:rPr>
          <w:rFonts w:ascii="Times New Roman" w:hAnsi="Times New Roman" w:cs="Times New Roman"/>
        </w:rPr>
      </w:pPr>
      <w:r w:rsidRPr="00C5395F">
        <w:rPr>
          <w:rFonts w:ascii="Times New Roman" w:hAnsi="Times New Roman" w:cs="Times New Roman"/>
        </w:rPr>
        <w:t>Death from any cause</w:t>
      </w:r>
    </w:p>
    <w:p w14:paraId="7C1F0299" w14:textId="77777777" w:rsidR="00C5395F" w:rsidRPr="00C5395F" w:rsidRDefault="00C5395F" w:rsidP="00C5395F">
      <w:pPr>
        <w:pStyle w:val="ListParagraph"/>
        <w:numPr>
          <w:ilvl w:val="0"/>
          <w:numId w:val="4"/>
        </w:numPr>
        <w:spacing w:line="360" w:lineRule="auto"/>
        <w:rPr>
          <w:rFonts w:ascii="Times New Roman" w:hAnsi="Times New Roman" w:cs="Times New Roman"/>
        </w:rPr>
      </w:pPr>
      <w:r w:rsidRPr="00C5395F">
        <w:rPr>
          <w:rFonts w:ascii="Times New Roman" w:hAnsi="Times New Roman" w:cs="Times New Roman"/>
        </w:rPr>
        <w:t xml:space="preserve">Any ED attendance (excluding the ED index attendance) </w:t>
      </w:r>
    </w:p>
    <w:p w14:paraId="4CB3A72F" w14:textId="77777777" w:rsidR="00C5395F" w:rsidRPr="00C5395F" w:rsidRDefault="00C5395F" w:rsidP="00C5395F">
      <w:pPr>
        <w:pStyle w:val="ListParagraph"/>
        <w:numPr>
          <w:ilvl w:val="0"/>
          <w:numId w:val="4"/>
        </w:numPr>
        <w:spacing w:line="360" w:lineRule="auto"/>
        <w:rPr>
          <w:rFonts w:ascii="Times New Roman" w:hAnsi="Times New Roman" w:cs="Times New Roman"/>
        </w:rPr>
      </w:pPr>
      <w:r w:rsidRPr="00C5395F">
        <w:rPr>
          <w:rFonts w:ascii="Times New Roman" w:hAnsi="Times New Roman" w:cs="Times New Roman"/>
        </w:rPr>
        <w:t>Any emergency hospital admission</w:t>
      </w:r>
    </w:p>
    <w:p w14:paraId="23219CCE" w14:textId="77777777" w:rsidR="00C5395F" w:rsidRPr="00C5395F" w:rsidRDefault="00C5395F" w:rsidP="00C5395F">
      <w:pPr>
        <w:pStyle w:val="ListParagraph"/>
        <w:numPr>
          <w:ilvl w:val="0"/>
          <w:numId w:val="4"/>
        </w:numPr>
        <w:spacing w:line="360" w:lineRule="auto"/>
        <w:rPr>
          <w:rFonts w:ascii="Times New Roman" w:hAnsi="Times New Roman" w:cs="Times New Roman"/>
        </w:rPr>
      </w:pPr>
      <w:r w:rsidRPr="00C5395F">
        <w:rPr>
          <w:rFonts w:ascii="Times New Roman" w:hAnsi="Times New Roman" w:cs="Times New Roman"/>
        </w:rPr>
        <w:t>Any critical care (level 2 or level 3) admission, of those admitted</w:t>
      </w:r>
    </w:p>
    <w:p w14:paraId="3B5372CC" w14:textId="50708683" w:rsidR="00C5395F" w:rsidRDefault="00C5395F" w:rsidP="00C5395F">
      <w:pPr>
        <w:spacing w:line="360" w:lineRule="auto"/>
        <w:rPr>
          <w:rFonts w:ascii="Times New Roman" w:hAnsi="Times New Roman" w:cs="Times New Roman"/>
        </w:rPr>
      </w:pPr>
      <w:r w:rsidRPr="00C5395F">
        <w:rPr>
          <w:rFonts w:ascii="Times New Roman" w:hAnsi="Times New Roman" w:cs="Times New Roman"/>
        </w:rPr>
        <w:t xml:space="preserve">Negative binomial regression was used to estimate the treatment effect of the programme on length of stay in days, for those admitted within 28 days. Total length of stay was capped at 28 days where a patient was discharged after the 28-day window, and analyses of length of stay excluded patients who died within the 28-day time window. The overdispersion parameter was calculated and the distribution of length of stay was found to be overdispersed compared to a Poisson process in all models, indicating superior model fit for the negative </w:t>
      </w:r>
      <w:r w:rsidRPr="00C5395F">
        <w:rPr>
          <w:rFonts w:ascii="Times New Roman" w:hAnsi="Times New Roman" w:cs="Times New Roman"/>
        </w:rPr>
        <w:lastRenderedPageBreak/>
        <w:t>binomial model</w:t>
      </w:r>
      <w:r>
        <w:rPr>
          <w:rFonts w:ascii="Times New Roman" w:hAnsi="Times New Roman" w:cs="Times New Roman"/>
        </w:rPr>
        <w:t xml:space="preserve"> compared to the Poisson model. </w:t>
      </w:r>
      <w:r w:rsidRPr="00C5395F">
        <w:rPr>
          <w:rFonts w:ascii="Times New Roman" w:hAnsi="Times New Roman" w:cs="Times New Roman"/>
        </w:rPr>
        <w:t xml:space="preserve">Stratum-specific weights from the matching algorithm were applied to </w:t>
      </w:r>
      <w:r>
        <w:rPr>
          <w:rFonts w:ascii="Times New Roman" w:hAnsi="Times New Roman" w:cs="Times New Roman"/>
        </w:rPr>
        <w:t>all</w:t>
      </w:r>
      <w:r w:rsidRPr="00C5395F">
        <w:rPr>
          <w:rFonts w:ascii="Times New Roman" w:hAnsi="Times New Roman" w:cs="Times New Roman"/>
        </w:rPr>
        <w:t xml:space="preserve"> regression model</w:t>
      </w:r>
      <w:r>
        <w:rPr>
          <w:rFonts w:ascii="Times New Roman" w:hAnsi="Times New Roman" w:cs="Times New Roman"/>
        </w:rPr>
        <w:t>s</w:t>
      </w:r>
      <w:r w:rsidRPr="00C5395F">
        <w:rPr>
          <w:rFonts w:ascii="Times New Roman" w:hAnsi="Times New Roman" w:cs="Times New Roman"/>
        </w:rPr>
        <w:t xml:space="preserve"> to account for an unequal ratio of controls to </w:t>
      </w:r>
      <w:r w:rsidR="0099543A">
        <w:rPr>
          <w:rFonts w:ascii="Times New Roman" w:hAnsi="Times New Roman" w:cs="Times New Roman"/>
        </w:rPr>
        <w:t>onboarded patients</w:t>
      </w:r>
      <w:r w:rsidRPr="00C5395F">
        <w:rPr>
          <w:rFonts w:ascii="Times New Roman" w:hAnsi="Times New Roman" w:cs="Times New Roman"/>
        </w:rPr>
        <w:t xml:space="preserve"> across each stratum.</w:t>
      </w:r>
    </w:p>
    <w:p w14:paraId="066086FB" w14:textId="4026FD76" w:rsidR="00C5395F" w:rsidRDefault="00C5395F" w:rsidP="00C5395F">
      <w:pPr>
        <w:spacing w:line="360" w:lineRule="auto"/>
        <w:rPr>
          <w:rFonts w:ascii="Times New Roman" w:hAnsi="Times New Roman" w:cs="Times New Roman"/>
        </w:rPr>
      </w:pPr>
    </w:p>
    <w:p w14:paraId="65B3F372" w14:textId="77777777" w:rsidR="00C5395F" w:rsidRPr="00C5395F" w:rsidRDefault="00C5395F" w:rsidP="00C5395F">
      <w:pPr>
        <w:spacing w:line="360" w:lineRule="auto"/>
        <w:rPr>
          <w:rFonts w:ascii="Times New Roman" w:hAnsi="Times New Roman" w:cs="Times New Roman"/>
        </w:rPr>
      </w:pPr>
      <w:r w:rsidRPr="00C5395F">
        <w:rPr>
          <w:rFonts w:ascii="Times New Roman" w:hAnsi="Times New Roman" w:cs="Times New Roman"/>
        </w:rPr>
        <w:t>Two sensitivity analyses were applied to the models for each of the logistic and negative binomial regression models:</w:t>
      </w:r>
    </w:p>
    <w:p w14:paraId="438F519A" w14:textId="44C1E648" w:rsidR="00C5395F" w:rsidRPr="00C5395F" w:rsidRDefault="00C5395F" w:rsidP="00C5395F">
      <w:pPr>
        <w:pStyle w:val="ListParagraph"/>
        <w:numPr>
          <w:ilvl w:val="0"/>
          <w:numId w:val="5"/>
        </w:numPr>
        <w:spacing w:line="360" w:lineRule="auto"/>
        <w:rPr>
          <w:rFonts w:ascii="Times New Roman" w:hAnsi="Times New Roman" w:cs="Times New Roman"/>
        </w:rPr>
      </w:pPr>
      <w:r w:rsidRPr="00C5395F">
        <w:rPr>
          <w:rFonts w:ascii="Times New Roman" w:hAnsi="Times New Roman" w:cs="Times New Roman"/>
        </w:rPr>
        <w:t>A doubly robust model, adjusted for all patient level covariates (matching variables, plus: smoking status, hypertension, chronic cardiac disease, chronic kidney disease, chronic respiratory disease, dementia, diabetes, chronic neurological disease (including epilepsy), learning disability, malignancy/immunosuppression, severe mental illness, peripheral vascular disease and stroke/</w:t>
      </w:r>
      <w:r>
        <w:rPr>
          <w:rFonts w:ascii="Times New Roman" w:hAnsi="Times New Roman" w:cs="Times New Roman"/>
        </w:rPr>
        <w:t>TIA</w:t>
      </w:r>
      <w:r w:rsidRPr="00C5395F">
        <w:rPr>
          <w:rFonts w:ascii="Times New Roman" w:hAnsi="Times New Roman" w:cs="Times New Roman"/>
        </w:rPr>
        <w:t xml:space="preserve">). </w:t>
      </w:r>
    </w:p>
    <w:p w14:paraId="6C3A5E14" w14:textId="2384C02A" w:rsidR="00C5395F" w:rsidRPr="00C5395F" w:rsidRDefault="00C5395F" w:rsidP="00C5395F">
      <w:pPr>
        <w:pStyle w:val="ListParagraph"/>
        <w:numPr>
          <w:ilvl w:val="0"/>
          <w:numId w:val="5"/>
        </w:numPr>
        <w:spacing w:line="360" w:lineRule="auto"/>
        <w:rPr>
          <w:rFonts w:ascii="Times New Roman" w:hAnsi="Times New Roman" w:cs="Times New Roman"/>
        </w:rPr>
      </w:pPr>
      <w:r w:rsidRPr="00C5395F">
        <w:rPr>
          <w:rFonts w:ascii="Times New Roman" w:hAnsi="Times New Roman" w:cs="Times New Roman"/>
        </w:rPr>
        <w:t>A covariate-adjusted model, adjusted for the same variables as the doubly robust model, but without use of the matching.</w:t>
      </w:r>
    </w:p>
    <w:p w14:paraId="6C125781" w14:textId="5DAC27E1" w:rsidR="00C5395F" w:rsidRDefault="00C5395F" w:rsidP="00C5395F">
      <w:pPr>
        <w:spacing w:line="360" w:lineRule="auto"/>
        <w:rPr>
          <w:rFonts w:ascii="Times New Roman" w:hAnsi="Times New Roman" w:cs="Times New Roman"/>
        </w:rPr>
      </w:pPr>
      <w:r w:rsidRPr="00C5395F">
        <w:rPr>
          <w:rFonts w:ascii="Times New Roman" w:hAnsi="Times New Roman" w:cs="Times New Roman"/>
        </w:rPr>
        <w:t>In adjusted models, IMD score was treated as deciles to give greater granularity from the terciles used in matching.</w:t>
      </w:r>
    </w:p>
    <w:p w14:paraId="3137CD49" w14:textId="77777777" w:rsidR="00C5395F" w:rsidRDefault="00C5395F" w:rsidP="00C5395F">
      <w:pPr>
        <w:spacing w:line="360" w:lineRule="auto"/>
        <w:rPr>
          <w:rFonts w:ascii="Times New Roman" w:hAnsi="Times New Roman" w:cs="Times New Roman"/>
        </w:rPr>
      </w:pPr>
    </w:p>
    <w:p w14:paraId="7F39A041" w14:textId="77777777" w:rsidR="007813CC" w:rsidRPr="00E57653" w:rsidRDefault="007813CC" w:rsidP="00C5395F">
      <w:pPr>
        <w:spacing w:line="360" w:lineRule="auto"/>
        <w:rPr>
          <w:b/>
          <w:bCs/>
        </w:rPr>
      </w:pPr>
    </w:p>
    <w:p w14:paraId="27BB4335" w14:textId="2BA351C3" w:rsidR="00B6539E" w:rsidRDefault="00B6539E" w:rsidP="00C5395F">
      <w:pPr>
        <w:spacing w:line="360" w:lineRule="auto"/>
      </w:pPr>
    </w:p>
    <w:p w14:paraId="33846801" w14:textId="7996B0BF" w:rsidR="00D60A55" w:rsidRDefault="00D60A55" w:rsidP="00C5395F">
      <w:pPr>
        <w:spacing w:line="360" w:lineRule="auto"/>
      </w:pPr>
    </w:p>
    <w:p w14:paraId="6E95FFB4" w14:textId="0B7F9C39" w:rsidR="00D60A55" w:rsidRDefault="00D60A55" w:rsidP="00C5395F">
      <w:pPr>
        <w:spacing w:line="360" w:lineRule="auto"/>
      </w:pPr>
      <w:r>
        <w:br w:type="page"/>
      </w:r>
    </w:p>
    <w:p w14:paraId="715DDBEF" w14:textId="3E729DCC" w:rsidR="00D60A55" w:rsidRDefault="00440972" w:rsidP="00C5395F">
      <w:pPr>
        <w:spacing w:line="360" w:lineRule="auto"/>
        <w:rPr>
          <w:rFonts w:ascii="Times New Roman" w:hAnsi="Times New Roman" w:cs="Times New Roman"/>
          <w:b/>
          <w:bCs/>
          <w:sz w:val="20"/>
          <w:szCs w:val="20"/>
        </w:rPr>
      </w:pPr>
      <w:r w:rsidRPr="00440972">
        <w:rPr>
          <w:rFonts w:ascii="Times New Roman" w:hAnsi="Times New Roman" w:cs="Times New Roman"/>
          <w:b/>
          <w:bCs/>
          <w:sz w:val="20"/>
          <w:szCs w:val="20"/>
        </w:rPr>
        <w:lastRenderedPageBreak/>
        <w:t xml:space="preserve">Table </w:t>
      </w:r>
      <w:r>
        <w:rPr>
          <w:rFonts w:ascii="Times New Roman" w:hAnsi="Times New Roman" w:cs="Times New Roman"/>
          <w:b/>
          <w:bCs/>
          <w:sz w:val="20"/>
          <w:szCs w:val="20"/>
        </w:rPr>
        <w:t>A1</w:t>
      </w:r>
      <w:r w:rsidRPr="00440972">
        <w:rPr>
          <w:rFonts w:ascii="Times New Roman" w:hAnsi="Times New Roman" w:cs="Times New Roman"/>
          <w:b/>
          <w:bCs/>
          <w:sz w:val="20"/>
          <w:szCs w:val="20"/>
        </w:rPr>
        <w:t xml:space="preserve">: Proportions of patient-level covariates not used in matching, between </w:t>
      </w:r>
      <w:r w:rsidR="0099543A">
        <w:rPr>
          <w:rFonts w:ascii="Times New Roman" w:hAnsi="Times New Roman" w:cs="Times New Roman"/>
          <w:b/>
          <w:bCs/>
          <w:sz w:val="20"/>
          <w:szCs w:val="20"/>
        </w:rPr>
        <w:t>onboarded patients</w:t>
      </w:r>
      <w:r w:rsidRPr="00440972">
        <w:rPr>
          <w:rFonts w:ascii="Times New Roman" w:hAnsi="Times New Roman" w:cs="Times New Roman"/>
          <w:b/>
          <w:bCs/>
          <w:sz w:val="20"/>
          <w:szCs w:val="20"/>
        </w:rPr>
        <w:t xml:space="preserve"> and controls</w:t>
      </w:r>
    </w:p>
    <w:p w14:paraId="53A933AD" w14:textId="60E2708F" w:rsidR="00440972" w:rsidRDefault="00440972" w:rsidP="00C5395F">
      <w:pPr>
        <w:spacing w:line="360" w:lineRule="auto"/>
        <w:rPr>
          <w:rFonts w:ascii="Times New Roman" w:hAnsi="Times New Roman" w:cs="Times New Roman"/>
          <w:sz w:val="20"/>
          <w:szCs w:val="20"/>
        </w:rPr>
      </w:pPr>
    </w:p>
    <w:tbl>
      <w:tblPr>
        <w:tblpPr w:leftFromText="181" w:rightFromText="181" w:vertAnchor="text" w:horzAnchor="page" w:tblpX="2275" w:tblpY="1"/>
        <w:tblOverlap w:val="never"/>
        <w:tblW w:w="0" w:type="auto"/>
        <w:tblCellMar>
          <w:top w:w="15" w:type="dxa"/>
          <w:left w:w="15" w:type="dxa"/>
          <w:bottom w:w="15" w:type="dxa"/>
          <w:right w:w="15" w:type="dxa"/>
        </w:tblCellMar>
        <w:tblLook w:val="04A0" w:firstRow="1" w:lastRow="0" w:firstColumn="1" w:lastColumn="0" w:noHBand="0" w:noVBand="1"/>
      </w:tblPr>
      <w:tblGrid>
        <w:gridCol w:w="4536"/>
        <w:gridCol w:w="1023"/>
        <w:gridCol w:w="1267"/>
      </w:tblGrid>
      <w:tr w:rsidR="00440972" w:rsidRPr="00314CF7" w14:paraId="2ABAD4D1" w14:textId="77777777" w:rsidTr="000026AD">
        <w:tc>
          <w:tcPr>
            <w:tcW w:w="0" w:type="auto"/>
            <w:vMerge w:val="restart"/>
            <w:tcBorders>
              <w:top w:val="single" w:sz="8" w:space="0" w:color="000000"/>
              <w:left w:val="single" w:sz="8" w:space="0" w:color="000000"/>
              <w:right w:val="single" w:sz="8" w:space="0" w:color="000000"/>
            </w:tcBorders>
            <w:shd w:val="clear" w:color="auto" w:fill="F0F0F0"/>
            <w:tcMar>
              <w:top w:w="100" w:type="dxa"/>
              <w:left w:w="100" w:type="dxa"/>
              <w:bottom w:w="100" w:type="dxa"/>
              <w:right w:w="100" w:type="dxa"/>
            </w:tcMar>
            <w:vAlign w:val="center"/>
            <w:hideMark/>
          </w:tcPr>
          <w:p w14:paraId="5D889C32" w14:textId="77777777" w:rsidR="00440972" w:rsidRPr="00314CF7" w:rsidRDefault="00440972" w:rsidP="00C5395F">
            <w:pPr>
              <w:spacing w:line="360" w:lineRule="auto"/>
              <w:jc w:val="center"/>
              <w:rPr>
                <w:rFonts w:ascii="Arial" w:hAnsi="Arial" w:cs="Arial"/>
                <w:b/>
                <w:bCs/>
                <w:sz w:val="20"/>
                <w:szCs w:val="20"/>
              </w:rPr>
            </w:pPr>
            <w:r w:rsidRPr="00314CF7">
              <w:rPr>
                <w:rFonts w:ascii="Arial" w:hAnsi="Arial" w:cs="Arial"/>
                <w:b/>
                <w:bCs/>
                <w:sz w:val="20"/>
                <w:szCs w:val="20"/>
              </w:rPr>
              <w:t>Covariate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0F0F0"/>
            <w:vAlign w:val="center"/>
          </w:tcPr>
          <w:p w14:paraId="5CDD23FF"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b/>
                <w:bCs/>
                <w:color w:val="000000"/>
                <w:sz w:val="20"/>
                <w:szCs w:val="20"/>
              </w:rPr>
              <w:t>Percentage (%)</w:t>
            </w:r>
          </w:p>
        </w:tc>
      </w:tr>
      <w:tr w:rsidR="00440972" w:rsidRPr="00314CF7" w14:paraId="6128FEFB" w14:textId="77777777" w:rsidTr="000026AD">
        <w:tc>
          <w:tcPr>
            <w:tcW w:w="0" w:type="auto"/>
            <w:vMerge/>
            <w:tcBorders>
              <w:left w:val="single" w:sz="8" w:space="0" w:color="000000"/>
              <w:bottom w:val="single" w:sz="8" w:space="0" w:color="000000"/>
              <w:right w:val="single" w:sz="8" w:space="0" w:color="000000"/>
            </w:tcBorders>
            <w:shd w:val="clear" w:color="auto" w:fill="F0F0F0"/>
            <w:tcMar>
              <w:top w:w="100" w:type="dxa"/>
              <w:left w:w="100" w:type="dxa"/>
              <w:bottom w:w="100" w:type="dxa"/>
              <w:right w:w="100" w:type="dxa"/>
            </w:tcMar>
            <w:vAlign w:val="center"/>
            <w:hideMark/>
          </w:tcPr>
          <w:p w14:paraId="5C830DF9" w14:textId="77777777" w:rsidR="00440972" w:rsidRPr="00D11081" w:rsidRDefault="00440972" w:rsidP="00C5395F">
            <w:pPr>
              <w:spacing w:line="360" w:lineRule="auto"/>
              <w:jc w:val="center"/>
              <w:rPr>
                <w:rFonts w:ascii="Arial" w:hAnsi="Arial" w:cs="Arial"/>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0F0F0"/>
            <w:tcMar>
              <w:top w:w="100" w:type="dxa"/>
              <w:left w:w="100" w:type="dxa"/>
              <w:bottom w:w="100" w:type="dxa"/>
              <w:right w:w="100" w:type="dxa"/>
            </w:tcMar>
            <w:vAlign w:val="center"/>
            <w:hideMark/>
          </w:tcPr>
          <w:p w14:paraId="2ABBDE34" w14:textId="77777777" w:rsidR="00440972" w:rsidRPr="00D11081" w:rsidRDefault="00440972" w:rsidP="00C5395F">
            <w:pPr>
              <w:spacing w:line="360" w:lineRule="auto"/>
              <w:jc w:val="center"/>
              <w:rPr>
                <w:rFonts w:ascii="Arial" w:hAnsi="Arial" w:cs="Arial"/>
                <w:b/>
                <w:bCs/>
                <w:sz w:val="20"/>
                <w:szCs w:val="20"/>
              </w:rPr>
            </w:pPr>
            <w:r w:rsidRPr="00314CF7">
              <w:rPr>
                <w:rFonts w:ascii="Arial" w:hAnsi="Arial" w:cs="Arial"/>
                <w:b/>
                <w:bCs/>
                <w:sz w:val="20"/>
                <w:szCs w:val="20"/>
              </w:rPr>
              <w:t>Controls</w:t>
            </w:r>
          </w:p>
        </w:tc>
        <w:tc>
          <w:tcPr>
            <w:tcW w:w="0" w:type="auto"/>
            <w:tcBorders>
              <w:top w:val="single" w:sz="8" w:space="0" w:color="000000"/>
              <w:left w:val="single" w:sz="8" w:space="0" w:color="000000"/>
              <w:bottom w:val="single" w:sz="8" w:space="0" w:color="000000"/>
              <w:right w:val="single" w:sz="8" w:space="0" w:color="000000"/>
            </w:tcBorders>
            <w:shd w:val="clear" w:color="auto" w:fill="F0F0F0"/>
            <w:tcMar>
              <w:top w:w="100" w:type="dxa"/>
              <w:left w:w="100" w:type="dxa"/>
              <w:bottom w:w="100" w:type="dxa"/>
              <w:right w:w="100" w:type="dxa"/>
            </w:tcMar>
            <w:vAlign w:val="center"/>
            <w:hideMark/>
          </w:tcPr>
          <w:p w14:paraId="04483514" w14:textId="56D21615" w:rsidR="00440972" w:rsidRPr="00D11081" w:rsidRDefault="0099543A" w:rsidP="00C5395F">
            <w:pPr>
              <w:spacing w:line="360" w:lineRule="auto"/>
              <w:jc w:val="center"/>
              <w:rPr>
                <w:rFonts w:ascii="Arial" w:hAnsi="Arial" w:cs="Arial"/>
                <w:b/>
                <w:bCs/>
                <w:sz w:val="20"/>
                <w:szCs w:val="20"/>
              </w:rPr>
            </w:pPr>
            <w:r>
              <w:rPr>
                <w:rFonts w:ascii="Arial" w:hAnsi="Arial" w:cs="Arial"/>
                <w:b/>
                <w:bCs/>
                <w:color w:val="000000"/>
                <w:sz w:val="20"/>
                <w:szCs w:val="20"/>
              </w:rPr>
              <w:t>Onboarded</w:t>
            </w:r>
          </w:p>
        </w:tc>
      </w:tr>
      <w:tr w:rsidR="00440972" w:rsidRPr="00314CF7" w14:paraId="08F33EA8" w14:textId="77777777" w:rsidTr="000026AD">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CCABE4B" w14:textId="77777777" w:rsidR="00440972" w:rsidRPr="00314CF7" w:rsidRDefault="00440972" w:rsidP="00C5395F">
            <w:pPr>
              <w:spacing w:line="360" w:lineRule="auto"/>
              <w:rPr>
                <w:rFonts w:ascii="Arial" w:hAnsi="Arial" w:cs="Arial"/>
                <w:sz w:val="20"/>
                <w:szCs w:val="20"/>
              </w:rPr>
            </w:pPr>
            <w:r w:rsidRPr="00314CF7">
              <w:rPr>
                <w:rFonts w:ascii="Arial" w:hAnsi="Arial" w:cs="Arial"/>
                <w:b/>
                <w:bCs/>
                <w:sz w:val="20"/>
                <w:szCs w:val="20"/>
              </w:rPr>
              <w:t>Smoking status</w:t>
            </w:r>
          </w:p>
        </w:tc>
      </w:tr>
      <w:tr w:rsidR="00440972" w:rsidRPr="00314CF7" w14:paraId="1A0DDCFE" w14:textId="77777777" w:rsidTr="000026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6B76CCC" w14:textId="77777777" w:rsidR="00440972" w:rsidRPr="00314CF7" w:rsidRDefault="00440972" w:rsidP="00C5395F">
            <w:pPr>
              <w:spacing w:line="360" w:lineRule="auto"/>
              <w:jc w:val="center"/>
              <w:rPr>
                <w:rFonts w:ascii="Arial" w:hAnsi="Arial" w:cs="Arial"/>
                <w:b/>
                <w:bCs/>
                <w:color w:val="000000"/>
                <w:sz w:val="20"/>
                <w:szCs w:val="20"/>
              </w:rPr>
            </w:pPr>
            <w:r w:rsidRPr="00314CF7">
              <w:rPr>
                <w:rFonts w:ascii="Arial" w:hAnsi="Arial" w:cs="Arial"/>
                <w:sz w:val="20"/>
                <w:szCs w:val="20"/>
              </w:rPr>
              <w:t>Never smoker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5D5D008"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56.4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69AC1E9"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56.7</w:t>
            </w:r>
          </w:p>
        </w:tc>
      </w:tr>
      <w:tr w:rsidR="00440972" w:rsidRPr="00314CF7" w14:paraId="7B2FCECA" w14:textId="77777777" w:rsidTr="000026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0E3AB7B" w14:textId="77777777" w:rsidR="00440972" w:rsidRPr="00314CF7" w:rsidRDefault="00440972" w:rsidP="00C5395F">
            <w:pPr>
              <w:spacing w:line="360" w:lineRule="auto"/>
              <w:jc w:val="center"/>
              <w:rPr>
                <w:rFonts w:ascii="Arial" w:hAnsi="Arial" w:cs="Arial"/>
                <w:b/>
                <w:bCs/>
                <w:color w:val="000000"/>
                <w:sz w:val="20"/>
                <w:szCs w:val="20"/>
              </w:rPr>
            </w:pPr>
            <w:r w:rsidRPr="00314CF7">
              <w:rPr>
                <w:rFonts w:ascii="Arial" w:hAnsi="Arial" w:cs="Arial"/>
                <w:sz w:val="20"/>
                <w:szCs w:val="20"/>
              </w:rPr>
              <w:t>Ex-smoker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93651CB"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27.9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3ECB6DC"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28.3</w:t>
            </w:r>
          </w:p>
        </w:tc>
      </w:tr>
      <w:tr w:rsidR="00440972" w:rsidRPr="00314CF7" w14:paraId="15EC0B32" w14:textId="77777777" w:rsidTr="000026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41D166A" w14:textId="77777777" w:rsidR="00440972" w:rsidRPr="00314CF7" w:rsidRDefault="00440972" w:rsidP="00C5395F">
            <w:pPr>
              <w:spacing w:line="360" w:lineRule="auto"/>
              <w:jc w:val="center"/>
              <w:rPr>
                <w:rFonts w:ascii="Arial" w:hAnsi="Arial" w:cs="Arial"/>
                <w:b/>
                <w:bCs/>
                <w:color w:val="000000"/>
                <w:sz w:val="20"/>
                <w:szCs w:val="20"/>
              </w:rPr>
            </w:pPr>
            <w:r w:rsidRPr="00314CF7">
              <w:rPr>
                <w:rFonts w:ascii="Arial" w:hAnsi="Arial" w:cs="Arial"/>
                <w:sz w:val="20"/>
                <w:szCs w:val="20"/>
              </w:rPr>
              <w:t>Current smoker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AF1C43D"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15.8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8022902"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15.0</w:t>
            </w:r>
          </w:p>
        </w:tc>
      </w:tr>
      <w:tr w:rsidR="00440972" w:rsidRPr="00314CF7" w14:paraId="1F829D45" w14:textId="77777777" w:rsidTr="000026AD">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B762BFF" w14:textId="77777777" w:rsidR="00440972" w:rsidRPr="00314CF7" w:rsidRDefault="00440972" w:rsidP="00C5395F">
            <w:pPr>
              <w:spacing w:line="360" w:lineRule="auto"/>
              <w:rPr>
                <w:rFonts w:ascii="Arial" w:hAnsi="Arial" w:cs="Arial"/>
                <w:sz w:val="20"/>
                <w:szCs w:val="20"/>
              </w:rPr>
            </w:pPr>
            <w:r w:rsidRPr="00314CF7">
              <w:rPr>
                <w:rFonts w:ascii="Arial" w:hAnsi="Arial" w:cs="Arial"/>
                <w:b/>
                <w:bCs/>
                <w:sz w:val="20"/>
                <w:szCs w:val="20"/>
              </w:rPr>
              <w:t>Co-morbidities</w:t>
            </w:r>
          </w:p>
        </w:tc>
      </w:tr>
      <w:tr w:rsidR="00440972" w:rsidRPr="00314CF7" w14:paraId="4038F860" w14:textId="77777777" w:rsidTr="000026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0D82C6A" w14:textId="77777777" w:rsidR="00440972" w:rsidRPr="00314CF7" w:rsidRDefault="00440972" w:rsidP="00C5395F">
            <w:pPr>
              <w:spacing w:line="360" w:lineRule="auto"/>
              <w:jc w:val="center"/>
              <w:rPr>
                <w:rFonts w:ascii="Arial" w:hAnsi="Arial" w:cs="Arial"/>
                <w:b/>
                <w:bCs/>
                <w:color w:val="000000"/>
                <w:sz w:val="20"/>
                <w:szCs w:val="20"/>
              </w:rPr>
            </w:pPr>
            <w:r w:rsidRPr="00314CF7">
              <w:rPr>
                <w:rFonts w:ascii="Arial" w:hAnsi="Arial" w:cs="Arial"/>
                <w:sz w:val="20"/>
                <w:szCs w:val="20"/>
              </w:rPr>
              <w:t>Hypertension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02CE23C"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24.6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4EFD7DC"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25.8</w:t>
            </w:r>
          </w:p>
        </w:tc>
      </w:tr>
      <w:tr w:rsidR="00440972" w:rsidRPr="00314CF7" w14:paraId="3B527518" w14:textId="77777777" w:rsidTr="000026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49D5277" w14:textId="77777777" w:rsidR="00440972" w:rsidRPr="00314CF7" w:rsidRDefault="00440972" w:rsidP="00C5395F">
            <w:pPr>
              <w:spacing w:line="360" w:lineRule="auto"/>
              <w:jc w:val="center"/>
              <w:rPr>
                <w:rFonts w:ascii="Arial" w:hAnsi="Arial" w:cs="Arial"/>
                <w:b/>
                <w:bCs/>
                <w:color w:val="000000"/>
                <w:sz w:val="20"/>
                <w:szCs w:val="20"/>
              </w:rPr>
            </w:pPr>
            <w:r w:rsidRPr="00314CF7">
              <w:rPr>
                <w:rFonts w:ascii="Arial" w:hAnsi="Arial" w:cs="Arial"/>
                <w:sz w:val="20"/>
                <w:szCs w:val="20"/>
              </w:rPr>
              <w:t>Chronic cardiac disease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2718609"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82FC2D6"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9.7</w:t>
            </w:r>
          </w:p>
        </w:tc>
      </w:tr>
      <w:tr w:rsidR="00440972" w:rsidRPr="00314CF7" w14:paraId="7B2A83F8" w14:textId="77777777" w:rsidTr="000026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562F308" w14:textId="77777777" w:rsidR="00440972" w:rsidRPr="00314CF7" w:rsidRDefault="00440972" w:rsidP="00C5395F">
            <w:pPr>
              <w:spacing w:line="360" w:lineRule="auto"/>
              <w:jc w:val="center"/>
              <w:rPr>
                <w:rFonts w:ascii="Arial" w:hAnsi="Arial" w:cs="Arial"/>
                <w:b/>
                <w:bCs/>
                <w:color w:val="000000"/>
                <w:sz w:val="20"/>
                <w:szCs w:val="20"/>
              </w:rPr>
            </w:pPr>
            <w:r w:rsidRPr="00314CF7">
              <w:rPr>
                <w:rFonts w:ascii="Arial" w:hAnsi="Arial" w:cs="Arial"/>
                <w:sz w:val="20"/>
                <w:szCs w:val="20"/>
              </w:rPr>
              <w:t>Chronic kidney disease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0126787"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D1A75EA"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1.1</w:t>
            </w:r>
          </w:p>
        </w:tc>
      </w:tr>
      <w:tr w:rsidR="00440972" w:rsidRPr="00314CF7" w14:paraId="46DC48C5" w14:textId="77777777" w:rsidTr="000026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915CBF0" w14:textId="77777777" w:rsidR="00440972" w:rsidRPr="00314CF7" w:rsidRDefault="00440972" w:rsidP="00C5395F">
            <w:pPr>
              <w:spacing w:line="360" w:lineRule="auto"/>
              <w:jc w:val="center"/>
              <w:rPr>
                <w:rFonts w:ascii="Arial" w:hAnsi="Arial" w:cs="Arial"/>
                <w:b/>
                <w:bCs/>
                <w:color w:val="000000"/>
                <w:sz w:val="20"/>
                <w:szCs w:val="20"/>
              </w:rPr>
            </w:pPr>
            <w:r w:rsidRPr="00314CF7">
              <w:rPr>
                <w:rFonts w:ascii="Arial" w:hAnsi="Arial" w:cs="Arial"/>
                <w:sz w:val="20"/>
                <w:szCs w:val="20"/>
              </w:rPr>
              <w:t>Chronic respiratory disease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43D7FFE"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30.7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66409E5"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37.1</w:t>
            </w:r>
          </w:p>
        </w:tc>
      </w:tr>
      <w:tr w:rsidR="00440972" w:rsidRPr="00314CF7" w14:paraId="5F2627E0" w14:textId="77777777" w:rsidTr="000026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BE07859" w14:textId="77777777" w:rsidR="00440972" w:rsidRPr="00D11081" w:rsidRDefault="00440972" w:rsidP="00C5395F">
            <w:pPr>
              <w:spacing w:line="360" w:lineRule="auto"/>
              <w:jc w:val="center"/>
              <w:rPr>
                <w:rFonts w:ascii="Arial" w:hAnsi="Arial" w:cs="Arial"/>
                <w:b/>
                <w:bCs/>
                <w:sz w:val="20"/>
                <w:szCs w:val="20"/>
              </w:rPr>
            </w:pPr>
            <w:r w:rsidRPr="00314CF7">
              <w:rPr>
                <w:rFonts w:ascii="Arial" w:hAnsi="Arial" w:cs="Arial"/>
                <w:sz w:val="20"/>
                <w:szCs w:val="20"/>
              </w:rPr>
              <w:t>Dementia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D75AC73" w14:textId="77777777" w:rsidR="00440972" w:rsidRPr="00D11081" w:rsidRDefault="00440972" w:rsidP="00C5395F">
            <w:pPr>
              <w:spacing w:line="360" w:lineRule="auto"/>
              <w:jc w:val="center"/>
              <w:rPr>
                <w:rFonts w:ascii="Arial" w:hAnsi="Arial" w:cs="Arial"/>
                <w:sz w:val="20"/>
                <w:szCs w:val="20"/>
              </w:rPr>
            </w:pPr>
            <w:r w:rsidRPr="00314CF7">
              <w:rPr>
                <w:rFonts w:ascii="Arial" w:hAnsi="Arial" w:cs="Arial"/>
                <w:sz w:val="20"/>
                <w:szCs w:val="20"/>
              </w:rPr>
              <w:t>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6658181" w14:textId="77777777" w:rsidR="00440972" w:rsidRPr="00D11081" w:rsidRDefault="00440972" w:rsidP="00C5395F">
            <w:pPr>
              <w:spacing w:line="360" w:lineRule="auto"/>
              <w:jc w:val="center"/>
              <w:rPr>
                <w:rFonts w:ascii="Arial" w:hAnsi="Arial" w:cs="Arial"/>
                <w:sz w:val="20"/>
                <w:szCs w:val="20"/>
              </w:rPr>
            </w:pPr>
            <w:r w:rsidRPr="00314CF7">
              <w:rPr>
                <w:rFonts w:ascii="Arial" w:hAnsi="Arial" w:cs="Arial"/>
                <w:sz w:val="20"/>
                <w:szCs w:val="20"/>
              </w:rPr>
              <w:t>0.3</w:t>
            </w:r>
          </w:p>
        </w:tc>
      </w:tr>
      <w:tr w:rsidR="00440972" w:rsidRPr="00314CF7" w14:paraId="09D59B66" w14:textId="77777777" w:rsidTr="000026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5D4996F" w14:textId="77777777" w:rsidR="00440972" w:rsidRPr="00D11081" w:rsidRDefault="00440972" w:rsidP="00C5395F">
            <w:pPr>
              <w:spacing w:line="360" w:lineRule="auto"/>
              <w:jc w:val="center"/>
              <w:rPr>
                <w:rFonts w:ascii="Arial" w:hAnsi="Arial" w:cs="Arial"/>
                <w:b/>
                <w:bCs/>
                <w:sz w:val="20"/>
                <w:szCs w:val="20"/>
              </w:rPr>
            </w:pPr>
            <w:r w:rsidRPr="00314CF7">
              <w:rPr>
                <w:rFonts w:ascii="Arial" w:hAnsi="Arial" w:cs="Arial"/>
                <w:sz w:val="20"/>
                <w:szCs w:val="20"/>
              </w:rPr>
              <w:t>Diabetes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80F2817" w14:textId="77777777" w:rsidR="00440972" w:rsidRPr="00D11081" w:rsidRDefault="00440972" w:rsidP="00C5395F">
            <w:pPr>
              <w:spacing w:line="360" w:lineRule="auto"/>
              <w:jc w:val="center"/>
              <w:rPr>
                <w:rFonts w:ascii="Arial" w:hAnsi="Arial" w:cs="Arial"/>
                <w:sz w:val="20"/>
                <w:szCs w:val="20"/>
              </w:rPr>
            </w:pPr>
            <w:r w:rsidRPr="00314CF7">
              <w:rPr>
                <w:rFonts w:ascii="Arial" w:hAnsi="Arial" w:cs="Arial"/>
                <w:sz w:val="20"/>
                <w:szCs w:val="20"/>
              </w:rPr>
              <w:t>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881E25B" w14:textId="77777777" w:rsidR="00440972" w:rsidRPr="00D11081" w:rsidRDefault="00440972" w:rsidP="00C5395F">
            <w:pPr>
              <w:spacing w:line="360" w:lineRule="auto"/>
              <w:jc w:val="center"/>
              <w:rPr>
                <w:rFonts w:ascii="Arial" w:hAnsi="Arial" w:cs="Arial"/>
                <w:sz w:val="20"/>
                <w:szCs w:val="20"/>
              </w:rPr>
            </w:pPr>
            <w:r w:rsidRPr="00314CF7">
              <w:rPr>
                <w:rFonts w:ascii="Arial" w:hAnsi="Arial" w:cs="Arial"/>
                <w:sz w:val="20"/>
                <w:szCs w:val="20"/>
              </w:rPr>
              <w:t>18.3</w:t>
            </w:r>
          </w:p>
        </w:tc>
      </w:tr>
      <w:tr w:rsidR="00440972" w:rsidRPr="00314CF7" w14:paraId="04DD849D" w14:textId="77777777" w:rsidTr="000026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2B73F77" w14:textId="77777777" w:rsidR="00440972" w:rsidRPr="00D11081" w:rsidRDefault="00440972" w:rsidP="00C5395F">
            <w:pPr>
              <w:spacing w:line="360" w:lineRule="auto"/>
              <w:jc w:val="center"/>
              <w:rPr>
                <w:rFonts w:ascii="Arial" w:hAnsi="Arial" w:cs="Arial"/>
                <w:b/>
                <w:bCs/>
                <w:sz w:val="20"/>
                <w:szCs w:val="20"/>
              </w:rPr>
            </w:pPr>
            <w:r w:rsidRPr="00314CF7">
              <w:rPr>
                <w:rFonts w:ascii="Arial" w:hAnsi="Arial" w:cs="Arial"/>
                <w:sz w:val="20"/>
                <w:szCs w:val="20"/>
              </w:rPr>
              <w:t>Chronic neurological disease (including epilepsy)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B0AA6E7" w14:textId="77777777" w:rsidR="00440972" w:rsidRPr="00D11081" w:rsidRDefault="00440972" w:rsidP="00C5395F">
            <w:pPr>
              <w:spacing w:line="360" w:lineRule="auto"/>
              <w:jc w:val="center"/>
              <w:rPr>
                <w:rFonts w:ascii="Arial" w:hAnsi="Arial" w:cs="Arial"/>
                <w:sz w:val="20"/>
                <w:szCs w:val="20"/>
              </w:rPr>
            </w:pPr>
            <w:r w:rsidRPr="00314CF7">
              <w:rPr>
                <w:rFonts w:ascii="Arial" w:hAnsi="Arial" w:cs="Arial"/>
                <w:sz w:val="20"/>
                <w:szCs w:val="20"/>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2B1AA42" w14:textId="77777777" w:rsidR="00440972" w:rsidRPr="00D11081" w:rsidRDefault="00440972" w:rsidP="00C5395F">
            <w:pPr>
              <w:spacing w:line="360" w:lineRule="auto"/>
              <w:jc w:val="center"/>
              <w:rPr>
                <w:rFonts w:ascii="Arial" w:hAnsi="Arial" w:cs="Arial"/>
                <w:sz w:val="20"/>
                <w:szCs w:val="20"/>
              </w:rPr>
            </w:pPr>
            <w:r w:rsidRPr="00314CF7">
              <w:rPr>
                <w:rFonts w:ascii="Arial" w:hAnsi="Arial" w:cs="Arial"/>
                <w:sz w:val="20"/>
                <w:szCs w:val="20"/>
              </w:rPr>
              <w:t>5.2</w:t>
            </w:r>
          </w:p>
        </w:tc>
      </w:tr>
      <w:tr w:rsidR="00440972" w:rsidRPr="00314CF7" w14:paraId="5A6C96F1" w14:textId="77777777" w:rsidTr="000026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1353E52" w14:textId="77777777" w:rsidR="00440972" w:rsidRPr="00314CF7" w:rsidRDefault="00440972" w:rsidP="00C5395F">
            <w:pPr>
              <w:spacing w:line="360" w:lineRule="auto"/>
              <w:jc w:val="center"/>
              <w:rPr>
                <w:rFonts w:ascii="Arial" w:hAnsi="Arial" w:cs="Arial"/>
                <w:b/>
                <w:bCs/>
                <w:color w:val="000000"/>
                <w:sz w:val="20"/>
                <w:szCs w:val="20"/>
              </w:rPr>
            </w:pPr>
            <w:r w:rsidRPr="00314CF7">
              <w:rPr>
                <w:rFonts w:ascii="Arial" w:hAnsi="Arial" w:cs="Arial"/>
                <w:sz w:val="20"/>
                <w:szCs w:val="20"/>
              </w:rPr>
              <w:t>Learning disability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2A4ADFA"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2B30FA8"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0.8</w:t>
            </w:r>
          </w:p>
        </w:tc>
      </w:tr>
      <w:tr w:rsidR="00440972" w:rsidRPr="00314CF7" w14:paraId="3A5F4221" w14:textId="77777777" w:rsidTr="000026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2E77F95" w14:textId="77777777" w:rsidR="00440972" w:rsidRPr="00314CF7" w:rsidRDefault="00440972" w:rsidP="00C5395F">
            <w:pPr>
              <w:spacing w:line="360" w:lineRule="auto"/>
              <w:jc w:val="center"/>
              <w:rPr>
                <w:rFonts w:ascii="Arial" w:hAnsi="Arial" w:cs="Arial"/>
                <w:b/>
                <w:bCs/>
                <w:color w:val="000000"/>
                <w:sz w:val="20"/>
                <w:szCs w:val="20"/>
              </w:rPr>
            </w:pPr>
            <w:r w:rsidRPr="00314CF7">
              <w:rPr>
                <w:rFonts w:ascii="Arial" w:hAnsi="Arial" w:cs="Arial"/>
                <w:sz w:val="20"/>
                <w:szCs w:val="20"/>
              </w:rPr>
              <w:t>Malignancy or immunosuppression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163D69"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10.1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E3ECD85" w14:textId="77777777" w:rsidR="00440972" w:rsidRPr="00314CF7" w:rsidRDefault="00440972" w:rsidP="00C5395F">
            <w:pPr>
              <w:spacing w:line="360" w:lineRule="auto"/>
              <w:jc w:val="center"/>
              <w:rPr>
                <w:rFonts w:ascii="Arial" w:hAnsi="Arial" w:cs="Arial"/>
                <w:sz w:val="20"/>
                <w:szCs w:val="20"/>
              </w:rPr>
            </w:pPr>
            <w:r w:rsidRPr="00314CF7">
              <w:rPr>
                <w:rFonts w:ascii="Arial" w:hAnsi="Arial" w:cs="Arial"/>
                <w:sz w:val="20"/>
                <w:szCs w:val="20"/>
              </w:rPr>
              <w:t>10.6</w:t>
            </w:r>
          </w:p>
        </w:tc>
      </w:tr>
      <w:tr w:rsidR="00440972" w:rsidRPr="00314CF7" w14:paraId="6A8047F7" w14:textId="77777777" w:rsidTr="000026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378CB85" w14:textId="77777777" w:rsidR="00440972" w:rsidRPr="00D11081" w:rsidRDefault="00440972" w:rsidP="00C5395F">
            <w:pPr>
              <w:spacing w:line="360" w:lineRule="auto"/>
              <w:jc w:val="center"/>
              <w:rPr>
                <w:rFonts w:ascii="Arial" w:hAnsi="Arial" w:cs="Arial"/>
                <w:b/>
                <w:bCs/>
                <w:sz w:val="20"/>
                <w:szCs w:val="20"/>
              </w:rPr>
            </w:pPr>
            <w:r w:rsidRPr="00314CF7">
              <w:rPr>
                <w:rFonts w:ascii="Arial" w:hAnsi="Arial" w:cs="Arial"/>
                <w:sz w:val="20"/>
                <w:szCs w:val="20"/>
              </w:rPr>
              <w:t>Severe mental illness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C249DDB" w14:textId="77777777" w:rsidR="00440972" w:rsidRPr="00D11081" w:rsidRDefault="00440972" w:rsidP="00C5395F">
            <w:pPr>
              <w:spacing w:line="360" w:lineRule="auto"/>
              <w:jc w:val="center"/>
              <w:rPr>
                <w:rFonts w:ascii="Arial" w:hAnsi="Arial" w:cs="Arial"/>
                <w:sz w:val="20"/>
                <w:szCs w:val="20"/>
              </w:rPr>
            </w:pPr>
            <w:r w:rsidRPr="00314CF7">
              <w:rPr>
                <w:rFonts w:ascii="Arial" w:hAnsi="Arial" w:cs="Arial"/>
                <w:sz w:val="20"/>
                <w:szCs w:val="20"/>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3C8D42B" w14:textId="77777777" w:rsidR="00440972" w:rsidRPr="00D11081" w:rsidRDefault="00440972" w:rsidP="00C5395F">
            <w:pPr>
              <w:spacing w:line="360" w:lineRule="auto"/>
              <w:jc w:val="center"/>
              <w:rPr>
                <w:rFonts w:ascii="Arial" w:hAnsi="Arial" w:cs="Arial"/>
                <w:sz w:val="20"/>
                <w:szCs w:val="20"/>
              </w:rPr>
            </w:pPr>
            <w:r w:rsidRPr="00314CF7">
              <w:rPr>
                <w:rFonts w:ascii="Arial" w:hAnsi="Arial" w:cs="Arial"/>
                <w:sz w:val="20"/>
                <w:szCs w:val="20"/>
              </w:rPr>
              <w:t>2.8</w:t>
            </w:r>
          </w:p>
        </w:tc>
      </w:tr>
      <w:tr w:rsidR="00440972" w:rsidRPr="00314CF7" w14:paraId="55F98722" w14:textId="77777777" w:rsidTr="000026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55C078" w14:textId="77777777" w:rsidR="00440972" w:rsidRPr="00314CF7" w:rsidRDefault="00440972" w:rsidP="00C5395F">
            <w:pPr>
              <w:spacing w:line="360" w:lineRule="auto"/>
              <w:jc w:val="center"/>
              <w:rPr>
                <w:rFonts w:ascii="Arial" w:hAnsi="Arial" w:cs="Arial"/>
                <w:b/>
                <w:bCs/>
                <w:color w:val="000000"/>
                <w:sz w:val="20"/>
                <w:szCs w:val="20"/>
              </w:rPr>
            </w:pPr>
            <w:r w:rsidRPr="00314CF7">
              <w:rPr>
                <w:rFonts w:ascii="Arial" w:hAnsi="Arial" w:cs="Arial"/>
                <w:sz w:val="20"/>
                <w:szCs w:val="20"/>
              </w:rPr>
              <w:t>Peripheral vascular disease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2C5B175" w14:textId="77777777" w:rsidR="00440972" w:rsidRPr="00314CF7" w:rsidRDefault="00440972" w:rsidP="00C5395F">
            <w:pPr>
              <w:spacing w:line="360" w:lineRule="auto"/>
              <w:jc w:val="center"/>
              <w:rPr>
                <w:rFonts w:ascii="Arial" w:hAnsi="Arial" w:cs="Arial"/>
                <w:color w:val="000000"/>
                <w:sz w:val="20"/>
                <w:szCs w:val="20"/>
              </w:rPr>
            </w:pPr>
            <w:r w:rsidRPr="00314CF7">
              <w:rPr>
                <w:rFonts w:ascii="Arial" w:hAnsi="Arial" w:cs="Arial"/>
                <w:sz w:val="20"/>
                <w:szCs w:val="2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535A4A0" w14:textId="77777777" w:rsidR="00440972" w:rsidRPr="00314CF7" w:rsidRDefault="00440972" w:rsidP="00C5395F">
            <w:pPr>
              <w:spacing w:line="360" w:lineRule="auto"/>
              <w:jc w:val="center"/>
              <w:rPr>
                <w:rFonts w:ascii="Arial" w:hAnsi="Arial" w:cs="Arial"/>
                <w:color w:val="000000"/>
                <w:sz w:val="20"/>
                <w:szCs w:val="20"/>
              </w:rPr>
            </w:pPr>
            <w:r w:rsidRPr="00314CF7">
              <w:rPr>
                <w:rFonts w:ascii="Arial" w:hAnsi="Arial" w:cs="Arial"/>
                <w:sz w:val="20"/>
                <w:szCs w:val="20"/>
              </w:rPr>
              <w:t>1.6</w:t>
            </w:r>
          </w:p>
        </w:tc>
      </w:tr>
      <w:tr w:rsidR="00440972" w:rsidRPr="00314CF7" w14:paraId="118489DB" w14:textId="77777777" w:rsidTr="000026AD">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hideMark/>
          </w:tcPr>
          <w:p w14:paraId="60C20A9A" w14:textId="77777777" w:rsidR="00440972" w:rsidRPr="00D11081" w:rsidRDefault="00440972" w:rsidP="00C5395F">
            <w:pPr>
              <w:spacing w:line="360" w:lineRule="auto"/>
              <w:jc w:val="center"/>
              <w:rPr>
                <w:rFonts w:ascii="Arial" w:hAnsi="Arial" w:cs="Arial"/>
                <w:sz w:val="20"/>
                <w:szCs w:val="20"/>
              </w:rPr>
            </w:pPr>
            <w:r w:rsidRPr="00314CF7">
              <w:rPr>
                <w:rFonts w:ascii="Arial" w:hAnsi="Arial" w:cs="Arial"/>
                <w:sz w:val="20"/>
                <w:szCs w:val="20"/>
              </w:rPr>
              <w:t>Stroke or TIA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hideMark/>
          </w:tcPr>
          <w:p w14:paraId="0F1D9B54" w14:textId="77777777" w:rsidR="00440972" w:rsidRPr="00D11081" w:rsidRDefault="00440972" w:rsidP="00C5395F">
            <w:pPr>
              <w:spacing w:line="360" w:lineRule="auto"/>
              <w:jc w:val="center"/>
              <w:rPr>
                <w:rFonts w:ascii="Arial" w:hAnsi="Arial" w:cs="Arial"/>
                <w:b/>
                <w:bCs/>
                <w:sz w:val="20"/>
                <w:szCs w:val="20"/>
              </w:rPr>
            </w:pPr>
            <w:r w:rsidRPr="00314CF7">
              <w:rPr>
                <w:rFonts w:ascii="Arial" w:hAnsi="Arial" w:cs="Arial"/>
                <w:sz w:val="20"/>
                <w:szCs w:val="20"/>
              </w:rPr>
              <w:t>3.5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hideMark/>
          </w:tcPr>
          <w:p w14:paraId="7DDC8FC6" w14:textId="77777777" w:rsidR="00440972" w:rsidRPr="00D11081" w:rsidRDefault="00440972" w:rsidP="00C5395F">
            <w:pPr>
              <w:spacing w:line="360" w:lineRule="auto"/>
              <w:jc w:val="center"/>
              <w:rPr>
                <w:rFonts w:ascii="Arial" w:hAnsi="Arial" w:cs="Arial"/>
                <w:b/>
                <w:bCs/>
                <w:sz w:val="20"/>
                <w:szCs w:val="20"/>
              </w:rPr>
            </w:pPr>
            <w:r w:rsidRPr="00314CF7">
              <w:rPr>
                <w:rFonts w:ascii="Arial" w:hAnsi="Arial" w:cs="Arial"/>
                <w:sz w:val="20"/>
                <w:szCs w:val="20"/>
              </w:rPr>
              <w:t>3.3</w:t>
            </w:r>
          </w:p>
        </w:tc>
      </w:tr>
    </w:tbl>
    <w:p w14:paraId="6A050473" w14:textId="59F15A2F" w:rsidR="00CA5356" w:rsidRDefault="00CA5356" w:rsidP="00C5395F">
      <w:pPr>
        <w:spacing w:line="360" w:lineRule="auto"/>
        <w:rPr>
          <w:rFonts w:ascii="Times New Roman" w:hAnsi="Times New Roman" w:cs="Times New Roman"/>
          <w:sz w:val="20"/>
          <w:szCs w:val="20"/>
        </w:rPr>
      </w:pPr>
    </w:p>
    <w:p w14:paraId="1B1DA54D" w14:textId="77777777" w:rsidR="00CA5356" w:rsidRDefault="00CA5356">
      <w:pPr>
        <w:rPr>
          <w:rFonts w:ascii="Times New Roman" w:hAnsi="Times New Roman" w:cs="Times New Roman"/>
          <w:sz w:val="20"/>
          <w:szCs w:val="20"/>
        </w:rPr>
      </w:pPr>
      <w:r>
        <w:rPr>
          <w:rFonts w:ascii="Times New Roman" w:hAnsi="Times New Roman" w:cs="Times New Roman"/>
          <w:sz w:val="20"/>
          <w:szCs w:val="20"/>
        </w:rPr>
        <w:br w:type="page"/>
      </w:r>
    </w:p>
    <w:p w14:paraId="7DF92445" w14:textId="1B083575" w:rsidR="00440972" w:rsidRDefault="00CA5356" w:rsidP="00C5395F">
      <w:pPr>
        <w:spacing w:line="360" w:lineRule="auto"/>
        <w:rPr>
          <w:rFonts w:ascii="Times New Roman" w:hAnsi="Times New Roman" w:cs="Times New Roman"/>
          <w:b/>
          <w:bCs/>
        </w:rPr>
      </w:pPr>
      <w:r w:rsidRPr="00CA5356">
        <w:rPr>
          <w:rFonts w:ascii="Times New Roman" w:hAnsi="Times New Roman" w:cs="Times New Roman"/>
          <w:b/>
          <w:bCs/>
        </w:rPr>
        <w:lastRenderedPageBreak/>
        <w:t>References</w:t>
      </w:r>
    </w:p>
    <w:p w14:paraId="1EE2F305" w14:textId="0F1F373F" w:rsidR="00CA5356" w:rsidRPr="00CA5356" w:rsidRDefault="00CA5356" w:rsidP="00CA5356">
      <w:pPr>
        <w:widowControl w:val="0"/>
        <w:autoSpaceDE w:val="0"/>
        <w:autoSpaceDN w:val="0"/>
        <w:adjustRightInd w:val="0"/>
        <w:spacing w:line="360" w:lineRule="auto"/>
        <w:ind w:left="640" w:hanging="64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CA5356">
        <w:rPr>
          <w:rFonts w:ascii="Times New Roman" w:hAnsi="Times New Roman" w:cs="Times New Roman"/>
          <w:noProof/>
        </w:rPr>
        <w:t>1.</w:t>
      </w:r>
      <w:r w:rsidRPr="00CA5356">
        <w:rPr>
          <w:rFonts w:ascii="Times New Roman" w:hAnsi="Times New Roman" w:cs="Times New Roman"/>
          <w:noProof/>
        </w:rPr>
        <w:tab/>
        <w:t xml:space="preserve">Public Health England. </w:t>
      </w:r>
      <w:r w:rsidRPr="00CA5356">
        <w:rPr>
          <w:rFonts w:ascii="Times New Roman" w:hAnsi="Times New Roman" w:cs="Times New Roman"/>
          <w:i/>
          <w:iCs/>
          <w:noProof/>
        </w:rPr>
        <w:t>Laboratory reporting to Public Health England: A guide for diagnostic laboratories</w:t>
      </w:r>
      <w:r w:rsidRPr="00CA5356">
        <w:rPr>
          <w:rFonts w:ascii="Times New Roman" w:hAnsi="Times New Roman" w:cs="Times New Roman"/>
          <w:noProof/>
        </w:rPr>
        <w:t>. (2020).</w:t>
      </w:r>
    </w:p>
    <w:p w14:paraId="0391D425" w14:textId="77777777" w:rsidR="00CA5356" w:rsidRPr="00CA5356" w:rsidRDefault="00CA5356" w:rsidP="00CA5356">
      <w:pPr>
        <w:widowControl w:val="0"/>
        <w:autoSpaceDE w:val="0"/>
        <w:autoSpaceDN w:val="0"/>
        <w:adjustRightInd w:val="0"/>
        <w:spacing w:line="360" w:lineRule="auto"/>
        <w:ind w:left="640" w:hanging="640"/>
        <w:rPr>
          <w:rFonts w:ascii="Times New Roman" w:hAnsi="Times New Roman" w:cs="Times New Roman"/>
          <w:noProof/>
        </w:rPr>
      </w:pPr>
      <w:r w:rsidRPr="00CA5356">
        <w:rPr>
          <w:rFonts w:ascii="Times New Roman" w:hAnsi="Times New Roman" w:cs="Times New Roman"/>
          <w:noProof/>
        </w:rPr>
        <w:t>2.</w:t>
      </w:r>
      <w:r w:rsidRPr="00CA5356">
        <w:rPr>
          <w:rFonts w:ascii="Times New Roman" w:hAnsi="Times New Roman" w:cs="Times New Roman"/>
          <w:noProof/>
        </w:rPr>
        <w:tab/>
        <w:t>Department of Health &amp; Social Care. COVID-19 testing data: methodology note. https://www.gov.uk/government/publications/coronavirus-covid-19-testing-data-methodology/covid-19-testing-data-methodology-note (2021).</w:t>
      </w:r>
    </w:p>
    <w:p w14:paraId="0C84544E" w14:textId="77777777" w:rsidR="00CA5356" w:rsidRPr="00CA5356" w:rsidRDefault="00CA5356" w:rsidP="00CA5356">
      <w:pPr>
        <w:widowControl w:val="0"/>
        <w:autoSpaceDE w:val="0"/>
        <w:autoSpaceDN w:val="0"/>
        <w:adjustRightInd w:val="0"/>
        <w:spacing w:line="360" w:lineRule="auto"/>
        <w:ind w:left="640" w:hanging="640"/>
        <w:rPr>
          <w:rFonts w:ascii="Times New Roman" w:hAnsi="Times New Roman" w:cs="Times New Roman"/>
          <w:noProof/>
        </w:rPr>
      </w:pPr>
      <w:r w:rsidRPr="00CA5356">
        <w:rPr>
          <w:rFonts w:ascii="Times New Roman" w:hAnsi="Times New Roman" w:cs="Times New Roman"/>
          <w:noProof/>
        </w:rPr>
        <w:t>3.</w:t>
      </w:r>
      <w:r w:rsidRPr="00CA5356">
        <w:rPr>
          <w:rFonts w:ascii="Times New Roman" w:hAnsi="Times New Roman" w:cs="Times New Roman"/>
          <w:noProof/>
        </w:rPr>
        <w:tab/>
        <w:t>NHS Digital. Strategic Data Collection Service (SDCS). https://digital.nhs.uk/services/strategic-data-collection-service-sdcs.</w:t>
      </w:r>
    </w:p>
    <w:p w14:paraId="4BA2E50A" w14:textId="77777777" w:rsidR="00CA5356" w:rsidRPr="00CA5356" w:rsidRDefault="00CA5356" w:rsidP="00CA5356">
      <w:pPr>
        <w:widowControl w:val="0"/>
        <w:autoSpaceDE w:val="0"/>
        <w:autoSpaceDN w:val="0"/>
        <w:adjustRightInd w:val="0"/>
        <w:spacing w:line="360" w:lineRule="auto"/>
        <w:ind w:left="640" w:hanging="640"/>
        <w:rPr>
          <w:rFonts w:ascii="Times New Roman" w:hAnsi="Times New Roman" w:cs="Times New Roman"/>
          <w:noProof/>
        </w:rPr>
      </w:pPr>
      <w:r w:rsidRPr="00CA5356">
        <w:rPr>
          <w:rFonts w:ascii="Times New Roman" w:hAnsi="Times New Roman" w:cs="Times New Roman"/>
          <w:noProof/>
        </w:rPr>
        <w:t>4.</w:t>
      </w:r>
      <w:r w:rsidRPr="00CA5356">
        <w:rPr>
          <w:rFonts w:ascii="Times New Roman" w:hAnsi="Times New Roman" w:cs="Times New Roman"/>
          <w:noProof/>
        </w:rPr>
        <w:tab/>
        <w:t>NHS Digital. General Practice Extraction Service (GPES) Data for pandemic planning and research: a guide for analysts and users of the data. https://digital.nhs.uk/coronavirus/gpes-data-for-pandemic-planning-and-research/guide-for-analysts-and-users-of-the-data (2021).</w:t>
      </w:r>
    </w:p>
    <w:p w14:paraId="43398D05" w14:textId="77777777" w:rsidR="00CA5356" w:rsidRPr="00CA5356" w:rsidRDefault="00CA5356" w:rsidP="00CA5356">
      <w:pPr>
        <w:widowControl w:val="0"/>
        <w:autoSpaceDE w:val="0"/>
        <w:autoSpaceDN w:val="0"/>
        <w:adjustRightInd w:val="0"/>
        <w:spacing w:line="360" w:lineRule="auto"/>
        <w:ind w:left="640" w:hanging="640"/>
        <w:rPr>
          <w:rFonts w:ascii="Times New Roman" w:hAnsi="Times New Roman" w:cs="Times New Roman"/>
          <w:noProof/>
        </w:rPr>
      </w:pPr>
      <w:r w:rsidRPr="00CA5356">
        <w:rPr>
          <w:rFonts w:ascii="Times New Roman" w:hAnsi="Times New Roman" w:cs="Times New Roman"/>
          <w:noProof/>
        </w:rPr>
        <w:t>5.</w:t>
      </w:r>
      <w:r w:rsidRPr="00CA5356">
        <w:rPr>
          <w:rFonts w:ascii="Times New Roman" w:hAnsi="Times New Roman" w:cs="Times New Roman"/>
          <w:noProof/>
        </w:rPr>
        <w:tab/>
        <w:t>Ministry of Housing &amp; Communities &amp; Local Government. English indices of deprivation 2019. https://www.gov.uk/government/statistics/english-indices-of-deprivation-2019.</w:t>
      </w:r>
    </w:p>
    <w:p w14:paraId="11E3D13C" w14:textId="77777777" w:rsidR="00CA5356" w:rsidRPr="00CA5356" w:rsidRDefault="00CA5356" w:rsidP="00CA5356">
      <w:pPr>
        <w:widowControl w:val="0"/>
        <w:autoSpaceDE w:val="0"/>
        <w:autoSpaceDN w:val="0"/>
        <w:adjustRightInd w:val="0"/>
        <w:spacing w:line="360" w:lineRule="auto"/>
        <w:ind w:left="640" w:hanging="640"/>
        <w:rPr>
          <w:rFonts w:ascii="Times New Roman" w:hAnsi="Times New Roman" w:cs="Times New Roman"/>
          <w:noProof/>
        </w:rPr>
      </w:pPr>
      <w:r w:rsidRPr="00CA5356">
        <w:rPr>
          <w:rFonts w:ascii="Times New Roman" w:hAnsi="Times New Roman" w:cs="Times New Roman"/>
          <w:noProof/>
        </w:rPr>
        <w:t>6.</w:t>
      </w:r>
      <w:r w:rsidRPr="00CA5356">
        <w:rPr>
          <w:rFonts w:ascii="Times New Roman" w:hAnsi="Times New Roman" w:cs="Times New Roman"/>
          <w:noProof/>
        </w:rPr>
        <w:tab/>
        <w:t>Digital, N. Hospital Episode Statistics (HES). https://digital.nhs.uk/data-and-information/data-tools-and-services/data-services/hospital-episode-statistics.</w:t>
      </w:r>
    </w:p>
    <w:p w14:paraId="6BDEAB28" w14:textId="77777777" w:rsidR="00CA5356" w:rsidRPr="00CA5356" w:rsidRDefault="00CA5356" w:rsidP="00CA5356">
      <w:pPr>
        <w:widowControl w:val="0"/>
        <w:autoSpaceDE w:val="0"/>
        <w:autoSpaceDN w:val="0"/>
        <w:adjustRightInd w:val="0"/>
        <w:spacing w:line="360" w:lineRule="auto"/>
        <w:ind w:left="640" w:hanging="640"/>
        <w:rPr>
          <w:rFonts w:ascii="Times New Roman" w:hAnsi="Times New Roman" w:cs="Times New Roman"/>
          <w:noProof/>
        </w:rPr>
      </w:pPr>
      <w:r w:rsidRPr="00CA5356">
        <w:rPr>
          <w:rFonts w:ascii="Times New Roman" w:hAnsi="Times New Roman" w:cs="Times New Roman"/>
          <w:noProof/>
        </w:rPr>
        <w:t>7.</w:t>
      </w:r>
      <w:r w:rsidRPr="00CA5356">
        <w:rPr>
          <w:rFonts w:ascii="Times New Roman" w:hAnsi="Times New Roman" w:cs="Times New Roman"/>
          <w:noProof/>
        </w:rPr>
        <w:tab/>
        <w:t>NHS Digital. Emergency Care Data Set (ECDS). https://digital.nhs.uk/data-and-information/data-collections-and-data-sets/data-sets/emergency-care-data-set-ecds.</w:t>
      </w:r>
    </w:p>
    <w:p w14:paraId="58591EDB" w14:textId="77777777" w:rsidR="00CA5356" w:rsidRPr="00CA5356" w:rsidRDefault="00CA5356" w:rsidP="00CA5356">
      <w:pPr>
        <w:widowControl w:val="0"/>
        <w:autoSpaceDE w:val="0"/>
        <w:autoSpaceDN w:val="0"/>
        <w:adjustRightInd w:val="0"/>
        <w:spacing w:line="360" w:lineRule="auto"/>
        <w:ind w:left="640" w:hanging="640"/>
        <w:rPr>
          <w:rFonts w:ascii="Times New Roman" w:hAnsi="Times New Roman" w:cs="Times New Roman"/>
          <w:noProof/>
        </w:rPr>
      </w:pPr>
      <w:r w:rsidRPr="00CA5356">
        <w:rPr>
          <w:rFonts w:ascii="Times New Roman" w:hAnsi="Times New Roman" w:cs="Times New Roman"/>
          <w:noProof/>
        </w:rPr>
        <w:t>8.</w:t>
      </w:r>
      <w:r w:rsidRPr="00CA5356">
        <w:rPr>
          <w:rFonts w:ascii="Times New Roman" w:hAnsi="Times New Roman" w:cs="Times New Roman"/>
          <w:noProof/>
        </w:rPr>
        <w:tab/>
        <w:t xml:space="preserve">Blackwell, M., Iacus, S., King, G. &amp; Porro, G. Cem: Coarsened Exact Matching in Stata. </w:t>
      </w:r>
      <w:r w:rsidRPr="00CA5356">
        <w:rPr>
          <w:rFonts w:ascii="Times New Roman" w:hAnsi="Times New Roman" w:cs="Times New Roman"/>
          <w:i/>
          <w:iCs/>
          <w:noProof/>
        </w:rPr>
        <w:t>Stata J.</w:t>
      </w:r>
      <w:r w:rsidRPr="00CA5356">
        <w:rPr>
          <w:rFonts w:ascii="Times New Roman" w:hAnsi="Times New Roman" w:cs="Times New Roman"/>
          <w:noProof/>
        </w:rPr>
        <w:t xml:space="preserve"> </w:t>
      </w:r>
      <w:r w:rsidRPr="00CA5356">
        <w:rPr>
          <w:rFonts w:ascii="Times New Roman" w:hAnsi="Times New Roman" w:cs="Times New Roman"/>
          <w:b/>
          <w:bCs/>
          <w:noProof/>
        </w:rPr>
        <w:t>9</w:t>
      </w:r>
      <w:r w:rsidRPr="00CA5356">
        <w:rPr>
          <w:rFonts w:ascii="Times New Roman" w:hAnsi="Times New Roman" w:cs="Times New Roman"/>
          <w:noProof/>
        </w:rPr>
        <w:t>, 524–546 (2009).</w:t>
      </w:r>
    </w:p>
    <w:p w14:paraId="24F7946F" w14:textId="6E01A52D" w:rsidR="00CA5356" w:rsidRPr="00CA5356" w:rsidRDefault="00CA5356" w:rsidP="00CA5356">
      <w:pPr>
        <w:widowControl w:val="0"/>
        <w:autoSpaceDE w:val="0"/>
        <w:autoSpaceDN w:val="0"/>
        <w:adjustRightInd w:val="0"/>
        <w:spacing w:line="360" w:lineRule="auto"/>
        <w:ind w:left="640" w:hanging="640"/>
        <w:rPr>
          <w:rFonts w:ascii="Times New Roman" w:hAnsi="Times New Roman" w:cs="Times New Roman"/>
        </w:rPr>
      </w:pPr>
      <w:r>
        <w:rPr>
          <w:rFonts w:ascii="Times New Roman" w:hAnsi="Times New Roman" w:cs="Times New Roman"/>
        </w:rPr>
        <w:fldChar w:fldCharType="end"/>
      </w:r>
    </w:p>
    <w:sectPr w:rsidR="00CA5356" w:rsidRPr="00CA5356" w:rsidSect="005F1A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5485"/>
    <w:multiLevelType w:val="hybridMultilevel"/>
    <w:tmpl w:val="8B58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92520"/>
    <w:multiLevelType w:val="hybridMultilevel"/>
    <w:tmpl w:val="B3BCE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417DC"/>
    <w:multiLevelType w:val="hybridMultilevel"/>
    <w:tmpl w:val="FBE4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A082C"/>
    <w:multiLevelType w:val="hybridMultilevel"/>
    <w:tmpl w:val="F68AC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F546D8"/>
    <w:multiLevelType w:val="hybridMultilevel"/>
    <w:tmpl w:val="05283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0A"/>
    <w:rsid w:val="00025D82"/>
    <w:rsid w:val="00031F90"/>
    <w:rsid w:val="00053D8C"/>
    <w:rsid w:val="00081792"/>
    <w:rsid w:val="00086290"/>
    <w:rsid w:val="00086EDB"/>
    <w:rsid w:val="000E2CE8"/>
    <w:rsid w:val="00121D00"/>
    <w:rsid w:val="00175D97"/>
    <w:rsid w:val="001D15DB"/>
    <w:rsid w:val="001E601B"/>
    <w:rsid w:val="00236D1E"/>
    <w:rsid w:val="00252A60"/>
    <w:rsid w:val="00273748"/>
    <w:rsid w:val="0028225C"/>
    <w:rsid w:val="002A04AE"/>
    <w:rsid w:val="002B18F9"/>
    <w:rsid w:val="002D7F1E"/>
    <w:rsid w:val="002F280B"/>
    <w:rsid w:val="00305CA5"/>
    <w:rsid w:val="00325B05"/>
    <w:rsid w:val="003A4D4E"/>
    <w:rsid w:val="003E3D29"/>
    <w:rsid w:val="00440972"/>
    <w:rsid w:val="0046620D"/>
    <w:rsid w:val="00466E55"/>
    <w:rsid w:val="00473D32"/>
    <w:rsid w:val="00481487"/>
    <w:rsid w:val="004D2FF9"/>
    <w:rsid w:val="005135A2"/>
    <w:rsid w:val="00540E1C"/>
    <w:rsid w:val="00596D52"/>
    <w:rsid w:val="005F1A76"/>
    <w:rsid w:val="00613FB5"/>
    <w:rsid w:val="00650D04"/>
    <w:rsid w:val="0065627A"/>
    <w:rsid w:val="00672CA6"/>
    <w:rsid w:val="006752EA"/>
    <w:rsid w:val="006C761C"/>
    <w:rsid w:val="006E531A"/>
    <w:rsid w:val="006F4C8D"/>
    <w:rsid w:val="00714033"/>
    <w:rsid w:val="007813CC"/>
    <w:rsid w:val="007D6385"/>
    <w:rsid w:val="0082132E"/>
    <w:rsid w:val="00821EF5"/>
    <w:rsid w:val="0086199D"/>
    <w:rsid w:val="0088282C"/>
    <w:rsid w:val="008B1EEC"/>
    <w:rsid w:val="008D325F"/>
    <w:rsid w:val="008D468F"/>
    <w:rsid w:val="00911A1F"/>
    <w:rsid w:val="00945A0C"/>
    <w:rsid w:val="009535E6"/>
    <w:rsid w:val="0099543A"/>
    <w:rsid w:val="009B4D09"/>
    <w:rsid w:val="009B639D"/>
    <w:rsid w:val="009E2915"/>
    <w:rsid w:val="00A10E76"/>
    <w:rsid w:val="00A92303"/>
    <w:rsid w:val="00AB5F22"/>
    <w:rsid w:val="00AE6AF2"/>
    <w:rsid w:val="00B00466"/>
    <w:rsid w:val="00B0166B"/>
    <w:rsid w:val="00B1428D"/>
    <w:rsid w:val="00B621C5"/>
    <w:rsid w:val="00B6539E"/>
    <w:rsid w:val="00B75110"/>
    <w:rsid w:val="00B83392"/>
    <w:rsid w:val="00BA55DB"/>
    <w:rsid w:val="00BB0612"/>
    <w:rsid w:val="00BE288B"/>
    <w:rsid w:val="00BE7A49"/>
    <w:rsid w:val="00C00846"/>
    <w:rsid w:val="00C5395F"/>
    <w:rsid w:val="00C67EF6"/>
    <w:rsid w:val="00C86FBD"/>
    <w:rsid w:val="00CA5356"/>
    <w:rsid w:val="00CC3C90"/>
    <w:rsid w:val="00D4366A"/>
    <w:rsid w:val="00D60A55"/>
    <w:rsid w:val="00D669C3"/>
    <w:rsid w:val="00D9070E"/>
    <w:rsid w:val="00DB0965"/>
    <w:rsid w:val="00DB5B45"/>
    <w:rsid w:val="00DD72FC"/>
    <w:rsid w:val="00E75BE5"/>
    <w:rsid w:val="00E920DD"/>
    <w:rsid w:val="00E965E3"/>
    <w:rsid w:val="00EF590A"/>
    <w:rsid w:val="00F35CFE"/>
    <w:rsid w:val="00F869AD"/>
    <w:rsid w:val="00FA5489"/>
    <w:rsid w:val="00FA69FD"/>
    <w:rsid w:val="00FD2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FC50"/>
  <w15:chartTrackingRefBased/>
  <w15:docId w15:val="{994F924D-8AE3-B64C-BDCB-C9D8CC78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90A"/>
    <w:pPr>
      <w:ind w:left="720"/>
      <w:contextualSpacing/>
    </w:pPr>
  </w:style>
  <w:style w:type="character" w:styleId="Hyperlink">
    <w:name w:val="Hyperlink"/>
    <w:basedOn w:val="DefaultParagraphFont"/>
    <w:uiPriority w:val="99"/>
    <w:unhideWhenUsed/>
    <w:rsid w:val="00EF590A"/>
    <w:rPr>
      <w:color w:val="0563C1" w:themeColor="hyperlink"/>
      <w:u w:val="single"/>
    </w:rPr>
  </w:style>
  <w:style w:type="character" w:styleId="UnresolvedMention">
    <w:name w:val="Unresolved Mention"/>
    <w:basedOn w:val="DefaultParagraphFont"/>
    <w:uiPriority w:val="99"/>
    <w:semiHidden/>
    <w:unhideWhenUsed/>
    <w:rsid w:val="00EF590A"/>
    <w:rPr>
      <w:color w:val="605E5C"/>
      <w:shd w:val="clear" w:color="auto" w:fill="E1DFDD"/>
    </w:rPr>
  </w:style>
  <w:style w:type="table" w:styleId="TableGrid">
    <w:name w:val="Table Grid"/>
    <w:basedOn w:val="TableNormal"/>
    <w:uiPriority w:val="39"/>
    <w:rsid w:val="00D60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3553-574D-0B42-829A-96E0CF73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3535</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Beaney, Thomas E</dc:creator>
  <cp:keywords/>
  <dc:description/>
  <cp:lastModifiedBy>Beaney, Thomas E</cp:lastModifiedBy>
  <cp:revision>22</cp:revision>
  <dcterms:created xsi:type="dcterms:W3CDTF">2021-10-06T08:26:00Z</dcterms:created>
  <dcterms:modified xsi:type="dcterms:W3CDTF">2021-11-24T16:32:00Z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http://www.zotero.org/styles/bmc-public-health</vt:lpwstr>
  </property>
  <property fmtid="{D5CDD505-2E9C-101B-9397-08002B2CF9AE}" pid="5" name="Mendeley Recent Style Name 1_1">
    <vt:lpwstr>BMC Public Health</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http://www.zotero.org/styles/sage-vancouver-brackets</vt:lpwstr>
  </property>
  <property fmtid="{D5CDD505-2E9C-101B-9397-08002B2CF9AE}" pid="21" name="Mendeley Recent Style Name 9_1">
    <vt:lpwstr>SAGE - Vancouver (brackets)</vt:lpwstr>
  </property>
  <property fmtid="{D5CDD505-2E9C-101B-9397-08002B2CF9AE}" pid="22" name="Mendeley Document_1">
    <vt:lpwstr>True</vt:lpwstr>
  </property>
  <property fmtid="{D5CDD505-2E9C-101B-9397-08002B2CF9AE}" pid="23" name="Mendeley Unique User Id_1">
    <vt:lpwstr>6c7f45bc-9988-3403-9709-7e76d995b921</vt:lpwstr>
  </property>
  <property fmtid="{D5CDD505-2E9C-101B-9397-08002B2CF9AE}" pid="24" name="Mendeley Citation Style_1">
    <vt:lpwstr>http://www.zotero.org/styles/nature</vt:lpwstr>
  </property>
</Properties>
</file>