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F5" w:rsidRPr="00ED00FA" w:rsidRDefault="00731762" w:rsidP="00731762">
      <w:pPr>
        <w:autoSpaceDE w:val="0"/>
        <w:autoSpaceDN w:val="0"/>
        <w:adjustRightInd w:val="0"/>
        <w:snapToGrid w:val="0"/>
        <w:spacing w:after="24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62">
        <w:rPr>
          <w:rFonts w:ascii="Times New Roman" w:hAnsi="Times New Roman" w:cs="Times New Roman"/>
          <w:b/>
          <w:sz w:val="24"/>
          <w:szCs w:val="24"/>
        </w:rPr>
        <w:t>Supplemental Figures and Information</w:t>
      </w:r>
      <w:r w:rsidR="001404F5" w:rsidRPr="00ED00FA">
        <w:rPr>
          <w:rFonts w:ascii="Times New Roman" w:hAnsi="Times New Roman" w:cs="Times New Roman"/>
          <w:b/>
          <w:sz w:val="24"/>
          <w:szCs w:val="24"/>
        </w:rPr>
        <w:t xml:space="preserve"> for</w:t>
      </w:r>
    </w:p>
    <w:p w:rsidR="00E13851" w:rsidRPr="00731762" w:rsidRDefault="00E13851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OLE_LINK25"/>
      <w:bookmarkStart w:id="1" w:name="OLE_LINK26"/>
      <w:bookmarkStart w:id="2" w:name="OLE_LINK28"/>
      <w:bookmarkStart w:id="3" w:name="OLE_LINK261"/>
      <w:bookmarkStart w:id="4" w:name="OLE_LINK262"/>
      <w:proofErr w:type="spellStart"/>
      <w:r w:rsidRPr="00731762">
        <w:rPr>
          <w:rFonts w:ascii="Times New Roman" w:hAnsi="Times New Roman" w:cs="Times New Roman"/>
          <w:b/>
          <w:sz w:val="24"/>
          <w:szCs w:val="24"/>
        </w:rPr>
        <w:t>Immunoprecipitation</w:t>
      </w:r>
      <w:proofErr w:type="spellEnd"/>
      <w:r w:rsidRPr="00731762">
        <w:rPr>
          <w:rFonts w:ascii="Times New Roman" w:hAnsi="Times New Roman" w:cs="Times New Roman"/>
          <w:b/>
          <w:sz w:val="24"/>
          <w:szCs w:val="24"/>
        </w:rPr>
        <w:t>-targeted proteomics assays facilitate rational development of SARS-CoV-2 serological diagnostics</w:t>
      </w:r>
    </w:p>
    <w:p w:rsidR="00ED00FA" w:rsidRP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E13851" w:rsidRPr="00ED00FA" w:rsidRDefault="00E13851" w:rsidP="00ED00FA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D00FA">
        <w:rPr>
          <w:rFonts w:ascii="Times New Roman" w:eastAsia="Arial Unicode MS" w:hAnsi="Times New Roman" w:cs="Times New Roman"/>
          <w:sz w:val="24"/>
          <w:szCs w:val="24"/>
        </w:rPr>
        <w:t>Zhiqiang</w:t>
      </w:r>
      <w:proofErr w:type="spellEnd"/>
      <w:r w:rsidRPr="00ED00FA">
        <w:rPr>
          <w:rFonts w:ascii="Times New Roman" w:eastAsia="Arial Unicode MS" w:hAnsi="Times New Roman" w:cs="Times New Roman"/>
          <w:sz w:val="24"/>
          <w:szCs w:val="24"/>
        </w:rPr>
        <w:t xml:space="preserve"> Fu</w:t>
      </w:r>
      <w:r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1*</w:t>
      </w:r>
      <w:r w:rsidRPr="00ED00F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ED00FA">
        <w:rPr>
          <w:rFonts w:ascii="Times New Roman" w:eastAsia="Arial Unicode MS" w:hAnsi="Times New Roman" w:cs="Times New Roman"/>
          <w:sz w:val="24"/>
          <w:szCs w:val="24"/>
        </w:rPr>
        <w:t>Yasmine</w:t>
      </w:r>
      <w:proofErr w:type="spellEnd"/>
      <w:r w:rsidRPr="00ED00FA">
        <w:rPr>
          <w:rFonts w:ascii="Times New Roman" w:eastAsia="Arial Unicode MS" w:hAnsi="Times New Roman" w:cs="Times New Roman"/>
          <w:sz w:val="24"/>
          <w:szCs w:val="24"/>
        </w:rPr>
        <w:t xml:space="preserve"> Rais</w:t>
      </w:r>
      <w:r w:rsidR="00ED00FA"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*</w:t>
      </w:r>
      <w:r w:rsidRPr="00ED00FA">
        <w:rPr>
          <w:rFonts w:ascii="Times New Roman" w:eastAsia="Arial Unicode MS" w:hAnsi="Times New Roman" w:cs="Times New Roman"/>
          <w:sz w:val="24"/>
          <w:szCs w:val="24"/>
        </w:rPr>
        <w:t xml:space="preserve"> and Andrei P. Drabovich</w:t>
      </w:r>
      <w:r w:rsidR="00ED00FA"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Pr="00ED00FA">
        <w:rPr>
          <w:rFonts w:ascii="Times New Roman" w:eastAsia="Arial Unicode MS" w:hAnsi="Times New Roman" w:cs="Times New Roman"/>
          <w:sz w:val="24"/>
          <w:szCs w:val="24"/>
        </w:rPr>
        <w:t>**</w:t>
      </w:r>
    </w:p>
    <w:p w:rsidR="00E13851" w:rsidRPr="00ED00FA" w:rsidRDefault="00ED00FA" w:rsidP="00ED00FA">
      <w:pPr>
        <w:spacing w:after="24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 w:rsidR="00E13851" w:rsidRPr="00ED00FA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</w:t>
      </w:r>
      <w:r w:rsidR="00E13851" w:rsidRPr="00ED00FA">
        <w:rPr>
          <w:rFonts w:ascii="Times New Roman" w:eastAsia="Arial Unicode MS" w:hAnsi="Times New Roman" w:cs="Times New Roman"/>
          <w:sz w:val="24"/>
          <w:szCs w:val="24"/>
        </w:rPr>
        <w:t>Division of Analytical and Environmental Toxicology, Department of Laboratory Medicine and Pathology, Faculty of Medicine and Dentistry, University of Alberta, Edmonton, Alberta, Canada T6G 2G3</w:t>
      </w:r>
    </w:p>
    <w:p w:rsidR="00E13851" w:rsidRPr="00ED00FA" w:rsidRDefault="00E13851" w:rsidP="00ED00FA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D00FA">
        <w:rPr>
          <w:rFonts w:ascii="Times New Roman" w:eastAsiaTheme="minorEastAsia" w:hAnsi="Times New Roman" w:cs="Times New Roman"/>
          <w:sz w:val="24"/>
          <w:szCs w:val="24"/>
        </w:rPr>
        <w:t>*Contributed equally</w:t>
      </w: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4F5" w:rsidRDefault="001404F5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00FA" w:rsidRDefault="00ED00FA" w:rsidP="00ED00FA">
      <w:pPr>
        <w:autoSpaceDE w:val="0"/>
        <w:autoSpaceDN w:val="0"/>
        <w:adjustRightInd w:val="0"/>
        <w:snapToGrid w:val="0"/>
        <w:spacing w:after="12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3CA1" w:rsidRDefault="00373CA1" w:rsidP="00373CA1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0FA">
        <w:rPr>
          <w:rFonts w:ascii="Times New Roman" w:hAnsi="Times New Roman" w:cs="Times New Roman"/>
          <w:b/>
          <w:sz w:val="24"/>
          <w:szCs w:val="24"/>
        </w:rPr>
        <w:lastRenderedPageBreak/>
        <w:t>Supplemental 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373CA1" w:rsidRPr="00ED00FA" w:rsidRDefault="00373CA1" w:rsidP="00373CA1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3CA1" w:rsidRPr="00ED00FA" w:rsidRDefault="00373CA1" w:rsidP="00373C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56800" cy="5320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65" t="2726" r="36135" b="6415"/>
                    <a:stretch/>
                  </pic:blipFill>
                  <pic:spPr bwMode="auto">
                    <a:xfrm>
                      <a:off x="0" y="0"/>
                      <a:ext cx="53568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CA1" w:rsidRPr="00ED00FA" w:rsidRDefault="00373CA1" w:rsidP="00373C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FA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Immunoglobulin constant regions targeted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proteotypic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peptides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used for quantification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immunoglobulin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isotypes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subclasses.</w:t>
      </w:r>
      <w:proofErr w:type="gramEnd"/>
    </w:p>
    <w:p w:rsidR="00373CA1" w:rsidRDefault="00373CA1" w:rsidP="00ED00FA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3CA1" w:rsidRDefault="00373CA1" w:rsidP="00ED00FA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3CA1" w:rsidRDefault="00373CA1" w:rsidP="00ED00FA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4F5" w:rsidRPr="00ED00FA" w:rsidRDefault="001404F5" w:rsidP="00ED00FA">
      <w:pPr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00FA">
        <w:rPr>
          <w:rFonts w:ascii="Times New Roman" w:hAnsi="Times New Roman" w:cs="Times New Roman"/>
          <w:b/>
          <w:sz w:val="24"/>
          <w:szCs w:val="24"/>
        </w:rPr>
        <w:lastRenderedPageBreak/>
        <w:t>Supplemental Figure</w:t>
      </w:r>
      <w:r w:rsidR="00ED00F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73CA1">
        <w:rPr>
          <w:rFonts w:ascii="Times New Roman" w:hAnsi="Times New Roman" w:cs="Times New Roman"/>
          <w:b/>
          <w:sz w:val="24"/>
          <w:szCs w:val="24"/>
        </w:rPr>
        <w:t>2</w:t>
      </w:r>
    </w:p>
    <w:p w:rsidR="005935E1" w:rsidRPr="00ED00FA" w:rsidRDefault="00CC7A32" w:rsidP="00ED0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30386" cy="408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98" r="19501" b="18122"/>
                    <a:stretch/>
                  </pic:blipFill>
                  <pic:spPr bwMode="auto">
                    <a:xfrm>
                      <a:off x="0" y="0"/>
                      <a:ext cx="5939638" cy="40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94" w:rsidRPr="00ED00FA" w:rsidRDefault="001404F5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0FA">
        <w:rPr>
          <w:rFonts w:ascii="Times New Roman" w:hAnsi="Times New Roman" w:cs="Times New Roman"/>
          <w:b/>
          <w:sz w:val="24"/>
          <w:szCs w:val="24"/>
        </w:rPr>
        <w:t>Figure S</w:t>
      </w:r>
      <w:r w:rsidR="00373CA1">
        <w:rPr>
          <w:rFonts w:ascii="Times New Roman" w:hAnsi="Times New Roman" w:cs="Times New Roman"/>
          <w:b/>
          <w:sz w:val="24"/>
          <w:szCs w:val="24"/>
        </w:rPr>
        <w:t>2</w:t>
      </w:r>
      <w:r w:rsidR="00F159E1" w:rsidRPr="00ED00FA">
        <w:rPr>
          <w:rFonts w:ascii="Times New Roman" w:hAnsi="Times New Roman" w:cs="Times New Roman"/>
          <w:b/>
          <w:sz w:val="24"/>
          <w:szCs w:val="24"/>
        </w:rPr>
        <w:t>.</w:t>
      </w:r>
      <w:r w:rsidR="00F159E1" w:rsidRPr="00ED00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Development of </w:t>
      </w:r>
      <w:r w:rsidR="00ED00FA">
        <w:rPr>
          <w:rFonts w:ascii="Times New Roman" w:hAnsi="Times New Roman" w:cs="Times New Roman"/>
          <w:b/>
          <w:bCs/>
          <w:sz w:val="24"/>
          <w:szCs w:val="24"/>
        </w:rPr>
        <w:t xml:space="preserve">indirect </w:t>
      </w:r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ELISA for quantification of </w:t>
      </w:r>
      <w:proofErr w:type="spellStart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>IgG</w:t>
      </w:r>
      <w:proofErr w:type="spellEnd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>IgGAM</w:t>
      </w:r>
      <w:proofErr w:type="spellEnd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 antibodies in serum samples.</w:t>
      </w:r>
      <w:proofErr w:type="gramEnd"/>
      <w:r w:rsidR="00F159E1" w:rsidRPr="00ED0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9E1" w:rsidRPr="00ED00FA">
        <w:rPr>
          <w:rFonts w:ascii="Times New Roman" w:hAnsi="Times New Roman" w:cs="Times New Roman"/>
          <w:sz w:val="24"/>
          <w:szCs w:val="24"/>
        </w:rPr>
        <w:t>Ten serum samples (3 positive and 7 negative) were tested for COVID-19 specific antibodies. Each serum sample was tested against four different antigens (S1+S2</w:t>
      </w:r>
      <w:r w:rsidR="00FC4834" w:rsidRPr="00ED00FA">
        <w:rPr>
          <w:rFonts w:ascii="Times New Roman" w:hAnsi="Times New Roman" w:cs="Times New Roman"/>
          <w:sz w:val="24"/>
          <w:szCs w:val="24"/>
        </w:rPr>
        <w:t xml:space="preserve"> ECD</w:t>
      </w:r>
      <w:r w:rsidR="00F159E1" w:rsidRPr="00ED00FA">
        <w:rPr>
          <w:rFonts w:ascii="Times New Roman" w:hAnsi="Times New Roman" w:cs="Times New Roman"/>
          <w:sz w:val="24"/>
          <w:szCs w:val="24"/>
        </w:rPr>
        <w:t>, RBD, S1</w:t>
      </w:r>
      <w:r w:rsidR="00FC4834" w:rsidRPr="00ED00FA">
        <w:rPr>
          <w:rFonts w:ascii="Times New Roman" w:hAnsi="Times New Roman" w:cs="Times New Roman"/>
          <w:sz w:val="24"/>
          <w:szCs w:val="24"/>
        </w:rPr>
        <w:t>,</w:t>
      </w:r>
      <w:r w:rsidR="00F159E1" w:rsidRPr="00ED00FA">
        <w:rPr>
          <w:rFonts w:ascii="Times New Roman" w:hAnsi="Times New Roman" w:cs="Times New Roman"/>
          <w:sz w:val="24"/>
          <w:szCs w:val="24"/>
        </w:rPr>
        <w:t xml:space="preserve"> and Nucleoprotein). </w:t>
      </w:r>
      <w:r w:rsidR="00D13B04" w:rsidRPr="00ED00FA">
        <w:rPr>
          <w:rFonts w:ascii="Times New Roman" w:hAnsi="Times New Roman" w:cs="Times New Roman"/>
          <w:sz w:val="24"/>
          <w:szCs w:val="24"/>
        </w:rPr>
        <w:t xml:space="preserve">As a control, serum samples </w:t>
      </w:r>
      <w:r w:rsidR="00ED00FA">
        <w:rPr>
          <w:rFonts w:ascii="Times New Roman" w:hAnsi="Times New Roman" w:cs="Times New Roman"/>
          <w:sz w:val="24"/>
          <w:szCs w:val="24"/>
        </w:rPr>
        <w:t xml:space="preserve">were measured in </w:t>
      </w:r>
      <w:r w:rsidR="00D13B04" w:rsidRPr="00ED00FA">
        <w:rPr>
          <w:rFonts w:ascii="Times New Roman" w:hAnsi="Times New Roman" w:cs="Times New Roman"/>
          <w:sz w:val="24"/>
          <w:szCs w:val="24"/>
        </w:rPr>
        <w:t>wells</w:t>
      </w:r>
      <w:r w:rsidR="00ED00FA">
        <w:rPr>
          <w:rFonts w:ascii="Times New Roman" w:hAnsi="Times New Roman" w:cs="Times New Roman"/>
          <w:sz w:val="24"/>
          <w:szCs w:val="24"/>
        </w:rPr>
        <w:t xml:space="preserve"> incubated with PBS buffer instead of antigens</w:t>
      </w:r>
      <w:r w:rsidR="00D13B04" w:rsidRPr="00ED00FA">
        <w:rPr>
          <w:rFonts w:ascii="Times New Roman" w:hAnsi="Times New Roman" w:cs="Times New Roman"/>
          <w:sz w:val="24"/>
          <w:szCs w:val="24"/>
        </w:rPr>
        <w:t>.</w:t>
      </w:r>
    </w:p>
    <w:p w:rsidR="00CC00E6" w:rsidRDefault="00CC00E6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ED" w:rsidRDefault="00543EED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ED" w:rsidRDefault="00543EED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ED" w:rsidRPr="00543EED" w:rsidRDefault="00543EED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E6" w:rsidRDefault="00CC00E6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62" w:rsidRPr="00543EED" w:rsidRDefault="00731762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E6" w:rsidRPr="00731762" w:rsidRDefault="00731762" w:rsidP="00ED00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1762">
        <w:rPr>
          <w:rFonts w:ascii="Times New Roman" w:hAnsi="Times New Roman" w:cs="Times New Roman"/>
          <w:b/>
          <w:sz w:val="24"/>
          <w:szCs w:val="24"/>
        </w:rPr>
        <w:lastRenderedPageBreak/>
        <w:t>Supplemental Information</w:t>
      </w:r>
      <w:r w:rsidR="00543EED" w:rsidRPr="00543E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43EED" w:rsidRPr="00543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EED" w:rsidRPr="00543EED">
        <w:rPr>
          <w:rFonts w:ascii="Times New Roman" w:hAnsi="Times New Roman" w:cs="Times New Roman"/>
          <w:sz w:val="24"/>
          <w:szCs w:val="24"/>
        </w:rPr>
        <w:t>The list of Standards for Reporting of Diagnostic Accuracy Studies (STARD2015) recommendations followed in the present work</w:t>
      </w:r>
      <w:r w:rsidR="00543E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1"/>
        <w:tblW w:w="4913" w:type="pct"/>
        <w:tblInd w:w="57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/>
      </w:tblPr>
      <w:tblGrid>
        <w:gridCol w:w="270"/>
        <w:gridCol w:w="1800"/>
        <w:gridCol w:w="630"/>
        <w:gridCol w:w="5675"/>
        <w:gridCol w:w="984"/>
      </w:tblGrid>
      <w:tr w:rsidR="00543EED" w:rsidRPr="008469D3" w:rsidTr="00543EED">
        <w:trPr>
          <w:trHeight w:val="288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tcMar>
              <w:left w:w="57" w:type="dxa"/>
              <w:right w:w="57" w:type="dxa"/>
            </w:tcMar>
            <w:vAlign w:val="center"/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5" w:name="_GoBack"/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72C4" w:themeFill="accent1"/>
          </w:tcPr>
          <w:p w:rsidR="00543EED" w:rsidRPr="008469D3" w:rsidRDefault="00543EED" w:rsidP="00882AF8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543EED" w:rsidRPr="005320D9" w:rsidTr="00543EED">
        <w:trPr>
          <w:trHeight w:val="20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5320D9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EED" w:rsidRPr="005320D9" w:rsidRDefault="00543EED" w:rsidP="00882AF8">
            <w:pPr>
              <w:spacing w:line="276" w:lineRule="auto"/>
              <w:rPr>
                <w:rFonts w:cstheme="minorHAnsi"/>
                <w:b/>
                <w:color w:val="4472C4" w:themeColor="accent1"/>
                <w:sz w:val="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EED" w:rsidRPr="005320D9" w:rsidRDefault="00543EED" w:rsidP="00882AF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EED" w:rsidRPr="005320D9" w:rsidRDefault="00543EED" w:rsidP="00882AF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EED" w:rsidRPr="005320D9" w:rsidRDefault="00543EED" w:rsidP="00882AF8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630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1-2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Del="0039653F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Del="0039653F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rPr>
          <w:trHeight w:val="1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12-14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1169A0" w:rsidRDefault="00543EED" w:rsidP="00882AF8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F5496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8-9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8-9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</w:t>
            </w:r>
            <w:proofErr w:type="spell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generalisability</w:t>
            </w:r>
            <w:proofErr w:type="spellEnd"/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9-11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2F5496" w:themeColor="accent1" w:themeShade="BF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9-11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F5496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543EED" w:rsidRPr="008469D3" w:rsidTr="00543EE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dotted" w:sz="6" w:space="0" w:color="4472C4" w:themeColor="accent1"/>
              <w:left w:val="nil"/>
              <w:bottom w:val="nil"/>
              <w:right w:val="dotted" w:sz="6" w:space="0" w:color="4472C4" w:themeColor="accent1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630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dotted" w:sz="6" w:space="0" w:color="4472C4" w:themeColor="accent1"/>
            </w:tcBorders>
          </w:tcPr>
          <w:p w:rsidR="00543EED" w:rsidRPr="0046212E" w:rsidRDefault="00543EED" w:rsidP="00882AF8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5676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:rsidR="00543EED" w:rsidRPr="008469D3" w:rsidRDefault="00543EED" w:rsidP="00882AF8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984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</w:tcPr>
          <w:p w:rsidR="00543EED" w:rsidRPr="008469D3" w:rsidRDefault="00543EED" w:rsidP="00882AF8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20</w:t>
            </w:r>
          </w:p>
        </w:tc>
      </w:tr>
      <w:tr w:rsidR="00543EED" w:rsidRPr="005320D9" w:rsidTr="00543EED">
        <w:trPr>
          <w:trHeight w:val="7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43EED" w:rsidRPr="005320D9" w:rsidRDefault="00543EED" w:rsidP="00882AF8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ED" w:rsidRPr="005320D9" w:rsidRDefault="00543EED" w:rsidP="00882AF8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ED" w:rsidRPr="005320D9" w:rsidRDefault="00543EED" w:rsidP="00882AF8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ED" w:rsidRPr="005320D9" w:rsidRDefault="00543EED" w:rsidP="00882AF8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ED" w:rsidRPr="005320D9" w:rsidRDefault="00543EED" w:rsidP="00882AF8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543EED" w:rsidRPr="00543EED" w:rsidRDefault="00543EED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E6" w:rsidRDefault="00CC00E6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FA" w:rsidRPr="00ED00FA" w:rsidRDefault="00ED00FA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FD" w:rsidRPr="00ED00FA" w:rsidRDefault="009241FD" w:rsidP="00ED0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1FD" w:rsidRPr="00ED00FA" w:rsidSect="00217DD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96" w:rsidRDefault="00BC2196" w:rsidP="00373CA1">
      <w:pPr>
        <w:spacing w:after="0" w:line="240" w:lineRule="auto"/>
      </w:pPr>
      <w:r>
        <w:separator/>
      </w:r>
    </w:p>
  </w:endnote>
  <w:endnote w:type="continuationSeparator" w:id="0">
    <w:p w:rsidR="00BC2196" w:rsidRDefault="00BC2196" w:rsidP="0037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0922"/>
      <w:docPartObj>
        <w:docPartGallery w:val="Page Numbers (Bottom of Page)"/>
        <w:docPartUnique/>
      </w:docPartObj>
    </w:sdtPr>
    <w:sdtContent>
      <w:p w:rsidR="00373CA1" w:rsidRDefault="00E737B7">
        <w:pPr>
          <w:pStyle w:val="Footer"/>
          <w:jc w:val="center"/>
        </w:pPr>
        <w:fldSimple w:instr=" PAGE   \* MERGEFORMAT ">
          <w:r w:rsidR="00731762">
            <w:rPr>
              <w:noProof/>
            </w:rPr>
            <w:t>5</w:t>
          </w:r>
        </w:fldSimple>
      </w:p>
    </w:sdtContent>
  </w:sdt>
  <w:p w:rsidR="00373CA1" w:rsidRDefault="00373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96" w:rsidRDefault="00BC2196" w:rsidP="00373CA1">
      <w:pPr>
        <w:spacing w:after="0" w:line="240" w:lineRule="auto"/>
      </w:pPr>
      <w:r>
        <w:separator/>
      </w:r>
    </w:p>
  </w:footnote>
  <w:footnote w:type="continuationSeparator" w:id="0">
    <w:p w:rsidR="00BC2196" w:rsidRDefault="00BC2196" w:rsidP="0037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26"/>
    <w:rsid w:val="00011F7B"/>
    <w:rsid w:val="00012A8E"/>
    <w:rsid w:val="00020703"/>
    <w:rsid w:val="00022F62"/>
    <w:rsid w:val="0003551C"/>
    <w:rsid w:val="00036588"/>
    <w:rsid w:val="00052431"/>
    <w:rsid w:val="00052D8A"/>
    <w:rsid w:val="0008070E"/>
    <w:rsid w:val="0009753A"/>
    <w:rsid w:val="000A2B67"/>
    <w:rsid w:val="000B16A8"/>
    <w:rsid w:val="000B4C59"/>
    <w:rsid w:val="000C658D"/>
    <w:rsid w:val="000D2170"/>
    <w:rsid w:val="000E542F"/>
    <w:rsid w:val="000F39E0"/>
    <w:rsid w:val="000F4533"/>
    <w:rsid w:val="001051A7"/>
    <w:rsid w:val="00112E07"/>
    <w:rsid w:val="00114632"/>
    <w:rsid w:val="00120FCC"/>
    <w:rsid w:val="001265E1"/>
    <w:rsid w:val="00131151"/>
    <w:rsid w:val="00136D75"/>
    <w:rsid w:val="001404F5"/>
    <w:rsid w:val="00143EF4"/>
    <w:rsid w:val="00160C76"/>
    <w:rsid w:val="00170449"/>
    <w:rsid w:val="00177EB0"/>
    <w:rsid w:val="001844B5"/>
    <w:rsid w:val="00192BF2"/>
    <w:rsid w:val="0019661F"/>
    <w:rsid w:val="001B02A8"/>
    <w:rsid w:val="001B05B6"/>
    <w:rsid w:val="001B06DD"/>
    <w:rsid w:val="001C49F3"/>
    <w:rsid w:val="001D2B05"/>
    <w:rsid w:val="001E518E"/>
    <w:rsid w:val="001F17A5"/>
    <w:rsid w:val="001F3644"/>
    <w:rsid w:val="00202CC8"/>
    <w:rsid w:val="00211059"/>
    <w:rsid w:val="00214382"/>
    <w:rsid w:val="00214694"/>
    <w:rsid w:val="00216FA9"/>
    <w:rsid w:val="00217DDE"/>
    <w:rsid w:val="00220A92"/>
    <w:rsid w:val="002254DA"/>
    <w:rsid w:val="0022770F"/>
    <w:rsid w:val="002355D7"/>
    <w:rsid w:val="002378DF"/>
    <w:rsid w:val="0024044D"/>
    <w:rsid w:val="00243B9C"/>
    <w:rsid w:val="00246E11"/>
    <w:rsid w:val="00246EF3"/>
    <w:rsid w:val="00251E78"/>
    <w:rsid w:val="0025598B"/>
    <w:rsid w:val="002670C2"/>
    <w:rsid w:val="00274742"/>
    <w:rsid w:val="00281844"/>
    <w:rsid w:val="00283219"/>
    <w:rsid w:val="0029246F"/>
    <w:rsid w:val="00293296"/>
    <w:rsid w:val="00295094"/>
    <w:rsid w:val="0029689E"/>
    <w:rsid w:val="002979DA"/>
    <w:rsid w:val="002A29E2"/>
    <w:rsid w:val="002C026B"/>
    <w:rsid w:val="002C67E5"/>
    <w:rsid w:val="002D124C"/>
    <w:rsid w:val="002D2A78"/>
    <w:rsid w:val="002F0168"/>
    <w:rsid w:val="002F0223"/>
    <w:rsid w:val="002F1D96"/>
    <w:rsid w:val="002F3CBF"/>
    <w:rsid w:val="002F458E"/>
    <w:rsid w:val="0030148C"/>
    <w:rsid w:val="00307E09"/>
    <w:rsid w:val="003142C2"/>
    <w:rsid w:val="00322768"/>
    <w:rsid w:val="00324808"/>
    <w:rsid w:val="00327D76"/>
    <w:rsid w:val="00332B34"/>
    <w:rsid w:val="00356C1E"/>
    <w:rsid w:val="00373CA1"/>
    <w:rsid w:val="003924E3"/>
    <w:rsid w:val="00396395"/>
    <w:rsid w:val="003973F4"/>
    <w:rsid w:val="003A65DF"/>
    <w:rsid w:val="003B052F"/>
    <w:rsid w:val="003C0AEB"/>
    <w:rsid w:val="003D1D50"/>
    <w:rsid w:val="003D5F1D"/>
    <w:rsid w:val="003F2B71"/>
    <w:rsid w:val="003F43AB"/>
    <w:rsid w:val="00405C3B"/>
    <w:rsid w:val="004162D8"/>
    <w:rsid w:val="00427BAF"/>
    <w:rsid w:val="00432511"/>
    <w:rsid w:val="0043252D"/>
    <w:rsid w:val="00433D68"/>
    <w:rsid w:val="0044232D"/>
    <w:rsid w:val="0044379B"/>
    <w:rsid w:val="00443FDD"/>
    <w:rsid w:val="00444020"/>
    <w:rsid w:val="004724ED"/>
    <w:rsid w:val="00472C08"/>
    <w:rsid w:val="0047486F"/>
    <w:rsid w:val="0048305F"/>
    <w:rsid w:val="004900A3"/>
    <w:rsid w:val="00496D73"/>
    <w:rsid w:val="004A0E9C"/>
    <w:rsid w:val="004D1D48"/>
    <w:rsid w:val="004D5F20"/>
    <w:rsid w:val="004F119D"/>
    <w:rsid w:val="00500227"/>
    <w:rsid w:val="005009F1"/>
    <w:rsid w:val="00527A9F"/>
    <w:rsid w:val="005311D6"/>
    <w:rsid w:val="00534DEA"/>
    <w:rsid w:val="005357A8"/>
    <w:rsid w:val="00536EE3"/>
    <w:rsid w:val="00537376"/>
    <w:rsid w:val="00543EED"/>
    <w:rsid w:val="00553D60"/>
    <w:rsid w:val="00555A86"/>
    <w:rsid w:val="00563B4D"/>
    <w:rsid w:val="00566CA8"/>
    <w:rsid w:val="005935E1"/>
    <w:rsid w:val="005A3E9A"/>
    <w:rsid w:val="005B5A19"/>
    <w:rsid w:val="005B6361"/>
    <w:rsid w:val="005B6637"/>
    <w:rsid w:val="005C1F93"/>
    <w:rsid w:val="005C51A7"/>
    <w:rsid w:val="005D1797"/>
    <w:rsid w:val="005D22AB"/>
    <w:rsid w:val="005E3BA2"/>
    <w:rsid w:val="005E4B3A"/>
    <w:rsid w:val="005E7ACF"/>
    <w:rsid w:val="005F259E"/>
    <w:rsid w:val="00604384"/>
    <w:rsid w:val="006068B4"/>
    <w:rsid w:val="0060728D"/>
    <w:rsid w:val="00624765"/>
    <w:rsid w:val="00627A92"/>
    <w:rsid w:val="00627B26"/>
    <w:rsid w:val="00632C85"/>
    <w:rsid w:val="00636F55"/>
    <w:rsid w:val="00637ED4"/>
    <w:rsid w:val="00652290"/>
    <w:rsid w:val="00652743"/>
    <w:rsid w:val="00654CAE"/>
    <w:rsid w:val="00661B82"/>
    <w:rsid w:val="00683628"/>
    <w:rsid w:val="00686724"/>
    <w:rsid w:val="006974E4"/>
    <w:rsid w:val="006A646A"/>
    <w:rsid w:val="006B337E"/>
    <w:rsid w:val="006B371B"/>
    <w:rsid w:val="006B3C5B"/>
    <w:rsid w:val="006B60D3"/>
    <w:rsid w:val="006C1217"/>
    <w:rsid w:val="006C1FB2"/>
    <w:rsid w:val="006C4BCF"/>
    <w:rsid w:val="006D1DE6"/>
    <w:rsid w:val="006E4C06"/>
    <w:rsid w:val="006F7CDC"/>
    <w:rsid w:val="00700358"/>
    <w:rsid w:val="00704057"/>
    <w:rsid w:val="007072C0"/>
    <w:rsid w:val="00713C6C"/>
    <w:rsid w:val="00731762"/>
    <w:rsid w:val="007356FF"/>
    <w:rsid w:val="007462FF"/>
    <w:rsid w:val="0075637E"/>
    <w:rsid w:val="00762C04"/>
    <w:rsid w:val="00763247"/>
    <w:rsid w:val="00784B26"/>
    <w:rsid w:val="007916B9"/>
    <w:rsid w:val="00796D9A"/>
    <w:rsid w:val="007B1732"/>
    <w:rsid w:val="007B507A"/>
    <w:rsid w:val="007B6BAB"/>
    <w:rsid w:val="007C5C1A"/>
    <w:rsid w:val="007F1A73"/>
    <w:rsid w:val="008024F9"/>
    <w:rsid w:val="008036B9"/>
    <w:rsid w:val="00803FFE"/>
    <w:rsid w:val="00813198"/>
    <w:rsid w:val="008214D5"/>
    <w:rsid w:val="00821830"/>
    <w:rsid w:val="008308CD"/>
    <w:rsid w:val="00834CCE"/>
    <w:rsid w:val="00843297"/>
    <w:rsid w:val="008448E0"/>
    <w:rsid w:val="00845530"/>
    <w:rsid w:val="0085656C"/>
    <w:rsid w:val="00861486"/>
    <w:rsid w:val="008702E5"/>
    <w:rsid w:val="00872862"/>
    <w:rsid w:val="00873EA2"/>
    <w:rsid w:val="0087557F"/>
    <w:rsid w:val="008824F8"/>
    <w:rsid w:val="0088428B"/>
    <w:rsid w:val="00890D2A"/>
    <w:rsid w:val="008979F4"/>
    <w:rsid w:val="008B2435"/>
    <w:rsid w:val="008C3F7B"/>
    <w:rsid w:val="008D4A4A"/>
    <w:rsid w:val="008F0BFB"/>
    <w:rsid w:val="00904440"/>
    <w:rsid w:val="00916DEC"/>
    <w:rsid w:val="00923319"/>
    <w:rsid w:val="00924085"/>
    <w:rsid w:val="009241FD"/>
    <w:rsid w:val="009379EC"/>
    <w:rsid w:val="00965B2D"/>
    <w:rsid w:val="009764C5"/>
    <w:rsid w:val="00986C61"/>
    <w:rsid w:val="00991A0B"/>
    <w:rsid w:val="00992486"/>
    <w:rsid w:val="00996001"/>
    <w:rsid w:val="009A1D4A"/>
    <w:rsid w:val="009B4CC2"/>
    <w:rsid w:val="009B7172"/>
    <w:rsid w:val="009C0179"/>
    <w:rsid w:val="009C03B7"/>
    <w:rsid w:val="009C0A24"/>
    <w:rsid w:val="009C12A9"/>
    <w:rsid w:val="009C2664"/>
    <w:rsid w:val="009D0251"/>
    <w:rsid w:val="009D06A6"/>
    <w:rsid w:val="009E16B2"/>
    <w:rsid w:val="009E4FA5"/>
    <w:rsid w:val="009E6948"/>
    <w:rsid w:val="00A0125D"/>
    <w:rsid w:val="00A06822"/>
    <w:rsid w:val="00A11A52"/>
    <w:rsid w:val="00A21F4D"/>
    <w:rsid w:val="00A33C6E"/>
    <w:rsid w:val="00A42512"/>
    <w:rsid w:val="00A501DD"/>
    <w:rsid w:val="00A52D98"/>
    <w:rsid w:val="00A545B4"/>
    <w:rsid w:val="00A54758"/>
    <w:rsid w:val="00A56671"/>
    <w:rsid w:val="00A6545F"/>
    <w:rsid w:val="00A672E9"/>
    <w:rsid w:val="00A72FAB"/>
    <w:rsid w:val="00A743C4"/>
    <w:rsid w:val="00A7555A"/>
    <w:rsid w:val="00A84A5D"/>
    <w:rsid w:val="00A86CFA"/>
    <w:rsid w:val="00A925F8"/>
    <w:rsid w:val="00A95A62"/>
    <w:rsid w:val="00A9672E"/>
    <w:rsid w:val="00AA167F"/>
    <w:rsid w:val="00AA2B07"/>
    <w:rsid w:val="00AB20F3"/>
    <w:rsid w:val="00AB34E0"/>
    <w:rsid w:val="00AB74E6"/>
    <w:rsid w:val="00AC25BD"/>
    <w:rsid w:val="00AC7BB3"/>
    <w:rsid w:val="00AD1C18"/>
    <w:rsid w:val="00B05EC3"/>
    <w:rsid w:val="00B118FA"/>
    <w:rsid w:val="00B23E64"/>
    <w:rsid w:val="00B40646"/>
    <w:rsid w:val="00B40EAA"/>
    <w:rsid w:val="00B427BE"/>
    <w:rsid w:val="00B43FEF"/>
    <w:rsid w:val="00B44123"/>
    <w:rsid w:val="00B569D2"/>
    <w:rsid w:val="00B570C2"/>
    <w:rsid w:val="00B773E3"/>
    <w:rsid w:val="00B846D4"/>
    <w:rsid w:val="00B86E34"/>
    <w:rsid w:val="00BA03F0"/>
    <w:rsid w:val="00BA34C5"/>
    <w:rsid w:val="00BA3587"/>
    <w:rsid w:val="00BA71D0"/>
    <w:rsid w:val="00BA72B5"/>
    <w:rsid w:val="00BB5F4C"/>
    <w:rsid w:val="00BB6BF6"/>
    <w:rsid w:val="00BC076D"/>
    <w:rsid w:val="00BC2196"/>
    <w:rsid w:val="00BD0EC7"/>
    <w:rsid w:val="00BD26F6"/>
    <w:rsid w:val="00BE6614"/>
    <w:rsid w:val="00BF2F99"/>
    <w:rsid w:val="00BF5E2F"/>
    <w:rsid w:val="00BF74D5"/>
    <w:rsid w:val="00C00E8B"/>
    <w:rsid w:val="00C03A4E"/>
    <w:rsid w:val="00C0580D"/>
    <w:rsid w:val="00C077C8"/>
    <w:rsid w:val="00C11A12"/>
    <w:rsid w:val="00C14D4A"/>
    <w:rsid w:val="00C15430"/>
    <w:rsid w:val="00C16506"/>
    <w:rsid w:val="00C168C5"/>
    <w:rsid w:val="00C20DFB"/>
    <w:rsid w:val="00C20E28"/>
    <w:rsid w:val="00C30A44"/>
    <w:rsid w:val="00C3153F"/>
    <w:rsid w:val="00C3238A"/>
    <w:rsid w:val="00C33E6F"/>
    <w:rsid w:val="00C34407"/>
    <w:rsid w:val="00C37A40"/>
    <w:rsid w:val="00C42BAD"/>
    <w:rsid w:val="00C434E1"/>
    <w:rsid w:val="00C46536"/>
    <w:rsid w:val="00C504E5"/>
    <w:rsid w:val="00C54F73"/>
    <w:rsid w:val="00C663AA"/>
    <w:rsid w:val="00C849BF"/>
    <w:rsid w:val="00C85D55"/>
    <w:rsid w:val="00C91124"/>
    <w:rsid w:val="00C927A8"/>
    <w:rsid w:val="00C939AD"/>
    <w:rsid w:val="00C95157"/>
    <w:rsid w:val="00C96FFC"/>
    <w:rsid w:val="00CA139D"/>
    <w:rsid w:val="00CA3574"/>
    <w:rsid w:val="00CA6FAA"/>
    <w:rsid w:val="00CB10B5"/>
    <w:rsid w:val="00CB5E8E"/>
    <w:rsid w:val="00CB6F2F"/>
    <w:rsid w:val="00CC00E6"/>
    <w:rsid w:val="00CC0825"/>
    <w:rsid w:val="00CC5713"/>
    <w:rsid w:val="00CC7A32"/>
    <w:rsid w:val="00CD3B1A"/>
    <w:rsid w:val="00CD4119"/>
    <w:rsid w:val="00CD7703"/>
    <w:rsid w:val="00CE047D"/>
    <w:rsid w:val="00CE1342"/>
    <w:rsid w:val="00CE3CB5"/>
    <w:rsid w:val="00CE5288"/>
    <w:rsid w:val="00CE6275"/>
    <w:rsid w:val="00CF0646"/>
    <w:rsid w:val="00CF7B29"/>
    <w:rsid w:val="00D056C8"/>
    <w:rsid w:val="00D13B04"/>
    <w:rsid w:val="00D14F29"/>
    <w:rsid w:val="00D16C00"/>
    <w:rsid w:val="00D23461"/>
    <w:rsid w:val="00D23FDD"/>
    <w:rsid w:val="00D311D9"/>
    <w:rsid w:val="00D37DA8"/>
    <w:rsid w:val="00D42003"/>
    <w:rsid w:val="00D5189B"/>
    <w:rsid w:val="00D51BB4"/>
    <w:rsid w:val="00D52DB5"/>
    <w:rsid w:val="00D6370D"/>
    <w:rsid w:val="00D6784F"/>
    <w:rsid w:val="00D75910"/>
    <w:rsid w:val="00D87F00"/>
    <w:rsid w:val="00D87F5E"/>
    <w:rsid w:val="00D95E5E"/>
    <w:rsid w:val="00DA2C35"/>
    <w:rsid w:val="00DA2F17"/>
    <w:rsid w:val="00DA6409"/>
    <w:rsid w:val="00DC34E2"/>
    <w:rsid w:val="00DE2187"/>
    <w:rsid w:val="00DF56E3"/>
    <w:rsid w:val="00E13448"/>
    <w:rsid w:val="00E13851"/>
    <w:rsid w:val="00E22496"/>
    <w:rsid w:val="00E22972"/>
    <w:rsid w:val="00E34993"/>
    <w:rsid w:val="00E369BC"/>
    <w:rsid w:val="00E379FA"/>
    <w:rsid w:val="00E401B0"/>
    <w:rsid w:val="00E51D06"/>
    <w:rsid w:val="00E571F6"/>
    <w:rsid w:val="00E60364"/>
    <w:rsid w:val="00E737B7"/>
    <w:rsid w:val="00E740CF"/>
    <w:rsid w:val="00E851BC"/>
    <w:rsid w:val="00E900EF"/>
    <w:rsid w:val="00E95320"/>
    <w:rsid w:val="00E95AF8"/>
    <w:rsid w:val="00E96784"/>
    <w:rsid w:val="00E976B3"/>
    <w:rsid w:val="00EA2087"/>
    <w:rsid w:val="00EB0EE6"/>
    <w:rsid w:val="00EB34C5"/>
    <w:rsid w:val="00EB7652"/>
    <w:rsid w:val="00EC04D8"/>
    <w:rsid w:val="00EC2A52"/>
    <w:rsid w:val="00EC5D63"/>
    <w:rsid w:val="00ED00FA"/>
    <w:rsid w:val="00EE581D"/>
    <w:rsid w:val="00EF430D"/>
    <w:rsid w:val="00EF5D61"/>
    <w:rsid w:val="00F026DE"/>
    <w:rsid w:val="00F070DF"/>
    <w:rsid w:val="00F100BE"/>
    <w:rsid w:val="00F159E1"/>
    <w:rsid w:val="00F20F5A"/>
    <w:rsid w:val="00F21C57"/>
    <w:rsid w:val="00F24AF9"/>
    <w:rsid w:val="00F2769C"/>
    <w:rsid w:val="00F30D16"/>
    <w:rsid w:val="00F33F94"/>
    <w:rsid w:val="00F451DA"/>
    <w:rsid w:val="00F51F4C"/>
    <w:rsid w:val="00F52BA4"/>
    <w:rsid w:val="00F53D90"/>
    <w:rsid w:val="00F540B7"/>
    <w:rsid w:val="00F62EB3"/>
    <w:rsid w:val="00F771DF"/>
    <w:rsid w:val="00F97EFF"/>
    <w:rsid w:val="00FA08B8"/>
    <w:rsid w:val="00FB047E"/>
    <w:rsid w:val="00FB1925"/>
    <w:rsid w:val="00FC4834"/>
    <w:rsid w:val="00FC6928"/>
    <w:rsid w:val="00FD0500"/>
    <w:rsid w:val="00FD1E96"/>
    <w:rsid w:val="00FD404C"/>
    <w:rsid w:val="00FE0B5E"/>
    <w:rsid w:val="00FE5447"/>
    <w:rsid w:val="00FE5D16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3C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CA1"/>
  </w:style>
  <w:style w:type="paragraph" w:styleId="Footer">
    <w:name w:val="footer"/>
    <w:basedOn w:val="Normal"/>
    <w:link w:val="FooterChar"/>
    <w:uiPriority w:val="99"/>
    <w:unhideWhenUsed/>
    <w:rsid w:val="00373C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A1"/>
  </w:style>
  <w:style w:type="table" w:customStyle="1" w:styleId="Grilledutableau1">
    <w:name w:val="Grille du tableau1"/>
    <w:basedOn w:val="TableNormal"/>
    <w:uiPriority w:val="59"/>
    <w:rsid w:val="00543E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4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Drabovich</dc:creator>
  <cp:lastModifiedBy>Home</cp:lastModifiedBy>
  <cp:revision>4</cp:revision>
  <cp:lastPrinted>2021-10-14T02:55:00Z</cp:lastPrinted>
  <dcterms:created xsi:type="dcterms:W3CDTF">2021-10-25T19:27:00Z</dcterms:created>
  <dcterms:modified xsi:type="dcterms:W3CDTF">2021-10-25T19:48:00Z</dcterms:modified>
</cp:coreProperties>
</file>