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FDE73" w14:textId="0591321F" w:rsidR="002972AA" w:rsidRDefault="1DFE3FFF" w:rsidP="00A342A7">
      <w:pPr>
        <w:jc w:val="both"/>
        <w:rPr>
          <w:rFonts w:cs="Times New Roman (Body CS)"/>
          <w:b/>
          <w:bCs/>
          <w:caps/>
        </w:rPr>
      </w:pPr>
      <w:r w:rsidRPr="1DFE3FFF">
        <w:rPr>
          <w:rFonts w:cs="Times New Roman (Body CS)"/>
          <w:b/>
          <w:bCs/>
          <w:caps/>
        </w:rPr>
        <w:t>Supplementary Figure Legends</w:t>
      </w:r>
    </w:p>
    <w:p w14:paraId="408C8CC0" w14:textId="26FFAFBC" w:rsidR="002972AA" w:rsidRDefault="002972AA" w:rsidP="00A342A7">
      <w:pPr>
        <w:jc w:val="both"/>
      </w:pPr>
    </w:p>
    <w:p w14:paraId="3A05862E" w14:textId="00F9661C" w:rsidR="00A342A7" w:rsidRDefault="00A342A7" w:rsidP="00A342A7">
      <w:pPr>
        <w:jc w:val="both"/>
      </w:pPr>
    </w:p>
    <w:p w14:paraId="306E9C88" w14:textId="5CAC8A59" w:rsidR="00A342A7" w:rsidRDefault="00A342A7" w:rsidP="00A342A7">
      <w:pPr>
        <w:jc w:val="center"/>
      </w:pPr>
      <w:r>
        <w:rPr>
          <w:noProof/>
        </w:rPr>
        <w:drawing>
          <wp:inline distT="0" distB="0" distL="0" distR="0" wp14:anchorId="7BDD0839" wp14:editId="0998118B">
            <wp:extent cx="5943600" cy="4933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extLst>
                        <a:ext uri="{28A0092B-C50C-407E-A947-70E740481C1C}">
                          <a14:useLocalDpi xmlns:a14="http://schemas.microsoft.com/office/drawing/2010/main" val="0"/>
                        </a:ext>
                      </a:extLst>
                    </a:blip>
                    <a:srcRect t="3963" b="31891"/>
                    <a:stretch/>
                  </pic:blipFill>
                  <pic:spPr bwMode="auto">
                    <a:xfrm>
                      <a:off x="0" y="0"/>
                      <a:ext cx="5943600" cy="4933950"/>
                    </a:xfrm>
                    <a:prstGeom prst="rect">
                      <a:avLst/>
                    </a:prstGeom>
                    <a:ln>
                      <a:noFill/>
                    </a:ln>
                    <a:extLst>
                      <a:ext uri="{53640926-AAD7-44D8-BBD7-CCE9431645EC}">
                        <a14:shadowObscured xmlns:a14="http://schemas.microsoft.com/office/drawing/2010/main"/>
                      </a:ext>
                    </a:extLst>
                  </pic:spPr>
                </pic:pic>
              </a:graphicData>
            </a:graphic>
          </wp:inline>
        </w:drawing>
      </w:r>
    </w:p>
    <w:p w14:paraId="59883708" w14:textId="6244729D" w:rsidR="002972AA" w:rsidRDefault="1DFE3FFF" w:rsidP="00A342A7">
      <w:pPr>
        <w:jc w:val="both"/>
      </w:pPr>
      <w:r w:rsidRPr="1DFE3FFF">
        <w:rPr>
          <w:b/>
          <w:bCs/>
        </w:rPr>
        <w:t>Supplementary Figure 1.</w:t>
      </w:r>
      <w:r>
        <w:t xml:space="preserve"> Spearman correlation heatmap showing colored circles (red for positive correlation and blue for negative correlation) for each comparison between all numeric variables used in this study. Additionally, the heatmap is hierarchically clustered showing associations between variables that are close to each. Immediately visible is two main clusters, one for chest CT measurements and one for cytokines.</w:t>
      </w:r>
    </w:p>
    <w:p w14:paraId="76EDDBA8" w14:textId="1E10A815" w:rsidR="00A342A7" w:rsidRDefault="00A342A7" w:rsidP="00A342A7">
      <w:pPr>
        <w:jc w:val="both"/>
      </w:pPr>
    </w:p>
    <w:p w14:paraId="000CDE69" w14:textId="08BD1F24" w:rsidR="00A342A7" w:rsidRDefault="00A342A7" w:rsidP="00A342A7">
      <w:pPr>
        <w:jc w:val="both"/>
      </w:pPr>
    </w:p>
    <w:p w14:paraId="5A605602" w14:textId="3CD07F7C" w:rsidR="00A342A7" w:rsidRDefault="00A342A7" w:rsidP="00A342A7">
      <w:pPr>
        <w:jc w:val="both"/>
      </w:pPr>
    </w:p>
    <w:p w14:paraId="25B789DF" w14:textId="0D30F0FA" w:rsidR="00A342A7" w:rsidRDefault="00A342A7" w:rsidP="00A342A7">
      <w:pPr>
        <w:jc w:val="both"/>
      </w:pPr>
    </w:p>
    <w:p w14:paraId="29996CCE" w14:textId="7DEFE756" w:rsidR="00A342A7" w:rsidRDefault="00A342A7" w:rsidP="00A342A7">
      <w:pPr>
        <w:jc w:val="both"/>
      </w:pPr>
    </w:p>
    <w:p w14:paraId="778AB989" w14:textId="1FFCC12C" w:rsidR="00A342A7" w:rsidRDefault="00A342A7" w:rsidP="00A342A7">
      <w:pPr>
        <w:jc w:val="both"/>
      </w:pPr>
    </w:p>
    <w:p w14:paraId="3E8B66F6" w14:textId="04F9CB21" w:rsidR="00A342A7" w:rsidRDefault="00A342A7" w:rsidP="00A342A7">
      <w:pPr>
        <w:jc w:val="both"/>
      </w:pPr>
    </w:p>
    <w:p w14:paraId="7DF269B5" w14:textId="77777777" w:rsidR="00A342A7" w:rsidRDefault="00A342A7" w:rsidP="00A342A7">
      <w:pPr>
        <w:jc w:val="both"/>
      </w:pPr>
    </w:p>
    <w:p w14:paraId="4C8B6FE8" w14:textId="1C50EFD9" w:rsidR="00A17F0C" w:rsidRDefault="00A17F0C" w:rsidP="00A342A7">
      <w:pPr>
        <w:jc w:val="both"/>
      </w:pPr>
    </w:p>
    <w:p w14:paraId="1C5B3DA8" w14:textId="2B528151" w:rsidR="00A342A7" w:rsidRDefault="00A342A7" w:rsidP="00A342A7">
      <w:pPr>
        <w:jc w:val="center"/>
        <w:rPr>
          <w:b/>
          <w:bCs/>
        </w:rPr>
      </w:pPr>
      <w:r>
        <w:rPr>
          <w:b/>
          <w:bCs/>
          <w:noProof/>
        </w:rPr>
        <w:lastRenderedPageBreak/>
        <w:drawing>
          <wp:inline distT="0" distB="0" distL="0" distR="0" wp14:anchorId="1737CB6F" wp14:editId="4096ADD9">
            <wp:extent cx="3928630" cy="3324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a:extLst>
                        <a:ext uri="{28A0092B-C50C-407E-A947-70E740481C1C}">
                          <a14:useLocalDpi xmlns:a14="http://schemas.microsoft.com/office/drawing/2010/main" val="0"/>
                        </a:ext>
                      </a:extLst>
                    </a:blip>
                    <a:srcRect t="1239" b="33378"/>
                    <a:stretch/>
                  </pic:blipFill>
                  <pic:spPr bwMode="auto">
                    <a:xfrm>
                      <a:off x="0" y="0"/>
                      <a:ext cx="3952648" cy="3344548"/>
                    </a:xfrm>
                    <a:prstGeom prst="rect">
                      <a:avLst/>
                    </a:prstGeom>
                    <a:ln>
                      <a:noFill/>
                    </a:ln>
                    <a:extLst>
                      <a:ext uri="{53640926-AAD7-44D8-BBD7-CCE9431645EC}">
                        <a14:shadowObscured xmlns:a14="http://schemas.microsoft.com/office/drawing/2010/main"/>
                      </a:ext>
                    </a:extLst>
                  </pic:spPr>
                </pic:pic>
              </a:graphicData>
            </a:graphic>
          </wp:inline>
        </w:drawing>
      </w:r>
    </w:p>
    <w:p w14:paraId="663E0C84" w14:textId="07D5D83B" w:rsidR="00755FE1" w:rsidRDefault="1DFE3FFF" w:rsidP="00A342A7">
      <w:pPr>
        <w:jc w:val="both"/>
      </w:pPr>
      <w:r w:rsidRPr="1DFE3FFF">
        <w:rPr>
          <w:b/>
          <w:bCs/>
        </w:rPr>
        <w:t>Supplementary Figure 2</w:t>
      </w:r>
      <w:r>
        <w:t>. Cox proportional hazard model showing that age separated in 4 quantiles does not show significant differences for the probability of survival.</w:t>
      </w:r>
    </w:p>
    <w:p w14:paraId="31D510B3" w14:textId="77777777" w:rsidR="00A342A7" w:rsidRDefault="00A342A7" w:rsidP="00A342A7">
      <w:pPr>
        <w:jc w:val="both"/>
      </w:pPr>
    </w:p>
    <w:p w14:paraId="579065A4" w14:textId="536172A5" w:rsidR="00755FE1" w:rsidRDefault="00755FE1" w:rsidP="00A342A7">
      <w:pPr>
        <w:jc w:val="both"/>
      </w:pPr>
    </w:p>
    <w:p w14:paraId="5C78032D" w14:textId="6FCDC818" w:rsidR="00A342A7" w:rsidRDefault="00A342A7" w:rsidP="00A342A7">
      <w:pPr>
        <w:jc w:val="center"/>
      </w:pPr>
      <w:r>
        <w:rPr>
          <w:noProof/>
        </w:rPr>
        <w:drawing>
          <wp:inline distT="0" distB="0" distL="0" distR="0" wp14:anchorId="44822A38" wp14:editId="0CFAAD45">
            <wp:extent cx="4067955" cy="318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a:extLst>
                        <a:ext uri="{28A0092B-C50C-407E-A947-70E740481C1C}">
                          <a14:useLocalDpi xmlns:a14="http://schemas.microsoft.com/office/drawing/2010/main" val="0"/>
                        </a:ext>
                      </a:extLst>
                    </a:blip>
                    <a:srcRect t="5573" b="33997"/>
                    <a:stretch/>
                  </pic:blipFill>
                  <pic:spPr bwMode="auto">
                    <a:xfrm>
                      <a:off x="0" y="0"/>
                      <a:ext cx="4105938" cy="3211055"/>
                    </a:xfrm>
                    <a:prstGeom prst="rect">
                      <a:avLst/>
                    </a:prstGeom>
                    <a:ln>
                      <a:noFill/>
                    </a:ln>
                    <a:extLst>
                      <a:ext uri="{53640926-AAD7-44D8-BBD7-CCE9431645EC}">
                        <a14:shadowObscured xmlns:a14="http://schemas.microsoft.com/office/drawing/2010/main"/>
                      </a:ext>
                    </a:extLst>
                  </pic:spPr>
                </pic:pic>
              </a:graphicData>
            </a:graphic>
          </wp:inline>
        </w:drawing>
      </w:r>
    </w:p>
    <w:p w14:paraId="4A6D3F08" w14:textId="5C17FF1B" w:rsidR="00A342A7" w:rsidRDefault="00A342A7" w:rsidP="00A342A7">
      <w:pPr>
        <w:jc w:val="both"/>
      </w:pPr>
    </w:p>
    <w:p w14:paraId="1FA2A08D" w14:textId="77777777" w:rsidR="00A342A7" w:rsidRDefault="00A342A7" w:rsidP="00A342A7">
      <w:pPr>
        <w:jc w:val="both"/>
      </w:pPr>
    </w:p>
    <w:p w14:paraId="535AD5EE" w14:textId="5BB913EB" w:rsidR="00A17F0C" w:rsidRPr="00A17F0C" w:rsidRDefault="1DFE3FFF" w:rsidP="00A342A7">
      <w:pPr>
        <w:jc w:val="both"/>
      </w:pPr>
      <w:r w:rsidRPr="1DFE3FFF">
        <w:rPr>
          <w:b/>
          <w:bCs/>
        </w:rPr>
        <w:t>Supplementary Figure 3</w:t>
      </w:r>
      <w:r>
        <w:t>. Cox proportional hazard model showing that gender separated in male and female does not show significant differences for the probability of survival.</w:t>
      </w:r>
    </w:p>
    <w:p w14:paraId="4C458B5E" w14:textId="7A6A7B34" w:rsidR="00A17F0C" w:rsidRDefault="00A17F0C" w:rsidP="00A342A7">
      <w:pPr>
        <w:jc w:val="both"/>
      </w:pPr>
    </w:p>
    <w:p w14:paraId="34ACF6B3" w14:textId="77777777" w:rsidR="00A342A7" w:rsidRDefault="00A342A7" w:rsidP="00A342A7">
      <w:pPr>
        <w:jc w:val="both"/>
        <w:rPr>
          <w:b/>
          <w:bCs/>
        </w:rPr>
      </w:pPr>
    </w:p>
    <w:p w14:paraId="70A239D0" w14:textId="2CEC8E5C" w:rsidR="00A342A7" w:rsidRDefault="00A342A7" w:rsidP="00A342A7">
      <w:pPr>
        <w:jc w:val="center"/>
        <w:rPr>
          <w:b/>
          <w:bCs/>
        </w:rPr>
      </w:pPr>
      <w:r>
        <w:rPr>
          <w:b/>
          <w:bCs/>
          <w:noProof/>
        </w:rPr>
        <w:drawing>
          <wp:inline distT="0" distB="0" distL="0" distR="0" wp14:anchorId="0A1E3A63" wp14:editId="66301925">
            <wp:extent cx="3971684" cy="3207898"/>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a:extLst>
                        <a:ext uri="{28A0092B-C50C-407E-A947-70E740481C1C}">
                          <a14:useLocalDpi xmlns:a14="http://schemas.microsoft.com/office/drawing/2010/main" val="0"/>
                        </a:ext>
                      </a:extLst>
                    </a:blip>
                    <a:srcRect t="3095" b="34492"/>
                    <a:stretch/>
                  </pic:blipFill>
                  <pic:spPr bwMode="auto">
                    <a:xfrm>
                      <a:off x="0" y="0"/>
                      <a:ext cx="3996294" cy="3227775"/>
                    </a:xfrm>
                    <a:prstGeom prst="rect">
                      <a:avLst/>
                    </a:prstGeom>
                    <a:ln>
                      <a:noFill/>
                    </a:ln>
                    <a:extLst>
                      <a:ext uri="{53640926-AAD7-44D8-BBD7-CCE9431645EC}">
                        <a14:shadowObscured xmlns:a14="http://schemas.microsoft.com/office/drawing/2010/main"/>
                      </a:ext>
                    </a:extLst>
                  </pic:spPr>
                </pic:pic>
              </a:graphicData>
            </a:graphic>
          </wp:inline>
        </w:drawing>
      </w:r>
    </w:p>
    <w:p w14:paraId="02464F46" w14:textId="77777777" w:rsidR="00A342A7" w:rsidRDefault="00A342A7" w:rsidP="00A342A7">
      <w:pPr>
        <w:jc w:val="both"/>
        <w:rPr>
          <w:b/>
          <w:bCs/>
        </w:rPr>
      </w:pPr>
    </w:p>
    <w:p w14:paraId="16EBD712" w14:textId="10058949" w:rsidR="00517CF1" w:rsidRDefault="1DFE3FFF" w:rsidP="00A342A7">
      <w:pPr>
        <w:jc w:val="both"/>
      </w:pPr>
      <w:r w:rsidRPr="1DFE3FFF">
        <w:rPr>
          <w:b/>
          <w:bCs/>
        </w:rPr>
        <w:t>Supplementary Figure 4</w:t>
      </w:r>
      <w:r>
        <w:t>. Cox proportional hazard model showing that BMI separated in 4 quantiles does not show significant differences for the probability of survival.</w:t>
      </w:r>
    </w:p>
    <w:p w14:paraId="3F707E33" w14:textId="59A64BB5" w:rsidR="00A342A7" w:rsidRDefault="00A342A7" w:rsidP="00A342A7">
      <w:pPr>
        <w:jc w:val="both"/>
      </w:pPr>
    </w:p>
    <w:p w14:paraId="5BB34F25" w14:textId="08F029F8" w:rsidR="00A342A7" w:rsidRDefault="00A342A7" w:rsidP="00A342A7">
      <w:pPr>
        <w:jc w:val="both"/>
      </w:pPr>
    </w:p>
    <w:p w14:paraId="0086B550" w14:textId="7E64C9CA" w:rsidR="00A342A7" w:rsidRPr="00517CF1" w:rsidRDefault="00A342A7" w:rsidP="00A342A7">
      <w:pPr>
        <w:jc w:val="center"/>
      </w:pPr>
      <w:r>
        <w:rPr>
          <w:noProof/>
        </w:rPr>
        <w:drawing>
          <wp:inline distT="0" distB="0" distL="0" distR="0" wp14:anchorId="7B9E54FF" wp14:editId="5350684F">
            <wp:extent cx="3962400" cy="3143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extLst>
                        <a:ext uri="{28A0092B-C50C-407E-A947-70E740481C1C}">
                          <a14:useLocalDpi xmlns:a14="http://schemas.microsoft.com/office/drawing/2010/main" val="0"/>
                        </a:ext>
                      </a:extLst>
                    </a:blip>
                    <a:srcRect t="3715" b="34987"/>
                    <a:stretch/>
                  </pic:blipFill>
                  <pic:spPr bwMode="auto">
                    <a:xfrm>
                      <a:off x="0" y="0"/>
                      <a:ext cx="3983767" cy="3160200"/>
                    </a:xfrm>
                    <a:prstGeom prst="rect">
                      <a:avLst/>
                    </a:prstGeom>
                    <a:ln>
                      <a:noFill/>
                    </a:ln>
                    <a:extLst>
                      <a:ext uri="{53640926-AAD7-44D8-BBD7-CCE9431645EC}">
                        <a14:shadowObscured xmlns:a14="http://schemas.microsoft.com/office/drawing/2010/main"/>
                      </a:ext>
                    </a:extLst>
                  </pic:spPr>
                </pic:pic>
              </a:graphicData>
            </a:graphic>
          </wp:inline>
        </w:drawing>
      </w:r>
    </w:p>
    <w:p w14:paraId="62057898" w14:textId="77777777" w:rsidR="00517CF1" w:rsidRPr="00A17F0C" w:rsidRDefault="00517CF1" w:rsidP="00A342A7">
      <w:pPr>
        <w:jc w:val="both"/>
      </w:pPr>
    </w:p>
    <w:p w14:paraId="3895CC2B" w14:textId="6DA6968C" w:rsidR="008F6AF7" w:rsidRDefault="1DFE3FFF" w:rsidP="00A342A7">
      <w:pPr>
        <w:jc w:val="both"/>
      </w:pPr>
      <w:r w:rsidRPr="1DFE3FFF">
        <w:rPr>
          <w:b/>
          <w:bCs/>
        </w:rPr>
        <w:t>Supplementary Figure 5</w:t>
      </w:r>
      <w:r>
        <w:t>. Cox proportional hazard model showing that O2 saturation separated in 4 quantiles showed significant differences for the probability of survival.</w:t>
      </w:r>
    </w:p>
    <w:p w14:paraId="1CBE40E5" w14:textId="49CC5D65" w:rsidR="00CD0F6C" w:rsidRDefault="00CD0F6C" w:rsidP="00A342A7">
      <w:pPr>
        <w:jc w:val="both"/>
      </w:pPr>
    </w:p>
    <w:p w14:paraId="7BC5C60D" w14:textId="045CF268" w:rsidR="009361BA" w:rsidRDefault="009361BA" w:rsidP="009361BA">
      <w:pPr>
        <w:jc w:val="center"/>
        <w:rPr>
          <w:b/>
          <w:bCs/>
        </w:rPr>
      </w:pPr>
      <w:r>
        <w:rPr>
          <w:b/>
          <w:bCs/>
          <w:noProof/>
        </w:rPr>
        <w:lastRenderedPageBreak/>
        <w:drawing>
          <wp:inline distT="0" distB="0" distL="0" distR="0" wp14:anchorId="7CCC28C3" wp14:editId="6A7A0336">
            <wp:extent cx="4905375" cy="32938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extLst>
                        <a:ext uri="{28A0092B-C50C-407E-A947-70E740481C1C}">
                          <a14:useLocalDpi xmlns:a14="http://schemas.microsoft.com/office/drawing/2010/main" val="0"/>
                        </a:ext>
                      </a:extLst>
                    </a:blip>
                    <a:srcRect t="3344" b="44770"/>
                    <a:stretch/>
                  </pic:blipFill>
                  <pic:spPr bwMode="auto">
                    <a:xfrm>
                      <a:off x="0" y="0"/>
                      <a:ext cx="4914205" cy="3299763"/>
                    </a:xfrm>
                    <a:prstGeom prst="rect">
                      <a:avLst/>
                    </a:prstGeom>
                    <a:ln>
                      <a:noFill/>
                    </a:ln>
                    <a:extLst>
                      <a:ext uri="{53640926-AAD7-44D8-BBD7-CCE9431645EC}">
                        <a14:shadowObscured xmlns:a14="http://schemas.microsoft.com/office/drawing/2010/main"/>
                      </a:ext>
                    </a:extLst>
                  </pic:spPr>
                </pic:pic>
              </a:graphicData>
            </a:graphic>
          </wp:inline>
        </w:drawing>
      </w:r>
    </w:p>
    <w:p w14:paraId="13261417" w14:textId="77777777" w:rsidR="009361BA" w:rsidRDefault="009361BA" w:rsidP="00A342A7">
      <w:pPr>
        <w:jc w:val="both"/>
        <w:rPr>
          <w:b/>
          <w:bCs/>
        </w:rPr>
      </w:pPr>
    </w:p>
    <w:p w14:paraId="2DA57567" w14:textId="65DA254D" w:rsidR="00CD0F6C" w:rsidRDefault="1DFE3FFF" w:rsidP="00A342A7">
      <w:pPr>
        <w:jc w:val="both"/>
      </w:pPr>
      <w:r w:rsidRPr="1DFE3FFF">
        <w:rPr>
          <w:b/>
          <w:bCs/>
        </w:rPr>
        <w:t>Supplementary Figure 6</w:t>
      </w:r>
      <w:r>
        <w:t>. Cox proportional hazard model showing that IL</w:t>
      </w:r>
      <w:r w:rsidR="00755FE1">
        <w:t>-</w:t>
      </w:r>
      <w:r>
        <w:t>6 separated in low/high show significant differences for the probability of survival.</w:t>
      </w:r>
    </w:p>
    <w:p w14:paraId="7CD5F062" w14:textId="3673D1A5" w:rsidR="009361BA" w:rsidRDefault="009361BA" w:rsidP="00A342A7">
      <w:pPr>
        <w:jc w:val="both"/>
      </w:pPr>
    </w:p>
    <w:p w14:paraId="143E6C1A" w14:textId="0418F127" w:rsidR="009361BA" w:rsidRDefault="009361BA" w:rsidP="009361BA">
      <w:pPr>
        <w:jc w:val="center"/>
      </w:pPr>
      <w:r>
        <w:rPr>
          <w:noProof/>
        </w:rPr>
        <w:drawing>
          <wp:inline distT="0" distB="0" distL="0" distR="0" wp14:anchorId="4BE80709" wp14:editId="4D25F023">
            <wp:extent cx="4791075" cy="32170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t="3344" b="44770"/>
                    <a:stretch/>
                  </pic:blipFill>
                  <pic:spPr bwMode="auto">
                    <a:xfrm>
                      <a:off x="0" y="0"/>
                      <a:ext cx="4822089" cy="3237909"/>
                    </a:xfrm>
                    <a:prstGeom prst="rect">
                      <a:avLst/>
                    </a:prstGeom>
                    <a:ln>
                      <a:noFill/>
                    </a:ln>
                    <a:extLst>
                      <a:ext uri="{53640926-AAD7-44D8-BBD7-CCE9431645EC}">
                        <a14:shadowObscured xmlns:a14="http://schemas.microsoft.com/office/drawing/2010/main"/>
                      </a:ext>
                    </a:extLst>
                  </pic:spPr>
                </pic:pic>
              </a:graphicData>
            </a:graphic>
          </wp:inline>
        </w:drawing>
      </w:r>
    </w:p>
    <w:p w14:paraId="79492814" w14:textId="77777777" w:rsidR="009361BA" w:rsidRPr="00CD0F6C" w:rsidRDefault="009361BA" w:rsidP="00A342A7">
      <w:pPr>
        <w:jc w:val="both"/>
      </w:pPr>
    </w:p>
    <w:p w14:paraId="4027BB1E" w14:textId="29C6E968" w:rsidR="00CD0F6C" w:rsidRDefault="00CD0F6C" w:rsidP="00A342A7">
      <w:pPr>
        <w:jc w:val="both"/>
      </w:pPr>
    </w:p>
    <w:p w14:paraId="1B129816" w14:textId="03EBAECD" w:rsidR="000E3A92" w:rsidRDefault="1DFE3FFF" w:rsidP="00A342A7">
      <w:pPr>
        <w:jc w:val="both"/>
      </w:pPr>
      <w:r w:rsidRPr="1DFE3FFF">
        <w:rPr>
          <w:b/>
          <w:bCs/>
        </w:rPr>
        <w:t>Supplementary Figure 7</w:t>
      </w:r>
      <w:r>
        <w:t>. Cox proportional hazard model showing that TNF-</w:t>
      </w:r>
      <w:r w:rsidRPr="1DFE3FFF">
        <w:rPr>
          <w:rFonts w:ascii="Symbol" w:eastAsia="Symbol" w:hAnsi="Symbol" w:cs="Symbol"/>
        </w:rPr>
        <w:t>a</w:t>
      </w:r>
      <w:r>
        <w:t xml:space="preserve"> separated in low/high show significant differences for the probability of survival.</w:t>
      </w:r>
    </w:p>
    <w:p w14:paraId="37CBB615" w14:textId="1D150FC2" w:rsidR="008F5F4D" w:rsidRDefault="008F5F4D" w:rsidP="00A342A7">
      <w:pPr>
        <w:jc w:val="both"/>
      </w:pPr>
    </w:p>
    <w:p w14:paraId="48A819F1" w14:textId="77777777" w:rsidR="009361BA" w:rsidRDefault="009361BA" w:rsidP="00A342A7">
      <w:pPr>
        <w:jc w:val="both"/>
        <w:rPr>
          <w:b/>
          <w:bCs/>
        </w:rPr>
      </w:pPr>
    </w:p>
    <w:p w14:paraId="0FE8D405" w14:textId="6C63ECD5" w:rsidR="009361BA" w:rsidRDefault="009361BA" w:rsidP="009361BA">
      <w:pPr>
        <w:jc w:val="center"/>
        <w:rPr>
          <w:b/>
          <w:bCs/>
        </w:rPr>
      </w:pPr>
      <w:r>
        <w:rPr>
          <w:b/>
          <w:bCs/>
          <w:noProof/>
        </w:rPr>
        <w:drawing>
          <wp:inline distT="0" distB="0" distL="0" distR="0" wp14:anchorId="508187E3" wp14:editId="609BDED5">
            <wp:extent cx="4538345" cy="31419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b="46503"/>
                    <a:stretch/>
                  </pic:blipFill>
                  <pic:spPr bwMode="auto">
                    <a:xfrm>
                      <a:off x="0" y="0"/>
                      <a:ext cx="4572307" cy="3165443"/>
                    </a:xfrm>
                    <a:prstGeom prst="rect">
                      <a:avLst/>
                    </a:prstGeom>
                    <a:ln>
                      <a:noFill/>
                    </a:ln>
                    <a:extLst>
                      <a:ext uri="{53640926-AAD7-44D8-BBD7-CCE9431645EC}">
                        <a14:shadowObscured xmlns:a14="http://schemas.microsoft.com/office/drawing/2010/main"/>
                      </a:ext>
                    </a:extLst>
                  </pic:spPr>
                </pic:pic>
              </a:graphicData>
            </a:graphic>
          </wp:inline>
        </w:drawing>
      </w:r>
    </w:p>
    <w:p w14:paraId="7ACCDC05" w14:textId="77777777" w:rsidR="009361BA" w:rsidRDefault="009361BA" w:rsidP="00A342A7">
      <w:pPr>
        <w:jc w:val="both"/>
        <w:rPr>
          <w:b/>
          <w:bCs/>
        </w:rPr>
      </w:pPr>
    </w:p>
    <w:p w14:paraId="063BCB68" w14:textId="5D07343F" w:rsidR="009361BA" w:rsidRDefault="1DFE3FFF" w:rsidP="00A342A7">
      <w:pPr>
        <w:jc w:val="both"/>
      </w:pPr>
      <w:r w:rsidRPr="1DFE3FFF">
        <w:rPr>
          <w:b/>
          <w:bCs/>
        </w:rPr>
        <w:t>Supplementary Figure 8</w:t>
      </w:r>
      <w:r>
        <w:t>. Cox proportional hazard model showing that IL-8 separated in low/high show significant differences for the probability of survival.</w:t>
      </w:r>
    </w:p>
    <w:p w14:paraId="2432F29A" w14:textId="5191C068" w:rsidR="009361BA" w:rsidRDefault="009361BA" w:rsidP="00A342A7">
      <w:pPr>
        <w:jc w:val="both"/>
      </w:pPr>
    </w:p>
    <w:p w14:paraId="5F8F340A" w14:textId="72D4CB46" w:rsidR="009361BA" w:rsidRDefault="009361BA" w:rsidP="009361BA">
      <w:pPr>
        <w:jc w:val="center"/>
      </w:pPr>
      <w:r>
        <w:rPr>
          <w:noProof/>
        </w:rPr>
        <w:drawing>
          <wp:inline distT="0" distB="0" distL="0" distR="0" wp14:anchorId="68873AAF" wp14:editId="0BE9224C">
            <wp:extent cx="4338576" cy="32956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a:extLst>
                        <a:ext uri="{28A0092B-C50C-407E-A947-70E740481C1C}">
                          <a14:useLocalDpi xmlns:a14="http://schemas.microsoft.com/office/drawing/2010/main" val="0"/>
                        </a:ext>
                      </a:extLst>
                    </a:blip>
                    <a:srcRect b="41303"/>
                    <a:stretch/>
                  </pic:blipFill>
                  <pic:spPr bwMode="auto">
                    <a:xfrm>
                      <a:off x="0" y="0"/>
                      <a:ext cx="4362537" cy="3313851"/>
                    </a:xfrm>
                    <a:prstGeom prst="rect">
                      <a:avLst/>
                    </a:prstGeom>
                    <a:ln>
                      <a:noFill/>
                    </a:ln>
                    <a:extLst>
                      <a:ext uri="{53640926-AAD7-44D8-BBD7-CCE9431645EC}">
                        <a14:shadowObscured xmlns:a14="http://schemas.microsoft.com/office/drawing/2010/main"/>
                      </a:ext>
                    </a:extLst>
                  </pic:spPr>
                </pic:pic>
              </a:graphicData>
            </a:graphic>
          </wp:inline>
        </w:drawing>
      </w:r>
    </w:p>
    <w:p w14:paraId="4400C7C9" w14:textId="6CFD3DB6" w:rsidR="008F5F4D" w:rsidRDefault="008F5F4D" w:rsidP="00A342A7">
      <w:pPr>
        <w:jc w:val="both"/>
      </w:pPr>
    </w:p>
    <w:p w14:paraId="021CF8E3" w14:textId="54AB05B9" w:rsidR="008F5F4D" w:rsidRDefault="1DFE3FFF" w:rsidP="00A342A7">
      <w:pPr>
        <w:jc w:val="both"/>
      </w:pPr>
      <w:r w:rsidRPr="1DFE3FFF">
        <w:rPr>
          <w:b/>
          <w:bCs/>
        </w:rPr>
        <w:t>Supplementary Figure 9</w:t>
      </w:r>
      <w:r>
        <w:t>. Cox proportional hazard model showing that CT qualitative score separated in quantiles showed not significant differences for the probability of survival.</w:t>
      </w:r>
    </w:p>
    <w:p w14:paraId="3D4D2E4D" w14:textId="3BE4037F" w:rsidR="0070300C" w:rsidRDefault="0070300C" w:rsidP="00A342A7">
      <w:pPr>
        <w:jc w:val="both"/>
      </w:pPr>
    </w:p>
    <w:p w14:paraId="3566F9BA" w14:textId="4A871F33" w:rsidR="009361BA" w:rsidRDefault="009361BA" w:rsidP="00A342A7">
      <w:pPr>
        <w:jc w:val="both"/>
      </w:pPr>
    </w:p>
    <w:p w14:paraId="6DDDFA34" w14:textId="56C3CC59" w:rsidR="009361BA" w:rsidRDefault="009361BA" w:rsidP="009361BA">
      <w:pPr>
        <w:jc w:val="center"/>
      </w:pPr>
      <w:r>
        <w:rPr>
          <w:noProof/>
        </w:rPr>
        <w:drawing>
          <wp:inline distT="0" distB="0" distL="0" distR="0" wp14:anchorId="34437857" wp14:editId="4D8DDCFC">
            <wp:extent cx="3545840" cy="280144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a:extLst>
                        <a:ext uri="{28A0092B-C50C-407E-A947-70E740481C1C}">
                          <a14:useLocalDpi xmlns:a14="http://schemas.microsoft.com/office/drawing/2010/main" val="0"/>
                        </a:ext>
                      </a:extLst>
                    </a:blip>
                    <a:srcRect b="38950"/>
                    <a:stretch/>
                  </pic:blipFill>
                  <pic:spPr bwMode="auto">
                    <a:xfrm>
                      <a:off x="0" y="0"/>
                      <a:ext cx="3568308" cy="2819191"/>
                    </a:xfrm>
                    <a:prstGeom prst="rect">
                      <a:avLst/>
                    </a:prstGeom>
                    <a:ln>
                      <a:noFill/>
                    </a:ln>
                    <a:extLst>
                      <a:ext uri="{53640926-AAD7-44D8-BBD7-CCE9431645EC}">
                        <a14:shadowObscured xmlns:a14="http://schemas.microsoft.com/office/drawing/2010/main"/>
                      </a:ext>
                    </a:extLst>
                  </pic:spPr>
                </pic:pic>
              </a:graphicData>
            </a:graphic>
          </wp:inline>
        </w:drawing>
      </w:r>
    </w:p>
    <w:p w14:paraId="7199C674" w14:textId="308354A4" w:rsidR="0070300C" w:rsidRDefault="1DFE3FFF" w:rsidP="00A342A7">
      <w:pPr>
        <w:jc w:val="both"/>
      </w:pPr>
      <w:r w:rsidRPr="1DFE3FFF">
        <w:rPr>
          <w:b/>
          <w:bCs/>
        </w:rPr>
        <w:t>Supplementary Figure 10</w:t>
      </w:r>
      <w:r>
        <w:t>. Cox proportional hazard model showing that GGO Aerated lung ratio score separated in quantiles showed significant differences for the probability of survival.</w:t>
      </w:r>
    </w:p>
    <w:p w14:paraId="3952D70B" w14:textId="3A109511" w:rsidR="009361BA" w:rsidRDefault="009361BA" w:rsidP="00A342A7">
      <w:pPr>
        <w:jc w:val="both"/>
      </w:pPr>
    </w:p>
    <w:p w14:paraId="29337F60" w14:textId="37AA4351" w:rsidR="009361BA" w:rsidRDefault="009361BA" w:rsidP="00A342A7">
      <w:pPr>
        <w:jc w:val="both"/>
      </w:pPr>
    </w:p>
    <w:p w14:paraId="19E5522B" w14:textId="1049D1CF" w:rsidR="009361BA" w:rsidRDefault="00A70A85" w:rsidP="00A342A7">
      <w:pPr>
        <w:jc w:val="both"/>
      </w:pPr>
      <w:r>
        <w:rPr>
          <w:noProof/>
        </w:rPr>
        <w:lastRenderedPageBreak/>
        <w:drawing>
          <wp:inline distT="0" distB="0" distL="0" distR="0" wp14:anchorId="7B02B226" wp14:editId="14855E65">
            <wp:extent cx="5943600" cy="495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a:extLst>
                        <a:ext uri="{28A0092B-C50C-407E-A947-70E740481C1C}">
                          <a14:useLocalDpi xmlns:a14="http://schemas.microsoft.com/office/drawing/2010/main" val="0"/>
                        </a:ext>
                      </a:extLst>
                    </a:blip>
                    <a:srcRect b="35606"/>
                    <a:stretch/>
                  </pic:blipFill>
                  <pic:spPr bwMode="auto">
                    <a:xfrm>
                      <a:off x="0" y="0"/>
                      <a:ext cx="5943600" cy="4953000"/>
                    </a:xfrm>
                    <a:prstGeom prst="rect">
                      <a:avLst/>
                    </a:prstGeom>
                    <a:ln>
                      <a:noFill/>
                    </a:ln>
                    <a:extLst>
                      <a:ext uri="{53640926-AAD7-44D8-BBD7-CCE9431645EC}">
                        <a14:shadowObscured xmlns:a14="http://schemas.microsoft.com/office/drawing/2010/main"/>
                      </a:ext>
                    </a:extLst>
                  </pic:spPr>
                </pic:pic>
              </a:graphicData>
            </a:graphic>
          </wp:inline>
        </w:drawing>
      </w:r>
    </w:p>
    <w:p w14:paraId="4C6B932D" w14:textId="5C795F8E" w:rsidR="00921E35" w:rsidRPr="00921E35" w:rsidRDefault="00921E35" w:rsidP="00A342A7">
      <w:pPr>
        <w:jc w:val="both"/>
      </w:pPr>
      <w:r>
        <w:br/>
      </w:r>
      <w:r w:rsidR="1DFE3FFF" w:rsidRPr="1DFE3FFF">
        <w:rPr>
          <w:b/>
          <w:bCs/>
        </w:rPr>
        <w:t>Supplementary Figure 11</w:t>
      </w:r>
      <w:r w:rsidR="1DFE3FFF">
        <w:t>. Risk of death Nomogram for covid19 build using the 5 key variables chosen by elastic net coefficient selection including: GGO to aerated lung ratio, age, TNF</w:t>
      </w:r>
      <w:r w:rsidR="1DFE3FFF" w:rsidRPr="1DFE3FFF">
        <w:rPr>
          <w:rFonts w:ascii="Arial" w:hAnsi="Arial" w:cs="Arial"/>
          <w:color w:val="000000" w:themeColor="text1"/>
          <w:sz w:val="22"/>
          <w:szCs w:val="22"/>
        </w:rPr>
        <w:t>-α</w:t>
      </w:r>
      <w:r w:rsidR="1DFE3FFF">
        <w:t>, IL6 and IL8. The measurements are binarized for TNF-</w:t>
      </w:r>
      <w:r w:rsidR="1DFE3FFF" w:rsidRPr="1DFE3FFF">
        <w:rPr>
          <w:rFonts w:ascii="Symbol" w:eastAsia="Symbol" w:hAnsi="Symbol" w:cs="Symbol"/>
        </w:rPr>
        <w:t>a</w:t>
      </w:r>
      <w:r w:rsidR="1DFE3FFF">
        <w:t>, IL-6 and IL-8. Once each variable is scored, the points attributed are located on top of the nomogram. Then, all points are summed and compared to the points scale on the bottom of the figure, where risk of death is attributed based on this sum. </w:t>
      </w:r>
    </w:p>
    <w:p w14:paraId="08167C93" w14:textId="55FA057B" w:rsidR="00921E35" w:rsidRPr="0070300C" w:rsidRDefault="00921E35" w:rsidP="00A342A7">
      <w:pPr>
        <w:jc w:val="both"/>
      </w:pPr>
    </w:p>
    <w:p w14:paraId="7E82E6AA" w14:textId="3CF610B9" w:rsidR="0070300C" w:rsidRDefault="0070300C" w:rsidP="00A342A7">
      <w:pPr>
        <w:jc w:val="both"/>
      </w:pPr>
    </w:p>
    <w:p w14:paraId="46EC5855" w14:textId="74058786" w:rsidR="00A342A7" w:rsidRDefault="00A342A7" w:rsidP="00A342A7">
      <w:pPr>
        <w:jc w:val="both"/>
      </w:pPr>
    </w:p>
    <w:p w14:paraId="132D06EF" w14:textId="416FBDFD" w:rsidR="00A342A7" w:rsidRDefault="00A342A7" w:rsidP="00A342A7">
      <w:pPr>
        <w:jc w:val="both"/>
      </w:pPr>
    </w:p>
    <w:p w14:paraId="76D87177" w14:textId="5B8302E9" w:rsidR="00A342A7" w:rsidRDefault="00A342A7" w:rsidP="00A342A7">
      <w:pPr>
        <w:jc w:val="both"/>
      </w:pPr>
    </w:p>
    <w:p w14:paraId="4C1383A7" w14:textId="23AE83CC" w:rsidR="00A70A85" w:rsidRDefault="00A70A85" w:rsidP="00A342A7">
      <w:pPr>
        <w:jc w:val="both"/>
      </w:pPr>
    </w:p>
    <w:p w14:paraId="7902F2B0" w14:textId="01253204" w:rsidR="00A70A85" w:rsidRDefault="00A70A85" w:rsidP="00A342A7">
      <w:pPr>
        <w:jc w:val="both"/>
      </w:pPr>
    </w:p>
    <w:p w14:paraId="0AFC8279" w14:textId="14260639" w:rsidR="00A70A85" w:rsidRDefault="00A70A85" w:rsidP="00A342A7">
      <w:pPr>
        <w:jc w:val="both"/>
      </w:pPr>
    </w:p>
    <w:p w14:paraId="11C96268" w14:textId="77777777" w:rsidR="00A70A85" w:rsidRDefault="00A70A85" w:rsidP="00A342A7">
      <w:pPr>
        <w:jc w:val="both"/>
      </w:pPr>
    </w:p>
    <w:p w14:paraId="749FBECF" w14:textId="77777777" w:rsidR="00A342A7" w:rsidRPr="008F5F4D" w:rsidRDefault="00A342A7" w:rsidP="00A342A7">
      <w:pPr>
        <w:jc w:val="both"/>
      </w:pPr>
    </w:p>
    <w:p w14:paraId="387CC8D5" w14:textId="6D749773" w:rsidR="008F5F4D" w:rsidRPr="001630BE" w:rsidRDefault="72A31E84" w:rsidP="00A342A7">
      <w:pPr>
        <w:jc w:val="both"/>
        <w:rPr>
          <w:rFonts w:ascii="Arial" w:hAnsi="Arial" w:cs="Arial"/>
          <w:sz w:val="22"/>
          <w:szCs w:val="22"/>
        </w:rPr>
      </w:pPr>
      <w:r w:rsidRPr="72A31E84">
        <w:rPr>
          <w:b/>
          <w:bCs/>
        </w:rPr>
        <w:lastRenderedPageBreak/>
        <w:t xml:space="preserve">Supplementary table 1. </w:t>
      </w:r>
      <w:r>
        <w:t>CT vendors and acquisition parameters for each scanner. ST: slice thickness; PS: pixel spacing.</w:t>
      </w:r>
      <w:r w:rsidR="001630BE">
        <w:t xml:space="preserve"> </w:t>
      </w:r>
    </w:p>
    <w:p w14:paraId="6731EE71" w14:textId="42133D0B" w:rsidR="008F5F4D" w:rsidRPr="008F5F4D" w:rsidRDefault="008F5F4D" w:rsidP="00A342A7">
      <w:pPr>
        <w:jc w:val="both"/>
      </w:pPr>
    </w:p>
    <w:p w14:paraId="21A148A0" w14:textId="504C6E51" w:rsidR="008F5F4D" w:rsidRPr="008F5F4D" w:rsidRDefault="72A31E84" w:rsidP="00A342A7">
      <w:pPr>
        <w:jc w:val="both"/>
        <w:rPr>
          <w:b/>
          <w:bCs/>
        </w:rPr>
      </w:pPr>
      <w:r w:rsidRPr="72A31E84">
        <w:rPr>
          <w:b/>
          <w:bCs/>
        </w:rPr>
        <w:t xml:space="preserve">Supplementary table 2. </w:t>
      </w:r>
      <w:r>
        <w:t xml:space="preserve">CT qualitative variables described by radiologists according to the </w:t>
      </w:r>
      <w:proofErr w:type="spellStart"/>
      <w:r>
        <w:t>Fleischner</w:t>
      </w:r>
      <w:proofErr w:type="spellEnd"/>
      <w:r>
        <w:t xml:space="preserve"> Society guidelines.</w:t>
      </w:r>
    </w:p>
    <w:p w14:paraId="6D867487" w14:textId="2E21CAF8" w:rsidR="008F5F4D" w:rsidRPr="008F5F4D" w:rsidRDefault="008F5F4D" w:rsidP="00A342A7">
      <w:pPr>
        <w:jc w:val="both"/>
      </w:pPr>
    </w:p>
    <w:p w14:paraId="4A356B33" w14:textId="32BB68C3" w:rsidR="008F5F4D" w:rsidRPr="008F5F4D" w:rsidRDefault="481E77D1" w:rsidP="00A342A7">
      <w:pPr>
        <w:jc w:val="both"/>
        <w:rPr>
          <w:b/>
          <w:bCs/>
        </w:rPr>
      </w:pPr>
      <w:r w:rsidRPr="481E77D1">
        <w:rPr>
          <w:b/>
          <w:bCs/>
        </w:rPr>
        <w:t xml:space="preserve">Supplementary table 3. </w:t>
      </w:r>
      <w:r>
        <w:t>Statistical tests comparing available the average values for variables between patients that die or survive.</w:t>
      </w:r>
    </w:p>
    <w:p w14:paraId="152678B3" w14:textId="33C3166D" w:rsidR="008F5F4D" w:rsidRPr="000E3A92" w:rsidRDefault="008F5F4D" w:rsidP="00A342A7">
      <w:pPr>
        <w:jc w:val="both"/>
      </w:pPr>
    </w:p>
    <w:p w14:paraId="6C584B83" w14:textId="5101399D" w:rsidR="008F5F4D" w:rsidRPr="000E3A92" w:rsidRDefault="0A17F0A5" w:rsidP="00A342A7">
      <w:pPr>
        <w:spacing w:line="259" w:lineRule="auto"/>
        <w:jc w:val="both"/>
      </w:pPr>
      <w:r w:rsidRPr="0A17F0A5">
        <w:rPr>
          <w:b/>
          <w:bCs/>
        </w:rPr>
        <w:t>Supplementary table 4.</w:t>
      </w:r>
      <w:r>
        <w:t xml:space="preserve"> Univariate Survival Cox proportional hazard models for all available variables separated in classes or 4 quartiles depending on the variable.</w:t>
      </w:r>
    </w:p>
    <w:p w14:paraId="7E8B845B" w14:textId="7E5A908C" w:rsidR="008F5F4D" w:rsidRPr="000E3A92" w:rsidRDefault="008F5F4D" w:rsidP="00A342A7">
      <w:pPr>
        <w:jc w:val="both"/>
      </w:pPr>
    </w:p>
    <w:p w14:paraId="4C0A4DEF" w14:textId="1C334A97" w:rsidR="008F5F4D" w:rsidRPr="000E3A92" w:rsidRDefault="0A17F0A5" w:rsidP="00A342A7">
      <w:pPr>
        <w:spacing w:line="259" w:lineRule="auto"/>
        <w:jc w:val="both"/>
      </w:pPr>
      <w:r w:rsidRPr="0A17F0A5">
        <w:rPr>
          <w:b/>
          <w:bCs/>
        </w:rPr>
        <w:t>Supplementary table 5.</w:t>
      </w:r>
      <w:r>
        <w:t xml:space="preserve"> Multivariate Survival Cox proportional hazard models for relevant variables selected as important after correlation and </w:t>
      </w:r>
      <w:proofErr w:type="spellStart"/>
      <w:r>
        <w:t>coxph</w:t>
      </w:r>
      <w:proofErr w:type="spellEnd"/>
      <w:r>
        <w:t xml:space="preserve"> univariate analysis.</w:t>
      </w:r>
    </w:p>
    <w:p w14:paraId="4EF50915" w14:textId="77777777" w:rsidR="000E3A92" w:rsidRPr="008F6AF7" w:rsidRDefault="000E3A92" w:rsidP="00A342A7">
      <w:pPr>
        <w:jc w:val="both"/>
      </w:pPr>
    </w:p>
    <w:p w14:paraId="3EF6D585" w14:textId="5565A34B" w:rsidR="0A17F0A5" w:rsidRDefault="0A17F0A5" w:rsidP="00A342A7">
      <w:pPr>
        <w:spacing w:line="259" w:lineRule="auto"/>
        <w:jc w:val="both"/>
      </w:pPr>
      <w:r w:rsidRPr="0A17F0A5">
        <w:rPr>
          <w:b/>
          <w:bCs/>
        </w:rPr>
        <w:t>Supplementary table 6.</w:t>
      </w:r>
      <w:r>
        <w:t xml:space="preserve"> Elastic net regression summary for patients that died and those who didn’t for models using Oxygenation and demographics. The column alpha indicates the mixing coefficient for lasso and ridge proportion. Prob. indicates the percentage of samples used as testing and AUC indicates the area under the curve values.</w:t>
      </w:r>
    </w:p>
    <w:p w14:paraId="4E4CBF11" w14:textId="07C92E0C" w:rsidR="0A17F0A5" w:rsidRDefault="0A17F0A5" w:rsidP="00A342A7">
      <w:pPr>
        <w:jc w:val="both"/>
      </w:pPr>
    </w:p>
    <w:p w14:paraId="680E2621" w14:textId="77777777" w:rsidR="00A17F0C" w:rsidRPr="002972AA" w:rsidRDefault="00A17F0C" w:rsidP="00A342A7">
      <w:pPr>
        <w:jc w:val="both"/>
      </w:pPr>
    </w:p>
    <w:p w14:paraId="24EF1596" w14:textId="77777777" w:rsidR="00993E28" w:rsidRDefault="00993E28" w:rsidP="00A342A7">
      <w:pPr>
        <w:jc w:val="both"/>
      </w:pPr>
    </w:p>
    <w:sectPr w:rsidR="00993E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87"/>
    <w:rsid w:val="00003A43"/>
    <w:rsid w:val="00014591"/>
    <w:rsid w:val="00016E6E"/>
    <w:rsid w:val="00024DF5"/>
    <w:rsid w:val="00033651"/>
    <w:rsid w:val="000343C0"/>
    <w:rsid w:val="00043ED3"/>
    <w:rsid w:val="000551C3"/>
    <w:rsid w:val="00056884"/>
    <w:rsid w:val="00071C68"/>
    <w:rsid w:val="00083B82"/>
    <w:rsid w:val="00085EA5"/>
    <w:rsid w:val="000954D3"/>
    <w:rsid w:val="000A4243"/>
    <w:rsid w:val="000A53AD"/>
    <w:rsid w:val="000B7928"/>
    <w:rsid w:val="000D2E51"/>
    <w:rsid w:val="000D317E"/>
    <w:rsid w:val="000E0D61"/>
    <w:rsid w:val="000E3A92"/>
    <w:rsid w:val="000F332E"/>
    <w:rsid w:val="000F7840"/>
    <w:rsid w:val="00101529"/>
    <w:rsid w:val="00131AA9"/>
    <w:rsid w:val="00146526"/>
    <w:rsid w:val="00150636"/>
    <w:rsid w:val="001537FB"/>
    <w:rsid w:val="0015421D"/>
    <w:rsid w:val="001560F3"/>
    <w:rsid w:val="001630BE"/>
    <w:rsid w:val="001641C0"/>
    <w:rsid w:val="00175E11"/>
    <w:rsid w:val="00181690"/>
    <w:rsid w:val="001837B2"/>
    <w:rsid w:val="001A2615"/>
    <w:rsid w:val="001C4CB7"/>
    <w:rsid w:val="001C644E"/>
    <w:rsid w:val="001E0A56"/>
    <w:rsid w:val="001F41E6"/>
    <w:rsid w:val="002014CE"/>
    <w:rsid w:val="00222846"/>
    <w:rsid w:val="0027747D"/>
    <w:rsid w:val="002972AA"/>
    <w:rsid w:val="002C2AA8"/>
    <w:rsid w:val="002C3ED6"/>
    <w:rsid w:val="002D1767"/>
    <w:rsid w:val="003264D3"/>
    <w:rsid w:val="00327B20"/>
    <w:rsid w:val="00382E3B"/>
    <w:rsid w:val="003A5532"/>
    <w:rsid w:val="003E3F2E"/>
    <w:rsid w:val="00437CF5"/>
    <w:rsid w:val="00450957"/>
    <w:rsid w:val="004E1E2A"/>
    <w:rsid w:val="004E4FFB"/>
    <w:rsid w:val="00501DBB"/>
    <w:rsid w:val="00517CF1"/>
    <w:rsid w:val="005205B2"/>
    <w:rsid w:val="00544988"/>
    <w:rsid w:val="0056006B"/>
    <w:rsid w:val="00563ACF"/>
    <w:rsid w:val="005813C0"/>
    <w:rsid w:val="005A2D6C"/>
    <w:rsid w:val="005B347E"/>
    <w:rsid w:val="005E3217"/>
    <w:rsid w:val="00610A23"/>
    <w:rsid w:val="0062148B"/>
    <w:rsid w:val="00645A73"/>
    <w:rsid w:val="00662804"/>
    <w:rsid w:val="00694FF5"/>
    <w:rsid w:val="006955B8"/>
    <w:rsid w:val="006C7A39"/>
    <w:rsid w:val="006F1165"/>
    <w:rsid w:val="006F3965"/>
    <w:rsid w:val="0070300C"/>
    <w:rsid w:val="007409FF"/>
    <w:rsid w:val="007465B0"/>
    <w:rsid w:val="00755FE1"/>
    <w:rsid w:val="0075775B"/>
    <w:rsid w:val="00763203"/>
    <w:rsid w:val="0078335A"/>
    <w:rsid w:val="007960DB"/>
    <w:rsid w:val="007E0CDC"/>
    <w:rsid w:val="007E3D32"/>
    <w:rsid w:val="007E41D1"/>
    <w:rsid w:val="008071C8"/>
    <w:rsid w:val="008163F6"/>
    <w:rsid w:val="00847AC3"/>
    <w:rsid w:val="00851E31"/>
    <w:rsid w:val="0089299A"/>
    <w:rsid w:val="008B20C5"/>
    <w:rsid w:val="008B3FC2"/>
    <w:rsid w:val="008C3220"/>
    <w:rsid w:val="008E1406"/>
    <w:rsid w:val="008E32F6"/>
    <w:rsid w:val="008F5F4D"/>
    <w:rsid w:val="008F6AF7"/>
    <w:rsid w:val="00905AF9"/>
    <w:rsid w:val="00921E35"/>
    <w:rsid w:val="009361BA"/>
    <w:rsid w:val="009450D7"/>
    <w:rsid w:val="00950051"/>
    <w:rsid w:val="0095100C"/>
    <w:rsid w:val="009537F0"/>
    <w:rsid w:val="00962327"/>
    <w:rsid w:val="00967FBF"/>
    <w:rsid w:val="00990F16"/>
    <w:rsid w:val="00993E28"/>
    <w:rsid w:val="009B2422"/>
    <w:rsid w:val="009B33C4"/>
    <w:rsid w:val="009B61A4"/>
    <w:rsid w:val="009C3CC4"/>
    <w:rsid w:val="009C553D"/>
    <w:rsid w:val="009E135F"/>
    <w:rsid w:val="009F172E"/>
    <w:rsid w:val="009F45AA"/>
    <w:rsid w:val="00A13EB9"/>
    <w:rsid w:val="00A14036"/>
    <w:rsid w:val="00A17F0C"/>
    <w:rsid w:val="00A2015E"/>
    <w:rsid w:val="00A20CC7"/>
    <w:rsid w:val="00A22F48"/>
    <w:rsid w:val="00A304BC"/>
    <w:rsid w:val="00A31A24"/>
    <w:rsid w:val="00A342A7"/>
    <w:rsid w:val="00A37094"/>
    <w:rsid w:val="00A44F8F"/>
    <w:rsid w:val="00A45E19"/>
    <w:rsid w:val="00A627DF"/>
    <w:rsid w:val="00A70A85"/>
    <w:rsid w:val="00A812CC"/>
    <w:rsid w:val="00AA19AC"/>
    <w:rsid w:val="00AD115E"/>
    <w:rsid w:val="00AF563F"/>
    <w:rsid w:val="00AF72EE"/>
    <w:rsid w:val="00B03101"/>
    <w:rsid w:val="00B14230"/>
    <w:rsid w:val="00B159D7"/>
    <w:rsid w:val="00B305DF"/>
    <w:rsid w:val="00B51173"/>
    <w:rsid w:val="00B56E25"/>
    <w:rsid w:val="00B8515B"/>
    <w:rsid w:val="00B875EF"/>
    <w:rsid w:val="00BB03A4"/>
    <w:rsid w:val="00BB7103"/>
    <w:rsid w:val="00BD25D6"/>
    <w:rsid w:val="00BD3CBB"/>
    <w:rsid w:val="00BE3067"/>
    <w:rsid w:val="00BE43FE"/>
    <w:rsid w:val="00BE4DCF"/>
    <w:rsid w:val="00C113D5"/>
    <w:rsid w:val="00C26743"/>
    <w:rsid w:val="00C5150C"/>
    <w:rsid w:val="00C73933"/>
    <w:rsid w:val="00C744BD"/>
    <w:rsid w:val="00C87F37"/>
    <w:rsid w:val="00C9225A"/>
    <w:rsid w:val="00C96707"/>
    <w:rsid w:val="00CB05D1"/>
    <w:rsid w:val="00CB4BAC"/>
    <w:rsid w:val="00CD0F6C"/>
    <w:rsid w:val="00D12438"/>
    <w:rsid w:val="00D12546"/>
    <w:rsid w:val="00D506B7"/>
    <w:rsid w:val="00D54516"/>
    <w:rsid w:val="00D70BA2"/>
    <w:rsid w:val="00D8621F"/>
    <w:rsid w:val="00DA062F"/>
    <w:rsid w:val="00DA1ABC"/>
    <w:rsid w:val="00DB187F"/>
    <w:rsid w:val="00DC25F9"/>
    <w:rsid w:val="00DF19D7"/>
    <w:rsid w:val="00DF242F"/>
    <w:rsid w:val="00DF5BB4"/>
    <w:rsid w:val="00E07CC1"/>
    <w:rsid w:val="00E74987"/>
    <w:rsid w:val="00E75C07"/>
    <w:rsid w:val="00E91CD4"/>
    <w:rsid w:val="00E94AA4"/>
    <w:rsid w:val="00E9639A"/>
    <w:rsid w:val="00E97B5E"/>
    <w:rsid w:val="00EA4813"/>
    <w:rsid w:val="00EB2D31"/>
    <w:rsid w:val="00ED4891"/>
    <w:rsid w:val="00ED7F86"/>
    <w:rsid w:val="00EF6579"/>
    <w:rsid w:val="00F05674"/>
    <w:rsid w:val="00F17EDE"/>
    <w:rsid w:val="00F20439"/>
    <w:rsid w:val="00F479A3"/>
    <w:rsid w:val="00F60902"/>
    <w:rsid w:val="00F61384"/>
    <w:rsid w:val="00F62882"/>
    <w:rsid w:val="00F815B4"/>
    <w:rsid w:val="00F85FF1"/>
    <w:rsid w:val="00FE05E1"/>
    <w:rsid w:val="00FE35A1"/>
    <w:rsid w:val="0A17F0A5"/>
    <w:rsid w:val="117319A4"/>
    <w:rsid w:val="1DFE3FFF"/>
    <w:rsid w:val="481E77D1"/>
    <w:rsid w:val="509B44B1"/>
    <w:rsid w:val="72A31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9CF47"/>
  <w15:chartTrackingRefBased/>
  <w15:docId w15:val="{4C42472F-1359-AB48-A352-E95D05149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00C"/>
  </w:style>
  <w:style w:type="paragraph" w:styleId="Heading1">
    <w:name w:val="heading 1"/>
    <w:aliases w:val="Heading 1_DD"/>
    <w:basedOn w:val="Normal"/>
    <w:next w:val="Normal"/>
    <w:link w:val="Heading1Char"/>
    <w:autoRedefine/>
    <w:uiPriority w:val="9"/>
    <w:qFormat/>
    <w:rsid w:val="00DF5BB4"/>
    <w:pPr>
      <w:keepNext/>
      <w:keepLines/>
      <w:spacing w:before="480" w:after="120"/>
      <w:outlineLvl w:val="0"/>
    </w:pPr>
    <w:rPr>
      <w:rFonts w:ascii="Arial" w:eastAsia="Calibri" w:hAnsi="Arial" w:cs="Calibri"/>
      <w:b/>
      <w:sz w:val="22"/>
      <w:szCs w:val="48"/>
    </w:rPr>
  </w:style>
  <w:style w:type="paragraph" w:styleId="Heading2">
    <w:name w:val="heading 2"/>
    <w:aliases w:val="Heading 2_DD"/>
    <w:basedOn w:val="Normal"/>
    <w:next w:val="Normal"/>
    <w:link w:val="Heading2Char"/>
    <w:autoRedefine/>
    <w:uiPriority w:val="9"/>
    <w:unhideWhenUsed/>
    <w:qFormat/>
    <w:rsid w:val="00DF5BB4"/>
    <w:pPr>
      <w:keepNext/>
      <w:keepLines/>
      <w:spacing w:before="360" w:after="80"/>
      <w:outlineLvl w:val="1"/>
    </w:pPr>
    <w:rPr>
      <w:rFonts w:ascii="Arial" w:eastAsia="Calibri" w:hAnsi="Arial" w:cs="Arial"/>
      <w:b/>
      <w:sz w:val="20"/>
      <w:szCs w:val="36"/>
    </w:rPr>
  </w:style>
  <w:style w:type="paragraph" w:styleId="Heading3">
    <w:name w:val="heading 3"/>
    <w:aliases w:val="Heading 3_DD"/>
    <w:basedOn w:val="NoSpacing"/>
    <w:next w:val="NoSpacing"/>
    <w:link w:val="Heading3Char"/>
    <w:autoRedefine/>
    <w:uiPriority w:val="9"/>
    <w:unhideWhenUsed/>
    <w:qFormat/>
    <w:rsid w:val="00BD3CBB"/>
    <w:pPr>
      <w:keepNext/>
      <w:keepLines/>
      <w:spacing w:before="280" w:after="80"/>
      <w:outlineLvl w:val="2"/>
    </w:pPr>
    <w:rPr>
      <w:rFonts w:ascii="Arial" w:eastAsiaTheme="minorEastAsia" w:hAnsi="Arial" w:cs="Arial"/>
      <w:b/>
      <w:sz w:val="20"/>
      <w:szCs w:val="28"/>
      <w:lang w:eastAsia="zh-CN"/>
    </w:rPr>
  </w:style>
  <w:style w:type="paragraph" w:styleId="Heading4">
    <w:name w:val="heading 4"/>
    <w:aliases w:val="Heading 4_DD"/>
    <w:basedOn w:val="Normal"/>
    <w:next w:val="Normal"/>
    <w:link w:val="Heading4Char"/>
    <w:autoRedefine/>
    <w:uiPriority w:val="9"/>
    <w:unhideWhenUsed/>
    <w:qFormat/>
    <w:rsid w:val="00BD3CBB"/>
    <w:pPr>
      <w:keepNext/>
      <w:keepLines/>
      <w:spacing w:before="240" w:after="40"/>
      <w:ind w:firstLine="720"/>
      <w:outlineLvl w:val="3"/>
    </w:pPr>
    <w:rPr>
      <w:rFonts w:ascii="Arial" w:eastAsia="Calibri" w:hAnsi="Arial" w:cs="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DD Char"/>
    <w:basedOn w:val="DefaultParagraphFont"/>
    <w:link w:val="Heading1"/>
    <w:uiPriority w:val="9"/>
    <w:rsid w:val="00DF5BB4"/>
    <w:rPr>
      <w:rFonts w:ascii="Arial" w:eastAsia="Calibri" w:hAnsi="Arial" w:cs="Calibri"/>
      <w:b/>
      <w:sz w:val="22"/>
      <w:szCs w:val="48"/>
    </w:rPr>
  </w:style>
  <w:style w:type="character" w:customStyle="1" w:styleId="Heading2Char">
    <w:name w:val="Heading 2 Char"/>
    <w:aliases w:val="Heading 2_DD Char"/>
    <w:basedOn w:val="DefaultParagraphFont"/>
    <w:link w:val="Heading2"/>
    <w:uiPriority w:val="9"/>
    <w:rsid w:val="00DF5BB4"/>
    <w:rPr>
      <w:rFonts w:ascii="Arial" w:eastAsia="Calibri" w:hAnsi="Arial" w:cs="Arial"/>
      <w:b/>
      <w:sz w:val="20"/>
      <w:szCs w:val="36"/>
    </w:rPr>
  </w:style>
  <w:style w:type="character" w:customStyle="1" w:styleId="Heading3Char">
    <w:name w:val="Heading 3 Char"/>
    <w:aliases w:val="Heading 3_DD Char"/>
    <w:basedOn w:val="DefaultParagraphFont"/>
    <w:link w:val="Heading3"/>
    <w:uiPriority w:val="9"/>
    <w:rsid w:val="00BD3CBB"/>
    <w:rPr>
      <w:rFonts w:ascii="Arial" w:eastAsiaTheme="minorEastAsia" w:hAnsi="Arial" w:cs="Arial"/>
      <w:b/>
      <w:sz w:val="20"/>
      <w:szCs w:val="28"/>
      <w:lang w:eastAsia="zh-CN"/>
    </w:rPr>
  </w:style>
  <w:style w:type="character" w:customStyle="1" w:styleId="Heading4Char">
    <w:name w:val="Heading 4 Char"/>
    <w:aliases w:val="Heading 4_DD Char"/>
    <w:basedOn w:val="DefaultParagraphFont"/>
    <w:link w:val="Heading4"/>
    <w:uiPriority w:val="9"/>
    <w:rsid w:val="00BD3CBB"/>
    <w:rPr>
      <w:rFonts w:ascii="Arial" w:eastAsia="Calibri" w:hAnsi="Arial" w:cs="Calibri"/>
      <w:b/>
      <w:sz w:val="20"/>
    </w:rPr>
  </w:style>
  <w:style w:type="paragraph" w:styleId="NoSpacing">
    <w:name w:val="No Spacing"/>
    <w:uiPriority w:val="1"/>
    <w:qFormat/>
    <w:rsid w:val="00BD3CBB"/>
  </w:style>
  <w:style w:type="paragraph" w:styleId="NormalWeb">
    <w:name w:val="Normal (Web)"/>
    <w:basedOn w:val="Normal"/>
    <w:uiPriority w:val="99"/>
    <w:semiHidden/>
    <w:unhideWhenUsed/>
    <w:rsid w:val="00921E35"/>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C644E"/>
    <w:rPr>
      <w:sz w:val="16"/>
      <w:szCs w:val="16"/>
    </w:rPr>
  </w:style>
  <w:style w:type="paragraph" w:styleId="CommentText">
    <w:name w:val="annotation text"/>
    <w:basedOn w:val="Normal"/>
    <w:link w:val="CommentTextChar"/>
    <w:uiPriority w:val="99"/>
    <w:semiHidden/>
    <w:unhideWhenUsed/>
    <w:rsid w:val="001C644E"/>
    <w:rPr>
      <w:sz w:val="20"/>
      <w:szCs w:val="20"/>
    </w:rPr>
  </w:style>
  <w:style w:type="character" w:customStyle="1" w:styleId="CommentTextChar">
    <w:name w:val="Comment Text Char"/>
    <w:basedOn w:val="DefaultParagraphFont"/>
    <w:link w:val="CommentText"/>
    <w:uiPriority w:val="99"/>
    <w:semiHidden/>
    <w:rsid w:val="001C644E"/>
    <w:rPr>
      <w:sz w:val="20"/>
      <w:szCs w:val="20"/>
    </w:rPr>
  </w:style>
  <w:style w:type="paragraph" w:styleId="CommentSubject">
    <w:name w:val="annotation subject"/>
    <w:basedOn w:val="CommentText"/>
    <w:next w:val="CommentText"/>
    <w:link w:val="CommentSubjectChar"/>
    <w:uiPriority w:val="99"/>
    <w:semiHidden/>
    <w:unhideWhenUsed/>
    <w:rsid w:val="001C644E"/>
    <w:rPr>
      <w:b/>
      <w:bCs/>
    </w:rPr>
  </w:style>
  <w:style w:type="character" w:customStyle="1" w:styleId="CommentSubjectChar">
    <w:name w:val="Comment Subject Char"/>
    <w:basedOn w:val="CommentTextChar"/>
    <w:link w:val="CommentSubject"/>
    <w:uiPriority w:val="99"/>
    <w:semiHidden/>
    <w:rsid w:val="001C64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75730">
      <w:bodyDiv w:val="1"/>
      <w:marLeft w:val="0"/>
      <w:marRight w:val="0"/>
      <w:marTop w:val="0"/>
      <w:marBottom w:val="0"/>
      <w:divBdr>
        <w:top w:val="none" w:sz="0" w:space="0" w:color="auto"/>
        <w:left w:val="none" w:sz="0" w:space="0" w:color="auto"/>
        <w:bottom w:val="none" w:sz="0" w:space="0" w:color="auto"/>
        <w:right w:val="none" w:sz="0" w:space="0" w:color="auto"/>
      </w:divBdr>
    </w:div>
    <w:div w:id="233708786">
      <w:bodyDiv w:val="1"/>
      <w:marLeft w:val="0"/>
      <w:marRight w:val="0"/>
      <w:marTop w:val="0"/>
      <w:marBottom w:val="0"/>
      <w:divBdr>
        <w:top w:val="none" w:sz="0" w:space="0" w:color="auto"/>
        <w:left w:val="none" w:sz="0" w:space="0" w:color="auto"/>
        <w:bottom w:val="none" w:sz="0" w:space="0" w:color="auto"/>
        <w:right w:val="none" w:sz="0" w:space="0" w:color="auto"/>
      </w:divBdr>
    </w:div>
    <w:div w:id="271517696">
      <w:bodyDiv w:val="1"/>
      <w:marLeft w:val="0"/>
      <w:marRight w:val="0"/>
      <w:marTop w:val="0"/>
      <w:marBottom w:val="0"/>
      <w:divBdr>
        <w:top w:val="none" w:sz="0" w:space="0" w:color="auto"/>
        <w:left w:val="none" w:sz="0" w:space="0" w:color="auto"/>
        <w:bottom w:val="none" w:sz="0" w:space="0" w:color="auto"/>
        <w:right w:val="none" w:sz="0" w:space="0" w:color="auto"/>
      </w:divBdr>
    </w:div>
    <w:div w:id="329715442">
      <w:bodyDiv w:val="1"/>
      <w:marLeft w:val="0"/>
      <w:marRight w:val="0"/>
      <w:marTop w:val="0"/>
      <w:marBottom w:val="0"/>
      <w:divBdr>
        <w:top w:val="none" w:sz="0" w:space="0" w:color="auto"/>
        <w:left w:val="none" w:sz="0" w:space="0" w:color="auto"/>
        <w:bottom w:val="none" w:sz="0" w:space="0" w:color="auto"/>
        <w:right w:val="none" w:sz="0" w:space="0" w:color="auto"/>
      </w:divBdr>
    </w:div>
    <w:div w:id="395593807">
      <w:bodyDiv w:val="1"/>
      <w:marLeft w:val="0"/>
      <w:marRight w:val="0"/>
      <w:marTop w:val="0"/>
      <w:marBottom w:val="0"/>
      <w:divBdr>
        <w:top w:val="none" w:sz="0" w:space="0" w:color="auto"/>
        <w:left w:val="none" w:sz="0" w:space="0" w:color="auto"/>
        <w:bottom w:val="none" w:sz="0" w:space="0" w:color="auto"/>
        <w:right w:val="none" w:sz="0" w:space="0" w:color="auto"/>
      </w:divBdr>
    </w:div>
    <w:div w:id="441457698">
      <w:bodyDiv w:val="1"/>
      <w:marLeft w:val="0"/>
      <w:marRight w:val="0"/>
      <w:marTop w:val="0"/>
      <w:marBottom w:val="0"/>
      <w:divBdr>
        <w:top w:val="none" w:sz="0" w:space="0" w:color="auto"/>
        <w:left w:val="none" w:sz="0" w:space="0" w:color="auto"/>
        <w:bottom w:val="none" w:sz="0" w:space="0" w:color="auto"/>
        <w:right w:val="none" w:sz="0" w:space="0" w:color="auto"/>
      </w:divBdr>
    </w:div>
    <w:div w:id="814639744">
      <w:bodyDiv w:val="1"/>
      <w:marLeft w:val="0"/>
      <w:marRight w:val="0"/>
      <w:marTop w:val="0"/>
      <w:marBottom w:val="0"/>
      <w:divBdr>
        <w:top w:val="none" w:sz="0" w:space="0" w:color="auto"/>
        <w:left w:val="none" w:sz="0" w:space="0" w:color="auto"/>
        <w:bottom w:val="none" w:sz="0" w:space="0" w:color="auto"/>
        <w:right w:val="none" w:sz="0" w:space="0" w:color="auto"/>
      </w:divBdr>
    </w:div>
    <w:div w:id="1265764867">
      <w:bodyDiv w:val="1"/>
      <w:marLeft w:val="0"/>
      <w:marRight w:val="0"/>
      <w:marTop w:val="0"/>
      <w:marBottom w:val="0"/>
      <w:divBdr>
        <w:top w:val="none" w:sz="0" w:space="0" w:color="auto"/>
        <w:left w:val="none" w:sz="0" w:space="0" w:color="auto"/>
        <w:bottom w:val="none" w:sz="0" w:space="0" w:color="auto"/>
        <w:right w:val="none" w:sz="0" w:space="0" w:color="auto"/>
      </w:divBdr>
    </w:div>
    <w:div w:id="1345716309">
      <w:bodyDiv w:val="1"/>
      <w:marLeft w:val="0"/>
      <w:marRight w:val="0"/>
      <w:marTop w:val="0"/>
      <w:marBottom w:val="0"/>
      <w:divBdr>
        <w:top w:val="none" w:sz="0" w:space="0" w:color="auto"/>
        <w:left w:val="none" w:sz="0" w:space="0" w:color="auto"/>
        <w:bottom w:val="none" w:sz="0" w:space="0" w:color="auto"/>
        <w:right w:val="none" w:sz="0" w:space="0" w:color="auto"/>
      </w:divBdr>
    </w:div>
    <w:div w:id="1415323352">
      <w:bodyDiv w:val="1"/>
      <w:marLeft w:val="0"/>
      <w:marRight w:val="0"/>
      <w:marTop w:val="0"/>
      <w:marBottom w:val="0"/>
      <w:divBdr>
        <w:top w:val="none" w:sz="0" w:space="0" w:color="auto"/>
        <w:left w:val="none" w:sz="0" w:space="0" w:color="auto"/>
        <w:bottom w:val="none" w:sz="0" w:space="0" w:color="auto"/>
        <w:right w:val="none" w:sz="0" w:space="0" w:color="auto"/>
      </w:divBdr>
    </w:div>
    <w:div w:id="1493791288">
      <w:bodyDiv w:val="1"/>
      <w:marLeft w:val="0"/>
      <w:marRight w:val="0"/>
      <w:marTop w:val="0"/>
      <w:marBottom w:val="0"/>
      <w:divBdr>
        <w:top w:val="none" w:sz="0" w:space="0" w:color="auto"/>
        <w:left w:val="none" w:sz="0" w:space="0" w:color="auto"/>
        <w:bottom w:val="none" w:sz="0" w:space="0" w:color="auto"/>
        <w:right w:val="none" w:sz="0" w:space="0" w:color="auto"/>
      </w:divBdr>
    </w:div>
    <w:div w:id="1651179752">
      <w:bodyDiv w:val="1"/>
      <w:marLeft w:val="0"/>
      <w:marRight w:val="0"/>
      <w:marTop w:val="0"/>
      <w:marBottom w:val="0"/>
      <w:divBdr>
        <w:top w:val="none" w:sz="0" w:space="0" w:color="auto"/>
        <w:left w:val="none" w:sz="0" w:space="0" w:color="auto"/>
        <w:bottom w:val="none" w:sz="0" w:space="0" w:color="auto"/>
        <w:right w:val="none" w:sz="0" w:space="0" w:color="auto"/>
      </w:divBdr>
    </w:div>
    <w:div w:id="1801456758">
      <w:bodyDiv w:val="1"/>
      <w:marLeft w:val="0"/>
      <w:marRight w:val="0"/>
      <w:marTop w:val="0"/>
      <w:marBottom w:val="0"/>
      <w:divBdr>
        <w:top w:val="none" w:sz="0" w:space="0" w:color="auto"/>
        <w:left w:val="none" w:sz="0" w:space="0" w:color="auto"/>
        <w:bottom w:val="none" w:sz="0" w:space="0" w:color="auto"/>
        <w:right w:val="none" w:sz="0" w:space="0" w:color="auto"/>
      </w:divBdr>
    </w:div>
    <w:div w:id="1975675048">
      <w:bodyDiv w:val="1"/>
      <w:marLeft w:val="0"/>
      <w:marRight w:val="0"/>
      <w:marTop w:val="0"/>
      <w:marBottom w:val="0"/>
      <w:divBdr>
        <w:top w:val="none" w:sz="0" w:space="0" w:color="auto"/>
        <w:left w:val="none" w:sz="0" w:space="0" w:color="auto"/>
        <w:bottom w:val="none" w:sz="0" w:space="0" w:color="auto"/>
        <w:right w:val="none" w:sz="0" w:space="0" w:color="auto"/>
      </w:divBdr>
    </w:div>
    <w:div w:id="204875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Valle, Diane</dc:creator>
  <cp:keywords/>
  <dc:description/>
  <cp:lastModifiedBy>Gonzalez Kozlova, Edgar</cp:lastModifiedBy>
  <cp:revision>19</cp:revision>
  <dcterms:created xsi:type="dcterms:W3CDTF">2021-05-15T16:19:00Z</dcterms:created>
  <dcterms:modified xsi:type="dcterms:W3CDTF">2021-07-17T23:43:00Z</dcterms:modified>
</cp:coreProperties>
</file>