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2831" w14:textId="77777777" w:rsidR="00224976" w:rsidRPr="00224976" w:rsidRDefault="00224976" w:rsidP="00224976">
      <w:pPr>
        <w:autoSpaceDE w:val="0"/>
        <w:autoSpaceDN w:val="0"/>
        <w:adjustRightInd w:val="0"/>
        <w:spacing w:after="0" w:line="480" w:lineRule="auto"/>
        <w:jc w:val="both"/>
        <w:rPr>
          <w:rFonts w:ascii="Times New Roman" w:hAnsi="Times New Roman" w:cs="Times New Roman"/>
          <w:b/>
          <w:bCs/>
          <w:i/>
          <w:iCs/>
          <w:color w:val="000000"/>
          <w:lang w:val="en-US"/>
        </w:rPr>
      </w:pPr>
      <w:r w:rsidRPr="00224976">
        <w:rPr>
          <w:rFonts w:ascii="Times New Roman" w:hAnsi="Times New Roman" w:cs="Times New Roman"/>
          <w:b/>
          <w:bCs/>
          <w:i/>
          <w:iCs/>
          <w:color w:val="000000"/>
          <w:lang w:val="en-US"/>
        </w:rPr>
        <w:t>Internalizing Problems Before and During the COVID-19 Pandemic in Dutch Children and Adolescents with and without Pre-Existing Mental Health Problems.</w:t>
      </w:r>
    </w:p>
    <w:p w14:paraId="6BDBAEC6" w14:textId="005C63B8" w:rsidR="00224976" w:rsidRDefault="00224976" w:rsidP="00224976">
      <w:pPr>
        <w:autoSpaceDE w:val="0"/>
        <w:autoSpaceDN w:val="0"/>
        <w:adjustRightInd w:val="0"/>
        <w:spacing w:after="0" w:line="480" w:lineRule="auto"/>
        <w:jc w:val="both"/>
        <w:rPr>
          <w:rFonts w:ascii="Times New Roman" w:hAnsi="Times New Roman" w:cs="Times New Roman"/>
          <w:b/>
          <w:bCs/>
          <w:i/>
          <w:iCs/>
          <w:color w:val="000000"/>
          <w:vertAlign w:val="superscript"/>
          <w:lang w:val="en-US"/>
        </w:rPr>
      </w:pPr>
      <w:r>
        <w:rPr>
          <w:rFonts w:ascii="Times New Roman" w:hAnsi="Times New Roman" w:cs="Times New Roman"/>
          <w:b/>
          <w:bCs/>
          <w:i/>
          <w:iCs/>
          <w:color w:val="000000"/>
          <w:vertAlign w:val="superscript"/>
          <w:lang w:val="en-US"/>
        </w:rPr>
        <w:t>SUPPLEMENTARY MATERIALS</w:t>
      </w:r>
    </w:p>
    <w:p w14:paraId="736A3EBE" w14:textId="77777777" w:rsidR="00224976" w:rsidRPr="00224976" w:rsidRDefault="00224976" w:rsidP="00224976">
      <w:pPr>
        <w:autoSpaceDE w:val="0"/>
        <w:autoSpaceDN w:val="0"/>
        <w:adjustRightInd w:val="0"/>
        <w:spacing w:after="0" w:line="480" w:lineRule="auto"/>
        <w:jc w:val="both"/>
        <w:rPr>
          <w:rFonts w:ascii="Times New Roman" w:hAnsi="Times New Roman" w:cs="Times New Roman"/>
          <w:b/>
          <w:bCs/>
          <w:i/>
          <w:iCs/>
          <w:color w:val="000000"/>
          <w:vertAlign w:val="superscript"/>
          <w:lang w:val="en-US"/>
        </w:rPr>
      </w:pPr>
    </w:p>
    <w:p w14:paraId="3DB47112" w14:textId="77777777" w:rsidR="00B81B7F" w:rsidRDefault="00B81B7F" w:rsidP="00B81B7F">
      <w:pPr>
        <w:autoSpaceDE w:val="0"/>
        <w:autoSpaceDN w:val="0"/>
        <w:adjustRightInd w:val="0"/>
        <w:spacing w:after="0" w:line="480" w:lineRule="auto"/>
        <w:jc w:val="both"/>
        <w:rPr>
          <w:rFonts w:ascii="Times New Roman" w:hAnsi="Times New Roman" w:cs="Times New Roman"/>
          <w:b/>
          <w:bCs/>
          <w:i/>
          <w:iCs/>
          <w:color w:val="000000"/>
          <w:lang w:val="en-US"/>
        </w:rPr>
      </w:pPr>
      <w:r>
        <w:rPr>
          <w:rFonts w:ascii="Times New Roman" w:hAnsi="Times New Roman" w:cs="Times New Roman"/>
          <w:b/>
          <w:bCs/>
          <w:i/>
          <w:iCs/>
          <w:color w:val="000000"/>
          <w:lang w:val="en-US"/>
        </w:rPr>
        <w:t>General Population Samples</w:t>
      </w:r>
    </w:p>
    <w:p w14:paraId="4E62A1D8" w14:textId="629EAD3D" w:rsidR="00B81B7F" w:rsidRDefault="00B81B7F" w:rsidP="00B81B7F">
      <w:pPr>
        <w:pStyle w:val="CommentText"/>
        <w:spacing w:line="480" w:lineRule="auto"/>
        <w:jc w:val="both"/>
        <w:rPr>
          <w:rFonts w:ascii="Times New Roman" w:hAnsi="Times New Roman" w:cs="Times New Roman"/>
          <w:b/>
          <w:iCs/>
          <w:sz w:val="22"/>
          <w:szCs w:val="22"/>
          <w:lang w:val="en-US"/>
        </w:rPr>
      </w:pPr>
      <w:r>
        <w:rPr>
          <w:rFonts w:ascii="Times New Roman" w:hAnsi="Times New Roman" w:cs="Times New Roman"/>
          <w:b/>
          <w:iCs/>
          <w:sz w:val="22"/>
          <w:szCs w:val="22"/>
          <w:lang w:val="en-US"/>
        </w:rPr>
        <w:t xml:space="preserve"> </w:t>
      </w:r>
      <w:r>
        <w:rPr>
          <w:rFonts w:ascii="Times New Roman" w:hAnsi="Times New Roman" w:cs="Times New Roman"/>
          <w:b/>
          <w:iCs/>
          <w:sz w:val="22"/>
          <w:szCs w:val="22"/>
          <w:lang w:val="en-US"/>
        </w:rPr>
        <w:tab/>
      </w:r>
      <w:r>
        <w:rPr>
          <w:rFonts w:ascii="Times New Roman" w:hAnsi="Times New Roman" w:cs="Times New Roman"/>
          <w:b/>
          <w:sz w:val="22"/>
          <w:szCs w:val="22"/>
          <w:lang w:val="en-US"/>
        </w:rPr>
        <w:t>The Netherlands Twin Register (NTR).</w:t>
      </w:r>
      <w:r>
        <w:rPr>
          <w:rFonts w:ascii="Times New Roman" w:hAnsi="Times New Roman" w:cs="Times New Roman"/>
          <w:b/>
          <w:iCs/>
          <w:sz w:val="22"/>
          <w:szCs w:val="22"/>
          <w:lang w:val="en-US"/>
        </w:rPr>
        <w:t xml:space="preserve"> </w:t>
      </w:r>
      <w:r>
        <w:rPr>
          <w:rFonts w:ascii="Times New Roman" w:hAnsi="Times New Roman" w:cs="Times New Roman"/>
          <w:iCs/>
          <w:sz w:val="22"/>
          <w:szCs w:val="22"/>
          <w:lang w:val="en-US"/>
        </w:rPr>
        <w:t xml:space="preserve">The Netherlands Twin Register </w:t>
      </w:r>
      <w:r>
        <w:rPr>
          <w:rFonts w:ascii="Times New Roman" w:hAnsi="Times New Roman" w:cs="Times New Roman"/>
          <w:color w:val="000000"/>
          <w:sz w:val="22"/>
          <w:szCs w:val="22"/>
          <w:lang w:val="en-US"/>
        </w:rPr>
        <w:fldChar w:fldCharType="begin" w:fldLock="1"/>
      </w:r>
      <w:r>
        <w:rPr>
          <w:rFonts w:ascii="Times New Roman" w:hAnsi="Times New Roman" w:cs="Times New Roman"/>
          <w:color w:val="000000"/>
          <w:sz w:val="22"/>
          <w:szCs w:val="22"/>
          <w:lang w:val="en-US"/>
        </w:rPr>
        <w:instrText>ADDIN CSL_CITATION {"citationItems":[{"id":"ITEM-1","itemData":{"DOI":"10.1017/thg.2019.93","ISSN":"18392628","PMID":"31666148","abstract":"The Netherlands Twin Register (NTR) is a national register in which twins, multiples and their parents, siblings, spouses and other family members participate. Here we describe the NTR resources that were created from more than 30 years of data collections; the development and maintenance of the newly developed database systems, and the possibilities these resources create for future research. Since the early 1980s, the NTR has enrolled around 120,000 twins and a roughly equal number of their relatives. The majority of twin families have participated in survey studies, and subsamples took part in biomaterial collection (e.g., DNA) and dedicated projects, for example, for neuropsychological, biomarker and behavioral traits. The recruitment into the NTR is all inclusive without any restrictions on enrollment. These resources - the longitudinal phenotyping, the extended pedigree structures and the multigeneration genotyping - allow for future twin-family research that will contribute to gene discovery, causality modeling, and studies of genetic and cultural inheritance.","author":[{"dropping-particle":"","family":"Ligthart","given":"Lannie","non-dropping-particle":"","parse-names":false,"suffix":""},{"dropping-particle":"","family":"Beijsterveldt","given":"Catharina E.M.","non-dropping-particle":"Van","parse-names":false,"suffix":""},{"dropping-particle":"","family":"Kevenaar","given":"Sofieke T.","non-dropping-particle":"","parse-names":false,"suffix":""},{"dropping-particle":"","family":"Zeeuw","given":"Eveline","non-dropping-particle":"De","parse-names":false,"suffix":""},{"dropping-particle":"","family":"Bergen","given":"Elsje","non-dropping-particle":"Van","parse-names":false,"suffix":""},{"dropping-particle":"","family":"Bruins","given":"Susanne","non-dropping-particle":"","parse-names":false,"suffix":""},{"dropping-particle":"","family":"Pool","given":"René","non-dropping-particle":"","parse-names":false,"suffix":""},{"dropping-particle":"","family":"Helmer","given":"Quinta","non-dropping-particle":"","parse-names":false,"suffix":""},{"dropping-particle":"","family":"Dongen","given":"Jenny","non-dropping-particle":"Van","parse-names":false,"suffix":""},{"dropping-particle":"","family":"Hottenga","given":"Jouke Jan","non-dropping-particle":"","parse-names":false,"suffix":""},{"dropping-particle":"","family":"Van'T Ent","given":"Dennis","non-dropping-particle":"","parse-names":false,"suffix":""},{"dropping-particle":"V.","family":"Dolan","given":"Conor","non-dropping-particle":"","parse-names":false,"suffix":""},{"dropping-particle":"","family":"Davies","given":"Gareth E.","non-dropping-particle":"","parse-names":false,"suffix":""},{"dropping-particle":"","family":"Ehli","given":"Erik A.","non-dropping-particle":"","parse-names":false,"suffix":""},{"dropping-particle":"","family":"Bartels","given":"Meike","non-dropping-particle":"","parse-names":false,"suffix":""},{"dropping-particle":"","family":"Willemsen","given":"Gonneke","non-dropping-particle":"","parse-names":false,"suffix":""},{"dropping-particle":"","family":"Geus","given":"Eco J.C.","non-dropping-particle":"De","parse-names":false,"suffix":""},{"dropping-particle":"","family":"Boomsma","given":"Dorret I.","non-dropping-particle":"","parse-names":false,"suffix":""}],"container-title":"Twin Research and Human Genetics","id":"ITEM-1","issue":"6","issued":{"date-parts":[["2019","12","1"]]},"page":"623-636","publisher":"Cambridge University Press","title":"The Netherlands Twin Register: Longitudinal Research Based on Twin and Twin-Family Designs","type":"article-journal","volume":"22"},"uris":["http://www.mendeley.com/documents/?uuid=3a9693d7-65a9-3e61-b83b-686761edfa63"]}],"mendeley":{"formattedCitation":"[17]","plainTextFormattedCitation":"[17]","previouslyFormattedCitation":"[17]"},"properties":{"noteIndex":0},"schema":"https://github.com/citation-style-language/schema/raw/master/csl-citation.json"}</w:instrText>
      </w:r>
      <w:r>
        <w:rPr>
          <w:rFonts w:ascii="Times New Roman" w:hAnsi="Times New Roman" w:cs="Times New Roman"/>
          <w:color w:val="000000"/>
          <w:sz w:val="22"/>
          <w:szCs w:val="22"/>
          <w:lang w:val="en-US"/>
        </w:rPr>
        <w:fldChar w:fldCharType="separate"/>
      </w:r>
      <w:r>
        <w:rPr>
          <w:rFonts w:ascii="Times New Roman" w:hAnsi="Times New Roman" w:cs="Times New Roman"/>
          <w:noProof/>
          <w:color w:val="000000"/>
          <w:sz w:val="22"/>
          <w:szCs w:val="22"/>
          <w:lang w:val="en-US"/>
        </w:rPr>
        <w:t>[17]</w:t>
      </w:r>
      <w:r>
        <w:rPr>
          <w:rFonts w:ascii="Times New Roman" w:hAnsi="Times New Roman" w:cs="Times New Roman"/>
          <w:color w:val="000000"/>
          <w:sz w:val="22"/>
          <w:szCs w:val="22"/>
          <w:lang w:val="en-US"/>
        </w:rPr>
        <w:fldChar w:fldCharType="end"/>
      </w:r>
      <w:r>
        <w:rPr>
          <w:rFonts w:ascii="Times New Roman" w:hAnsi="Times New Roman" w:cs="Times New Roman"/>
          <w:color w:val="000000"/>
          <w:sz w:val="22"/>
          <w:szCs w:val="22"/>
          <w:lang w:val="en-US"/>
        </w:rPr>
        <w:t xml:space="preserve"> </w:t>
      </w:r>
      <w:r>
        <w:rPr>
          <w:rFonts w:ascii="Times New Roman" w:hAnsi="Times New Roman" w:cs="Times New Roman"/>
          <w:iCs/>
          <w:sz w:val="22"/>
          <w:szCs w:val="22"/>
          <w:lang w:val="en-US"/>
        </w:rPr>
        <w:t xml:space="preserve">was established in 1987 and collects data in twins and multiples from birth onwards. As part of the ongoing nationwide data collection of the NTR (see Appendix I for more information), </w:t>
      </w:r>
      <w:r>
        <w:rPr>
          <w:rFonts w:ascii="Times New Roman" w:hAnsi="Times New Roman" w:cs="Times New Roman"/>
          <w:color w:val="000000"/>
          <w:sz w:val="22"/>
          <w:szCs w:val="22"/>
          <w:lang w:val="en-US"/>
        </w:rPr>
        <w:t xml:space="preserve">mothers and fathers of 7, 10, and 12 year-old twins are invited to complete the Child Behavior Checklist (CBCL/6-18 years </w:t>
      </w:r>
      <w:r>
        <w:rPr>
          <w:rFonts w:ascii="Times New Roman" w:hAnsi="Times New Roman" w:cs="Times New Roman"/>
          <w:color w:val="000000"/>
          <w:sz w:val="22"/>
          <w:szCs w:val="22"/>
          <w:lang w:val="en-US"/>
        </w:rPr>
        <w:fldChar w:fldCharType="begin" w:fldLock="1"/>
      </w:r>
      <w:r>
        <w:rPr>
          <w:rFonts w:ascii="Times New Roman" w:hAnsi="Times New Roman" w:cs="Times New Roman"/>
          <w:color w:val="000000"/>
          <w:sz w:val="22"/>
          <w:szCs w:val="22"/>
          <w:lang w:val="en-US"/>
        </w:rPr>
        <w:instrText>ADDIN CSL_CITATION {"citationItems":[{"id":"ITEM-1","itemData":{"author":[{"dropping-particle":"","family":"Achenbach","given":"Thomas M.","non-dropping-particle":"","parse-names":false,"suffix":""},{"dropping-particle":"","family":"Rescorla","given":"Leslie A.","non-dropping-particle":"","parse-names":false,"suffix":""}],"id":"ITEM-1","issued":{"date-parts":[["2007"]]},"title":"Achenbach system of empirically based assessment.","type":"article"},"uris":["http://www.mendeley.com/documents/?uuid=a7b6fc68-d8d2-3bce-88d0-76d1576bff12"]}],"mendeley":{"formattedCitation":"[18]","plainTextFormattedCitation":"[18]","previouslyFormattedCitation":"[18]"},"properties":{"noteIndex":0},"schema":"https://github.com/citation-style-language/schema/raw/master/csl-citation.json"}</w:instrText>
      </w:r>
      <w:r>
        <w:rPr>
          <w:rFonts w:ascii="Times New Roman" w:hAnsi="Times New Roman" w:cs="Times New Roman"/>
          <w:color w:val="000000"/>
          <w:sz w:val="22"/>
          <w:szCs w:val="22"/>
          <w:lang w:val="en-US"/>
        </w:rPr>
        <w:fldChar w:fldCharType="separate"/>
      </w:r>
      <w:r>
        <w:rPr>
          <w:rFonts w:ascii="Times New Roman" w:hAnsi="Times New Roman" w:cs="Times New Roman"/>
          <w:noProof/>
          <w:color w:val="000000"/>
          <w:sz w:val="22"/>
          <w:szCs w:val="22"/>
          <w:lang w:val="en-US"/>
        </w:rPr>
        <w:t>[18]</w:t>
      </w:r>
      <w:r>
        <w:rPr>
          <w:rFonts w:ascii="Times New Roman" w:hAnsi="Times New Roman" w:cs="Times New Roman"/>
          <w:color w:val="000000"/>
          <w:sz w:val="22"/>
          <w:szCs w:val="22"/>
          <w:lang w:val="en-US"/>
        </w:rPr>
        <w:fldChar w:fldCharType="end"/>
      </w:r>
      <w:r>
        <w:rPr>
          <w:rFonts w:ascii="Times New Roman" w:hAnsi="Times New Roman" w:cs="Times New Roman"/>
          <w:color w:val="000000"/>
          <w:sz w:val="22"/>
          <w:szCs w:val="22"/>
          <w:lang w:val="en-US"/>
        </w:rPr>
        <w:t xml:space="preserve">). </w:t>
      </w:r>
      <w:r>
        <w:rPr>
          <w:rFonts w:ascii="Times New Roman" w:hAnsi="Times New Roman" w:cs="Times New Roman"/>
          <w:sz w:val="22"/>
          <w:szCs w:val="22"/>
          <w:lang w:val="en-US"/>
        </w:rPr>
        <w:t xml:space="preserve">Given the longitudinal nature of the study, with data collection from birth onwards, and depending on the age of the twin pair (some reached age 12 while others are still younger), multiple pre-pandemic assessments at different ages are available. </w:t>
      </w:r>
      <w:r>
        <w:rPr>
          <w:rFonts w:ascii="Times New Roman" w:hAnsi="Times New Roman" w:cs="Times New Roman"/>
          <w:color w:val="000000"/>
          <w:sz w:val="22"/>
          <w:szCs w:val="22"/>
          <w:lang w:val="en-GB"/>
        </w:rPr>
        <w:t xml:space="preserve">To prevent overlap, </w:t>
      </w:r>
      <w:r>
        <w:rPr>
          <w:rFonts w:ascii="Times New Roman" w:hAnsi="Times New Roman" w:cs="Times New Roman"/>
          <w:color w:val="000000"/>
          <w:sz w:val="22"/>
          <w:szCs w:val="22"/>
          <w:lang w:val="en-US"/>
        </w:rPr>
        <w:t xml:space="preserve">for every child only the most recent assessment was included. </w:t>
      </w:r>
      <w:r>
        <w:rPr>
          <w:rFonts w:ascii="Times New Roman" w:hAnsi="Times New Roman" w:cs="Times New Roman"/>
          <w:color w:val="000000"/>
          <w:sz w:val="22"/>
          <w:szCs w:val="22"/>
          <w:lang w:val="en-GB"/>
        </w:rPr>
        <w:t xml:space="preserve">Given the longitudinal data collection at NTR, the pre-pandemic sample includes data from 1995 up to 2018, resulting in a markedly larger sample for the pre-pandemic data than for the pandemic measurements. During </w:t>
      </w:r>
      <w:r>
        <w:rPr>
          <w:rFonts w:ascii="Times New Roman" w:hAnsi="Times New Roman" w:cs="Times New Roman"/>
          <w:sz w:val="22"/>
          <w:szCs w:val="22"/>
          <w:lang w:val="en-US"/>
        </w:rPr>
        <w:t>the pandemic (Apr</w:t>
      </w:r>
      <w:bookmarkStart w:id="0" w:name="_Hlk76306176"/>
      <w:r>
        <w:rPr>
          <w:rFonts w:ascii="Times New Roman" w:hAnsi="Times New Roman" w:cs="Times New Roman"/>
          <w:sz w:val="22"/>
          <w:szCs w:val="22"/>
          <w:lang w:val="en-US"/>
        </w:rPr>
        <w:t>.–</w:t>
      </w:r>
      <w:bookmarkEnd w:id="0"/>
      <w:r>
        <w:rPr>
          <w:rFonts w:ascii="Times New Roman" w:hAnsi="Times New Roman" w:cs="Times New Roman"/>
          <w:sz w:val="22"/>
          <w:szCs w:val="22"/>
          <w:lang w:val="en-US"/>
        </w:rPr>
        <w:t xml:space="preserve">May 2020), mothers and fathers were invited to complete the shortened version of the CBCL, the Brief Problem Monitor (BPM) </w:t>
      </w:r>
      <w:r>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ADDIN CSL_CITATION {"citationItems":[{"id":"ITEM-1","itemData":{"author":[{"dropping-particle":"","family":"Achenbach","given":"T. M.","non-dropping-particle":"","parse-names":false,"suffix":""},{"dropping-particle":"","family":"McConaughy","given":"S. H.","non-dropping-particle":"","parse-names":false,"suffix":""},{"dropping-particle":"","family":"Ivanova","given":"M. Y.","non-dropping-particle":"","parse-names":false,"suffix":""},{"dropping-particle":"","family":"Rescorla","given":"L. A.","non-dropping-particle":"","parse-names":false,"suffix":""}],"id":"ITEM-1","issued":{"date-parts":[["2011"]]},"page":"1-33","publisher":"Burlington, VT: ASEBA,","title":"Achenbach, T. M., McConaughy, S. H., Ivanova, M. Y., &amp; Rescorla, L. A. (2011). Manual for the ASEBA brief problem monitor (BPM).","type":"article"},"uris":["http://www.mendeley.com/documents/?uuid=8dd31700-80f5-3970-849c-0d0d4cf563b8"]}],"mendeley":{"formattedCitation":"[19]","plainTextFormattedCitation":"[19]","previouslyFormattedCitation":"[19]"},"properties":{"noteIndex":0},"schema":"https://github.com/citation-style-language/schema/raw/master/csl-citation.json"}</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[19]</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w:t>
      </w:r>
      <w:r>
        <w:rPr>
          <w:rFonts w:ascii="Times New Roman" w:hAnsi="Times New Roman" w:cs="Times New Roman"/>
          <w:iCs/>
          <w:sz w:val="22"/>
          <w:szCs w:val="22"/>
          <w:lang w:val="en-US"/>
        </w:rPr>
        <w:t xml:space="preserve">To be able to include the largest available homogeneous sample, we used mother ratings, and if mother ratings were not </w:t>
      </w:r>
      <w:proofErr w:type="gramStart"/>
      <w:r>
        <w:rPr>
          <w:rFonts w:ascii="Times New Roman" w:hAnsi="Times New Roman" w:cs="Times New Roman"/>
          <w:iCs/>
          <w:sz w:val="22"/>
          <w:szCs w:val="22"/>
          <w:lang w:val="en-US"/>
        </w:rPr>
        <w:t>available</w:t>
      </w:r>
      <w:proofErr w:type="gramEnd"/>
      <w:r>
        <w:rPr>
          <w:rFonts w:ascii="Times New Roman" w:hAnsi="Times New Roman" w:cs="Times New Roman"/>
          <w:iCs/>
          <w:sz w:val="22"/>
          <w:szCs w:val="22"/>
          <w:lang w:val="en-US"/>
        </w:rPr>
        <w:t xml:space="preserve"> we used father ratings. For the NTR, the pre-pandemic measurement consisted of 34,038 children (49.5%</w:t>
      </w:r>
      <w:r>
        <w:rPr>
          <w:rFonts w:ascii="Times New Roman" w:hAnsi="Times New Roman" w:cs="Times New Roman"/>
          <w:b/>
          <w:iCs/>
          <w:sz w:val="22"/>
          <w:szCs w:val="22"/>
          <w:lang w:val="en-US"/>
        </w:rPr>
        <w:t xml:space="preserve"> </w:t>
      </w:r>
      <w:r>
        <w:rPr>
          <w:rFonts w:ascii="Times New Roman" w:hAnsi="Times New Roman" w:cs="Times New Roman"/>
          <w:iCs/>
          <w:sz w:val="22"/>
          <w:szCs w:val="22"/>
          <w:lang w:val="en-US"/>
        </w:rPr>
        <w:t xml:space="preserve">boys), </w:t>
      </w:r>
      <w:r>
        <w:rPr>
          <w:rFonts w:ascii="Times New Roman" w:hAnsi="Times New Roman" w:cs="Times New Roman"/>
          <w:i/>
          <w:iCs/>
          <w:sz w:val="22"/>
          <w:szCs w:val="22"/>
          <w:lang w:val="en-US"/>
        </w:rPr>
        <w:t>M</w:t>
      </w:r>
      <w:r>
        <w:rPr>
          <w:rFonts w:ascii="Times New Roman" w:hAnsi="Times New Roman" w:cs="Times New Roman"/>
          <w:iCs/>
          <w:sz w:val="22"/>
          <w:szCs w:val="22"/>
          <w:vertAlign w:val="subscript"/>
          <w:lang w:val="en-US"/>
        </w:rPr>
        <w:t>age</w:t>
      </w:r>
      <w:r>
        <w:rPr>
          <w:rFonts w:ascii="Times New Roman" w:hAnsi="Times New Roman" w:cs="Times New Roman"/>
          <w:iCs/>
          <w:sz w:val="22"/>
          <w:szCs w:val="22"/>
          <w:lang w:val="en-US"/>
        </w:rPr>
        <w:t xml:space="preserve"> = 10.4 (</w:t>
      </w:r>
      <w:r>
        <w:rPr>
          <w:rFonts w:ascii="Times New Roman" w:hAnsi="Times New Roman" w:cs="Times New Roman"/>
          <w:i/>
          <w:iCs/>
          <w:sz w:val="22"/>
          <w:szCs w:val="22"/>
          <w:lang w:val="en-US"/>
        </w:rPr>
        <w:t>SD</w:t>
      </w:r>
      <w:r>
        <w:rPr>
          <w:rFonts w:ascii="Times New Roman" w:hAnsi="Times New Roman" w:cs="Times New Roman"/>
          <w:iCs/>
          <w:sz w:val="22"/>
          <w:szCs w:val="22"/>
          <w:lang w:val="en-US"/>
        </w:rPr>
        <w:t xml:space="preserve"> = 1.9), of which 97.7% were mother ratings and the rest father ratings. The first pandemic measurement (Apr.–May 2020) consisted of </w:t>
      </w:r>
      <w:r w:rsidR="00B5235C" w:rsidRPr="00B5235C">
        <w:rPr>
          <w:rFonts w:ascii="Times New Roman" w:hAnsi="Times New Roman" w:cs="Times New Roman"/>
          <w:bCs/>
          <w:sz w:val="22"/>
          <w:szCs w:val="22"/>
          <w:lang w:val="en-US"/>
        </w:rPr>
        <w:t>3</w:t>
      </w:r>
      <w:r w:rsidR="00B5235C">
        <w:rPr>
          <w:rFonts w:ascii="Times New Roman" w:hAnsi="Times New Roman" w:cs="Times New Roman"/>
          <w:bCs/>
          <w:sz w:val="22"/>
          <w:szCs w:val="22"/>
          <w:lang w:val="en-US"/>
        </w:rPr>
        <w:t>,</w:t>
      </w:r>
      <w:r w:rsidR="009776F8">
        <w:rPr>
          <w:rFonts w:ascii="Times New Roman" w:hAnsi="Times New Roman" w:cs="Times New Roman"/>
          <w:bCs/>
          <w:sz w:val="22"/>
          <w:szCs w:val="22"/>
          <w:lang w:val="en-US"/>
        </w:rPr>
        <w:t>524</w:t>
      </w:r>
      <w:r>
        <w:rPr>
          <w:rFonts w:ascii="Times New Roman" w:hAnsi="Times New Roman" w:cs="Times New Roman"/>
          <w:iCs/>
          <w:sz w:val="22"/>
          <w:szCs w:val="22"/>
          <w:lang w:val="en-US"/>
        </w:rPr>
        <w:t xml:space="preserve"> children (</w:t>
      </w:r>
      <w:r w:rsidR="00B5235C">
        <w:rPr>
          <w:rFonts w:ascii="Times New Roman" w:hAnsi="Times New Roman" w:cs="Times New Roman"/>
          <w:iCs/>
          <w:sz w:val="22"/>
          <w:szCs w:val="22"/>
          <w:lang w:val="en-US"/>
        </w:rPr>
        <w:t>53</w:t>
      </w:r>
      <w:r>
        <w:rPr>
          <w:rFonts w:ascii="Times New Roman" w:hAnsi="Times New Roman" w:cs="Times New Roman"/>
          <w:iCs/>
          <w:sz w:val="22"/>
          <w:szCs w:val="22"/>
          <w:lang w:val="en-US"/>
        </w:rPr>
        <w:t>.</w:t>
      </w:r>
      <w:r w:rsidR="009776F8">
        <w:rPr>
          <w:rFonts w:ascii="Times New Roman" w:hAnsi="Times New Roman" w:cs="Times New Roman"/>
          <w:iCs/>
          <w:sz w:val="22"/>
          <w:szCs w:val="22"/>
          <w:lang w:val="en-US"/>
        </w:rPr>
        <w:t>7</w:t>
      </w:r>
      <w:r>
        <w:rPr>
          <w:rFonts w:ascii="Times New Roman" w:hAnsi="Times New Roman" w:cs="Times New Roman"/>
          <w:iCs/>
          <w:sz w:val="22"/>
          <w:szCs w:val="22"/>
          <w:lang w:val="en-US"/>
        </w:rPr>
        <w:t xml:space="preserve">% boys), </w:t>
      </w:r>
      <w:r>
        <w:rPr>
          <w:rFonts w:ascii="Times New Roman" w:hAnsi="Times New Roman" w:cs="Times New Roman"/>
          <w:i/>
          <w:iCs/>
          <w:sz w:val="22"/>
          <w:szCs w:val="22"/>
          <w:lang w:val="en-US"/>
        </w:rPr>
        <w:t>M</w:t>
      </w:r>
      <w:r>
        <w:rPr>
          <w:rFonts w:ascii="Times New Roman" w:hAnsi="Times New Roman" w:cs="Times New Roman"/>
          <w:iCs/>
          <w:sz w:val="22"/>
          <w:szCs w:val="22"/>
          <w:vertAlign w:val="subscript"/>
          <w:lang w:val="en-US"/>
        </w:rPr>
        <w:t>age</w:t>
      </w:r>
      <w:r>
        <w:rPr>
          <w:rFonts w:ascii="Times New Roman" w:hAnsi="Times New Roman" w:cs="Times New Roman"/>
          <w:iCs/>
          <w:sz w:val="22"/>
          <w:szCs w:val="22"/>
          <w:lang w:val="en-US"/>
        </w:rPr>
        <w:t xml:space="preserve"> = </w:t>
      </w:r>
      <w:r w:rsidR="00B5235C">
        <w:rPr>
          <w:rFonts w:ascii="Times New Roman" w:hAnsi="Times New Roman" w:cs="Times New Roman"/>
          <w:iCs/>
          <w:sz w:val="22"/>
          <w:szCs w:val="22"/>
          <w:lang w:val="en-US"/>
        </w:rPr>
        <w:t>9.</w:t>
      </w:r>
      <w:r w:rsidR="009776F8">
        <w:rPr>
          <w:rFonts w:ascii="Times New Roman" w:hAnsi="Times New Roman" w:cs="Times New Roman"/>
          <w:iCs/>
          <w:sz w:val="22"/>
          <w:szCs w:val="22"/>
          <w:lang w:val="en-US"/>
        </w:rPr>
        <w:t>2</w:t>
      </w:r>
      <w:r>
        <w:rPr>
          <w:rFonts w:ascii="Times New Roman" w:hAnsi="Times New Roman" w:cs="Times New Roman"/>
          <w:iCs/>
          <w:sz w:val="22"/>
          <w:szCs w:val="22"/>
          <w:lang w:val="en-US"/>
        </w:rPr>
        <w:t xml:space="preserve"> (</w:t>
      </w:r>
      <w:r>
        <w:rPr>
          <w:rFonts w:ascii="Times New Roman" w:hAnsi="Times New Roman" w:cs="Times New Roman"/>
          <w:i/>
          <w:iCs/>
          <w:sz w:val="22"/>
          <w:szCs w:val="22"/>
          <w:lang w:val="en-US"/>
        </w:rPr>
        <w:t>SD</w:t>
      </w:r>
      <w:r>
        <w:rPr>
          <w:rFonts w:ascii="Times New Roman" w:hAnsi="Times New Roman" w:cs="Times New Roman"/>
          <w:iCs/>
          <w:sz w:val="22"/>
          <w:szCs w:val="22"/>
          <w:lang w:val="en-US"/>
        </w:rPr>
        <w:t xml:space="preserve"> = </w:t>
      </w:r>
      <w:r w:rsidR="00B5235C">
        <w:rPr>
          <w:rFonts w:ascii="Times New Roman" w:hAnsi="Times New Roman" w:cs="Times New Roman"/>
          <w:iCs/>
          <w:sz w:val="22"/>
          <w:szCs w:val="22"/>
          <w:lang w:val="en-US"/>
        </w:rPr>
        <w:t>2.1</w:t>
      </w:r>
      <w:r>
        <w:rPr>
          <w:rFonts w:ascii="Times New Roman" w:hAnsi="Times New Roman" w:cs="Times New Roman"/>
          <w:iCs/>
          <w:sz w:val="22"/>
          <w:szCs w:val="22"/>
          <w:lang w:val="en-US"/>
        </w:rPr>
        <w:t>), where we used mother ratings (8</w:t>
      </w:r>
      <w:r w:rsidR="009776F8">
        <w:rPr>
          <w:rFonts w:ascii="Times New Roman" w:hAnsi="Times New Roman" w:cs="Times New Roman"/>
          <w:iCs/>
          <w:sz w:val="22"/>
          <w:szCs w:val="22"/>
          <w:lang w:val="en-US"/>
        </w:rPr>
        <w:t>4</w:t>
      </w:r>
      <w:r>
        <w:rPr>
          <w:rFonts w:ascii="Times New Roman" w:hAnsi="Times New Roman" w:cs="Times New Roman"/>
          <w:iCs/>
          <w:sz w:val="22"/>
          <w:szCs w:val="22"/>
          <w:lang w:val="en-US"/>
        </w:rPr>
        <w:t>.</w:t>
      </w:r>
      <w:r w:rsidR="009776F8">
        <w:rPr>
          <w:rFonts w:ascii="Times New Roman" w:hAnsi="Times New Roman" w:cs="Times New Roman"/>
          <w:iCs/>
          <w:sz w:val="22"/>
          <w:szCs w:val="22"/>
          <w:lang w:val="en-US"/>
        </w:rPr>
        <w:t>7</w:t>
      </w:r>
      <w:r>
        <w:rPr>
          <w:rFonts w:ascii="Times New Roman" w:hAnsi="Times New Roman" w:cs="Times New Roman"/>
          <w:iCs/>
          <w:sz w:val="22"/>
          <w:szCs w:val="22"/>
          <w:lang w:val="en-US"/>
        </w:rPr>
        <w:t xml:space="preserve">%) and father ratings if mother ratings were not available. The second pandemic measurement (Nov.–Dec. 2020) consisted of </w:t>
      </w:r>
      <w:r w:rsidR="009776F8">
        <w:rPr>
          <w:rFonts w:ascii="Times New Roman" w:hAnsi="Times New Roman" w:cs="Times New Roman"/>
          <w:bCs/>
          <w:sz w:val="22"/>
          <w:szCs w:val="22"/>
          <w:lang w:val="en-US"/>
        </w:rPr>
        <w:t>1168</w:t>
      </w:r>
      <w:r>
        <w:rPr>
          <w:rFonts w:ascii="Times New Roman" w:hAnsi="Times New Roman" w:cs="Times New Roman"/>
          <w:iCs/>
          <w:sz w:val="22"/>
          <w:szCs w:val="22"/>
          <w:lang w:val="en-US"/>
        </w:rPr>
        <w:t xml:space="preserve"> children (4</w:t>
      </w:r>
      <w:r w:rsidR="00B5235C">
        <w:rPr>
          <w:rFonts w:ascii="Times New Roman" w:hAnsi="Times New Roman" w:cs="Times New Roman"/>
          <w:iCs/>
          <w:sz w:val="22"/>
          <w:szCs w:val="22"/>
          <w:lang w:val="en-US"/>
        </w:rPr>
        <w:t>9</w:t>
      </w:r>
      <w:r>
        <w:rPr>
          <w:rFonts w:ascii="Times New Roman" w:hAnsi="Times New Roman" w:cs="Times New Roman"/>
          <w:iCs/>
          <w:sz w:val="22"/>
          <w:szCs w:val="22"/>
          <w:lang w:val="en-US"/>
        </w:rPr>
        <w:t>.</w:t>
      </w:r>
      <w:r w:rsidR="009776F8">
        <w:rPr>
          <w:rFonts w:ascii="Times New Roman" w:hAnsi="Times New Roman" w:cs="Times New Roman"/>
          <w:iCs/>
          <w:sz w:val="22"/>
          <w:szCs w:val="22"/>
          <w:lang w:val="en-US"/>
        </w:rPr>
        <w:t>0</w:t>
      </w:r>
      <w:r>
        <w:rPr>
          <w:rFonts w:ascii="Times New Roman" w:hAnsi="Times New Roman" w:cs="Times New Roman"/>
          <w:iCs/>
          <w:sz w:val="22"/>
          <w:szCs w:val="22"/>
          <w:lang w:val="en-US"/>
        </w:rPr>
        <w:t xml:space="preserve">% boys), </w:t>
      </w:r>
      <w:r>
        <w:rPr>
          <w:rFonts w:ascii="Times New Roman" w:hAnsi="Times New Roman" w:cs="Times New Roman"/>
          <w:i/>
          <w:iCs/>
          <w:sz w:val="22"/>
          <w:szCs w:val="22"/>
          <w:lang w:val="en-US"/>
        </w:rPr>
        <w:t>M</w:t>
      </w:r>
      <w:r>
        <w:rPr>
          <w:rFonts w:ascii="Times New Roman" w:hAnsi="Times New Roman" w:cs="Times New Roman"/>
          <w:iCs/>
          <w:sz w:val="22"/>
          <w:szCs w:val="22"/>
          <w:vertAlign w:val="subscript"/>
          <w:lang w:val="en-US"/>
        </w:rPr>
        <w:t>age</w:t>
      </w:r>
      <w:r>
        <w:rPr>
          <w:rFonts w:ascii="Times New Roman" w:hAnsi="Times New Roman" w:cs="Times New Roman"/>
          <w:iCs/>
          <w:sz w:val="22"/>
          <w:szCs w:val="22"/>
          <w:lang w:val="en-US"/>
        </w:rPr>
        <w:t xml:space="preserve"> = </w:t>
      </w:r>
      <w:r w:rsidR="009776F8">
        <w:rPr>
          <w:rFonts w:ascii="Times New Roman" w:hAnsi="Times New Roman" w:cs="Times New Roman"/>
          <w:iCs/>
          <w:sz w:val="22"/>
          <w:szCs w:val="22"/>
          <w:lang w:val="en-US"/>
        </w:rPr>
        <w:t>9.8</w:t>
      </w:r>
      <w:r>
        <w:rPr>
          <w:rFonts w:ascii="Times New Roman" w:hAnsi="Times New Roman" w:cs="Times New Roman"/>
          <w:iCs/>
          <w:sz w:val="22"/>
          <w:szCs w:val="22"/>
          <w:lang w:val="en-US"/>
        </w:rPr>
        <w:t xml:space="preserve"> (</w:t>
      </w:r>
      <w:r>
        <w:rPr>
          <w:rFonts w:ascii="Times New Roman" w:hAnsi="Times New Roman" w:cs="Times New Roman"/>
          <w:i/>
          <w:iCs/>
          <w:sz w:val="22"/>
          <w:szCs w:val="22"/>
          <w:lang w:val="en-US"/>
        </w:rPr>
        <w:t>SD</w:t>
      </w:r>
      <w:r>
        <w:rPr>
          <w:rFonts w:ascii="Times New Roman" w:hAnsi="Times New Roman" w:cs="Times New Roman"/>
          <w:iCs/>
          <w:sz w:val="22"/>
          <w:szCs w:val="22"/>
          <w:lang w:val="en-US"/>
        </w:rPr>
        <w:t xml:space="preserve"> = 2.</w:t>
      </w:r>
      <w:r w:rsidR="009776F8">
        <w:rPr>
          <w:rFonts w:ascii="Times New Roman" w:hAnsi="Times New Roman" w:cs="Times New Roman"/>
          <w:iCs/>
          <w:sz w:val="22"/>
          <w:szCs w:val="22"/>
          <w:lang w:val="en-US"/>
        </w:rPr>
        <w:t>3</w:t>
      </w:r>
      <w:r>
        <w:rPr>
          <w:rFonts w:ascii="Times New Roman" w:hAnsi="Times New Roman" w:cs="Times New Roman"/>
          <w:iCs/>
          <w:sz w:val="22"/>
          <w:szCs w:val="22"/>
          <w:lang w:val="en-US"/>
        </w:rPr>
        <w:t xml:space="preserve">), where we used </w:t>
      </w:r>
      <w:r>
        <w:rPr>
          <w:rFonts w:ascii="Times New Roman" w:hAnsi="Times New Roman" w:cs="Times New Roman"/>
          <w:bCs/>
          <w:sz w:val="22"/>
          <w:szCs w:val="22"/>
          <w:lang w:val="en-US"/>
        </w:rPr>
        <w:t>8</w:t>
      </w:r>
      <w:r w:rsidR="009776F8">
        <w:rPr>
          <w:rFonts w:ascii="Times New Roman" w:hAnsi="Times New Roman" w:cs="Times New Roman"/>
          <w:bCs/>
          <w:sz w:val="22"/>
          <w:szCs w:val="22"/>
          <w:lang w:val="en-US"/>
        </w:rPr>
        <w:t>8</w:t>
      </w:r>
      <w:r>
        <w:rPr>
          <w:rFonts w:ascii="Times New Roman" w:hAnsi="Times New Roman" w:cs="Times New Roman"/>
          <w:bCs/>
          <w:sz w:val="22"/>
          <w:szCs w:val="22"/>
          <w:lang w:val="en-US"/>
        </w:rPr>
        <w:t>.</w:t>
      </w:r>
      <w:r w:rsidR="009776F8">
        <w:rPr>
          <w:rFonts w:ascii="Times New Roman" w:hAnsi="Times New Roman" w:cs="Times New Roman"/>
          <w:bCs/>
          <w:sz w:val="22"/>
          <w:szCs w:val="22"/>
          <w:lang w:val="en-US"/>
        </w:rPr>
        <w:t>1</w:t>
      </w:r>
      <w:r>
        <w:rPr>
          <w:rFonts w:ascii="Times New Roman" w:hAnsi="Times New Roman" w:cs="Times New Roman"/>
          <w:bCs/>
          <w:sz w:val="22"/>
          <w:szCs w:val="22"/>
          <w:lang w:val="en-US"/>
        </w:rPr>
        <w:t>%</w:t>
      </w:r>
      <w:r>
        <w:rPr>
          <w:rFonts w:ascii="Times New Roman" w:hAnsi="Times New Roman" w:cs="Times New Roman"/>
          <w:bCs/>
          <w:iCs/>
          <w:sz w:val="22"/>
          <w:szCs w:val="22"/>
          <w:lang w:val="en-US"/>
        </w:rPr>
        <w:t xml:space="preserve"> mother ratings</w:t>
      </w:r>
      <w:r>
        <w:rPr>
          <w:rFonts w:ascii="Times New Roman" w:hAnsi="Times New Roman" w:cs="Times New Roman"/>
          <w:iCs/>
          <w:sz w:val="22"/>
          <w:szCs w:val="22"/>
          <w:lang w:val="en-US"/>
        </w:rPr>
        <w:t xml:space="preserve"> and the rest father ratings (see Table 1).</w:t>
      </w:r>
    </w:p>
    <w:p w14:paraId="2DEF54AE" w14:textId="46492146" w:rsidR="00B81B7F" w:rsidRDefault="00B81B7F" w:rsidP="00B81B7F">
      <w:pPr>
        <w:autoSpaceDE w:val="0"/>
        <w:autoSpaceDN w:val="0"/>
        <w:adjustRightInd w:val="0"/>
        <w:spacing w:after="0" w:line="480" w:lineRule="auto"/>
        <w:jc w:val="both"/>
        <w:rPr>
          <w:rFonts w:ascii="Times New Roman" w:eastAsia="Times New Roman" w:hAnsi="Times New Roman" w:cs="Times New Roman"/>
          <w:color w:val="000000"/>
          <w:lang w:val="en-US"/>
        </w:rPr>
      </w:pPr>
      <w:r>
        <w:rPr>
          <w:rFonts w:ascii="Times New Roman" w:hAnsi="Times New Roman" w:cs="Times New Roman"/>
          <w:b/>
          <w:iCs/>
          <w:lang w:val="en-US"/>
        </w:rPr>
        <w:t xml:space="preserve">  </w:t>
      </w:r>
      <w:r>
        <w:rPr>
          <w:rFonts w:ascii="Times New Roman" w:hAnsi="Times New Roman" w:cs="Times New Roman"/>
          <w:b/>
          <w:iCs/>
          <w:lang w:val="en-US"/>
        </w:rPr>
        <w:tab/>
      </w:r>
      <w:bookmarkStart w:id="1" w:name="_Hlk72935908"/>
      <w:r>
        <w:rPr>
          <w:rFonts w:ascii="Times New Roman" w:hAnsi="Times New Roman" w:cs="Times New Roman"/>
          <w:b/>
          <w:lang w:val="en-US"/>
        </w:rPr>
        <w:t>KLIK.</w:t>
      </w:r>
      <w:r>
        <w:rPr>
          <w:rFonts w:ascii="Times New Roman" w:hAnsi="Times New Roman" w:cs="Times New Roman"/>
          <w:b/>
          <w:i/>
          <w:iCs/>
          <w:lang w:val="en-US"/>
        </w:rPr>
        <w:t xml:space="preserve"> </w:t>
      </w:r>
      <w:r>
        <w:rPr>
          <w:rFonts w:ascii="Times New Roman" w:hAnsi="Times New Roman" w:cs="Times New Roman"/>
          <w:lang w:val="en-US"/>
        </w:rPr>
        <w:t xml:space="preserve">Data were collected through a research website (www.hetklikt.nu) of the KLIK Patient-Reported Outcome Measures (PROM) portal developed specifically for this purpose (www.corona-studie.nl). Parents were asked to complete a socio-demographic questionnaire and the BPM (Nov. 2020) </w:t>
      </w:r>
      <w:r>
        <w:rPr>
          <w:rFonts w:ascii="Times New Roman" w:hAnsi="Times New Roman" w:cs="Times New Roman"/>
          <w:lang w:val="en-US"/>
        </w:rPr>
        <w:lastRenderedPageBreak/>
        <w:t xml:space="preserve">and children completed the PROMIS questionnaires (Apr. and Nov. 2020). The samples are representative of the Dutch general population within 2.5% on most key demographics (age, sex, ethnicity, region, and educational level) compared to population numbers in 2017 </w:t>
      </w:r>
      <w:r>
        <w:fldChar w:fldCharType="begin" w:fldLock="1"/>
      </w:r>
      <w:r>
        <w:rPr>
          <w:rFonts w:ascii="Times New Roman" w:hAnsi="Times New Roman" w:cs="Times New Roman"/>
          <w:lang w:val="en-US"/>
        </w:rPr>
        <w:instrText>ADDIN CSL_CITATION {"citationItems":[{"id":"ITEM-1","itemData":{"DOI":"10.1007/s11136-021-02781-w","ISBN":"0123456789","ISSN":"15732649","abstract":"Purpose: This study aimed to validate the PROMIS Pediatric item bank v2.0 Peer Relationships and compare reliability of the full item bank to its short form, computerized adaptive test (CAT) and the social functioning (SF) subscale of the Pediatric Quality of Life Inventory (PedsQL™). Methods: Children aged 8–18 (n = 1327), representative of the Dutch population completed the Peer Relationships item bank. A graded response model (GRM) was fit to the data. Structural validity was assessed by checking item-fit statistics (S-X2, p &lt; 0.001 = misfit). For construct validity, a moderately strong correlation (&gt; 0.50) was expected between Peer Relationships and the PedsQL SF subscale. Cross-cultural DIF between U.S. and NL was assessed using logistic regression, where an item with McFadden’s pseudo R2 &gt; 0.02 was considered to have DIF. Percentage of participants reliably measured was assessed using the standard error of measurement (SEM) &lt; 0.32 as a criterion (reliability of 0.90). Relative efficiency ((1-SEM2)/nitems) was calculated to compare how well the instruments performed relative to the amount of items administered. Results: In total, 527 (response rate: 39.7%) children completed the PROMIS v2.0 Peer Relationships item bank (nitems = 15) and the PedsQL™ (nitems = 23). Structural validity of the Peer Relationships item bank was sufficient, but one item displayed misfit in the GRM model (S-X2 &lt; 0.001); 5152R1r (“I played alone and kept to myself”). The item 733R1r (“I was a good friend”) was the only item that displayed cross-cultural DIF (R2 = 0.0253). The item bank correlated moderately high (r = 0.61) with the PedsQL SF subscale Reliable measurements were obtained at the population mean and &gt; 2SD in the clinically relevant direction. CAT outperformed all other measures in efficiency. Mean T-score of the Dutch general population was 46.9(SD 9.5). Conclusion: The pediatric PROMIS Peer Relationships item bank was successfully validated for use within the Dutch population and reference data are now available.","author":[{"dropping-particle":"","family":"Luijten","given":"Michiel A.J.","non-dropping-particle":"","parse-names":false,"suffix":""},{"dropping-particle":"","family":"Litsenburg","given":"Raphaële R.L.","non-dropping-particle":"van","parse-names":false,"suffix":""},{"dropping-particle":"","family":"Terwee","given":"Caroline B.","non-dropping-particle":"","parse-names":false,"suffix":""},{"dropping-particle":"","family":"Grootenhuis","given":"Martha A.","non-dropping-particle":"","parse-names":false,"suffix":""},{"dropping-particle":"","family":"Haverman","given":"Lotte","non-dropping-particle":"","parse-names":false,"suffix":""}],"container-title":"Quality of Life Research","id":"ITEM-1","issue":"7","issued":{"date-parts":[["2021"]]},"page":"2061-2070","publisher":"Springer International Publishing","title":"Psychometric properties of the Patient-Reported Outcomes Measurement Information System (PROMIS®) pediatric item bank peer relationships in the Dutch general population","type":"article-journal","volume":"30"},"uris":["http://www.mendeley.com/documents/?uuid=e3ac13f2-457a-4d45-abbd-d59f2a3a9087"]}],"mendeley":{"formattedCitation":"[20]","plainTextFormattedCitation":"[20]","previouslyFormattedCitation":"[20]"},"properties":{"noteIndex":0},"schema":"https://github.com/citation-style-language/schema/raw/master/csl-citation.json"}</w:instrText>
      </w:r>
      <w:r>
        <w:fldChar w:fldCharType="separate"/>
      </w:r>
      <w:r>
        <w:rPr>
          <w:rFonts w:ascii="Times New Roman" w:hAnsi="Times New Roman" w:cs="Times New Roman"/>
          <w:noProof/>
          <w:lang w:val="en-US"/>
        </w:rPr>
        <w:t>[20]</w:t>
      </w:r>
      <w:r>
        <w:fldChar w:fldCharType="end"/>
      </w:r>
      <w:r>
        <w:rPr>
          <w:rFonts w:ascii="Times New Roman" w:hAnsi="Times New Roman" w:cs="Times New Roman"/>
          <w:lang w:val="en-US"/>
        </w:rPr>
        <w:t xml:space="preserve">. PROMIS data collected during the COVID-19 pandemic </w:t>
      </w:r>
      <w:r>
        <w:fldChar w:fldCharType="begin" w:fldLock="1"/>
      </w:r>
      <w:r>
        <w:rPr>
          <w:rFonts w:ascii="Times New Roman" w:hAnsi="Times New Roman" w:cs="Times New Roman"/>
          <w:lang w:val="en-US"/>
        </w:rPr>
        <w:instrText>ADDIN CSL_CITATION {"citationItems":[{"id":"ITEM-1","itemData":{"DOI":"10.1007/s11136-021-02861-x","ISBN":"0123456789","ISSN":"15732649","PMID":"33991278","abstract":"Purpose: During the COVID-19 pandemic in the Netherlands, governmental regulations resulted in a lockdown for adults as well as children/adolescents. Schools were closed and contact with other people was limited. In this cross-sectional, population-based study, we aimed to investigate the mental/social health of children/adolescents during COVID-19 lockdown. Methods: Two representative samples of Dutch children/adolescents (8–18 years) before COVID-19 (2018, N = 2401) and during lockdown (April 2020, N = 844) were compared on the Patient-Reported Outcomes Measurement Information System (PROMIS) domains: global health, peer relationships, anxiety, depressive symptoms, anger, sleep-related impairment by linear mixed models and calculating relative risks (RR (95% CI)) for the proportion of severe scores. Variables associated with worse mental/social health during COVID-19 were explored through multivariable regression models. The impact of COVID-19 regulations on the daily life of children was qualitatively analyzed. Results: Participants reported worse PROMIS T-scores on all domains during COVID-19 lockdown compared to before (absolute mean difference range 2.1–7.1 (95% CI 1.3–7.9). During lockdown, more children reported severe Anxiety (RR = 1.95 (1.55–2.46) and Sleep-Related Impairment (RR = 1.89 (1.29–2.78) and fewer children reported poor Global Health (RR = 0.36 (0.20–0.65)). Associated factors with worse mental/social health were single-parent family, ≥ three children in the family, negative change in work situation of parents due to COVID-19 regulations, and a relative/friend infected with COVID-19. A large majority (&gt; 90%) reported a negative impact of the COVID-19 regulations on daily life. Conclusion: This study showed that governmental regulations regarding lockdown pose a serious mental/social health threat on children/adolescents that should be brought to the forefront of political decision-making and mental healthcare policy, intervention, and prevention.","author":[{"dropping-particle":"","family":"Luijten","given":"Michiel A.J.","non-dropping-particle":"","parse-names":false,"suffix":""},{"dropping-particle":"","family":"Muilekom","given":"Maud M.","non-dropping-particle":"van","parse-names":false,"suffix":""},{"dropping-particle":"","family":"Teela","given":"Lorynn","non-dropping-particle":"","parse-names":false,"suffix":""},{"dropping-particle":"","family":"Polderman","given":"Tinca J.C.","non-dropping-particle":"","parse-names":false,"suffix":""},{"dropping-particle":"","family":"Terwee","given":"Caroline B.","non-dropping-particle":"","parse-names":false,"suffix":""},{"dropping-particle":"","family":"Zijlmans","given":"Josjan","non-dropping-particle":"","parse-names":false,"suffix":""},{"dropping-particle":"","family":"Klaufus","given":"Leonie","non-dropping-particle":"","parse-names":false,"suffix":""},{"dropping-particle":"","family":"Popma","given":"Arne","non-dropping-particle":"","parse-names":false,"suffix":""},{"dropping-particle":"","family":"Oostrom","given":"Kim J.","non-dropping-particle":"","parse-names":false,"suffix":""},{"dropping-particle":"","family":"Oers","given":"Hedy A.","non-dropping-particle":"van","parse-names":false,"suffix":""},{"dropping-particle":"","family":"Haverman","given":"Lotte","non-dropping-particle":"","parse-names":false,"suffix":""}],"container-title":"Quality of Life Research","id":"ITEM-1","issue":"0123456789","issued":{"date-parts":[["2021"]]},"publisher":"Springer International Publishing","title":"The impact of lockdown during the COVID-19 pandemic on mental and social health of children and adolescents","type":"article-journal"},"uris":["http://www.mendeley.com/documents/?uuid=4c37d399-f42b-40bc-a3e6-ecc5b53109ed"]}],"mendeley":{"formattedCitation":"[10]","plainTextFormattedCitation":"[10]","previouslyFormattedCitation":"[10]"},"properties":{"noteIndex":0},"schema":"https://github.com/citation-style-language/schema/raw/master/csl-citation.json"}</w:instrText>
      </w:r>
      <w:r>
        <w:fldChar w:fldCharType="separate"/>
      </w:r>
      <w:r>
        <w:rPr>
          <w:rFonts w:ascii="Times New Roman" w:hAnsi="Times New Roman" w:cs="Times New Roman"/>
          <w:noProof/>
          <w:lang w:val="en-US"/>
        </w:rPr>
        <w:t>[10]</w:t>
      </w:r>
      <w:r>
        <w:fldChar w:fldCharType="end"/>
      </w:r>
      <w:r>
        <w:rPr>
          <w:rFonts w:ascii="Times New Roman" w:hAnsi="Times New Roman" w:cs="Times New Roman"/>
          <w:lang w:val="en-US"/>
        </w:rPr>
        <w:t xml:space="preserve"> were compared to a reference sample of 1319 children </w:t>
      </w:r>
      <w:r>
        <w:rPr>
          <w:rFonts w:ascii="Times New Roman" w:eastAsia="Times New Roman" w:hAnsi="Times New Roman" w:cs="Times New Roman"/>
          <w:color w:val="000000"/>
          <w:lang w:val="en-US"/>
        </w:rPr>
        <w:t xml:space="preserve">(49.4% boys), </w:t>
      </w:r>
      <w:r>
        <w:rPr>
          <w:rFonts w:ascii="Times New Roman" w:eastAsia="Times New Roman" w:hAnsi="Times New Roman" w:cs="Times New Roman"/>
          <w:i/>
          <w:color w:val="000000"/>
          <w:lang w:val="en-US"/>
        </w:rPr>
        <w:t>M</w:t>
      </w:r>
      <w:r>
        <w:rPr>
          <w:rFonts w:ascii="Times New Roman" w:eastAsia="Times New Roman" w:hAnsi="Times New Roman" w:cs="Times New Roman"/>
          <w:color w:val="000000"/>
          <w:vertAlign w:val="subscript"/>
          <w:lang w:val="en-US"/>
        </w:rPr>
        <w:t>age</w:t>
      </w:r>
      <w:r>
        <w:rPr>
          <w:rFonts w:ascii="Times New Roman" w:eastAsia="Times New Roman" w:hAnsi="Times New Roman" w:cs="Times New Roman"/>
          <w:color w:val="000000"/>
          <w:lang w:val="en-US"/>
        </w:rPr>
        <w:t xml:space="preserve"> = 12.7 (</w:t>
      </w:r>
      <w:r>
        <w:rPr>
          <w:rFonts w:ascii="Times New Roman" w:eastAsia="Times New Roman" w:hAnsi="Times New Roman" w:cs="Times New Roman"/>
          <w:i/>
          <w:color w:val="000000"/>
          <w:lang w:val="en-US"/>
        </w:rPr>
        <w:t>SD</w:t>
      </w:r>
      <w:r>
        <w:rPr>
          <w:rFonts w:ascii="Times New Roman" w:eastAsia="Times New Roman" w:hAnsi="Times New Roman" w:cs="Times New Roman"/>
          <w:color w:val="000000"/>
          <w:lang w:val="en-US"/>
        </w:rPr>
        <w:t xml:space="preserve"> = 3.1) </w:t>
      </w:r>
      <w:r>
        <w:rPr>
          <w:rFonts w:ascii="Times New Roman" w:hAnsi="Times New Roman" w:cs="Times New Roman"/>
          <w:lang w:val="en-US"/>
        </w:rPr>
        <w:t xml:space="preserve">collected pre-pandemic in 2018 </w:t>
      </w:r>
      <w:r>
        <w:fldChar w:fldCharType="begin" w:fldLock="1"/>
      </w:r>
      <w:r>
        <w:rPr>
          <w:rFonts w:ascii="Times New Roman" w:hAnsi="Times New Roman" w:cs="Times New Roman"/>
          <w:lang w:val="en-US"/>
        </w:rPr>
        <w:instrText>ADDIN CSL_CITATION {"citationItems":[{"id":"ITEM-1","itemData":{"DOI":"10.1007/s11136-021-02781-w","ISBN":"0123456789","ISSN":"15732649","abstract":"Purpose: This study aimed to validate the PROMIS Pediatric item bank v2.0 Peer Relationships and compare reliability of the full item bank to its short form, computerized adaptive test (CAT) and the social functioning (SF) subscale of the Pediatric Quality of Life Inventory (PedsQL™). Methods: Children aged 8–18 (n = 1327), representative of the Dutch population completed the Peer Relationships item bank. A graded response model (GRM) was fit to the data. Structural validity was assessed by checking item-fit statistics (S-X2, p &lt; 0.001 = misfit). For construct validity, a moderately strong correlation (&gt; 0.50) was expected between Peer Relationships and the PedsQL SF subscale. Cross-cultural DIF between U.S. and NL was assessed using logistic regression, where an item with McFadden’s pseudo R2 &gt; 0.02 was considered to have DIF. Percentage of participants reliably measured was assessed using the standard error of measurement (SEM) &lt; 0.32 as a criterion (reliability of 0.90). Relative efficiency ((1-SEM2)/nitems) was calculated to compare how well the instruments performed relative to the amount of items administered. Results: In total, 527 (response rate: 39.7%) children completed the PROMIS v2.0 Peer Relationships item bank (nitems = 15) and the PedsQL™ (nitems = 23). Structural validity of the Peer Relationships item bank was sufficient, but one item displayed misfit in the GRM model (S-X2 &lt; 0.001); 5152R1r (“I played alone and kept to myself”). The item 733R1r (“I was a good friend”) was the only item that displayed cross-cultural DIF (R2 = 0.0253). The item bank correlated moderately high (r = 0.61) with the PedsQL SF subscale Reliable measurements were obtained at the population mean and &gt; 2SD in the clinically relevant direction. CAT outperformed all other measures in efficiency. Mean T-score of the Dutch general population was 46.9(SD 9.5). Conclusion: The pediatric PROMIS Peer Relationships item bank was successfully validated for use within the Dutch population and reference data are now available.","author":[{"dropping-particle":"","family":"Luijten","given":"Michiel A.J.","non-dropping-particle":"","parse-names":false,"suffix":""},{"dropping-particle":"","family":"Litsenburg","given":"Raphaële R.L.","non-dropping-particle":"van","parse-names":false,"suffix":""},{"dropping-particle":"","family":"Terwee","given":"Caroline B.","non-dropping-particle":"","parse-names":false,"suffix":""},{"dropping-particle":"","family":"Grootenhuis","given":"Martha A.","non-dropping-particle":"","parse-names":false,"suffix":""},{"dropping-particle":"","family":"Haverman","given":"Lotte","non-dropping-particle":"","parse-names":false,"suffix":""}],"container-title":"Quality of Life Research","id":"ITEM-1","issue":"7","issued":{"date-parts":[["2021"]]},"page":"2061-2070","publisher":"Springer International Publishing","title":"Psychometric properties of the Patient-Reported Outcomes Measurement Information System (PROMIS®) pediatric item bank peer relationships in the Dutch general population","type":"article-journal","volume":"30"},"uris":["http://www.mendeley.com/documents/?uuid=e3ac13f2-457a-4d45-abbd-d59f2a3a9087"]}],"mendeley":{"formattedCitation":"[20]","plainTextFormattedCitation":"[20]","previouslyFormattedCitation":"[20]"},"properties":{"noteIndex":0},"schema":"https://github.com/citation-style-language/schema/raw/master/csl-citation.json"}</w:instrText>
      </w:r>
      <w:r>
        <w:fldChar w:fldCharType="separate"/>
      </w:r>
      <w:r>
        <w:rPr>
          <w:rFonts w:ascii="Times New Roman" w:hAnsi="Times New Roman" w:cs="Times New Roman"/>
          <w:noProof/>
          <w:lang w:val="en-US"/>
        </w:rPr>
        <w:t>[20]</w:t>
      </w:r>
      <w:r>
        <w:fldChar w:fldCharType="end"/>
      </w:r>
      <w:r>
        <w:rPr>
          <w:rFonts w:ascii="Times New Roman" w:hAnsi="Times New Roman" w:cs="Times New Roman"/>
          <w:lang w:val="en-US"/>
        </w:rPr>
        <w:t xml:space="preserve">. Detailed data collection procedures for all measurements are described in these articles. </w:t>
      </w:r>
      <w:r>
        <w:rPr>
          <w:rFonts w:ascii="Times New Roman" w:eastAsia="Times New Roman" w:hAnsi="Times New Roman" w:cs="Times New Roman"/>
          <w:color w:val="000000"/>
          <w:lang w:val="en-US"/>
        </w:rPr>
        <w:t xml:space="preserve">During the pandemic, PROMIS date were collected in April 2020, in a sample of 832 children (46.3% boys), </w:t>
      </w:r>
      <w:r>
        <w:rPr>
          <w:rFonts w:ascii="Times New Roman" w:eastAsia="Times New Roman" w:hAnsi="Times New Roman" w:cs="Times New Roman"/>
          <w:i/>
          <w:color w:val="000000"/>
          <w:lang w:val="en-US"/>
        </w:rPr>
        <w:t>M</w:t>
      </w:r>
      <w:r>
        <w:rPr>
          <w:rFonts w:ascii="Times New Roman" w:eastAsia="Times New Roman" w:hAnsi="Times New Roman" w:cs="Times New Roman"/>
          <w:color w:val="000000"/>
          <w:vertAlign w:val="subscript"/>
          <w:lang w:val="en-US"/>
        </w:rPr>
        <w:t>age</w:t>
      </w:r>
      <w:r>
        <w:rPr>
          <w:rFonts w:ascii="Times New Roman" w:eastAsia="Times New Roman" w:hAnsi="Times New Roman" w:cs="Times New Roman"/>
          <w:color w:val="000000"/>
          <w:lang w:val="en-US"/>
        </w:rPr>
        <w:t xml:space="preserve"> = 13.4 (SD = 2.8), and in November 2020, in a separate sample of 746 children (53.3% boys), </w:t>
      </w:r>
      <w:r>
        <w:rPr>
          <w:rFonts w:ascii="Times New Roman" w:eastAsia="Times New Roman" w:hAnsi="Times New Roman" w:cs="Times New Roman"/>
          <w:i/>
          <w:color w:val="000000"/>
          <w:lang w:val="en-US"/>
        </w:rPr>
        <w:t>M</w:t>
      </w:r>
      <w:r>
        <w:rPr>
          <w:rFonts w:ascii="Times New Roman" w:eastAsia="Times New Roman" w:hAnsi="Times New Roman" w:cs="Times New Roman"/>
          <w:color w:val="000000"/>
          <w:vertAlign w:val="subscript"/>
          <w:lang w:val="en-US"/>
        </w:rPr>
        <w:t>age</w:t>
      </w:r>
      <w:r>
        <w:rPr>
          <w:rFonts w:ascii="Times New Roman" w:eastAsia="Times New Roman" w:hAnsi="Times New Roman" w:cs="Times New Roman"/>
          <w:color w:val="000000"/>
          <w:lang w:val="en-US"/>
        </w:rPr>
        <w:t xml:space="preserve"> = 13.7 (SD = 3.2) (see Table 1).</w:t>
      </w:r>
      <w:r>
        <w:rPr>
          <w:rFonts w:ascii="Calibri" w:eastAsia="Times New Roman" w:hAnsi="Calibri"/>
          <w:color w:val="000000"/>
          <w:lang w:val="en-US"/>
        </w:rPr>
        <w:br/>
      </w:r>
      <w:r>
        <w:rPr>
          <w:rFonts w:ascii="Times New Roman" w:hAnsi="Times New Roman" w:cs="Times New Roman"/>
          <w:b/>
          <w:bCs/>
          <w:i/>
          <w:iCs/>
          <w:color w:val="000000"/>
          <w:lang w:val="en-US"/>
        </w:rPr>
        <w:t>Clinical Samples</w:t>
      </w:r>
    </w:p>
    <w:bookmarkEnd w:id="1"/>
    <w:p w14:paraId="51906968" w14:textId="11CFFE60" w:rsidR="00B81B7F" w:rsidRDefault="00B81B7F" w:rsidP="00B81B7F">
      <w:pPr>
        <w:pStyle w:val="CommentText"/>
        <w:spacing w:line="480" w:lineRule="auto"/>
        <w:jc w:val="both"/>
        <w:rPr>
          <w:rFonts w:ascii="Times New Roman" w:hAnsi="Times New Roman" w:cs="Times New Roman"/>
          <w:sz w:val="22"/>
          <w:szCs w:val="22"/>
          <w:lang w:val="en-US"/>
        </w:rPr>
      </w:pPr>
      <w:r>
        <w:rPr>
          <w:rFonts w:ascii="Times New Roman" w:hAnsi="Times New Roman" w:cs="Times New Roman"/>
          <w:b/>
          <w:i/>
          <w:iCs/>
          <w:sz w:val="22"/>
          <w:szCs w:val="22"/>
          <w:lang w:val="en-US"/>
        </w:rPr>
        <w:tab/>
      </w:r>
      <w:r>
        <w:rPr>
          <w:rFonts w:ascii="Times New Roman" w:hAnsi="Times New Roman" w:cs="Times New Roman"/>
          <w:b/>
          <w:sz w:val="22"/>
          <w:szCs w:val="22"/>
          <w:lang w:val="en-US"/>
        </w:rPr>
        <w:t xml:space="preserve">DREAMS (Dutch </w:t>
      </w:r>
      <w:proofErr w:type="spellStart"/>
      <w:r>
        <w:rPr>
          <w:rFonts w:ascii="Times New Roman" w:hAnsi="Times New Roman" w:cs="Times New Roman"/>
          <w:b/>
          <w:sz w:val="22"/>
          <w:szCs w:val="22"/>
          <w:lang w:val="en-US"/>
        </w:rPr>
        <w:t>REsearch</w:t>
      </w:r>
      <w:proofErr w:type="spellEnd"/>
      <w:r>
        <w:rPr>
          <w:rFonts w:ascii="Times New Roman" w:hAnsi="Times New Roman" w:cs="Times New Roman"/>
          <w:b/>
          <w:sz w:val="22"/>
          <w:szCs w:val="22"/>
          <w:lang w:val="en-US"/>
        </w:rPr>
        <w:t xml:space="preserve"> in child and Adolescent Mental health).</w:t>
      </w:r>
      <w:r>
        <w:rPr>
          <w:rFonts w:ascii="Times New Roman" w:hAnsi="Times New Roman" w:cs="Times New Roman"/>
          <w:b/>
          <w:iCs/>
          <w:sz w:val="22"/>
          <w:szCs w:val="22"/>
          <w:lang w:val="en-US"/>
        </w:rPr>
        <w:t xml:space="preserve"> </w:t>
      </w:r>
      <w:r>
        <w:rPr>
          <w:rFonts w:ascii="Times New Roman" w:hAnsi="Times New Roman" w:cs="Times New Roman"/>
          <w:iCs/>
          <w:sz w:val="22"/>
          <w:szCs w:val="22"/>
          <w:lang w:val="en-US"/>
        </w:rPr>
        <w:t>DREAMS is a collaboration between four academic child and adolescent psychiatric centers in the Netherlands (</w:t>
      </w:r>
      <w:r>
        <w:rPr>
          <w:rFonts w:ascii="Times New Roman" w:hAnsi="Times New Roman" w:cs="Times New Roman"/>
          <w:sz w:val="22"/>
          <w:szCs w:val="22"/>
          <w:lang w:val="en-US"/>
        </w:rPr>
        <w:t>Amsterdam, Groningen, Leiden, Nijmegen</w:t>
      </w:r>
      <w:r>
        <w:rPr>
          <w:rFonts w:ascii="Times New Roman" w:hAnsi="Times New Roman" w:cs="Times New Roman"/>
          <w:iCs/>
          <w:sz w:val="22"/>
          <w:szCs w:val="22"/>
          <w:lang w:val="en-US"/>
        </w:rPr>
        <w:t>) together covering the northern, western, and eastern part of the Netherlands. Participants (children receiving psychiatric care and their parents) were invited to participate by e-mail through the psychiatric center where they receive care. As with the KLIK sample, data were collected through a research website. Parents were asked to complete a socio-demographic questionnaire and the BPM, and children completed the PROMIS questionnaires.</w:t>
      </w:r>
      <w:r>
        <w:rPr>
          <w:rFonts w:ascii="Times New Roman" w:hAnsi="Times New Roman" w:cs="Times New Roman"/>
          <w:sz w:val="22"/>
          <w:szCs w:val="22"/>
          <w:lang w:val="en-US"/>
        </w:rPr>
        <w:t xml:space="preserve"> DREAMS administered the BPM and the PROMIS twice during the pandemic, (see Table 1). </w:t>
      </w:r>
      <w:r>
        <w:rPr>
          <w:rFonts w:ascii="Times New Roman" w:hAnsi="Times New Roman" w:cs="Times New Roman"/>
          <w:iCs/>
          <w:sz w:val="22"/>
          <w:szCs w:val="22"/>
          <w:lang w:val="en-US"/>
        </w:rPr>
        <w:t xml:space="preserve">For the BPM, the pre-pandemic measurement consisted of 1395 children (61.9% boys), </w:t>
      </w:r>
      <w:r>
        <w:rPr>
          <w:rFonts w:ascii="Times New Roman" w:hAnsi="Times New Roman" w:cs="Times New Roman"/>
          <w:i/>
          <w:sz w:val="22"/>
          <w:szCs w:val="22"/>
          <w:lang w:val="en-US"/>
        </w:rPr>
        <w:t>M</w:t>
      </w:r>
      <w:r>
        <w:rPr>
          <w:rFonts w:ascii="Times New Roman" w:hAnsi="Times New Roman" w:cs="Times New Roman"/>
          <w:iCs/>
          <w:sz w:val="22"/>
          <w:szCs w:val="22"/>
          <w:vertAlign w:val="subscript"/>
          <w:lang w:val="en-US"/>
        </w:rPr>
        <w:t>age</w:t>
      </w:r>
      <w:r>
        <w:rPr>
          <w:rFonts w:ascii="Times New Roman" w:hAnsi="Times New Roman" w:cs="Times New Roman"/>
          <w:iCs/>
          <w:sz w:val="22"/>
          <w:szCs w:val="22"/>
          <w:lang w:val="en-US"/>
        </w:rPr>
        <w:t xml:space="preserve"> = 11.42 (</w:t>
      </w:r>
      <w:r>
        <w:rPr>
          <w:rFonts w:ascii="Times New Roman" w:hAnsi="Times New Roman" w:cs="Times New Roman"/>
          <w:i/>
          <w:sz w:val="22"/>
          <w:szCs w:val="22"/>
          <w:lang w:val="en-US"/>
        </w:rPr>
        <w:t>SD</w:t>
      </w:r>
      <w:r>
        <w:rPr>
          <w:rFonts w:ascii="Times New Roman" w:hAnsi="Times New Roman" w:cs="Times New Roman"/>
          <w:iCs/>
          <w:sz w:val="22"/>
          <w:szCs w:val="22"/>
          <w:lang w:val="en-US"/>
        </w:rPr>
        <w:t xml:space="preserve"> = 2.41), informant unknown. The first pandemic measurement (Apr.–May 2020) consisted of </w:t>
      </w:r>
      <w:r>
        <w:rPr>
          <w:rFonts w:ascii="Times New Roman" w:hAnsi="Times New Roman" w:cs="Times New Roman"/>
          <w:sz w:val="22"/>
          <w:szCs w:val="22"/>
          <w:lang w:val="en-US"/>
        </w:rPr>
        <w:t xml:space="preserve">453 </w:t>
      </w:r>
      <w:r>
        <w:rPr>
          <w:rFonts w:ascii="Times New Roman" w:hAnsi="Times New Roman" w:cs="Times New Roman"/>
          <w:iCs/>
          <w:sz w:val="22"/>
          <w:szCs w:val="22"/>
          <w:lang w:val="en-US"/>
        </w:rPr>
        <w:t xml:space="preserve">children (55.6% boys), </w:t>
      </w:r>
      <w:r>
        <w:rPr>
          <w:rFonts w:ascii="Times New Roman" w:hAnsi="Times New Roman" w:cs="Times New Roman"/>
          <w:i/>
          <w:sz w:val="22"/>
          <w:szCs w:val="22"/>
          <w:lang w:val="en-US"/>
        </w:rPr>
        <w:t>M</w:t>
      </w:r>
      <w:r>
        <w:rPr>
          <w:rFonts w:ascii="Times New Roman" w:hAnsi="Times New Roman" w:cs="Times New Roman"/>
          <w:iCs/>
          <w:sz w:val="22"/>
          <w:szCs w:val="22"/>
          <w:vertAlign w:val="subscript"/>
          <w:lang w:val="en-US"/>
        </w:rPr>
        <w:t>age</w:t>
      </w:r>
      <w:r>
        <w:rPr>
          <w:rFonts w:ascii="Times New Roman" w:hAnsi="Times New Roman" w:cs="Times New Roman"/>
          <w:iCs/>
          <w:sz w:val="22"/>
          <w:szCs w:val="22"/>
          <w:lang w:val="en-US"/>
        </w:rPr>
        <w:t xml:space="preserve"> = 13.1 (</w:t>
      </w:r>
      <w:r>
        <w:rPr>
          <w:rFonts w:ascii="Times New Roman" w:hAnsi="Times New Roman" w:cs="Times New Roman"/>
          <w:i/>
          <w:sz w:val="22"/>
          <w:szCs w:val="22"/>
          <w:lang w:val="en-US"/>
        </w:rPr>
        <w:t>SD</w:t>
      </w:r>
      <w:r>
        <w:rPr>
          <w:rFonts w:ascii="Times New Roman" w:hAnsi="Times New Roman" w:cs="Times New Roman"/>
          <w:iCs/>
          <w:sz w:val="22"/>
          <w:szCs w:val="22"/>
          <w:lang w:val="en-US"/>
        </w:rPr>
        <w:t xml:space="preserve"> = 3.1), 79.9% mother ratings, 15.7% father ratings and 4.4% others.</w:t>
      </w:r>
      <w:r>
        <w:rPr>
          <w:rFonts w:ascii="Times New Roman" w:hAnsi="Times New Roman" w:cs="Times New Roman"/>
          <w:iCs/>
          <w:color w:val="FF0000"/>
          <w:sz w:val="22"/>
          <w:szCs w:val="22"/>
          <w:lang w:val="en-US"/>
        </w:rPr>
        <w:t xml:space="preserve"> </w:t>
      </w:r>
      <w:r>
        <w:rPr>
          <w:rFonts w:ascii="Times New Roman" w:hAnsi="Times New Roman" w:cs="Times New Roman"/>
          <w:iCs/>
          <w:sz w:val="22"/>
          <w:szCs w:val="22"/>
          <w:lang w:val="en-US"/>
        </w:rPr>
        <w:t xml:space="preserve">The second pandemic measurement (Nov.–Dec. 2020) consisted of 726 children (58.5% boys), </w:t>
      </w:r>
      <w:r>
        <w:rPr>
          <w:rFonts w:ascii="Times New Roman" w:hAnsi="Times New Roman" w:cs="Times New Roman"/>
          <w:i/>
          <w:sz w:val="22"/>
          <w:szCs w:val="22"/>
          <w:lang w:val="en-US"/>
        </w:rPr>
        <w:t>M</w:t>
      </w:r>
      <w:r>
        <w:rPr>
          <w:rFonts w:ascii="Times New Roman" w:hAnsi="Times New Roman" w:cs="Times New Roman"/>
          <w:iCs/>
          <w:sz w:val="22"/>
          <w:szCs w:val="22"/>
          <w:vertAlign w:val="subscript"/>
          <w:lang w:val="en-US"/>
        </w:rPr>
        <w:t>age</w:t>
      </w:r>
      <w:r>
        <w:rPr>
          <w:rFonts w:ascii="Times New Roman" w:hAnsi="Times New Roman" w:cs="Times New Roman"/>
          <w:iCs/>
          <w:sz w:val="22"/>
          <w:szCs w:val="22"/>
          <w:lang w:val="en-US"/>
        </w:rPr>
        <w:t xml:space="preserve"> = 13.2 (</w:t>
      </w:r>
      <w:r>
        <w:rPr>
          <w:rFonts w:ascii="Times New Roman" w:hAnsi="Times New Roman" w:cs="Times New Roman"/>
          <w:i/>
          <w:sz w:val="22"/>
          <w:szCs w:val="22"/>
          <w:lang w:val="en-US"/>
        </w:rPr>
        <w:t>SD</w:t>
      </w:r>
      <w:r>
        <w:rPr>
          <w:rFonts w:ascii="Times New Roman" w:hAnsi="Times New Roman" w:cs="Times New Roman"/>
          <w:iCs/>
          <w:sz w:val="22"/>
          <w:szCs w:val="22"/>
          <w:lang w:val="en-US"/>
        </w:rPr>
        <w:t xml:space="preserve"> = 2.9), 84.4% mother ratings, 11.6% father ratings and 4.0% others. For PROMIS, the first pandemic measurement (Apr.–May 2020) consisted of </w:t>
      </w:r>
      <w:r>
        <w:rPr>
          <w:rFonts w:ascii="Times New Roman" w:hAnsi="Times New Roman" w:cs="Times New Roman"/>
          <w:sz w:val="22"/>
          <w:szCs w:val="22"/>
          <w:lang w:val="en-US"/>
        </w:rPr>
        <w:t xml:space="preserve">275 </w:t>
      </w:r>
      <w:r>
        <w:rPr>
          <w:rFonts w:ascii="Times New Roman" w:hAnsi="Times New Roman" w:cs="Times New Roman"/>
          <w:iCs/>
          <w:sz w:val="22"/>
          <w:szCs w:val="22"/>
          <w:lang w:val="en-US"/>
        </w:rPr>
        <w:t xml:space="preserve">children (54.2% boys), </w:t>
      </w:r>
      <w:r>
        <w:rPr>
          <w:rFonts w:ascii="Times New Roman" w:hAnsi="Times New Roman" w:cs="Times New Roman"/>
          <w:i/>
          <w:sz w:val="22"/>
          <w:szCs w:val="22"/>
          <w:lang w:val="en-US"/>
        </w:rPr>
        <w:t>M</w:t>
      </w:r>
      <w:r>
        <w:rPr>
          <w:rFonts w:ascii="Times New Roman" w:hAnsi="Times New Roman" w:cs="Times New Roman"/>
          <w:iCs/>
          <w:sz w:val="22"/>
          <w:szCs w:val="22"/>
          <w:vertAlign w:val="subscript"/>
          <w:lang w:val="en-US"/>
        </w:rPr>
        <w:t>age</w:t>
      </w:r>
      <w:r>
        <w:rPr>
          <w:rFonts w:ascii="Times New Roman" w:hAnsi="Times New Roman" w:cs="Times New Roman"/>
          <w:iCs/>
          <w:sz w:val="22"/>
          <w:szCs w:val="22"/>
          <w:lang w:val="en-US"/>
        </w:rPr>
        <w:t xml:space="preserve"> = 13.0 (</w:t>
      </w:r>
      <w:r>
        <w:rPr>
          <w:rFonts w:ascii="Times New Roman" w:hAnsi="Times New Roman" w:cs="Times New Roman"/>
          <w:i/>
          <w:sz w:val="22"/>
          <w:szCs w:val="22"/>
          <w:lang w:val="en-US"/>
        </w:rPr>
        <w:t>SD</w:t>
      </w:r>
      <w:r>
        <w:rPr>
          <w:rFonts w:ascii="Times New Roman" w:hAnsi="Times New Roman" w:cs="Times New Roman"/>
          <w:iCs/>
          <w:sz w:val="22"/>
          <w:szCs w:val="22"/>
          <w:lang w:val="en-US"/>
        </w:rPr>
        <w:t xml:space="preserve"> = 3.1). The second pandemic measurement (Nov.–Dec. 2020) consisted of 508 children (50.2% boys), </w:t>
      </w:r>
      <w:r>
        <w:rPr>
          <w:rFonts w:ascii="Times New Roman" w:hAnsi="Times New Roman" w:cs="Times New Roman"/>
          <w:i/>
          <w:sz w:val="22"/>
          <w:szCs w:val="22"/>
          <w:lang w:val="en-US"/>
        </w:rPr>
        <w:t>M</w:t>
      </w:r>
      <w:r>
        <w:rPr>
          <w:rFonts w:ascii="Times New Roman" w:hAnsi="Times New Roman" w:cs="Times New Roman"/>
          <w:iCs/>
          <w:sz w:val="22"/>
          <w:szCs w:val="22"/>
          <w:vertAlign w:val="subscript"/>
          <w:lang w:val="en-US"/>
        </w:rPr>
        <w:t>age</w:t>
      </w:r>
      <w:r>
        <w:rPr>
          <w:rFonts w:ascii="Times New Roman" w:hAnsi="Times New Roman" w:cs="Times New Roman"/>
          <w:iCs/>
          <w:sz w:val="22"/>
          <w:szCs w:val="22"/>
          <w:lang w:val="en-US"/>
        </w:rPr>
        <w:t xml:space="preserve"> = 13.9 (</w:t>
      </w:r>
      <w:r>
        <w:rPr>
          <w:rFonts w:ascii="Times New Roman" w:hAnsi="Times New Roman" w:cs="Times New Roman"/>
          <w:i/>
          <w:sz w:val="22"/>
          <w:szCs w:val="22"/>
          <w:lang w:val="en-US"/>
        </w:rPr>
        <w:t>SD</w:t>
      </w:r>
      <w:r>
        <w:rPr>
          <w:rFonts w:ascii="Times New Roman" w:hAnsi="Times New Roman" w:cs="Times New Roman"/>
          <w:iCs/>
          <w:sz w:val="22"/>
          <w:szCs w:val="22"/>
          <w:lang w:val="en-US"/>
        </w:rPr>
        <w:t xml:space="preserve"> = 2.9) (see Table 1).</w:t>
      </w:r>
    </w:p>
    <w:p w14:paraId="2C289E96" w14:textId="4BB4F136" w:rsidR="00B81B7F" w:rsidRDefault="00B81B7F" w:rsidP="00B81B7F">
      <w:pPr>
        <w:pStyle w:val="CommentText"/>
        <w:spacing w:line="480" w:lineRule="auto"/>
        <w:jc w:val="both"/>
        <w:rPr>
          <w:rFonts w:ascii="Times New Roman" w:hAnsi="Times New Roman" w:cs="Times New Roman"/>
          <w:iCs/>
          <w:sz w:val="22"/>
          <w:szCs w:val="22"/>
          <w:lang w:val="en-US"/>
        </w:rPr>
      </w:pPr>
      <w:r>
        <w:rPr>
          <w:rFonts w:ascii="Times New Roman" w:hAnsi="Times New Roman" w:cs="Times New Roman"/>
          <w:b/>
          <w:i/>
          <w:iCs/>
          <w:sz w:val="22"/>
          <w:szCs w:val="22"/>
          <w:lang w:val="en-US"/>
        </w:rPr>
        <w:lastRenderedPageBreak/>
        <w:tab/>
      </w:r>
      <w:r>
        <w:rPr>
          <w:rFonts w:ascii="Times New Roman" w:hAnsi="Times New Roman" w:cs="Times New Roman"/>
          <w:b/>
          <w:iCs/>
          <w:sz w:val="22"/>
          <w:szCs w:val="22"/>
          <w:lang w:val="en-US"/>
        </w:rPr>
        <w:t>Learning Database Youth (LDY).</w:t>
      </w:r>
      <w:r>
        <w:rPr>
          <w:rFonts w:ascii="Times New Roman" w:hAnsi="Times New Roman" w:cs="Times New Roman"/>
          <w:b/>
          <w:i/>
          <w:iCs/>
          <w:sz w:val="22"/>
          <w:szCs w:val="22"/>
          <w:lang w:val="en-US"/>
        </w:rPr>
        <w:t xml:space="preserve"> </w:t>
      </w:r>
      <w:r>
        <w:rPr>
          <w:rFonts w:ascii="Times New Roman" w:hAnsi="Times New Roman" w:cs="Times New Roman"/>
          <w:sz w:val="22"/>
          <w:szCs w:val="22"/>
          <w:lang w:val="en-US"/>
        </w:rPr>
        <w:t xml:space="preserve">Learning Database Youth (LDY) is a cooperation between youth care centers in the Netherlands to collect data on the mental health status of children and adolescents who receive youth care, to improve quality of care. In this study, data of 14 youth care institutions were used. The youth care centers are situated in northern (12.7%), eastern (60.8%), southern (2.2%) and western (24.3%) parts of the Netherlands. Participating children and adolescents in the LDY sample receive youth care for various problems such as mental, pedagogical, or educational problems. Data collection was part of their treatment trajectory, where caregivers were asked to fill out questionnaires before, during, and at the end of treatment. The BPM was administered before and during the pandemic by the caregiver(s) of the child (see Table 1). </w:t>
      </w:r>
      <w:r>
        <w:rPr>
          <w:rFonts w:ascii="Times New Roman" w:hAnsi="Times New Roman" w:cs="Times New Roman"/>
          <w:iCs/>
          <w:sz w:val="22"/>
          <w:szCs w:val="22"/>
          <w:lang w:val="en-US"/>
        </w:rPr>
        <w:t xml:space="preserve">To be able to include the largest available homogeneous sample, we used mother ratings. If mother ratings were not available, we used father ratings. If both mother- and father ratings were not available we used the report of another caregiver, including grandparents, adoption parents, stepparents, and foster parents. </w:t>
      </w:r>
      <w:r>
        <w:rPr>
          <w:rFonts w:ascii="Times New Roman" w:hAnsi="Times New Roman" w:cs="Times New Roman"/>
          <w:sz w:val="22"/>
          <w:szCs w:val="22"/>
          <w:lang w:val="en-US"/>
        </w:rPr>
        <w:t>T</w:t>
      </w:r>
      <w:r>
        <w:rPr>
          <w:rFonts w:ascii="Times New Roman" w:hAnsi="Times New Roman" w:cs="Times New Roman"/>
          <w:iCs/>
          <w:sz w:val="22"/>
          <w:szCs w:val="22"/>
          <w:lang w:val="en-US"/>
        </w:rPr>
        <w:t>he pre-pandemic sample (Jan-Dec 2019) consisted of 3</w:t>
      </w:r>
      <w:r w:rsidR="002D56AF">
        <w:rPr>
          <w:rFonts w:ascii="Times New Roman" w:hAnsi="Times New Roman" w:cs="Times New Roman"/>
          <w:iCs/>
          <w:sz w:val="22"/>
          <w:szCs w:val="22"/>
          <w:lang w:val="en-US"/>
        </w:rPr>
        <w:t>,</w:t>
      </w:r>
      <w:r>
        <w:rPr>
          <w:rFonts w:ascii="Times New Roman" w:hAnsi="Times New Roman" w:cs="Times New Roman"/>
          <w:iCs/>
          <w:sz w:val="22"/>
          <w:szCs w:val="22"/>
          <w:lang w:val="en-US"/>
        </w:rPr>
        <w:t xml:space="preserve">092 children (62.3% boys), </w:t>
      </w:r>
      <w:r>
        <w:rPr>
          <w:rFonts w:ascii="Times New Roman" w:hAnsi="Times New Roman" w:cs="Times New Roman"/>
          <w:i/>
          <w:sz w:val="22"/>
          <w:szCs w:val="22"/>
          <w:lang w:val="en-US"/>
        </w:rPr>
        <w:t>M</w:t>
      </w:r>
      <w:r>
        <w:rPr>
          <w:rFonts w:ascii="Times New Roman" w:hAnsi="Times New Roman" w:cs="Times New Roman"/>
          <w:iCs/>
          <w:sz w:val="22"/>
          <w:szCs w:val="22"/>
          <w:vertAlign w:val="subscript"/>
          <w:lang w:val="en-US"/>
        </w:rPr>
        <w:t>age</w:t>
      </w:r>
      <w:r>
        <w:rPr>
          <w:rFonts w:ascii="Times New Roman" w:hAnsi="Times New Roman" w:cs="Times New Roman"/>
          <w:iCs/>
          <w:sz w:val="22"/>
          <w:szCs w:val="22"/>
          <w:lang w:val="en-US"/>
        </w:rPr>
        <w:t xml:space="preserve"> = 13.2 (</w:t>
      </w:r>
      <w:r>
        <w:rPr>
          <w:rFonts w:ascii="Times New Roman" w:hAnsi="Times New Roman" w:cs="Times New Roman"/>
          <w:i/>
          <w:sz w:val="22"/>
          <w:szCs w:val="22"/>
          <w:lang w:val="en-US"/>
        </w:rPr>
        <w:t>SD</w:t>
      </w:r>
      <w:r>
        <w:rPr>
          <w:rFonts w:ascii="Times New Roman" w:hAnsi="Times New Roman" w:cs="Times New Roman"/>
          <w:iCs/>
          <w:sz w:val="22"/>
          <w:szCs w:val="22"/>
          <w:lang w:val="en-US"/>
        </w:rPr>
        <w:t xml:space="preserve"> = 3.0), 68.8% mother ratings, 12.5 % father ratings and 18.7% others. The first pandemic measurement (Apr.–May 2020) consisted of </w:t>
      </w:r>
      <w:r>
        <w:rPr>
          <w:rFonts w:ascii="Times New Roman" w:hAnsi="Times New Roman" w:cs="Times New Roman"/>
          <w:sz w:val="22"/>
          <w:szCs w:val="22"/>
          <w:lang w:val="en-US"/>
        </w:rPr>
        <w:t xml:space="preserve">280 </w:t>
      </w:r>
      <w:r>
        <w:rPr>
          <w:rFonts w:ascii="Times New Roman" w:hAnsi="Times New Roman" w:cs="Times New Roman"/>
          <w:iCs/>
          <w:sz w:val="22"/>
          <w:szCs w:val="22"/>
          <w:lang w:val="en-US"/>
        </w:rPr>
        <w:t xml:space="preserve">children (62.5% boys), </w:t>
      </w:r>
      <w:r>
        <w:rPr>
          <w:rFonts w:ascii="Times New Roman" w:hAnsi="Times New Roman" w:cs="Times New Roman"/>
          <w:i/>
          <w:sz w:val="22"/>
          <w:szCs w:val="22"/>
          <w:lang w:val="en-US"/>
        </w:rPr>
        <w:t>M</w:t>
      </w:r>
      <w:r>
        <w:rPr>
          <w:rFonts w:ascii="Times New Roman" w:hAnsi="Times New Roman" w:cs="Times New Roman"/>
          <w:iCs/>
          <w:sz w:val="22"/>
          <w:szCs w:val="22"/>
          <w:vertAlign w:val="subscript"/>
          <w:lang w:val="en-US"/>
        </w:rPr>
        <w:t>age</w:t>
      </w:r>
      <w:r>
        <w:rPr>
          <w:rFonts w:ascii="Times New Roman" w:hAnsi="Times New Roman" w:cs="Times New Roman"/>
          <w:iCs/>
          <w:sz w:val="22"/>
          <w:szCs w:val="22"/>
          <w:lang w:val="en-US"/>
        </w:rPr>
        <w:t xml:space="preserve"> = 13.4 (</w:t>
      </w:r>
      <w:r>
        <w:rPr>
          <w:rFonts w:ascii="Times New Roman" w:hAnsi="Times New Roman" w:cs="Times New Roman"/>
          <w:i/>
          <w:sz w:val="22"/>
          <w:szCs w:val="22"/>
          <w:lang w:val="en-US"/>
        </w:rPr>
        <w:t>SD</w:t>
      </w:r>
      <w:r>
        <w:rPr>
          <w:rFonts w:ascii="Times New Roman" w:hAnsi="Times New Roman" w:cs="Times New Roman"/>
          <w:iCs/>
          <w:sz w:val="22"/>
          <w:szCs w:val="22"/>
          <w:lang w:val="en-US"/>
        </w:rPr>
        <w:t xml:space="preserve"> = 2.9), 61.4 % mother ratings, 14.3 % father ratings and 24.3 % others. The second pandemic measurement (Nov.–Dec. 2020) consisted of 302 children (64.6% boys), </w:t>
      </w:r>
      <w:r>
        <w:rPr>
          <w:rFonts w:ascii="Times New Roman" w:hAnsi="Times New Roman" w:cs="Times New Roman"/>
          <w:i/>
          <w:sz w:val="22"/>
          <w:szCs w:val="22"/>
          <w:lang w:val="en-US"/>
        </w:rPr>
        <w:t>M</w:t>
      </w:r>
      <w:r>
        <w:rPr>
          <w:rFonts w:ascii="Times New Roman" w:hAnsi="Times New Roman" w:cs="Times New Roman"/>
          <w:iCs/>
          <w:sz w:val="22"/>
          <w:szCs w:val="22"/>
          <w:vertAlign w:val="subscript"/>
          <w:lang w:val="en-US"/>
        </w:rPr>
        <w:t>age</w:t>
      </w:r>
      <w:r>
        <w:rPr>
          <w:rFonts w:ascii="Times New Roman" w:hAnsi="Times New Roman" w:cs="Times New Roman"/>
          <w:iCs/>
          <w:sz w:val="22"/>
          <w:szCs w:val="22"/>
          <w:lang w:val="en-US"/>
        </w:rPr>
        <w:t xml:space="preserve"> = 13.7 (</w:t>
      </w:r>
      <w:r>
        <w:rPr>
          <w:rFonts w:ascii="Times New Roman" w:hAnsi="Times New Roman" w:cs="Times New Roman"/>
          <w:i/>
          <w:sz w:val="22"/>
          <w:szCs w:val="22"/>
          <w:lang w:val="en-US"/>
        </w:rPr>
        <w:t>SD</w:t>
      </w:r>
      <w:r>
        <w:rPr>
          <w:rFonts w:ascii="Times New Roman" w:hAnsi="Times New Roman" w:cs="Times New Roman"/>
          <w:iCs/>
          <w:sz w:val="22"/>
          <w:szCs w:val="22"/>
          <w:lang w:val="en-US"/>
        </w:rPr>
        <w:t xml:space="preserve"> = 3.0), 53.0 % mother ratings, 12.3 % father ratings and 34.7 % others.</w:t>
      </w:r>
    </w:p>
    <w:p w14:paraId="707E5E23" w14:textId="3873898B" w:rsidR="00DE5A42" w:rsidRDefault="00DE5A42" w:rsidP="00DE5A42">
      <w:pPr>
        <w:spacing w:after="0" w:line="240" w:lineRule="auto"/>
        <w:jc w:val="both"/>
        <w:rPr>
          <w:rFonts w:ascii="Times New Roman" w:hAnsi="Times New Roman" w:cs="Times New Roman"/>
          <w:b/>
          <w:color w:val="000000"/>
          <w:lang w:val="en-US"/>
        </w:rPr>
      </w:pPr>
    </w:p>
    <w:p w14:paraId="43706ADE" w14:textId="4AC0AA87" w:rsidR="00B81B7F" w:rsidRDefault="00B81B7F" w:rsidP="00DE5A42">
      <w:pPr>
        <w:spacing w:after="0" w:line="240" w:lineRule="auto"/>
        <w:jc w:val="both"/>
        <w:rPr>
          <w:rFonts w:ascii="Times New Roman" w:hAnsi="Times New Roman" w:cs="Times New Roman"/>
          <w:b/>
          <w:color w:val="000000"/>
          <w:lang w:val="en-US"/>
        </w:rPr>
      </w:pPr>
    </w:p>
    <w:p w14:paraId="5C5ADBC0" w14:textId="24AD455F" w:rsidR="00B81B7F" w:rsidRDefault="00B81B7F" w:rsidP="00DE5A42">
      <w:pPr>
        <w:spacing w:after="0" w:line="240" w:lineRule="auto"/>
        <w:jc w:val="both"/>
        <w:rPr>
          <w:rFonts w:ascii="Times New Roman" w:hAnsi="Times New Roman" w:cs="Times New Roman"/>
          <w:b/>
          <w:color w:val="000000"/>
          <w:lang w:val="en-US"/>
        </w:rPr>
      </w:pPr>
    </w:p>
    <w:p w14:paraId="264B0137" w14:textId="267A5B32" w:rsidR="00B81B7F" w:rsidRDefault="00B81B7F" w:rsidP="00DE5A42">
      <w:pPr>
        <w:spacing w:after="0" w:line="240" w:lineRule="auto"/>
        <w:jc w:val="both"/>
        <w:rPr>
          <w:rFonts w:ascii="Times New Roman" w:hAnsi="Times New Roman" w:cs="Times New Roman"/>
          <w:b/>
          <w:color w:val="000000"/>
          <w:lang w:val="en-US"/>
        </w:rPr>
      </w:pPr>
    </w:p>
    <w:p w14:paraId="3F095A31" w14:textId="64D5D926" w:rsidR="00B81B7F" w:rsidRDefault="00B81B7F" w:rsidP="00DE5A42">
      <w:pPr>
        <w:spacing w:after="0" w:line="240" w:lineRule="auto"/>
        <w:jc w:val="both"/>
        <w:rPr>
          <w:rFonts w:ascii="Times New Roman" w:hAnsi="Times New Roman" w:cs="Times New Roman"/>
          <w:b/>
          <w:color w:val="000000"/>
          <w:lang w:val="en-US"/>
        </w:rPr>
      </w:pPr>
    </w:p>
    <w:p w14:paraId="7AF86E5A" w14:textId="27AE73F3" w:rsidR="00B81B7F" w:rsidRDefault="00B81B7F" w:rsidP="00DE5A42">
      <w:pPr>
        <w:spacing w:after="0" w:line="240" w:lineRule="auto"/>
        <w:jc w:val="both"/>
        <w:rPr>
          <w:rFonts w:ascii="Times New Roman" w:hAnsi="Times New Roman" w:cs="Times New Roman"/>
          <w:b/>
          <w:color w:val="000000"/>
          <w:lang w:val="en-US"/>
        </w:rPr>
      </w:pPr>
    </w:p>
    <w:p w14:paraId="6AA2F17D" w14:textId="08173BCE" w:rsidR="00B81B7F" w:rsidRDefault="00B81B7F" w:rsidP="00DE5A42">
      <w:pPr>
        <w:spacing w:after="0" w:line="240" w:lineRule="auto"/>
        <w:jc w:val="both"/>
        <w:rPr>
          <w:rFonts w:ascii="Times New Roman" w:hAnsi="Times New Roman" w:cs="Times New Roman"/>
          <w:b/>
          <w:color w:val="000000"/>
          <w:lang w:val="en-US"/>
        </w:rPr>
      </w:pPr>
    </w:p>
    <w:p w14:paraId="7E5DF6D1" w14:textId="75D2BDD6" w:rsidR="00B81B7F" w:rsidRDefault="00B81B7F" w:rsidP="00DE5A42">
      <w:pPr>
        <w:spacing w:after="0" w:line="240" w:lineRule="auto"/>
        <w:jc w:val="both"/>
        <w:rPr>
          <w:rFonts w:ascii="Times New Roman" w:hAnsi="Times New Roman" w:cs="Times New Roman"/>
          <w:b/>
          <w:color w:val="000000"/>
          <w:lang w:val="en-US"/>
        </w:rPr>
      </w:pPr>
    </w:p>
    <w:p w14:paraId="30C9BC25" w14:textId="4643A597" w:rsidR="00B81B7F" w:rsidRDefault="00B81B7F" w:rsidP="00DE5A42">
      <w:pPr>
        <w:spacing w:after="0" w:line="240" w:lineRule="auto"/>
        <w:jc w:val="both"/>
        <w:rPr>
          <w:rFonts w:ascii="Times New Roman" w:hAnsi="Times New Roman" w:cs="Times New Roman"/>
          <w:b/>
          <w:color w:val="000000"/>
          <w:lang w:val="en-US"/>
        </w:rPr>
      </w:pPr>
    </w:p>
    <w:p w14:paraId="2C347D01" w14:textId="74AC5F75" w:rsidR="00B81B7F" w:rsidRDefault="00B81B7F" w:rsidP="00DE5A42">
      <w:pPr>
        <w:spacing w:after="0" w:line="240" w:lineRule="auto"/>
        <w:jc w:val="both"/>
        <w:rPr>
          <w:rFonts w:ascii="Times New Roman" w:hAnsi="Times New Roman" w:cs="Times New Roman"/>
          <w:b/>
          <w:color w:val="000000"/>
          <w:lang w:val="en-US"/>
        </w:rPr>
      </w:pPr>
    </w:p>
    <w:p w14:paraId="13D71261" w14:textId="3CE8C4EB" w:rsidR="00B81B7F" w:rsidRDefault="00B81B7F" w:rsidP="00DE5A42">
      <w:pPr>
        <w:spacing w:after="0" w:line="240" w:lineRule="auto"/>
        <w:jc w:val="both"/>
        <w:rPr>
          <w:rFonts w:ascii="Times New Roman" w:hAnsi="Times New Roman" w:cs="Times New Roman"/>
          <w:b/>
          <w:color w:val="000000"/>
          <w:lang w:val="en-US"/>
        </w:rPr>
      </w:pPr>
    </w:p>
    <w:p w14:paraId="48D72F42" w14:textId="023CC030" w:rsidR="00B81B7F" w:rsidRDefault="00B81B7F" w:rsidP="00DE5A42">
      <w:pPr>
        <w:spacing w:after="0" w:line="240" w:lineRule="auto"/>
        <w:jc w:val="both"/>
        <w:rPr>
          <w:rFonts w:ascii="Times New Roman" w:hAnsi="Times New Roman" w:cs="Times New Roman"/>
          <w:b/>
          <w:color w:val="000000"/>
          <w:lang w:val="en-US"/>
        </w:rPr>
      </w:pPr>
    </w:p>
    <w:p w14:paraId="6FA5904E" w14:textId="3D9DFA3F" w:rsidR="00B81B7F" w:rsidRDefault="00B81B7F" w:rsidP="00DE5A42">
      <w:pPr>
        <w:spacing w:after="0" w:line="240" w:lineRule="auto"/>
        <w:jc w:val="both"/>
        <w:rPr>
          <w:rFonts w:ascii="Times New Roman" w:hAnsi="Times New Roman" w:cs="Times New Roman"/>
          <w:b/>
          <w:color w:val="000000"/>
          <w:lang w:val="en-US"/>
        </w:rPr>
      </w:pPr>
    </w:p>
    <w:p w14:paraId="709621AB" w14:textId="4A9694B5" w:rsidR="00B81B7F" w:rsidRDefault="00B81B7F" w:rsidP="00DE5A42">
      <w:pPr>
        <w:spacing w:after="0" w:line="240" w:lineRule="auto"/>
        <w:jc w:val="both"/>
        <w:rPr>
          <w:rFonts w:ascii="Times New Roman" w:hAnsi="Times New Roman" w:cs="Times New Roman"/>
          <w:b/>
          <w:color w:val="000000"/>
          <w:lang w:val="en-US"/>
        </w:rPr>
      </w:pPr>
    </w:p>
    <w:p w14:paraId="0DD3B9B3" w14:textId="0E87C89E" w:rsidR="00B81B7F" w:rsidRDefault="00B81B7F" w:rsidP="00DE5A42">
      <w:pPr>
        <w:spacing w:after="0" w:line="240" w:lineRule="auto"/>
        <w:jc w:val="both"/>
        <w:rPr>
          <w:rFonts w:ascii="Times New Roman" w:hAnsi="Times New Roman" w:cs="Times New Roman"/>
          <w:b/>
          <w:color w:val="000000"/>
          <w:lang w:val="en-US"/>
        </w:rPr>
      </w:pPr>
    </w:p>
    <w:p w14:paraId="0A281EE8" w14:textId="40366506" w:rsidR="00B81B7F" w:rsidRDefault="00B81B7F" w:rsidP="00DE5A42">
      <w:pPr>
        <w:spacing w:after="0" w:line="240" w:lineRule="auto"/>
        <w:jc w:val="both"/>
        <w:rPr>
          <w:rFonts w:ascii="Times New Roman" w:hAnsi="Times New Roman" w:cs="Times New Roman"/>
          <w:b/>
          <w:color w:val="000000"/>
          <w:lang w:val="en-US"/>
        </w:rPr>
      </w:pPr>
    </w:p>
    <w:p w14:paraId="01CE809C" w14:textId="6A288396" w:rsidR="00B81B7F" w:rsidRDefault="00B81B7F" w:rsidP="00DE5A42">
      <w:pPr>
        <w:spacing w:after="0" w:line="240" w:lineRule="auto"/>
        <w:jc w:val="both"/>
        <w:rPr>
          <w:rFonts w:ascii="Times New Roman" w:hAnsi="Times New Roman" w:cs="Times New Roman"/>
          <w:b/>
          <w:color w:val="000000"/>
          <w:lang w:val="en-US"/>
        </w:rPr>
      </w:pPr>
    </w:p>
    <w:p w14:paraId="2F4D0410" w14:textId="38A199E1" w:rsidR="00B81B7F" w:rsidRDefault="00B81B7F" w:rsidP="00DE5A42">
      <w:pPr>
        <w:spacing w:after="0" w:line="240" w:lineRule="auto"/>
        <w:jc w:val="both"/>
        <w:rPr>
          <w:rFonts w:ascii="Times New Roman" w:hAnsi="Times New Roman" w:cs="Times New Roman"/>
          <w:b/>
          <w:color w:val="000000"/>
          <w:lang w:val="en-US"/>
        </w:rPr>
      </w:pPr>
    </w:p>
    <w:p w14:paraId="2A990BD4" w14:textId="4C679B9B" w:rsidR="00B81B7F" w:rsidRDefault="00B81B7F" w:rsidP="00DE5A42">
      <w:pPr>
        <w:spacing w:after="0" w:line="240" w:lineRule="auto"/>
        <w:jc w:val="both"/>
        <w:rPr>
          <w:rFonts w:ascii="Times New Roman" w:hAnsi="Times New Roman" w:cs="Times New Roman"/>
          <w:b/>
          <w:color w:val="000000"/>
          <w:lang w:val="en-US"/>
        </w:rPr>
      </w:pPr>
    </w:p>
    <w:p w14:paraId="3DC9701C" w14:textId="73DEC41A" w:rsidR="00B81B7F" w:rsidRDefault="00B81B7F" w:rsidP="00DE5A42">
      <w:pPr>
        <w:spacing w:after="0" w:line="240" w:lineRule="auto"/>
        <w:jc w:val="both"/>
        <w:rPr>
          <w:rFonts w:ascii="Times New Roman" w:hAnsi="Times New Roman" w:cs="Times New Roman"/>
          <w:b/>
          <w:color w:val="000000"/>
          <w:lang w:val="en-US"/>
        </w:rPr>
      </w:pPr>
    </w:p>
    <w:p w14:paraId="441602CB" w14:textId="1B760E93" w:rsidR="00B81B7F" w:rsidRDefault="00B81B7F" w:rsidP="00DE5A42">
      <w:pPr>
        <w:spacing w:after="0" w:line="240" w:lineRule="auto"/>
        <w:jc w:val="both"/>
        <w:rPr>
          <w:rFonts w:ascii="Times New Roman" w:hAnsi="Times New Roman" w:cs="Times New Roman"/>
          <w:b/>
          <w:color w:val="000000"/>
          <w:lang w:val="en-US"/>
        </w:rPr>
      </w:pPr>
    </w:p>
    <w:p w14:paraId="1B19D54D" w14:textId="4918B1C8" w:rsidR="00B81B7F" w:rsidRDefault="00B81B7F" w:rsidP="00DE5A42">
      <w:pPr>
        <w:spacing w:after="0" w:line="240" w:lineRule="auto"/>
        <w:jc w:val="both"/>
        <w:rPr>
          <w:rFonts w:ascii="Times New Roman" w:hAnsi="Times New Roman" w:cs="Times New Roman"/>
          <w:b/>
          <w:color w:val="000000"/>
          <w:lang w:val="en-US"/>
        </w:rPr>
      </w:pPr>
    </w:p>
    <w:p w14:paraId="53691215" w14:textId="7E8E5E75" w:rsidR="00B81B7F" w:rsidRDefault="00B81B7F" w:rsidP="00DE5A42">
      <w:pPr>
        <w:spacing w:after="0" w:line="240" w:lineRule="auto"/>
        <w:jc w:val="both"/>
        <w:rPr>
          <w:rFonts w:ascii="Times New Roman" w:hAnsi="Times New Roman" w:cs="Times New Roman"/>
          <w:b/>
          <w:color w:val="000000"/>
          <w:lang w:val="en-US"/>
        </w:rPr>
      </w:pPr>
    </w:p>
    <w:p w14:paraId="36CA9B27" w14:textId="77777777" w:rsidR="006D570D" w:rsidRDefault="006D570D" w:rsidP="00DE5A42">
      <w:pPr>
        <w:spacing w:after="0" w:line="240" w:lineRule="auto"/>
        <w:jc w:val="both"/>
        <w:rPr>
          <w:rFonts w:ascii="Times New Roman" w:hAnsi="Times New Roman" w:cs="Times New Roman"/>
          <w:b/>
          <w:color w:val="000000"/>
          <w:lang w:val="en-US"/>
        </w:rPr>
      </w:pPr>
    </w:p>
    <w:p w14:paraId="4F240029" w14:textId="3326FCCA" w:rsidR="00B81B7F" w:rsidRDefault="00B81B7F" w:rsidP="00DE5A42">
      <w:pPr>
        <w:spacing w:after="0" w:line="240" w:lineRule="auto"/>
        <w:jc w:val="both"/>
        <w:rPr>
          <w:rFonts w:ascii="Times New Roman" w:hAnsi="Times New Roman" w:cs="Times New Roman"/>
          <w:b/>
          <w:color w:val="000000"/>
          <w:lang w:val="en-US"/>
        </w:rPr>
      </w:pPr>
    </w:p>
    <w:p w14:paraId="79BC92CB" w14:textId="77777777" w:rsidR="00B81B7F" w:rsidRDefault="00B81B7F" w:rsidP="00DE5A42">
      <w:pPr>
        <w:spacing w:after="0" w:line="240" w:lineRule="auto"/>
        <w:jc w:val="both"/>
        <w:rPr>
          <w:rFonts w:ascii="Times New Roman" w:hAnsi="Times New Roman" w:cs="Times New Roman"/>
          <w:b/>
          <w:color w:val="000000"/>
          <w:lang w:val="en-US"/>
        </w:rPr>
      </w:pPr>
    </w:p>
    <w:p w14:paraId="6D5B9DB3" w14:textId="77777777" w:rsidR="00B81B7F" w:rsidRDefault="00B81B7F" w:rsidP="00DE5A42">
      <w:pPr>
        <w:spacing w:after="0" w:line="240" w:lineRule="auto"/>
        <w:rPr>
          <w:rFonts w:ascii="Times New Roman" w:hAnsi="Times New Roman" w:cs="Times New Roman"/>
          <w:b/>
          <w:color w:val="000000"/>
          <w:lang w:val="en-US"/>
        </w:rPr>
      </w:pPr>
    </w:p>
    <w:p w14:paraId="7FBA4E99" w14:textId="77777777" w:rsidR="00B81B7F" w:rsidRDefault="00B81B7F" w:rsidP="00DE5A42">
      <w:pPr>
        <w:spacing w:after="0" w:line="240" w:lineRule="auto"/>
        <w:rPr>
          <w:rFonts w:ascii="Times New Roman" w:hAnsi="Times New Roman" w:cs="Times New Roman"/>
          <w:b/>
          <w:color w:val="000000"/>
          <w:lang w:val="en-US"/>
        </w:rPr>
      </w:pPr>
    </w:p>
    <w:p w14:paraId="527FD08F" w14:textId="77777777" w:rsidR="00B81B7F" w:rsidRDefault="00B81B7F" w:rsidP="00DE5A42">
      <w:pPr>
        <w:spacing w:after="0" w:line="240" w:lineRule="auto"/>
        <w:rPr>
          <w:rFonts w:ascii="Times New Roman" w:hAnsi="Times New Roman" w:cs="Times New Roman"/>
          <w:b/>
          <w:color w:val="000000"/>
          <w:lang w:val="en-US"/>
        </w:rPr>
      </w:pPr>
    </w:p>
    <w:p w14:paraId="3AEE66F1" w14:textId="29663EB1" w:rsidR="00DE5A42" w:rsidRDefault="00DE5A42" w:rsidP="00DE5A42">
      <w:pPr>
        <w:spacing w:after="0" w:line="240" w:lineRule="auto"/>
        <w:rPr>
          <w:rFonts w:ascii="Times New Roman" w:hAnsi="Times New Roman" w:cs="Times New Roman"/>
          <w:i/>
          <w:color w:val="000000"/>
          <w:lang w:val="en-US"/>
        </w:rPr>
      </w:pPr>
      <w:r>
        <w:rPr>
          <w:rFonts w:ascii="Times New Roman" w:hAnsi="Times New Roman" w:cs="Times New Roman"/>
          <w:b/>
          <w:color w:val="000000"/>
          <w:lang w:val="en-US"/>
        </w:rPr>
        <w:t>Table S1.</w:t>
      </w:r>
      <w:r>
        <w:rPr>
          <w:rFonts w:ascii="Times New Roman" w:hAnsi="Times New Roman" w:cs="Times New Roman"/>
          <w:color w:val="000000"/>
          <w:lang w:val="en-US"/>
        </w:rPr>
        <w:t xml:space="preserve"> </w:t>
      </w:r>
      <w:r>
        <w:rPr>
          <w:rFonts w:ascii="Times New Roman" w:hAnsi="Times New Roman" w:cs="Times New Roman"/>
          <w:i/>
          <w:color w:val="000000"/>
          <w:lang w:val="en-US"/>
        </w:rPr>
        <w:t xml:space="preserve">Absolute scale score cut-offs on the internalizing problems scale of the BPM corresponding </w:t>
      </w:r>
      <w:r>
        <w:rPr>
          <w:rFonts w:ascii="Times New Roman" w:hAnsi="Times New Roman" w:cs="Times New Roman"/>
          <w:i/>
          <w:color w:val="000000"/>
          <w:lang w:val="en-US"/>
        </w:rPr>
        <w:br/>
        <w:t xml:space="preserve">to ‘normal’ </w:t>
      </w:r>
      <w:r>
        <w:rPr>
          <w:rFonts w:ascii="Times New Roman" w:hAnsi="Times New Roman" w:cs="Times New Roman"/>
          <w:i/>
          <w:lang w:val="en-US"/>
        </w:rPr>
        <w:t>(</w:t>
      </w:r>
      <w:r>
        <w:rPr>
          <w:rFonts w:ascii="Times New Roman" w:hAnsi="Times New Roman" w:cs="Times New Roman"/>
          <w:i/>
          <w:color w:val="000000"/>
          <w:lang w:val="en-US"/>
        </w:rPr>
        <w:t>T&lt;65)</w:t>
      </w:r>
      <w:r>
        <w:rPr>
          <w:rFonts w:ascii="Times New Roman" w:hAnsi="Times New Roman" w:cs="Times New Roman"/>
          <w:color w:val="000000"/>
          <w:lang w:val="en-US"/>
        </w:rPr>
        <w:t xml:space="preserve"> </w:t>
      </w:r>
      <w:r>
        <w:rPr>
          <w:rFonts w:ascii="Times New Roman" w:hAnsi="Times New Roman" w:cs="Times New Roman"/>
          <w:i/>
          <w:color w:val="000000"/>
          <w:lang w:val="en-US"/>
        </w:rPr>
        <w:t>and ‘</w:t>
      </w:r>
      <w:r>
        <w:rPr>
          <w:rFonts w:ascii="Times New Roman" w:hAnsi="Times New Roman" w:cs="Times New Roman"/>
          <w:i/>
          <w:lang w:val="en-US"/>
        </w:rPr>
        <w:t>elevated’ (</w:t>
      </w:r>
      <w:r>
        <w:rPr>
          <w:rFonts w:ascii="Times New Roman" w:hAnsi="Times New Roman" w:cs="Times New Roman"/>
          <w:i/>
          <w:color w:val="000000"/>
          <w:lang w:val="en-US"/>
        </w:rPr>
        <w:t>T&gt;=65)</w:t>
      </w:r>
      <w:r>
        <w:rPr>
          <w:rFonts w:ascii="Times New Roman" w:hAnsi="Times New Roman" w:cs="Times New Roman"/>
          <w:color w:val="000000"/>
          <w:lang w:val="en-US"/>
        </w:rPr>
        <w:t xml:space="preserve"> </w:t>
      </w:r>
      <w:r>
        <w:rPr>
          <w:rFonts w:ascii="Times New Roman" w:hAnsi="Times New Roman" w:cs="Times New Roman"/>
          <w:i/>
          <w:lang w:val="en-US"/>
        </w:rPr>
        <w:t xml:space="preserve">internalizing problems </w:t>
      </w:r>
      <w:r>
        <w:rPr>
          <w:rFonts w:ascii="Times New Roman" w:hAnsi="Times New Roman" w:cs="Times New Roman"/>
          <w:i/>
          <w:color w:val="000000"/>
          <w:lang w:val="en-US"/>
        </w:rPr>
        <w:t>based on NTR norm sample.</w:t>
      </w:r>
    </w:p>
    <w:p w14:paraId="66EFF9B3" w14:textId="77777777" w:rsidR="00DE5A42" w:rsidRDefault="00DE5A42" w:rsidP="00DE5A42">
      <w:pPr>
        <w:spacing w:after="0" w:line="240" w:lineRule="auto"/>
        <w:jc w:val="both"/>
        <w:rPr>
          <w:rFonts w:ascii="Times New Roman" w:hAnsi="Times New Roman" w:cs="Times New Roman"/>
          <w:b/>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838"/>
        <w:gridCol w:w="1629"/>
        <w:gridCol w:w="1709"/>
        <w:gridCol w:w="182"/>
        <w:gridCol w:w="51"/>
        <w:gridCol w:w="133"/>
        <w:gridCol w:w="100"/>
        <w:gridCol w:w="1471"/>
        <w:gridCol w:w="51"/>
        <w:gridCol w:w="94"/>
        <w:gridCol w:w="1634"/>
        <w:gridCol w:w="46"/>
        <w:gridCol w:w="88"/>
      </w:tblGrid>
      <w:tr w:rsidR="00DE5A42" w14:paraId="7BFE96EB" w14:textId="77777777" w:rsidTr="00DE5A42">
        <w:trPr>
          <w:gridAfter w:val="2"/>
          <w:wAfter w:w="134" w:type="dxa"/>
          <w:trHeight w:val="397"/>
        </w:trPr>
        <w:tc>
          <w:tcPr>
            <w:tcW w:w="1838" w:type="dxa"/>
            <w:tcBorders>
              <w:top w:val="single" w:sz="4" w:space="0" w:color="auto"/>
              <w:left w:val="nil"/>
              <w:bottom w:val="single" w:sz="4" w:space="0" w:color="auto"/>
              <w:right w:val="nil"/>
            </w:tcBorders>
            <w:hideMark/>
          </w:tcPr>
          <w:p w14:paraId="1F4B332D" w14:textId="77777777" w:rsidR="00DE5A42" w:rsidRDefault="00DE5A42">
            <w:pPr>
              <w:spacing w:line="240" w:lineRule="auto"/>
              <w:jc w:val="both"/>
              <w:rPr>
                <w:rFonts w:ascii="Times New Roman" w:hAnsi="Times New Roman" w:cs="Times New Roman"/>
                <w:lang w:val="en-US"/>
              </w:rPr>
            </w:pPr>
            <w:r>
              <w:rPr>
                <w:rFonts w:ascii="Times New Roman" w:hAnsi="Times New Roman" w:cs="Times New Roman"/>
                <w:b/>
                <w:lang w:val="en-US"/>
              </w:rPr>
              <w:t>Cut-off</w:t>
            </w:r>
          </w:p>
        </w:tc>
        <w:tc>
          <w:tcPr>
            <w:tcW w:w="7054" w:type="dxa"/>
            <w:gridSpan w:val="10"/>
            <w:tcBorders>
              <w:top w:val="single" w:sz="4" w:space="0" w:color="auto"/>
              <w:left w:val="nil"/>
              <w:bottom w:val="single" w:sz="4" w:space="0" w:color="auto"/>
              <w:right w:val="nil"/>
            </w:tcBorders>
          </w:tcPr>
          <w:p w14:paraId="22F71573" w14:textId="77777777" w:rsidR="00DE5A42" w:rsidRDefault="00DE5A42">
            <w:pPr>
              <w:spacing w:line="240" w:lineRule="auto"/>
              <w:ind w:left="-5"/>
              <w:jc w:val="center"/>
              <w:rPr>
                <w:rFonts w:ascii="Times New Roman" w:hAnsi="Times New Roman" w:cs="Times New Roman"/>
                <w:b/>
                <w:lang w:val="en-US"/>
              </w:rPr>
            </w:pPr>
          </w:p>
        </w:tc>
      </w:tr>
      <w:tr w:rsidR="00DE5A42" w14:paraId="2ECCE3EA" w14:textId="77777777" w:rsidTr="00DE5A42">
        <w:trPr>
          <w:gridAfter w:val="2"/>
          <w:wAfter w:w="134" w:type="dxa"/>
          <w:trHeight w:val="397"/>
        </w:trPr>
        <w:tc>
          <w:tcPr>
            <w:tcW w:w="1838" w:type="dxa"/>
            <w:tcBorders>
              <w:top w:val="single" w:sz="4" w:space="0" w:color="auto"/>
              <w:left w:val="nil"/>
              <w:bottom w:val="nil"/>
              <w:right w:val="nil"/>
            </w:tcBorders>
          </w:tcPr>
          <w:p w14:paraId="70F0B3C6" w14:textId="77777777" w:rsidR="00DE5A42" w:rsidRDefault="00DE5A42">
            <w:pPr>
              <w:spacing w:line="240" w:lineRule="auto"/>
              <w:jc w:val="both"/>
              <w:rPr>
                <w:rFonts w:ascii="Times New Roman" w:hAnsi="Times New Roman" w:cs="Times New Roman"/>
                <w:lang w:val="en-US"/>
              </w:rPr>
            </w:pPr>
          </w:p>
        </w:tc>
        <w:tc>
          <w:tcPr>
            <w:tcW w:w="3338" w:type="dxa"/>
            <w:gridSpan w:val="2"/>
            <w:tcBorders>
              <w:top w:val="single" w:sz="4" w:space="0" w:color="auto"/>
              <w:left w:val="nil"/>
              <w:bottom w:val="single" w:sz="4" w:space="0" w:color="auto"/>
              <w:right w:val="nil"/>
            </w:tcBorders>
            <w:hideMark/>
          </w:tcPr>
          <w:p w14:paraId="5D2D9D40" w14:textId="77777777" w:rsidR="00DE5A42" w:rsidRDefault="00DE5A42">
            <w:pPr>
              <w:spacing w:line="240" w:lineRule="auto"/>
              <w:ind w:left="-5"/>
              <w:jc w:val="center"/>
              <w:rPr>
                <w:rFonts w:ascii="Times New Roman" w:hAnsi="Times New Roman" w:cs="Times New Roman"/>
                <w:b/>
                <w:bCs/>
                <w:lang w:val="en-US"/>
              </w:rPr>
            </w:pPr>
            <w:r>
              <w:rPr>
                <w:rFonts w:ascii="Times New Roman" w:hAnsi="Times New Roman" w:cs="Times New Roman"/>
                <w:b/>
                <w:bCs/>
                <w:lang w:val="en-US"/>
              </w:rPr>
              <w:t>Boys</w:t>
            </w:r>
          </w:p>
        </w:tc>
        <w:tc>
          <w:tcPr>
            <w:tcW w:w="182" w:type="dxa"/>
            <w:tcBorders>
              <w:top w:val="single" w:sz="4" w:space="0" w:color="auto"/>
              <w:left w:val="nil"/>
              <w:bottom w:val="nil"/>
              <w:right w:val="nil"/>
            </w:tcBorders>
          </w:tcPr>
          <w:p w14:paraId="39F696DD" w14:textId="77777777" w:rsidR="00DE5A42" w:rsidRDefault="00DE5A42">
            <w:pPr>
              <w:spacing w:line="240" w:lineRule="auto"/>
              <w:jc w:val="center"/>
              <w:rPr>
                <w:rFonts w:ascii="Times New Roman" w:hAnsi="Times New Roman" w:cs="Times New Roman"/>
                <w:b/>
                <w:bCs/>
                <w:lang w:val="en-US"/>
              </w:rPr>
            </w:pPr>
          </w:p>
        </w:tc>
        <w:tc>
          <w:tcPr>
            <w:tcW w:w="184" w:type="dxa"/>
            <w:gridSpan w:val="2"/>
            <w:tcBorders>
              <w:top w:val="single" w:sz="4" w:space="0" w:color="auto"/>
              <w:left w:val="nil"/>
              <w:bottom w:val="nil"/>
              <w:right w:val="nil"/>
            </w:tcBorders>
          </w:tcPr>
          <w:p w14:paraId="4406645E" w14:textId="77777777" w:rsidR="00DE5A42" w:rsidRDefault="00DE5A42">
            <w:pPr>
              <w:tabs>
                <w:tab w:val="left" w:pos="642"/>
              </w:tabs>
              <w:spacing w:line="240" w:lineRule="auto"/>
              <w:jc w:val="center"/>
              <w:rPr>
                <w:rFonts w:ascii="Times New Roman" w:hAnsi="Times New Roman" w:cs="Times New Roman"/>
                <w:b/>
                <w:bCs/>
                <w:lang w:val="en-US"/>
              </w:rPr>
            </w:pPr>
          </w:p>
        </w:tc>
        <w:tc>
          <w:tcPr>
            <w:tcW w:w="3350" w:type="dxa"/>
            <w:gridSpan w:val="5"/>
            <w:tcBorders>
              <w:top w:val="single" w:sz="4" w:space="0" w:color="auto"/>
              <w:left w:val="nil"/>
              <w:bottom w:val="single" w:sz="4" w:space="0" w:color="auto"/>
              <w:right w:val="nil"/>
            </w:tcBorders>
            <w:hideMark/>
          </w:tcPr>
          <w:p w14:paraId="444539F2" w14:textId="77777777" w:rsidR="00DE5A42" w:rsidRDefault="00DE5A42">
            <w:pPr>
              <w:tabs>
                <w:tab w:val="left" w:pos="642"/>
              </w:tabs>
              <w:spacing w:line="240" w:lineRule="auto"/>
              <w:ind w:left="-5"/>
              <w:jc w:val="center"/>
              <w:rPr>
                <w:rFonts w:ascii="Times New Roman" w:hAnsi="Times New Roman" w:cs="Times New Roman"/>
                <w:b/>
                <w:bCs/>
                <w:lang w:val="en-US"/>
              </w:rPr>
            </w:pPr>
            <w:r>
              <w:rPr>
                <w:rFonts w:ascii="Times New Roman" w:hAnsi="Times New Roman" w:cs="Times New Roman"/>
                <w:b/>
                <w:bCs/>
                <w:lang w:val="en-US"/>
              </w:rPr>
              <w:t>Girls</w:t>
            </w:r>
          </w:p>
        </w:tc>
      </w:tr>
      <w:tr w:rsidR="00DE5A42" w14:paraId="161448F9" w14:textId="77777777" w:rsidTr="00DE5A42">
        <w:trPr>
          <w:trHeight w:val="397"/>
        </w:trPr>
        <w:tc>
          <w:tcPr>
            <w:tcW w:w="1838" w:type="dxa"/>
            <w:tcMar>
              <w:top w:w="0" w:type="dxa"/>
              <w:left w:w="108" w:type="dxa"/>
              <w:bottom w:w="0" w:type="dxa"/>
              <w:right w:w="108" w:type="dxa"/>
            </w:tcMar>
          </w:tcPr>
          <w:p w14:paraId="05504A2C" w14:textId="77777777" w:rsidR="00DE5A42" w:rsidRDefault="00DE5A42">
            <w:pPr>
              <w:spacing w:line="240" w:lineRule="auto"/>
              <w:jc w:val="both"/>
              <w:rPr>
                <w:rFonts w:ascii="Times New Roman" w:hAnsi="Times New Roman" w:cs="Times New Roman"/>
                <w:b/>
                <w:lang w:val="en-US"/>
              </w:rPr>
            </w:pPr>
          </w:p>
        </w:tc>
        <w:tc>
          <w:tcPr>
            <w:tcW w:w="1629" w:type="dxa"/>
            <w:tcBorders>
              <w:top w:val="single" w:sz="4" w:space="0" w:color="auto"/>
              <w:left w:val="nil"/>
              <w:bottom w:val="nil"/>
              <w:right w:val="nil"/>
            </w:tcBorders>
            <w:tcMar>
              <w:top w:w="0" w:type="dxa"/>
              <w:left w:w="108" w:type="dxa"/>
              <w:bottom w:w="0" w:type="dxa"/>
              <w:right w:w="108" w:type="dxa"/>
            </w:tcMar>
            <w:hideMark/>
          </w:tcPr>
          <w:p w14:paraId="743A3C5E" w14:textId="77777777" w:rsidR="00DE5A42" w:rsidRDefault="00DE5A42">
            <w:pPr>
              <w:spacing w:line="240" w:lineRule="auto"/>
              <w:jc w:val="both"/>
              <w:rPr>
                <w:rFonts w:ascii="Times New Roman" w:hAnsi="Times New Roman" w:cs="Times New Roman"/>
                <w:lang w:val="en-US"/>
              </w:rPr>
            </w:pPr>
            <w:r>
              <w:rPr>
                <w:rFonts w:ascii="Times New Roman" w:hAnsi="Times New Roman" w:cs="Times New Roman"/>
                <w:lang w:val="en-US"/>
              </w:rPr>
              <w:t>6-11 years old</w:t>
            </w:r>
          </w:p>
        </w:tc>
        <w:tc>
          <w:tcPr>
            <w:tcW w:w="1709" w:type="dxa"/>
            <w:tcBorders>
              <w:top w:val="single" w:sz="4" w:space="0" w:color="auto"/>
              <w:left w:val="nil"/>
              <w:bottom w:val="nil"/>
              <w:right w:val="nil"/>
            </w:tcBorders>
            <w:tcMar>
              <w:top w:w="0" w:type="dxa"/>
              <w:left w:w="108" w:type="dxa"/>
              <w:bottom w:w="0" w:type="dxa"/>
              <w:right w:w="108" w:type="dxa"/>
            </w:tcMar>
            <w:hideMark/>
          </w:tcPr>
          <w:p w14:paraId="792ADFCD" w14:textId="77777777" w:rsidR="00DE5A42" w:rsidRDefault="00DE5A42">
            <w:pPr>
              <w:spacing w:line="240" w:lineRule="auto"/>
              <w:jc w:val="both"/>
              <w:rPr>
                <w:rFonts w:ascii="Times New Roman" w:hAnsi="Times New Roman" w:cs="Times New Roman"/>
                <w:lang w:val="en-US"/>
              </w:rPr>
            </w:pPr>
            <w:r>
              <w:rPr>
                <w:rFonts w:ascii="Times New Roman" w:hAnsi="Times New Roman" w:cs="Times New Roman"/>
                <w:lang w:val="en-US"/>
              </w:rPr>
              <w:t>12-18 years old</w:t>
            </w:r>
          </w:p>
        </w:tc>
        <w:tc>
          <w:tcPr>
            <w:tcW w:w="233" w:type="dxa"/>
            <w:gridSpan w:val="2"/>
            <w:tcMar>
              <w:top w:w="0" w:type="dxa"/>
              <w:left w:w="108" w:type="dxa"/>
              <w:bottom w:w="0" w:type="dxa"/>
              <w:right w:w="108" w:type="dxa"/>
            </w:tcMar>
          </w:tcPr>
          <w:p w14:paraId="7CD8ACD6" w14:textId="77777777" w:rsidR="00DE5A42" w:rsidRDefault="00DE5A42">
            <w:pPr>
              <w:spacing w:line="240" w:lineRule="auto"/>
              <w:jc w:val="both"/>
              <w:rPr>
                <w:rFonts w:ascii="Times New Roman" w:hAnsi="Times New Roman" w:cs="Times New Roman"/>
                <w:lang w:val="en-US"/>
              </w:rPr>
            </w:pPr>
          </w:p>
        </w:tc>
        <w:tc>
          <w:tcPr>
            <w:tcW w:w="233" w:type="dxa"/>
            <w:gridSpan w:val="2"/>
            <w:tcMar>
              <w:top w:w="0" w:type="dxa"/>
              <w:left w:w="108" w:type="dxa"/>
              <w:bottom w:w="0" w:type="dxa"/>
              <w:right w:w="108" w:type="dxa"/>
            </w:tcMar>
          </w:tcPr>
          <w:p w14:paraId="1F6B8734" w14:textId="77777777" w:rsidR="00DE5A42" w:rsidRDefault="00DE5A42">
            <w:pPr>
              <w:spacing w:line="240" w:lineRule="auto"/>
              <w:jc w:val="both"/>
              <w:rPr>
                <w:rFonts w:ascii="Times New Roman" w:hAnsi="Times New Roman" w:cs="Times New Roman"/>
                <w:lang w:val="en-US"/>
              </w:rPr>
            </w:pPr>
          </w:p>
        </w:tc>
        <w:tc>
          <w:tcPr>
            <w:tcW w:w="1616" w:type="dxa"/>
            <w:gridSpan w:val="3"/>
            <w:tcMar>
              <w:top w:w="0" w:type="dxa"/>
              <w:left w:w="108" w:type="dxa"/>
              <w:bottom w:w="0" w:type="dxa"/>
              <w:right w:w="108" w:type="dxa"/>
            </w:tcMar>
            <w:hideMark/>
          </w:tcPr>
          <w:p w14:paraId="7B2E9A4C" w14:textId="77777777" w:rsidR="00DE5A42" w:rsidRDefault="00DE5A42">
            <w:pPr>
              <w:spacing w:line="240" w:lineRule="auto"/>
              <w:jc w:val="both"/>
              <w:rPr>
                <w:rFonts w:ascii="Times New Roman" w:hAnsi="Times New Roman" w:cs="Times New Roman"/>
                <w:lang w:val="en-US"/>
              </w:rPr>
            </w:pPr>
            <w:r>
              <w:rPr>
                <w:rFonts w:ascii="Times New Roman" w:hAnsi="Times New Roman" w:cs="Times New Roman"/>
                <w:lang w:val="en-US"/>
              </w:rPr>
              <w:t>6-11 years old</w:t>
            </w:r>
          </w:p>
        </w:tc>
        <w:tc>
          <w:tcPr>
            <w:tcW w:w="1768" w:type="dxa"/>
            <w:gridSpan w:val="3"/>
            <w:tcMar>
              <w:top w:w="0" w:type="dxa"/>
              <w:left w:w="108" w:type="dxa"/>
              <w:bottom w:w="0" w:type="dxa"/>
              <w:right w:w="108" w:type="dxa"/>
            </w:tcMar>
            <w:hideMark/>
          </w:tcPr>
          <w:p w14:paraId="45E24F98" w14:textId="77777777" w:rsidR="00DE5A42" w:rsidRDefault="00DE5A42">
            <w:pPr>
              <w:spacing w:line="240" w:lineRule="auto"/>
              <w:jc w:val="both"/>
              <w:rPr>
                <w:rFonts w:ascii="Times New Roman" w:hAnsi="Times New Roman" w:cs="Times New Roman"/>
                <w:lang w:val="en-US"/>
              </w:rPr>
            </w:pPr>
            <w:r>
              <w:rPr>
                <w:rFonts w:ascii="Times New Roman" w:hAnsi="Times New Roman" w:cs="Times New Roman"/>
                <w:lang w:val="en-US"/>
              </w:rPr>
              <w:t>12-18 years old</w:t>
            </w:r>
          </w:p>
        </w:tc>
      </w:tr>
      <w:tr w:rsidR="00DE5A42" w14:paraId="79017AC1" w14:textId="77777777" w:rsidTr="00DE5A42">
        <w:trPr>
          <w:gridAfter w:val="1"/>
          <w:wAfter w:w="88" w:type="dxa"/>
          <w:trHeight w:val="275"/>
        </w:trPr>
        <w:tc>
          <w:tcPr>
            <w:tcW w:w="1838" w:type="dxa"/>
            <w:shd w:val="clear" w:color="auto" w:fill="D9D9D9" w:themeFill="background1" w:themeFillShade="D9"/>
            <w:tcMar>
              <w:top w:w="0" w:type="dxa"/>
              <w:left w:w="108" w:type="dxa"/>
              <w:bottom w:w="0" w:type="dxa"/>
              <w:right w:w="108" w:type="dxa"/>
            </w:tcMar>
            <w:hideMark/>
          </w:tcPr>
          <w:p w14:paraId="23402843" w14:textId="77777777" w:rsidR="00DE5A42" w:rsidRDefault="00DE5A42">
            <w:pPr>
              <w:spacing w:line="240" w:lineRule="auto"/>
              <w:jc w:val="both"/>
              <w:rPr>
                <w:rFonts w:ascii="Times New Roman" w:hAnsi="Times New Roman" w:cs="Times New Roman"/>
                <w:b/>
                <w:lang w:val="en-US"/>
              </w:rPr>
            </w:pPr>
            <w:r>
              <w:rPr>
                <w:rFonts w:ascii="Times New Roman" w:hAnsi="Times New Roman" w:cs="Times New Roman"/>
                <w:b/>
                <w:lang w:val="en-US"/>
              </w:rPr>
              <w:t>Mother-rated</w:t>
            </w:r>
          </w:p>
        </w:tc>
        <w:tc>
          <w:tcPr>
            <w:tcW w:w="1629" w:type="dxa"/>
            <w:shd w:val="clear" w:color="auto" w:fill="D9D9D9" w:themeFill="background1" w:themeFillShade="D9"/>
            <w:tcMar>
              <w:top w:w="0" w:type="dxa"/>
              <w:left w:w="108" w:type="dxa"/>
              <w:bottom w:w="0" w:type="dxa"/>
              <w:right w:w="108" w:type="dxa"/>
            </w:tcMar>
          </w:tcPr>
          <w:p w14:paraId="6F5567D5" w14:textId="77777777" w:rsidR="00DE5A42" w:rsidRDefault="00DE5A42">
            <w:pPr>
              <w:spacing w:line="240" w:lineRule="auto"/>
              <w:jc w:val="both"/>
              <w:rPr>
                <w:rFonts w:ascii="Times New Roman" w:hAnsi="Times New Roman" w:cs="Times New Roman"/>
                <w:b/>
                <w:lang w:val="en-US"/>
              </w:rPr>
            </w:pPr>
          </w:p>
        </w:tc>
        <w:tc>
          <w:tcPr>
            <w:tcW w:w="1709" w:type="dxa"/>
            <w:shd w:val="clear" w:color="auto" w:fill="D9D9D9" w:themeFill="background1" w:themeFillShade="D9"/>
            <w:tcMar>
              <w:top w:w="0" w:type="dxa"/>
              <w:left w:w="108" w:type="dxa"/>
              <w:bottom w:w="0" w:type="dxa"/>
              <w:right w:w="108" w:type="dxa"/>
            </w:tcMar>
          </w:tcPr>
          <w:p w14:paraId="3A7D39E2" w14:textId="77777777" w:rsidR="00DE5A42" w:rsidRDefault="00DE5A42">
            <w:pPr>
              <w:spacing w:line="240" w:lineRule="auto"/>
              <w:jc w:val="both"/>
              <w:rPr>
                <w:rFonts w:ascii="Times New Roman" w:hAnsi="Times New Roman" w:cs="Times New Roman"/>
                <w:b/>
                <w:lang w:val="en-US"/>
              </w:rPr>
            </w:pPr>
          </w:p>
        </w:tc>
        <w:tc>
          <w:tcPr>
            <w:tcW w:w="233" w:type="dxa"/>
            <w:gridSpan w:val="2"/>
            <w:shd w:val="clear" w:color="auto" w:fill="D9D9D9" w:themeFill="background1" w:themeFillShade="D9"/>
            <w:tcMar>
              <w:top w:w="0" w:type="dxa"/>
              <w:left w:w="108" w:type="dxa"/>
              <w:bottom w:w="0" w:type="dxa"/>
              <w:right w:w="108" w:type="dxa"/>
            </w:tcMar>
          </w:tcPr>
          <w:p w14:paraId="71227554" w14:textId="77777777" w:rsidR="00DE5A42" w:rsidRDefault="00DE5A42">
            <w:pPr>
              <w:spacing w:line="240" w:lineRule="auto"/>
              <w:jc w:val="both"/>
              <w:rPr>
                <w:rFonts w:ascii="Times New Roman" w:hAnsi="Times New Roman" w:cs="Times New Roman"/>
                <w:b/>
                <w:lang w:val="en-US"/>
              </w:rPr>
            </w:pPr>
          </w:p>
        </w:tc>
        <w:tc>
          <w:tcPr>
            <w:tcW w:w="1755" w:type="dxa"/>
            <w:gridSpan w:val="4"/>
            <w:shd w:val="clear" w:color="auto" w:fill="D9D9D9" w:themeFill="background1" w:themeFillShade="D9"/>
            <w:tcMar>
              <w:top w:w="0" w:type="dxa"/>
              <w:left w:w="108" w:type="dxa"/>
              <w:bottom w:w="0" w:type="dxa"/>
              <w:right w:w="108" w:type="dxa"/>
            </w:tcMar>
          </w:tcPr>
          <w:p w14:paraId="51FC1CBD" w14:textId="77777777" w:rsidR="00DE5A42" w:rsidRDefault="00DE5A42">
            <w:pPr>
              <w:spacing w:line="240" w:lineRule="auto"/>
              <w:jc w:val="both"/>
              <w:rPr>
                <w:rFonts w:ascii="Times New Roman" w:hAnsi="Times New Roman" w:cs="Times New Roman"/>
                <w:b/>
                <w:lang w:val="en-US"/>
              </w:rPr>
            </w:pPr>
          </w:p>
        </w:tc>
        <w:tc>
          <w:tcPr>
            <w:tcW w:w="1774" w:type="dxa"/>
            <w:gridSpan w:val="3"/>
            <w:shd w:val="clear" w:color="auto" w:fill="D9D9D9" w:themeFill="background1" w:themeFillShade="D9"/>
            <w:tcMar>
              <w:top w:w="0" w:type="dxa"/>
              <w:left w:w="108" w:type="dxa"/>
              <w:bottom w:w="0" w:type="dxa"/>
              <w:right w:w="108" w:type="dxa"/>
            </w:tcMar>
          </w:tcPr>
          <w:p w14:paraId="4FE75700" w14:textId="77777777" w:rsidR="00DE5A42" w:rsidRDefault="00DE5A42">
            <w:pPr>
              <w:spacing w:line="240" w:lineRule="auto"/>
              <w:jc w:val="both"/>
              <w:rPr>
                <w:rFonts w:ascii="Times New Roman" w:hAnsi="Times New Roman" w:cs="Times New Roman"/>
                <w:b/>
                <w:lang w:val="en-US"/>
              </w:rPr>
            </w:pPr>
          </w:p>
        </w:tc>
      </w:tr>
      <w:tr w:rsidR="00DE5A42" w14:paraId="35A144D0" w14:textId="77777777" w:rsidTr="00DE5A42">
        <w:trPr>
          <w:gridAfter w:val="2"/>
          <w:wAfter w:w="134" w:type="dxa"/>
          <w:trHeight w:val="397"/>
        </w:trPr>
        <w:tc>
          <w:tcPr>
            <w:tcW w:w="1838" w:type="dxa"/>
            <w:tcMar>
              <w:top w:w="0" w:type="dxa"/>
              <w:left w:w="108" w:type="dxa"/>
              <w:bottom w:w="0" w:type="dxa"/>
              <w:right w:w="108" w:type="dxa"/>
            </w:tcMar>
            <w:hideMark/>
          </w:tcPr>
          <w:p w14:paraId="48CF438F" w14:textId="77777777" w:rsidR="00DE5A42" w:rsidRDefault="00DE5A42">
            <w:pPr>
              <w:spacing w:line="240" w:lineRule="auto"/>
              <w:jc w:val="both"/>
              <w:rPr>
                <w:rFonts w:ascii="Times New Roman" w:hAnsi="Times New Roman" w:cs="Times New Roman"/>
                <w:lang w:val="en-US"/>
              </w:rPr>
            </w:pPr>
            <w:r>
              <w:rPr>
                <w:rFonts w:ascii="Times New Roman" w:hAnsi="Times New Roman" w:cs="Times New Roman"/>
                <w:lang w:val="en-US"/>
              </w:rPr>
              <w:t xml:space="preserve">Normal </w:t>
            </w:r>
          </w:p>
        </w:tc>
        <w:tc>
          <w:tcPr>
            <w:tcW w:w="1629" w:type="dxa"/>
            <w:tcMar>
              <w:top w:w="0" w:type="dxa"/>
              <w:left w:w="108" w:type="dxa"/>
              <w:bottom w:w="0" w:type="dxa"/>
              <w:right w:w="108" w:type="dxa"/>
            </w:tcMar>
            <w:hideMark/>
          </w:tcPr>
          <w:p w14:paraId="525FB21E"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&lt; 4</w:t>
            </w:r>
          </w:p>
        </w:tc>
        <w:tc>
          <w:tcPr>
            <w:tcW w:w="1891" w:type="dxa"/>
            <w:gridSpan w:val="2"/>
            <w:tcMar>
              <w:top w:w="0" w:type="dxa"/>
              <w:left w:w="108" w:type="dxa"/>
              <w:bottom w:w="0" w:type="dxa"/>
              <w:right w:w="108" w:type="dxa"/>
            </w:tcMar>
            <w:hideMark/>
          </w:tcPr>
          <w:p w14:paraId="3C411BB0"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&lt; 4</w:t>
            </w:r>
          </w:p>
        </w:tc>
        <w:tc>
          <w:tcPr>
            <w:tcW w:w="1755" w:type="dxa"/>
            <w:gridSpan w:val="4"/>
            <w:tcMar>
              <w:top w:w="0" w:type="dxa"/>
              <w:left w:w="108" w:type="dxa"/>
              <w:bottom w:w="0" w:type="dxa"/>
              <w:right w:w="108" w:type="dxa"/>
            </w:tcMar>
            <w:hideMark/>
          </w:tcPr>
          <w:p w14:paraId="28D01345"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&lt; 4</w:t>
            </w:r>
          </w:p>
        </w:tc>
        <w:tc>
          <w:tcPr>
            <w:tcW w:w="1779" w:type="dxa"/>
            <w:gridSpan w:val="3"/>
            <w:tcMar>
              <w:top w:w="0" w:type="dxa"/>
              <w:left w:w="108" w:type="dxa"/>
              <w:bottom w:w="0" w:type="dxa"/>
              <w:right w:w="108" w:type="dxa"/>
            </w:tcMar>
            <w:hideMark/>
          </w:tcPr>
          <w:p w14:paraId="517FF9DC"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&lt; 4</w:t>
            </w:r>
          </w:p>
        </w:tc>
      </w:tr>
      <w:tr w:rsidR="00DE5A42" w14:paraId="1944F447" w14:textId="77777777" w:rsidTr="00DE5A42">
        <w:trPr>
          <w:gridAfter w:val="2"/>
          <w:wAfter w:w="134" w:type="dxa"/>
          <w:trHeight w:val="397"/>
        </w:trPr>
        <w:tc>
          <w:tcPr>
            <w:tcW w:w="1838" w:type="dxa"/>
            <w:tcMar>
              <w:top w:w="0" w:type="dxa"/>
              <w:left w:w="108" w:type="dxa"/>
              <w:bottom w:w="0" w:type="dxa"/>
              <w:right w:w="108" w:type="dxa"/>
            </w:tcMar>
            <w:hideMark/>
          </w:tcPr>
          <w:p w14:paraId="06D9BBE1" w14:textId="77777777" w:rsidR="00DE5A42" w:rsidRDefault="00DE5A42">
            <w:pPr>
              <w:spacing w:line="240" w:lineRule="auto"/>
              <w:jc w:val="both"/>
              <w:rPr>
                <w:rFonts w:ascii="Times New Roman" w:hAnsi="Times New Roman" w:cs="Times New Roman"/>
                <w:lang w:val="en-US"/>
              </w:rPr>
            </w:pPr>
            <w:r>
              <w:rPr>
                <w:rFonts w:ascii="Times New Roman" w:hAnsi="Times New Roman" w:cs="Times New Roman"/>
                <w:lang w:val="en-US"/>
              </w:rPr>
              <w:t xml:space="preserve">Elevated </w:t>
            </w:r>
          </w:p>
        </w:tc>
        <w:tc>
          <w:tcPr>
            <w:tcW w:w="1629" w:type="dxa"/>
            <w:tcMar>
              <w:top w:w="0" w:type="dxa"/>
              <w:left w:w="108" w:type="dxa"/>
              <w:bottom w:w="0" w:type="dxa"/>
              <w:right w:w="108" w:type="dxa"/>
            </w:tcMar>
            <w:hideMark/>
          </w:tcPr>
          <w:p w14:paraId="6A0951D2"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&gt;= 4</w:t>
            </w:r>
          </w:p>
        </w:tc>
        <w:tc>
          <w:tcPr>
            <w:tcW w:w="1891" w:type="dxa"/>
            <w:gridSpan w:val="2"/>
            <w:tcMar>
              <w:top w:w="0" w:type="dxa"/>
              <w:left w:w="108" w:type="dxa"/>
              <w:bottom w:w="0" w:type="dxa"/>
              <w:right w:w="108" w:type="dxa"/>
            </w:tcMar>
            <w:hideMark/>
          </w:tcPr>
          <w:p w14:paraId="0294D024"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&gt;= 4</w:t>
            </w:r>
          </w:p>
        </w:tc>
        <w:tc>
          <w:tcPr>
            <w:tcW w:w="1755" w:type="dxa"/>
            <w:gridSpan w:val="4"/>
            <w:tcMar>
              <w:top w:w="0" w:type="dxa"/>
              <w:left w:w="108" w:type="dxa"/>
              <w:bottom w:w="0" w:type="dxa"/>
              <w:right w:w="108" w:type="dxa"/>
            </w:tcMar>
            <w:hideMark/>
          </w:tcPr>
          <w:p w14:paraId="2201A94E"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&gt;= 4</w:t>
            </w:r>
          </w:p>
        </w:tc>
        <w:tc>
          <w:tcPr>
            <w:tcW w:w="1779" w:type="dxa"/>
            <w:gridSpan w:val="3"/>
            <w:tcMar>
              <w:top w:w="0" w:type="dxa"/>
              <w:left w:w="108" w:type="dxa"/>
              <w:bottom w:w="0" w:type="dxa"/>
              <w:right w:w="108" w:type="dxa"/>
            </w:tcMar>
            <w:hideMark/>
          </w:tcPr>
          <w:p w14:paraId="34C8DFF8"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&gt;= 4</w:t>
            </w:r>
          </w:p>
        </w:tc>
      </w:tr>
      <w:tr w:rsidR="00DE5A42" w14:paraId="1034BEDF" w14:textId="77777777" w:rsidTr="00DE5A42">
        <w:trPr>
          <w:gridAfter w:val="2"/>
          <w:wAfter w:w="134" w:type="dxa"/>
          <w:trHeight w:val="231"/>
        </w:trPr>
        <w:tc>
          <w:tcPr>
            <w:tcW w:w="1838" w:type="dxa"/>
            <w:shd w:val="clear" w:color="auto" w:fill="D9D9D9" w:themeFill="background1" w:themeFillShade="D9"/>
            <w:tcMar>
              <w:top w:w="0" w:type="dxa"/>
              <w:left w:w="108" w:type="dxa"/>
              <w:bottom w:w="0" w:type="dxa"/>
              <w:right w:w="108" w:type="dxa"/>
            </w:tcMar>
            <w:hideMark/>
          </w:tcPr>
          <w:p w14:paraId="055C10B4" w14:textId="77777777" w:rsidR="00DE5A42" w:rsidRDefault="00DE5A42">
            <w:pPr>
              <w:spacing w:line="240" w:lineRule="auto"/>
              <w:jc w:val="both"/>
              <w:rPr>
                <w:rFonts w:ascii="Times New Roman" w:hAnsi="Times New Roman" w:cs="Times New Roman"/>
                <w:b/>
                <w:lang w:val="en-US"/>
              </w:rPr>
            </w:pPr>
            <w:r>
              <w:rPr>
                <w:rFonts w:ascii="Times New Roman" w:hAnsi="Times New Roman" w:cs="Times New Roman"/>
                <w:b/>
                <w:lang w:val="en-US"/>
              </w:rPr>
              <w:t>Father-rated</w:t>
            </w:r>
          </w:p>
        </w:tc>
        <w:tc>
          <w:tcPr>
            <w:tcW w:w="1629" w:type="dxa"/>
            <w:shd w:val="clear" w:color="auto" w:fill="D9D9D9" w:themeFill="background1" w:themeFillShade="D9"/>
            <w:tcMar>
              <w:top w:w="0" w:type="dxa"/>
              <w:left w:w="108" w:type="dxa"/>
              <w:bottom w:w="0" w:type="dxa"/>
              <w:right w:w="108" w:type="dxa"/>
            </w:tcMar>
          </w:tcPr>
          <w:p w14:paraId="37F972C0" w14:textId="77777777" w:rsidR="00DE5A42" w:rsidRDefault="00DE5A42">
            <w:pPr>
              <w:spacing w:line="240" w:lineRule="auto"/>
              <w:jc w:val="center"/>
              <w:rPr>
                <w:rFonts w:ascii="Times New Roman" w:hAnsi="Times New Roman" w:cs="Times New Roman"/>
                <w:lang w:val="en-US"/>
              </w:rPr>
            </w:pPr>
          </w:p>
        </w:tc>
        <w:tc>
          <w:tcPr>
            <w:tcW w:w="1891" w:type="dxa"/>
            <w:gridSpan w:val="2"/>
            <w:shd w:val="clear" w:color="auto" w:fill="D9D9D9" w:themeFill="background1" w:themeFillShade="D9"/>
            <w:tcMar>
              <w:top w:w="0" w:type="dxa"/>
              <w:left w:w="108" w:type="dxa"/>
              <w:bottom w:w="0" w:type="dxa"/>
              <w:right w:w="108" w:type="dxa"/>
            </w:tcMar>
          </w:tcPr>
          <w:p w14:paraId="77B413C7" w14:textId="77777777" w:rsidR="00DE5A42" w:rsidRDefault="00DE5A42">
            <w:pPr>
              <w:spacing w:line="240" w:lineRule="auto"/>
              <w:jc w:val="center"/>
              <w:rPr>
                <w:rFonts w:ascii="Times New Roman" w:hAnsi="Times New Roman" w:cs="Times New Roman"/>
                <w:lang w:val="en-US"/>
              </w:rPr>
            </w:pPr>
          </w:p>
        </w:tc>
        <w:tc>
          <w:tcPr>
            <w:tcW w:w="1755" w:type="dxa"/>
            <w:gridSpan w:val="4"/>
            <w:shd w:val="clear" w:color="auto" w:fill="D9D9D9" w:themeFill="background1" w:themeFillShade="D9"/>
            <w:tcMar>
              <w:top w:w="0" w:type="dxa"/>
              <w:left w:w="108" w:type="dxa"/>
              <w:bottom w:w="0" w:type="dxa"/>
              <w:right w:w="108" w:type="dxa"/>
            </w:tcMar>
          </w:tcPr>
          <w:p w14:paraId="5267A5F0" w14:textId="77777777" w:rsidR="00DE5A42" w:rsidRDefault="00DE5A42">
            <w:pPr>
              <w:spacing w:line="240" w:lineRule="auto"/>
              <w:jc w:val="center"/>
              <w:rPr>
                <w:rFonts w:ascii="Times New Roman" w:hAnsi="Times New Roman" w:cs="Times New Roman"/>
                <w:lang w:val="en-US"/>
              </w:rPr>
            </w:pPr>
          </w:p>
        </w:tc>
        <w:tc>
          <w:tcPr>
            <w:tcW w:w="1779" w:type="dxa"/>
            <w:gridSpan w:val="3"/>
            <w:shd w:val="clear" w:color="auto" w:fill="D9D9D9" w:themeFill="background1" w:themeFillShade="D9"/>
            <w:tcMar>
              <w:top w:w="0" w:type="dxa"/>
              <w:left w:w="108" w:type="dxa"/>
              <w:bottom w:w="0" w:type="dxa"/>
              <w:right w:w="108" w:type="dxa"/>
            </w:tcMar>
          </w:tcPr>
          <w:p w14:paraId="6D55D0B6" w14:textId="77777777" w:rsidR="00DE5A42" w:rsidRDefault="00DE5A42">
            <w:pPr>
              <w:spacing w:line="240" w:lineRule="auto"/>
              <w:jc w:val="center"/>
              <w:rPr>
                <w:rFonts w:ascii="Times New Roman" w:hAnsi="Times New Roman" w:cs="Times New Roman"/>
                <w:lang w:val="en-US"/>
              </w:rPr>
            </w:pPr>
          </w:p>
        </w:tc>
      </w:tr>
      <w:tr w:rsidR="00DE5A42" w14:paraId="74262BB8" w14:textId="77777777" w:rsidTr="00DE5A42">
        <w:trPr>
          <w:gridAfter w:val="2"/>
          <w:wAfter w:w="134" w:type="dxa"/>
          <w:trHeight w:val="397"/>
        </w:trPr>
        <w:tc>
          <w:tcPr>
            <w:tcW w:w="1838" w:type="dxa"/>
            <w:tcMar>
              <w:top w:w="0" w:type="dxa"/>
              <w:left w:w="108" w:type="dxa"/>
              <w:bottom w:w="0" w:type="dxa"/>
              <w:right w:w="108" w:type="dxa"/>
            </w:tcMar>
            <w:hideMark/>
          </w:tcPr>
          <w:p w14:paraId="528B2217" w14:textId="77777777" w:rsidR="00DE5A42" w:rsidRDefault="00DE5A42">
            <w:pPr>
              <w:spacing w:line="240" w:lineRule="auto"/>
              <w:jc w:val="both"/>
              <w:rPr>
                <w:rFonts w:ascii="Times New Roman" w:hAnsi="Times New Roman" w:cs="Times New Roman"/>
                <w:lang w:val="en-US"/>
              </w:rPr>
            </w:pPr>
            <w:r>
              <w:rPr>
                <w:rFonts w:ascii="Times New Roman" w:hAnsi="Times New Roman" w:cs="Times New Roman"/>
                <w:lang w:val="en-US"/>
              </w:rPr>
              <w:t xml:space="preserve">Normal </w:t>
            </w:r>
          </w:p>
        </w:tc>
        <w:tc>
          <w:tcPr>
            <w:tcW w:w="1629" w:type="dxa"/>
            <w:tcMar>
              <w:top w:w="0" w:type="dxa"/>
              <w:left w:w="108" w:type="dxa"/>
              <w:bottom w:w="0" w:type="dxa"/>
              <w:right w:w="108" w:type="dxa"/>
            </w:tcMar>
            <w:hideMark/>
          </w:tcPr>
          <w:p w14:paraId="3EA7A539"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&lt; 3</w:t>
            </w:r>
          </w:p>
        </w:tc>
        <w:tc>
          <w:tcPr>
            <w:tcW w:w="1891" w:type="dxa"/>
            <w:gridSpan w:val="2"/>
            <w:tcMar>
              <w:top w:w="0" w:type="dxa"/>
              <w:left w:w="108" w:type="dxa"/>
              <w:bottom w:w="0" w:type="dxa"/>
              <w:right w:w="108" w:type="dxa"/>
            </w:tcMar>
            <w:hideMark/>
          </w:tcPr>
          <w:p w14:paraId="407A3F84"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&lt; 3</w:t>
            </w:r>
          </w:p>
        </w:tc>
        <w:tc>
          <w:tcPr>
            <w:tcW w:w="1755" w:type="dxa"/>
            <w:gridSpan w:val="4"/>
            <w:tcMar>
              <w:top w:w="0" w:type="dxa"/>
              <w:left w:w="108" w:type="dxa"/>
              <w:bottom w:w="0" w:type="dxa"/>
              <w:right w:w="108" w:type="dxa"/>
            </w:tcMar>
            <w:hideMark/>
          </w:tcPr>
          <w:p w14:paraId="2CE3938E"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&lt; 3</w:t>
            </w:r>
          </w:p>
        </w:tc>
        <w:tc>
          <w:tcPr>
            <w:tcW w:w="1779" w:type="dxa"/>
            <w:gridSpan w:val="3"/>
            <w:tcMar>
              <w:top w:w="0" w:type="dxa"/>
              <w:left w:w="108" w:type="dxa"/>
              <w:bottom w:w="0" w:type="dxa"/>
              <w:right w:w="108" w:type="dxa"/>
            </w:tcMar>
            <w:hideMark/>
          </w:tcPr>
          <w:p w14:paraId="31A077F1"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&lt; 3</w:t>
            </w:r>
          </w:p>
        </w:tc>
      </w:tr>
      <w:tr w:rsidR="00DE5A42" w14:paraId="186FF7BB" w14:textId="77777777" w:rsidTr="00DE5A42">
        <w:trPr>
          <w:gridAfter w:val="2"/>
          <w:wAfter w:w="134" w:type="dxa"/>
          <w:trHeight w:val="397"/>
        </w:trPr>
        <w:tc>
          <w:tcPr>
            <w:tcW w:w="1838" w:type="dxa"/>
            <w:tcBorders>
              <w:top w:val="nil"/>
              <w:left w:val="nil"/>
              <w:bottom w:val="single" w:sz="4" w:space="0" w:color="auto"/>
              <w:right w:val="nil"/>
            </w:tcBorders>
            <w:tcMar>
              <w:top w:w="0" w:type="dxa"/>
              <w:left w:w="108" w:type="dxa"/>
              <w:bottom w:w="0" w:type="dxa"/>
              <w:right w:w="108" w:type="dxa"/>
            </w:tcMar>
            <w:hideMark/>
          </w:tcPr>
          <w:p w14:paraId="77682382" w14:textId="77777777" w:rsidR="00DE5A42" w:rsidRDefault="00DE5A42">
            <w:pPr>
              <w:spacing w:line="240" w:lineRule="auto"/>
              <w:jc w:val="both"/>
              <w:rPr>
                <w:rFonts w:ascii="Times New Roman" w:hAnsi="Times New Roman" w:cs="Times New Roman"/>
                <w:lang w:val="en-US"/>
              </w:rPr>
            </w:pPr>
            <w:r>
              <w:rPr>
                <w:rFonts w:ascii="Times New Roman" w:hAnsi="Times New Roman" w:cs="Times New Roman"/>
                <w:lang w:val="en-US"/>
              </w:rPr>
              <w:t>Elevated</w:t>
            </w:r>
          </w:p>
        </w:tc>
        <w:tc>
          <w:tcPr>
            <w:tcW w:w="1629" w:type="dxa"/>
            <w:tcBorders>
              <w:top w:val="nil"/>
              <w:left w:val="nil"/>
              <w:bottom w:val="single" w:sz="4" w:space="0" w:color="auto"/>
              <w:right w:val="nil"/>
            </w:tcBorders>
            <w:tcMar>
              <w:top w:w="0" w:type="dxa"/>
              <w:left w:w="108" w:type="dxa"/>
              <w:bottom w:w="0" w:type="dxa"/>
              <w:right w:w="108" w:type="dxa"/>
            </w:tcMar>
            <w:hideMark/>
          </w:tcPr>
          <w:p w14:paraId="71272131"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&gt;= 3</w:t>
            </w:r>
          </w:p>
        </w:tc>
        <w:tc>
          <w:tcPr>
            <w:tcW w:w="1891" w:type="dxa"/>
            <w:gridSpan w:val="2"/>
            <w:tcBorders>
              <w:top w:val="nil"/>
              <w:left w:val="nil"/>
              <w:bottom w:val="single" w:sz="4" w:space="0" w:color="auto"/>
              <w:right w:val="nil"/>
            </w:tcBorders>
            <w:tcMar>
              <w:top w:w="0" w:type="dxa"/>
              <w:left w:w="108" w:type="dxa"/>
              <w:bottom w:w="0" w:type="dxa"/>
              <w:right w:w="108" w:type="dxa"/>
            </w:tcMar>
            <w:hideMark/>
          </w:tcPr>
          <w:p w14:paraId="05315575"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&gt;= 3</w:t>
            </w:r>
          </w:p>
        </w:tc>
        <w:tc>
          <w:tcPr>
            <w:tcW w:w="1755" w:type="dxa"/>
            <w:gridSpan w:val="4"/>
            <w:tcBorders>
              <w:top w:val="nil"/>
              <w:left w:val="nil"/>
              <w:bottom w:val="single" w:sz="4" w:space="0" w:color="auto"/>
              <w:right w:val="nil"/>
            </w:tcBorders>
            <w:tcMar>
              <w:top w:w="0" w:type="dxa"/>
              <w:left w:w="108" w:type="dxa"/>
              <w:bottom w:w="0" w:type="dxa"/>
              <w:right w:w="108" w:type="dxa"/>
            </w:tcMar>
            <w:hideMark/>
          </w:tcPr>
          <w:p w14:paraId="50A81855"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&gt;= 3</w:t>
            </w:r>
          </w:p>
        </w:tc>
        <w:tc>
          <w:tcPr>
            <w:tcW w:w="1779" w:type="dxa"/>
            <w:gridSpan w:val="3"/>
            <w:tcBorders>
              <w:top w:val="nil"/>
              <w:left w:val="nil"/>
              <w:bottom w:val="single" w:sz="4" w:space="0" w:color="auto"/>
              <w:right w:val="nil"/>
            </w:tcBorders>
            <w:tcMar>
              <w:top w:w="0" w:type="dxa"/>
              <w:left w:w="108" w:type="dxa"/>
              <w:bottom w:w="0" w:type="dxa"/>
              <w:right w:w="108" w:type="dxa"/>
            </w:tcMar>
            <w:hideMark/>
          </w:tcPr>
          <w:p w14:paraId="5BBA62DF" w14:textId="77777777" w:rsidR="00DE5A42" w:rsidRDefault="00DE5A42">
            <w:pPr>
              <w:spacing w:line="240" w:lineRule="auto"/>
              <w:jc w:val="center"/>
              <w:rPr>
                <w:rFonts w:ascii="Times New Roman" w:hAnsi="Times New Roman" w:cs="Times New Roman"/>
                <w:lang w:val="en-US"/>
              </w:rPr>
            </w:pPr>
            <w:r>
              <w:rPr>
                <w:rFonts w:ascii="Times New Roman" w:hAnsi="Times New Roman" w:cs="Times New Roman"/>
                <w:lang w:val="en-US"/>
              </w:rPr>
              <w:t>&gt;= 3</w:t>
            </w:r>
          </w:p>
        </w:tc>
      </w:tr>
    </w:tbl>
    <w:p w14:paraId="72EE45B6" w14:textId="242B072E" w:rsidR="00D14030" w:rsidRDefault="00D14030" w:rsidP="00D14030">
      <w:pPr>
        <w:spacing w:after="0" w:line="240" w:lineRule="auto"/>
        <w:rPr>
          <w:rFonts w:ascii="Times New Roman" w:hAnsi="Times New Roman" w:cs="Times New Roman"/>
          <w:lang w:val="en-US"/>
        </w:rPr>
      </w:pPr>
      <w:r>
        <w:rPr>
          <w:rFonts w:ascii="Times New Roman" w:hAnsi="Times New Roman" w:cs="Times New Roman"/>
          <w:bCs/>
          <w:iCs/>
          <w:lang w:val="en-US"/>
        </w:rPr>
        <w:t xml:space="preserve">Note: </w:t>
      </w:r>
      <w:r w:rsidRPr="00917E6A">
        <w:rPr>
          <w:rFonts w:ascii="Times New Roman" w:hAnsi="Times New Roman" w:cs="Times New Roman"/>
          <w:bCs/>
          <w:iCs/>
          <w:lang w:val="en-US"/>
        </w:rPr>
        <w:t xml:space="preserve">For the pre-pandemic BPM measurement in the DREAMS sample the informant is unknown, therefore </w:t>
      </w:r>
      <w:r w:rsidRPr="00D14030">
        <w:rPr>
          <w:rFonts w:ascii="Times New Roman" w:hAnsi="Times New Roman" w:cs="Times New Roman"/>
          <w:bCs/>
          <w:iCs/>
          <w:lang w:val="en-US"/>
        </w:rPr>
        <w:t>we excluded children</w:t>
      </w:r>
      <w:r>
        <w:rPr>
          <w:rFonts w:ascii="Times New Roman" w:hAnsi="Times New Roman" w:cs="Times New Roman"/>
          <w:bCs/>
          <w:iCs/>
          <w:lang w:val="en-US"/>
        </w:rPr>
        <w:t xml:space="preserve"> </w:t>
      </w:r>
      <w:r w:rsidRPr="00D14030">
        <w:rPr>
          <w:rFonts w:ascii="Times New Roman" w:hAnsi="Times New Roman" w:cs="Times New Roman"/>
          <w:bCs/>
          <w:iCs/>
          <w:lang w:val="en-US"/>
        </w:rPr>
        <w:t xml:space="preserve">with a score </w:t>
      </w:r>
      <w:r w:rsidR="00FB156D">
        <w:rPr>
          <w:rFonts w:ascii="Times New Roman" w:hAnsi="Times New Roman" w:cs="Times New Roman"/>
          <w:bCs/>
          <w:iCs/>
          <w:lang w:val="en-US"/>
        </w:rPr>
        <w:t>of</w:t>
      </w:r>
      <w:r w:rsidRPr="00D14030">
        <w:rPr>
          <w:rFonts w:ascii="Times New Roman" w:hAnsi="Times New Roman" w:cs="Times New Roman"/>
          <w:bCs/>
          <w:iCs/>
          <w:lang w:val="en-US"/>
        </w:rPr>
        <w:t xml:space="preserve"> 3, as they could not be categorized properly.</w:t>
      </w:r>
    </w:p>
    <w:p w14:paraId="2728CBBD" w14:textId="77777777" w:rsidR="00DE5A42" w:rsidRDefault="00DE5A42" w:rsidP="00DE5A42">
      <w:pPr>
        <w:spacing w:after="0" w:line="240" w:lineRule="auto"/>
        <w:jc w:val="both"/>
        <w:rPr>
          <w:rFonts w:ascii="Times New Roman" w:hAnsi="Times New Roman" w:cs="Times New Roman"/>
          <w:b/>
          <w:lang w:val="en-US"/>
        </w:rPr>
      </w:pPr>
    </w:p>
    <w:p w14:paraId="672A432E" w14:textId="77777777" w:rsidR="00DE5A42" w:rsidRDefault="00DE5A42" w:rsidP="00DE5A42">
      <w:pPr>
        <w:spacing w:after="0" w:line="240" w:lineRule="auto"/>
        <w:jc w:val="both"/>
        <w:rPr>
          <w:rFonts w:ascii="Times New Roman" w:hAnsi="Times New Roman" w:cs="Times New Roman"/>
          <w:b/>
          <w:lang w:val="en-US"/>
        </w:rPr>
      </w:pPr>
    </w:p>
    <w:p w14:paraId="5B6021C3" w14:textId="77968B31" w:rsidR="00DE5A42" w:rsidRDefault="00DE5A42" w:rsidP="00DE5A42">
      <w:pPr>
        <w:spacing w:after="0" w:line="240" w:lineRule="auto"/>
        <w:rPr>
          <w:rFonts w:ascii="Times New Roman" w:hAnsi="Times New Roman" w:cs="Times New Roman"/>
          <w:b/>
          <w:lang w:val="en-US"/>
        </w:rPr>
      </w:pPr>
      <w:r>
        <w:rPr>
          <w:rFonts w:ascii="Times New Roman" w:hAnsi="Times New Roman" w:cs="Times New Roman"/>
          <w:b/>
          <w:lang w:val="en-US"/>
        </w:rPr>
        <w:t>Table S2.</w:t>
      </w:r>
      <w:r>
        <w:rPr>
          <w:rFonts w:ascii="Times New Roman" w:hAnsi="Times New Roman" w:cs="Times New Roman"/>
          <w:lang w:val="en-US"/>
        </w:rPr>
        <w:t xml:space="preserve"> </w:t>
      </w:r>
      <w:r>
        <w:rPr>
          <w:rFonts w:ascii="Times New Roman" w:hAnsi="Times New Roman" w:cs="Times New Roman"/>
          <w:i/>
          <w:lang w:val="en-US"/>
        </w:rPr>
        <w:t>Sample sizes of each of the eight norm groups, and respective means and standard deviations on the BPM internalizing problems scale.</w:t>
      </w:r>
    </w:p>
    <w:p w14:paraId="11FC1ED1" w14:textId="77777777" w:rsidR="00DE5A42" w:rsidRDefault="00DE5A42" w:rsidP="00DE5A42">
      <w:pPr>
        <w:spacing w:after="0" w:line="240" w:lineRule="auto"/>
        <w:jc w:val="both"/>
        <w:rPr>
          <w:rFonts w:ascii="Times New Roman" w:hAnsi="Times New Roman" w:cs="Times New Roman"/>
          <w:b/>
          <w:color w:val="000000"/>
          <w:lang w:val="en-US"/>
        </w:rPr>
      </w:pPr>
    </w:p>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9"/>
        <w:gridCol w:w="961"/>
        <w:gridCol w:w="941"/>
        <w:gridCol w:w="850"/>
        <w:gridCol w:w="236"/>
        <w:gridCol w:w="1040"/>
        <w:gridCol w:w="851"/>
        <w:gridCol w:w="16"/>
        <w:gridCol w:w="976"/>
      </w:tblGrid>
      <w:tr w:rsidR="00DE5A42" w14:paraId="162F0C32" w14:textId="77777777" w:rsidTr="00DE5A42">
        <w:trPr>
          <w:trHeight w:val="77"/>
        </w:trPr>
        <w:tc>
          <w:tcPr>
            <w:tcW w:w="3487" w:type="dxa"/>
            <w:tcBorders>
              <w:top w:val="single" w:sz="4" w:space="0" w:color="auto"/>
              <w:left w:val="nil"/>
              <w:bottom w:val="single" w:sz="4" w:space="0" w:color="auto"/>
              <w:right w:val="nil"/>
            </w:tcBorders>
          </w:tcPr>
          <w:p w14:paraId="1036FDC3" w14:textId="77777777" w:rsidR="00DE5A42" w:rsidRDefault="00DE5A42">
            <w:pPr>
              <w:spacing w:line="240" w:lineRule="auto"/>
              <w:jc w:val="both"/>
              <w:rPr>
                <w:rFonts w:ascii="Times New Roman" w:hAnsi="Times New Roman" w:cs="Times New Roman"/>
                <w:b/>
                <w:color w:val="000000"/>
                <w:lang w:val="en-US"/>
              </w:rPr>
            </w:pPr>
          </w:p>
        </w:tc>
        <w:tc>
          <w:tcPr>
            <w:tcW w:w="2750" w:type="dxa"/>
            <w:gridSpan w:val="3"/>
            <w:tcBorders>
              <w:top w:val="single" w:sz="4" w:space="0" w:color="auto"/>
              <w:left w:val="nil"/>
              <w:bottom w:val="single" w:sz="4" w:space="0" w:color="auto"/>
              <w:right w:val="nil"/>
            </w:tcBorders>
            <w:hideMark/>
          </w:tcPr>
          <w:p w14:paraId="28B1E068" w14:textId="77777777" w:rsidR="00DE5A42" w:rsidRDefault="00DE5A42">
            <w:pPr>
              <w:spacing w:line="240" w:lineRule="auto"/>
              <w:jc w:val="both"/>
              <w:rPr>
                <w:rFonts w:ascii="Times New Roman" w:hAnsi="Times New Roman" w:cs="Times New Roman"/>
                <w:b/>
                <w:color w:val="000000"/>
                <w:lang w:val="en-US"/>
              </w:rPr>
            </w:pPr>
            <w:r>
              <w:rPr>
                <w:rFonts w:ascii="Times New Roman" w:hAnsi="Times New Roman" w:cs="Times New Roman"/>
                <w:b/>
                <w:color w:val="000000"/>
                <w:lang w:val="en-US"/>
              </w:rPr>
              <w:t>Mother-rated</w:t>
            </w:r>
          </w:p>
        </w:tc>
        <w:tc>
          <w:tcPr>
            <w:tcW w:w="236" w:type="dxa"/>
            <w:tcBorders>
              <w:top w:val="single" w:sz="4" w:space="0" w:color="auto"/>
              <w:left w:val="nil"/>
              <w:bottom w:val="single" w:sz="4" w:space="0" w:color="auto"/>
              <w:right w:val="nil"/>
            </w:tcBorders>
          </w:tcPr>
          <w:p w14:paraId="4AFAC2F5" w14:textId="77777777" w:rsidR="00DE5A42" w:rsidRDefault="00DE5A42">
            <w:pPr>
              <w:spacing w:line="240" w:lineRule="auto"/>
              <w:jc w:val="both"/>
              <w:rPr>
                <w:rFonts w:ascii="Times New Roman" w:hAnsi="Times New Roman" w:cs="Times New Roman"/>
                <w:b/>
                <w:color w:val="000000"/>
                <w:lang w:val="en-US"/>
              </w:rPr>
            </w:pPr>
          </w:p>
        </w:tc>
        <w:tc>
          <w:tcPr>
            <w:tcW w:w="2883" w:type="dxa"/>
            <w:gridSpan w:val="4"/>
            <w:tcBorders>
              <w:top w:val="single" w:sz="4" w:space="0" w:color="auto"/>
              <w:left w:val="nil"/>
              <w:bottom w:val="single" w:sz="4" w:space="0" w:color="auto"/>
              <w:right w:val="nil"/>
            </w:tcBorders>
            <w:hideMark/>
          </w:tcPr>
          <w:p w14:paraId="11160E4B" w14:textId="77777777" w:rsidR="00DE5A42" w:rsidRDefault="00DE5A42">
            <w:pPr>
              <w:spacing w:line="240" w:lineRule="auto"/>
              <w:jc w:val="both"/>
              <w:rPr>
                <w:rFonts w:ascii="Times New Roman" w:hAnsi="Times New Roman" w:cs="Times New Roman"/>
                <w:b/>
                <w:color w:val="000000"/>
                <w:lang w:val="en-US"/>
              </w:rPr>
            </w:pPr>
            <w:r>
              <w:rPr>
                <w:rFonts w:ascii="Times New Roman" w:hAnsi="Times New Roman" w:cs="Times New Roman"/>
                <w:b/>
                <w:color w:val="000000"/>
                <w:lang w:val="en-US"/>
              </w:rPr>
              <w:t>Father-rated</w:t>
            </w:r>
          </w:p>
        </w:tc>
      </w:tr>
      <w:tr w:rsidR="00DE5A42" w14:paraId="2E72C3B7" w14:textId="77777777" w:rsidTr="00DE5A42">
        <w:tc>
          <w:tcPr>
            <w:tcW w:w="3487" w:type="dxa"/>
            <w:tcBorders>
              <w:top w:val="single" w:sz="4" w:space="0" w:color="auto"/>
              <w:left w:val="nil"/>
              <w:bottom w:val="nil"/>
              <w:right w:val="nil"/>
            </w:tcBorders>
          </w:tcPr>
          <w:p w14:paraId="25F38F71" w14:textId="77777777" w:rsidR="00DE5A42" w:rsidRDefault="00DE5A42">
            <w:pPr>
              <w:spacing w:line="240" w:lineRule="auto"/>
              <w:jc w:val="both"/>
              <w:rPr>
                <w:rFonts w:ascii="Times New Roman" w:hAnsi="Times New Roman" w:cs="Times New Roman"/>
                <w:b/>
                <w:color w:val="000000"/>
                <w:lang w:val="en-US"/>
              </w:rPr>
            </w:pPr>
          </w:p>
        </w:tc>
        <w:tc>
          <w:tcPr>
            <w:tcW w:w="960" w:type="dxa"/>
            <w:tcBorders>
              <w:top w:val="single" w:sz="4" w:space="0" w:color="auto"/>
              <w:left w:val="nil"/>
              <w:bottom w:val="nil"/>
              <w:right w:val="nil"/>
            </w:tcBorders>
            <w:hideMark/>
          </w:tcPr>
          <w:p w14:paraId="0BD29B26" w14:textId="77777777" w:rsidR="00DE5A42" w:rsidRDefault="00DE5A42">
            <w:pPr>
              <w:spacing w:line="240" w:lineRule="auto"/>
              <w:jc w:val="both"/>
              <w:rPr>
                <w:rFonts w:ascii="Times New Roman" w:hAnsi="Times New Roman" w:cs="Times New Roman"/>
                <w:i/>
                <w:color w:val="000000"/>
                <w:lang w:val="en-US"/>
              </w:rPr>
            </w:pPr>
            <w:r>
              <w:rPr>
                <w:rFonts w:ascii="Times New Roman" w:hAnsi="Times New Roman" w:cs="Times New Roman"/>
                <w:i/>
                <w:color w:val="000000"/>
                <w:lang w:val="en-US"/>
              </w:rPr>
              <w:t>N</w:t>
            </w:r>
          </w:p>
        </w:tc>
        <w:tc>
          <w:tcPr>
            <w:tcW w:w="940" w:type="dxa"/>
            <w:tcBorders>
              <w:top w:val="single" w:sz="4" w:space="0" w:color="auto"/>
              <w:left w:val="nil"/>
              <w:bottom w:val="nil"/>
              <w:right w:val="nil"/>
            </w:tcBorders>
            <w:hideMark/>
          </w:tcPr>
          <w:p w14:paraId="2996C404" w14:textId="77777777" w:rsidR="00DE5A42" w:rsidRDefault="00DE5A42">
            <w:pPr>
              <w:spacing w:line="240" w:lineRule="auto"/>
              <w:jc w:val="both"/>
              <w:rPr>
                <w:rFonts w:ascii="Times New Roman" w:hAnsi="Times New Roman" w:cs="Times New Roman"/>
                <w:i/>
                <w:color w:val="000000"/>
                <w:lang w:val="en-US"/>
              </w:rPr>
            </w:pPr>
            <w:r>
              <w:rPr>
                <w:rFonts w:ascii="Times New Roman" w:hAnsi="Times New Roman" w:cs="Times New Roman"/>
                <w:i/>
                <w:color w:val="000000"/>
                <w:lang w:val="en-US"/>
              </w:rPr>
              <w:t>M</w:t>
            </w:r>
          </w:p>
        </w:tc>
        <w:tc>
          <w:tcPr>
            <w:tcW w:w="850" w:type="dxa"/>
            <w:tcBorders>
              <w:top w:val="single" w:sz="4" w:space="0" w:color="auto"/>
              <w:left w:val="nil"/>
              <w:bottom w:val="nil"/>
              <w:right w:val="nil"/>
            </w:tcBorders>
            <w:hideMark/>
          </w:tcPr>
          <w:p w14:paraId="17EAA4AC" w14:textId="77777777" w:rsidR="00DE5A42" w:rsidRDefault="00DE5A42">
            <w:pPr>
              <w:spacing w:line="240" w:lineRule="auto"/>
              <w:jc w:val="both"/>
              <w:rPr>
                <w:rFonts w:ascii="Times New Roman" w:hAnsi="Times New Roman" w:cs="Times New Roman"/>
                <w:i/>
                <w:color w:val="000000"/>
                <w:lang w:val="en-US"/>
              </w:rPr>
            </w:pPr>
            <w:r>
              <w:rPr>
                <w:rFonts w:ascii="Times New Roman" w:hAnsi="Times New Roman" w:cs="Times New Roman"/>
                <w:i/>
                <w:color w:val="000000"/>
                <w:lang w:val="en-US"/>
              </w:rPr>
              <w:t>SD</w:t>
            </w:r>
          </w:p>
        </w:tc>
        <w:tc>
          <w:tcPr>
            <w:tcW w:w="236" w:type="dxa"/>
            <w:tcBorders>
              <w:top w:val="single" w:sz="4" w:space="0" w:color="auto"/>
              <w:left w:val="nil"/>
              <w:bottom w:val="nil"/>
              <w:right w:val="nil"/>
            </w:tcBorders>
          </w:tcPr>
          <w:p w14:paraId="1FBC1E72" w14:textId="77777777" w:rsidR="00DE5A42" w:rsidRDefault="00DE5A42">
            <w:pPr>
              <w:spacing w:line="240" w:lineRule="auto"/>
              <w:jc w:val="both"/>
              <w:rPr>
                <w:rFonts w:ascii="Times New Roman" w:hAnsi="Times New Roman" w:cs="Times New Roman"/>
                <w:i/>
                <w:color w:val="000000"/>
                <w:lang w:val="en-US"/>
              </w:rPr>
            </w:pPr>
          </w:p>
        </w:tc>
        <w:tc>
          <w:tcPr>
            <w:tcW w:w="1040" w:type="dxa"/>
            <w:tcBorders>
              <w:top w:val="single" w:sz="4" w:space="0" w:color="auto"/>
              <w:left w:val="nil"/>
              <w:bottom w:val="nil"/>
              <w:right w:val="nil"/>
            </w:tcBorders>
            <w:hideMark/>
          </w:tcPr>
          <w:p w14:paraId="0EE8CB97" w14:textId="77777777" w:rsidR="00DE5A42" w:rsidRDefault="00DE5A42">
            <w:pPr>
              <w:spacing w:line="240" w:lineRule="auto"/>
              <w:jc w:val="both"/>
              <w:rPr>
                <w:rFonts w:ascii="Times New Roman" w:hAnsi="Times New Roman" w:cs="Times New Roman"/>
                <w:i/>
                <w:color w:val="000000"/>
                <w:lang w:val="en-US"/>
              </w:rPr>
            </w:pPr>
            <w:r>
              <w:rPr>
                <w:rFonts w:ascii="Times New Roman" w:hAnsi="Times New Roman" w:cs="Times New Roman"/>
                <w:i/>
                <w:color w:val="000000"/>
                <w:lang w:val="en-US"/>
              </w:rPr>
              <w:t>N</w:t>
            </w:r>
          </w:p>
        </w:tc>
        <w:tc>
          <w:tcPr>
            <w:tcW w:w="851" w:type="dxa"/>
            <w:tcBorders>
              <w:top w:val="single" w:sz="4" w:space="0" w:color="auto"/>
              <w:left w:val="nil"/>
              <w:bottom w:val="nil"/>
              <w:right w:val="nil"/>
            </w:tcBorders>
            <w:hideMark/>
          </w:tcPr>
          <w:p w14:paraId="13D720F9" w14:textId="77777777" w:rsidR="00DE5A42" w:rsidRDefault="00DE5A42">
            <w:pPr>
              <w:spacing w:line="240" w:lineRule="auto"/>
              <w:jc w:val="both"/>
              <w:rPr>
                <w:rFonts w:ascii="Times New Roman" w:hAnsi="Times New Roman" w:cs="Times New Roman"/>
                <w:i/>
                <w:color w:val="000000"/>
                <w:lang w:val="en-US"/>
              </w:rPr>
            </w:pPr>
            <w:r>
              <w:rPr>
                <w:rFonts w:ascii="Times New Roman" w:hAnsi="Times New Roman" w:cs="Times New Roman"/>
                <w:i/>
                <w:color w:val="000000"/>
                <w:lang w:val="en-US"/>
              </w:rPr>
              <w:t>M</w:t>
            </w:r>
          </w:p>
        </w:tc>
        <w:tc>
          <w:tcPr>
            <w:tcW w:w="992" w:type="dxa"/>
            <w:gridSpan w:val="2"/>
            <w:tcBorders>
              <w:top w:val="single" w:sz="4" w:space="0" w:color="auto"/>
              <w:left w:val="nil"/>
              <w:bottom w:val="nil"/>
              <w:right w:val="nil"/>
            </w:tcBorders>
            <w:hideMark/>
          </w:tcPr>
          <w:p w14:paraId="3F189E04" w14:textId="77777777" w:rsidR="00DE5A42" w:rsidRDefault="00DE5A42">
            <w:pPr>
              <w:spacing w:line="240" w:lineRule="auto"/>
              <w:jc w:val="both"/>
              <w:rPr>
                <w:rFonts w:ascii="Times New Roman" w:hAnsi="Times New Roman" w:cs="Times New Roman"/>
                <w:i/>
                <w:color w:val="000000"/>
                <w:lang w:val="en-US"/>
              </w:rPr>
            </w:pPr>
            <w:r>
              <w:rPr>
                <w:rFonts w:ascii="Times New Roman" w:hAnsi="Times New Roman" w:cs="Times New Roman"/>
                <w:i/>
                <w:color w:val="000000"/>
                <w:lang w:val="en-US"/>
              </w:rPr>
              <w:t>SD</w:t>
            </w:r>
          </w:p>
        </w:tc>
      </w:tr>
      <w:tr w:rsidR="00DE5A42" w14:paraId="43300EB0" w14:textId="77777777" w:rsidTr="00DE5A42">
        <w:tc>
          <w:tcPr>
            <w:tcW w:w="3487" w:type="dxa"/>
            <w:shd w:val="clear" w:color="auto" w:fill="D9D9D9" w:themeFill="background1" w:themeFillShade="D9"/>
            <w:hideMark/>
          </w:tcPr>
          <w:p w14:paraId="03CB092B" w14:textId="77777777" w:rsidR="00DE5A42" w:rsidRDefault="00DE5A42">
            <w:pPr>
              <w:spacing w:line="240" w:lineRule="auto"/>
              <w:jc w:val="both"/>
              <w:rPr>
                <w:rFonts w:ascii="Times New Roman" w:hAnsi="Times New Roman" w:cs="Times New Roman"/>
                <w:b/>
                <w:color w:val="000000"/>
                <w:lang w:val="en-US"/>
              </w:rPr>
            </w:pPr>
            <w:r>
              <w:rPr>
                <w:rFonts w:ascii="Times New Roman" w:hAnsi="Times New Roman" w:cs="Times New Roman"/>
                <w:b/>
                <w:color w:val="000000"/>
                <w:lang w:val="en-US"/>
              </w:rPr>
              <w:t>Boys</w:t>
            </w:r>
          </w:p>
        </w:tc>
        <w:tc>
          <w:tcPr>
            <w:tcW w:w="960" w:type="dxa"/>
            <w:shd w:val="clear" w:color="auto" w:fill="D9D9D9" w:themeFill="background1" w:themeFillShade="D9"/>
          </w:tcPr>
          <w:p w14:paraId="1F2B6740" w14:textId="77777777" w:rsidR="00DE5A42" w:rsidRDefault="00DE5A42">
            <w:pPr>
              <w:spacing w:line="240" w:lineRule="auto"/>
              <w:jc w:val="both"/>
              <w:rPr>
                <w:rFonts w:ascii="Times New Roman" w:hAnsi="Times New Roman" w:cs="Times New Roman"/>
                <w:b/>
                <w:color w:val="000000"/>
                <w:lang w:val="en-US"/>
              </w:rPr>
            </w:pPr>
          </w:p>
        </w:tc>
        <w:tc>
          <w:tcPr>
            <w:tcW w:w="940" w:type="dxa"/>
            <w:shd w:val="clear" w:color="auto" w:fill="D9D9D9" w:themeFill="background1" w:themeFillShade="D9"/>
          </w:tcPr>
          <w:p w14:paraId="5F24D7AB" w14:textId="77777777" w:rsidR="00DE5A42" w:rsidRDefault="00DE5A42">
            <w:pPr>
              <w:spacing w:line="240" w:lineRule="auto"/>
              <w:jc w:val="both"/>
              <w:rPr>
                <w:rFonts w:ascii="Times New Roman" w:hAnsi="Times New Roman" w:cs="Times New Roman"/>
                <w:b/>
                <w:color w:val="000000"/>
                <w:lang w:val="en-US"/>
              </w:rPr>
            </w:pPr>
          </w:p>
        </w:tc>
        <w:tc>
          <w:tcPr>
            <w:tcW w:w="850" w:type="dxa"/>
            <w:shd w:val="clear" w:color="auto" w:fill="D9D9D9" w:themeFill="background1" w:themeFillShade="D9"/>
          </w:tcPr>
          <w:p w14:paraId="237297A9" w14:textId="77777777" w:rsidR="00DE5A42" w:rsidRDefault="00DE5A42">
            <w:pPr>
              <w:spacing w:line="240" w:lineRule="auto"/>
              <w:jc w:val="both"/>
              <w:rPr>
                <w:rFonts w:ascii="Times New Roman" w:hAnsi="Times New Roman" w:cs="Times New Roman"/>
                <w:b/>
                <w:color w:val="000000"/>
                <w:lang w:val="en-US"/>
              </w:rPr>
            </w:pPr>
          </w:p>
        </w:tc>
        <w:tc>
          <w:tcPr>
            <w:tcW w:w="1276" w:type="dxa"/>
            <w:gridSpan w:val="2"/>
            <w:shd w:val="clear" w:color="auto" w:fill="D9D9D9" w:themeFill="background1" w:themeFillShade="D9"/>
          </w:tcPr>
          <w:p w14:paraId="7E30EE61" w14:textId="77777777" w:rsidR="00DE5A42" w:rsidRDefault="00DE5A42">
            <w:pPr>
              <w:spacing w:line="240" w:lineRule="auto"/>
              <w:jc w:val="both"/>
              <w:rPr>
                <w:rFonts w:ascii="Times New Roman" w:hAnsi="Times New Roman" w:cs="Times New Roman"/>
                <w:b/>
                <w:color w:val="000000"/>
                <w:lang w:val="en-US"/>
              </w:rPr>
            </w:pPr>
          </w:p>
        </w:tc>
        <w:tc>
          <w:tcPr>
            <w:tcW w:w="851" w:type="dxa"/>
            <w:shd w:val="clear" w:color="auto" w:fill="D9D9D9" w:themeFill="background1" w:themeFillShade="D9"/>
          </w:tcPr>
          <w:p w14:paraId="36360416" w14:textId="77777777" w:rsidR="00DE5A42" w:rsidRDefault="00DE5A42">
            <w:pPr>
              <w:spacing w:line="240" w:lineRule="auto"/>
              <w:jc w:val="both"/>
              <w:rPr>
                <w:rFonts w:ascii="Times New Roman" w:hAnsi="Times New Roman" w:cs="Times New Roman"/>
                <w:b/>
                <w:color w:val="000000"/>
                <w:lang w:val="en-US"/>
              </w:rPr>
            </w:pPr>
          </w:p>
        </w:tc>
        <w:tc>
          <w:tcPr>
            <w:tcW w:w="992" w:type="dxa"/>
            <w:gridSpan w:val="2"/>
            <w:shd w:val="clear" w:color="auto" w:fill="D9D9D9" w:themeFill="background1" w:themeFillShade="D9"/>
          </w:tcPr>
          <w:p w14:paraId="51479BC7" w14:textId="77777777" w:rsidR="00DE5A42" w:rsidRDefault="00DE5A42">
            <w:pPr>
              <w:spacing w:line="240" w:lineRule="auto"/>
              <w:jc w:val="both"/>
              <w:rPr>
                <w:rFonts w:ascii="Times New Roman" w:hAnsi="Times New Roman" w:cs="Times New Roman"/>
                <w:b/>
                <w:color w:val="000000"/>
                <w:lang w:val="en-US"/>
              </w:rPr>
            </w:pPr>
          </w:p>
        </w:tc>
      </w:tr>
      <w:tr w:rsidR="00DE5A42" w14:paraId="75624927" w14:textId="77777777" w:rsidTr="00DE5A42">
        <w:trPr>
          <w:trHeight w:val="397"/>
        </w:trPr>
        <w:tc>
          <w:tcPr>
            <w:tcW w:w="3487" w:type="dxa"/>
            <w:hideMark/>
          </w:tcPr>
          <w:p w14:paraId="25B05745" w14:textId="77777777" w:rsidR="00DE5A42" w:rsidRPr="00A83215" w:rsidRDefault="00DE5A42">
            <w:pPr>
              <w:spacing w:line="240" w:lineRule="auto"/>
              <w:jc w:val="both"/>
              <w:rPr>
                <w:rFonts w:ascii="Times New Roman" w:hAnsi="Times New Roman" w:cs="Times New Roman"/>
                <w:b/>
                <w:color w:val="000000"/>
                <w:lang w:val="en-US"/>
              </w:rPr>
            </w:pPr>
            <w:r w:rsidRPr="00A83215">
              <w:rPr>
                <w:rFonts w:ascii="Times New Roman" w:hAnsi="Times New Roman" w:cs="Times New Roman"/>
                <w:lang w:val="en-US"/>
              </w:rPr>
              <w:t>6-11 years old</w:t>
            </w:r>
          </w:p>
        </w:tc>
        <w:tc>
          <w:tcPr>
            <w:tcW w:w="960" w:type="dxa"/>
            <w:hideMark/>
          </w:tcPr>
          <w:p w14:paraId="7910CA07" w14:textId="4CFA5AA5" w:rsidR="00DE5A42" w:rsidRPr="00A83215" w:rsidRDefault="00A83215">
            <w:pPr>
              <w:spacing w:line="240" w:lineRule="auto"/>
              <w:jc w:val="both"/>
              <w:rPr>
                <w:rFonts w:ascii="Times New Roman" w:hAnsi="Times New Roman" w:cs="Times New Roman"/>
                <w:color w:val="000000"/>
                <w:lang w:val="en-US"/>
              </w:rPr>
            </w:pPr>
            <w:r w:rsidRPr="00A83215">
              <w:rPr>
                <w:rFonts w:ascii="Times New Roman" w:hAnsi="Times New Roman" w:cs="Times New Roman"/>
                <w:color w:val="010205"/>
              </w:rPr>
              <w:t>9</w:t>
            </w:r>
            <w:r w:rsidR="00D14030">
              <w:rPr>
                <w:rFonts w:ascii="Times New Roman" w:hAnsi="Times New Roman" w:cs="Times New Roman"/>
                <w:color w:val="010205"/>
              </w:rPr>
              <w:t>,</w:t>
            </w:r>
            <w:r w:rsidRPr="00A83215">
              <w:rPr>
                <w:rFonts w:ascii="Times New Roman" w:hAnsi="Times New Roman" w:cs="Times New Roman"/>
                <w:color w:val="010205"/>
              </w:rPr>
              <w:t>640</w:t>
            </w:r>
          </w:p>
        </w:tc>
        <w:tc>
          <w:tcPr>
            <w:tcW w:w="940" w:type="dxa"/>
            <w:hideMark/>
          </w:tcPr>
          <w:p w14:paraId="14237830" w14:textId="77777777"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.90</w:t>
            </w:r>
          </w:p>
        </w:tc>
        <w:tc>
          <w:tcPr>
            <w:tcW w:w="850" w:type="dxa"/>
            <w:hideMark/>
          </w:tcPr>
          <w:p w14:paraId="2FC696D7" w14:textId="77777777"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1.50</w:t>
            </w:r>
          </w:p>
        </w:tc>
        <w:tc>
          <w:tcPr>
            <w:tcW w:w="236" w:type="dxa"/>
          </w:tcPr>
          <w:p w14:paraId="709581EE" w14:textId="77777777" w:rsidR="00DE5A42" w:rsidRPr="00A83215" w:rsidRDefault="00DE5A42">
            <w:pPr>
              <w:spacing w:line="240" w:lineRule="auto"/>
              <w:jc w:val="both"/>
              <w:rPr>
                <w:rFonts w:ascii="Times New Roman" w:hAnsi="Times New Roman" w:cs="Times New Roman"/>
                <w:color w:val="000000"/>
                <w:lang w:val="en-US"/>
              </w:rPr>
            </w:pPr>
          </w:p>
        </w:tc>
        <w:tc>
          <w:tcPr>
            <w:tcW w:w="1040" w:type="dxa"/>
            <w:hideMark/>
          </w:tcPr>
          <w:p w14:paraId="32A680C5" w14:textId="34A1E0A8" w:rsidR="00DE5A42" w:rsidRPr="00A83215" w:rsidRDefault="00A83215">
            <w:pPr>
              <w:spacing w:line="240" w:lineRule="auto"/>
              <w:jc w:val="both"/>
              <w:rPr>
                <w:rFonts w:ascii="Times New Roman" w:hAnsi="Times New Roman" w:cs="Times New Roman"/>
                <w:color w:val="000000"/>
                <w:lang w:val="en-US"/>
              </w:rPr>
            </w:pPr>
            <w:r w:rsidRPr="00A83215">
              <w:rPr>
                <w:rFonts w:ascii="Times New Roman" w:hAnsi="Times New Roman" w:cs="Times New Roman"/>
                <w:color w:val="010205"/>
              </w:rPr>
              <w:t>6</w:t>
            </w:r>
            <w:r w:rsidR="00D14030">
              <w:rPr>
                <w:rFonts w:ascii="Times New Roman" w:hAnsi="Times New Roman" w:cs="Times New Roman"/>
                <w:color w:val="010205"/>
              </w:rPr>
              <w:t>,</w:t>
            </w:r>
            <w:r w:rsidRPr="00A83215">
              <w:rPr>
                <w:rFonts w:ascii="Times New Roman" w:hAnsi="Times New Roman" w:cs="Times New Roman"/>
                <w:color w:val="010205"/>
              </w:rPr>
              <w:t>489</w:t>
            </w:r>
          </w:p>
        </w:tc>
        <w:tc>
          <w:tcPr>
            <w:tcW w:w="867" w:type="dxa"/>
            <w:gridSpan w:val="2"/>
            <w:hideMark/>
          </w:tcPr>
          <w:p w14:paraId="38A6E267" w14:textId="77777777"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.63</w:t>
            </w:r>
          </w:p>
        </w:tc>
        <w:tc>
          <w:tcPr>
            <w:tcW w:w="976" w:type="dxa"/>
            <w:hideMark/>
          </w:tcPr>
          <w:p w14:paraId="75486547" w14:textId="77777777"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1.22</w:t>
            </w:r>
          </w:p>
        </w:tc>
      </w:tr>
      <w:tr w:rsidR="00DE5A42" w14:paraId="50929CCB" w14:textId="77777777" w:rsidTr="00DE5A42">
        <w:trPr>
          <w:trHeight w:val="397"/>
        </w:trPr>
        <w:tc>
          <w:tcPr>
            <w:tcW w:w="3487" w:type="dxa"/>
            <w:hideMark/>
          </w:tcPr>
          <w:p w14:paraId="569D60D1" w14:textId="77777777" w:rsidR="00DE5A42" w:rsidRPr="00A83215" w:rsidRDefault="00DE5A42">
            <w:pPr>
              <w:spacing w:line="240" w:lineRule="auto"/>
              <w:jc w:val="both"/>
              <w:rPr>
                <w:rFonts w:ascii="Times New Roman" w:hAnsi="Times New Roman" w:cs="Times New Roman"/>
                <w:b/>
                <w:color w:val="000000"/>
                <w:lang w:val="en-US"/>
              </w:rPr>
            </w:pPr>
            <w:r w:rsidRPr="00A83215">
              <w:rPr>
                <w:rFonts w:ascii="Times New Roman" w:hAnsi="Times New Roman" w:cs="Times New Roman"/>
                <w:lang w:val="en-US"/>
              </w:rPr>
              <w:t>12-18 years old</w:t>
            </w:r>
          </w:p>
        </w:tc>
        <w:tc>
          <w:tcPr>
            <w:tcW w:w="960" w:type="dxa"/>
            <w:hideMark/>
          </w:tcPr>
          <w:p w14:paraId="6E98114F" w14:textId="3B743CF1" w:rsidR="00DE5A42" w:rsidRPr="00A83215" w:rsidRDefault="00A83215">
            <w:pPr>
              <w:spacing w:line="240" w:lineRule="auto"/>
              <w:jc w:val="both"/>
              <w:rPr>
                <w:rFonts w:ascii="Times New Roman" w:hAnsi="Times New Roman" w:cs="Times New Roman"/>
                <w:color w:val="000000"/>
                <w:lang w:val="en-US"/>
              </w:rPr>
            </w:pPr>
            <w:r w:rsidRPr="00A83215">
              <w:rPr>
                <w:rFonts w:ascii="Times New Roman" w:hAnsi="Times New Roman" w:cs="Times New Roman"/>
                <w:color w:val="010205"/>
              </w:rPr>
              <w:t>6</w:t>
            </w:r>
            <w:r w:rsidR="00D14030">
              <w:rPr>
                <w:rFonts w:ascii="Times New Roman" w:hAnsi="Times New Roman" w:cs="Times New Roman"/>
                <w:color w:val="010205"/>
              </w:rPr>
              <w:t>,</w:t>
            </w:r>
            <w:r w:rsidRPr="00A83215">
              <w:rPr>
                <w:rFonts w:ascii="Times New Roman" w:hAnsi="Times New Roman" w:cs="Times New Roman"/>
                <w:color w:val="010205"/>
              </w:rPr>
              <w:t>691</w:t>
            </w:r>
          </w:p>
        </w:tc>
        <w:tc>
          <w:tcPr>
            <w:tcW w:w="940" w:type="dxa"/>
            <w:hideMark/>
          </w:tcPr>
          <w:p w14:paraId="5ADCE64E" w14:textId="77777777"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.83</w:t>
            </w:r>
          </w:p>
        </w:tc>
        <w:tc>
          <w:tcPr>
            <w:tcW w:w="850" w:type="dxa"/>
            <w:hideMark/>
          </w:tcPr>
          <w:p w14:paraId="677C19AC" w14:textId="77777777"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1.46</w:t>
            </w:r>
          </w:p>
        </w:tc>
        <w:tc>
          <w:tcPr>
            <w:tcW w:w="236" w:type="dxa"/>
          </w:tcPr>
          <w:p w14:paraId="1EF1C56F" w14:textId="77777777" w:rsidR="00DE5A42" w:rsidRPr="00A83215" w:rsidRDefault="00DE5A42">
            <w:pPr>
              <w:spacing w:line="240" w:lineRule="auto"/>
              <w:jc w:val="both"/>
              <w:rPr>
                <w:rFonts w:ascii="Times New Roman" w:hAnsi="Times New Roman" w:cs="Times New Roman"/>
                <w:color w:val="000000"/>
                <w:lang w:val="en-US"/>
              </w:rPr>
            </w:pPr>
          </w:p>
        </w:tc>
        <w:tc>
          <w:tcPr>
            <w:tcW w:w="1040" w:type="dxa"/>
            <w:hideMark/>
          </w:tcPr>
          <w:p w14:paraId="3C300705" w14:textId="41345962" w:rsidR="00DE5A42" w:rsidRPr="00A83215" w:rsidRDefault="00A83215">
            <w:pPr>
              <w:spacing w:line="240" w:lineRule="auto"/>
              <w:jc w:val="both"/>
              <w:rPr>
                <w:rFonts w:ascii="Times New Roman" w:hAnsi="Times New Roman" w:cs="Times New Roman"/>
                <w:color w:val="000000"/>
                <w:lang w:val="en-US"/>
              </w:rPr>
            </w:pPr>
            <w:r w:rsidRPr="00A83215">
              <w:rPr>
                <w:rFonts w:ascii="Times New Roman" w:hAnsi="Times New Roman" w:cs="Times New Roman"/>
                <w:color w:val="010205"/>
              </w:rPr>
              <w:t>5</w:t>
            </w:r>
            <w:r w:rsidR="00D14030">
              <w:rPr>
                <w:rFonts w:ascii="Times New Roman" w:hAnsi="Times New Roman" w:cs="Times New Roman"/>
                <w:color w:val="010205"/>
              </w:rPr>
              <w:t>,</w:t>
            </w:r>
            <w:r w:rsidRPr="00A83215">
              <w:rPr>
                <w:rFonts w:ascii="Times New Roman" w:hAnsi="Times New Roman" w:cs="Times New Roman"/>
                <w:color w:val="010205"/>
              </w:rPr>
              <w:t>296</w:t>
            </w:r>
          </w:p>
        </w:tc>
        <w:tc>
          <w:tcPr>
            <w:tcW w:w="851" w:type="dxa"/>
            <w:hideMark/>
          </w:tcPr>
          <w:p w14:paraId="198A2089" w14:textId="51670974"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.6</w:t>
            </w:r>
            <w:r w:rsidR="00A83215" w:rsidRPr="00A83215">
              <w:rPr>
                <w:rFonts w:ascii="Times New Roman" w:hAnsi="Times New Roman" w:cs="Times New Roman"/>
                <w:color w:val="000000"/>
                <w:lang w:val="en-US"/>
              </w:rPr>
              <w:t>4</w:t>
            </w:r>
          </w:p>
        </w:tc>
        <w:tc>
          <w:tcPr>
            <w:tcW w:w="992" w:type="dxa"/>
            <w:gridSpan w:val="2"/>
            <w:hideMark/>
          </w:tcPr>
          <w:p w14:paraId="630EF9D0" w14:textId="239D98D1"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1.3</w:t>
            </w:r>
            <w:r w:rsidR="00A83215" w:rsidRPr="00A83215">
              <w:rPr>
                <w:rFonts w:ascii="Times New Roman" w:hAnsi="Times New Roman" w:cs="Times New Roman"/>
                <w:color w:val="000000"/>
                <w:lang w:val="en-US"/>
              </w:rPr>
              <w:t>0</w:t>
            </w:r>
          </w:p>
        </w:tc>
      </w:tr>
      <w:tr w:rsidR="00DE5A42" w14:paraId="55578DEB" w14:textId="77777777" w:rsidTr="00DE5A42">
        <w:tc>
          <w:tcPr>
            <w:tcW w:w="3487" w:type="dxa"/>
            <w:shd w:val="clear" w:color="auto" w:fill="D9D9D9" w:themeFill="background1" w:themeFillShade="D9"/>
            <w:hideMark/>
          </w:tcPr>
          <w:p w14:paraId="2395F7BB" w14:textId="77777777" w:rsidR="00DE5A42" w:rsidRPr="00A83215" w:rsidRDefault="00DE5A42">
            <w:pPr>
              <w:spacing w:line="240" w:lineRule="auto"/>
              <w:jc w:val="both"/>
              <w:rPr>
                <w:rFonts w:ascii="Times New Roman" w:hAnsi="Times New Roman" w:cs="Times New Roman"/>
                <w:b/>
                <w:color w:val="000000"/>
                <w:lang w:val="en-US"/>
              </w:rPr>
            </w:pPr>
            <w:r w:rsidRPr="00A83215">
              <w:rPr>
                <w:rFonts w:ascii="Times New Roman" w:hAnsi="Times New Roman" w:cs="Times New Roman"/>
                <w:b/>
                <w:color w:val="000000"/>
                <w:lang w:val="en-US"/>
              </w:rPr>
              <w:t>Girls</w:t>
            </w:r>
          </w:p>
        </w:tc>
        <w:tc>
          <w:tcPr>
            <w:tcW w:w="960" w:type="dxa"/>
            <w:shd w:val="clear" w:color="auto" w:fill="D9D9D9" w:themeFill="background1" w:themeFillShade="D9"/>
          </w:tcPr>
          <w:p w14:paraId="4B4D8E8F" w14:textId="77777777" w:rsidR="00DE5A42" w:rsidRPr="00A83215" w:rsidRDefault="00DE5A42">
            <w:pPr>
              <w:spacing w:line="240" w:lineRule="auto"/>
              <w:jc w:val="both"/>
              <w:rPr>
                <w:rFonts w:ascii="Times New Roman" w:hAnsi="Times New Roman" w:cs="Times New Roman"/>
                <w:color w:val="000000"/>
                <w:lang w:val="en-US"/>
              </w:rPr>
            </w:pPr>
          </w:p>
        </w:tc>
        <w:tc>
          <w:tcPr>
            <w:tcW w:w="940" w:type="dxa"/>
            <w:shd w:val="clear" w:color="auto" w:fill="D9D9D9" w:themeFill="background1" w:themeFillShade="D9"/>
          </w:tcPr>
          <w:p w14:paraId="7962E4AE" w14:textId="77777777" w:rsidR="00DE5A42" w:rsidRPr="00A83215" w:rsidRDefault="00DE5A42">
            <w:pPr>
              <w:spacing w:line="240" w:lineRule="auto"/>
              <w:jc w:val="both"/>
              <w:rPr>
                <w:rFonts w:ascii="Times New Roman" w:hAnsi="Times New Roman" w:cs="Times New Roman"/>
                <w:color w:val="000000"/>
                <w:lang w:val="en-US"/>
              </w:rPr>
            </w:pPr>
          </w:p>
        </w:tc>
        <w:tc>
          <w:tcPr>
            <w:tcW w:w="850" w:type="dxa"/>
            <w:shd w:val="clear" w:color="auto" w:fill="D9D9D9" w:themeFill="background1" w:themeFillShade="D9"/>
          </w:tcPr>
          <w:p w14:paraId="61EBD428" w14:textId="77777777" w:rsidR="00DE5A42" w:rsidRPr="00A83215" w:rsidRDefault="00DE5A42">
            <w:pPr>
              <w:spacing w:line="240" w:lineRule="auto"/>
              <w:jc w:val="both"/>
              <w:rPr>
                <w:rFonts w:ascii="Times New Roman" w:hAnsi="Times New Roman" w:cs="Times New Roman"/>
                <w:color w:val="000000"/>
                <w:lang w:val="en-US"/>
              </w:rPr>
            </w:pPr>
          </w:p>
        </w:tc>
        <w:tc>
          <w:tcPr>
            <w:tcW w:w="236" w:type="dxa"/>
            <w:shd w:val="clear" w:color="auto" w:fill="D9D9D9" w:themeFill="background1" w:themeFillShade="D9"/>
          </w:tcPr>
          <w:p w14:paraId="2F36E091" w14:textId="77777777" w:rsidR="00DE5A42" w:rsidRPr="00A83215" w:rsidRDefault="00DE5A42">
            <w:pPr>
              <w:spacing w:line="240" w:lineRule="auto"/>
              <w:jc w:val="both"/>
              <w:rPr>
                <w:rFonts w:ascii="Times New Roman" w:hAnsi="Times New Roman" w:cs="Times New Roman"/>
                <w:color w:val="000000"/>
                <w:lang w:val="en-US"/>
              </w:rPr>
            </w:pPr>
          </w:p>
        </w:tc>
        <w:tc>
          <w:tcPr>
            <w:tcW w:w="1040" w:type="dxa"/>
            <w:shd w:val="clear" w:color="auto" w:fill="D9D9D9" w:themeFill="background1" w:themeFillShade="D9"/>
          </w:tcPr>
          <w:p w14:paraId="6751F2F0" w14:textId="77777777" w:rsidR="00DE5A42" w:rsidRPr="00A83215" w:rsidRDefault="00DE5A42">
            <w:pPr>
              <w:spacing w:line="240" w:lineRule="auto"/>
              <w:jc w:val="both"/>
              <w:rPr>
                <w:rFonts w:ascii="Times New Roman" w:hAnsi="Times New Roman" w:cs="Times New Roman"/>
                <w:color w:val="000000"/>
                <w:lang w:val="en-US"/>
              </w:rPr>
            </w:pPr>
          </w:p>
        </w:tc>
        <w:tc>
          <w:tcPr>
            <w:tcW w:w="851" w:type="dxa"/>
            <w:shd w:val="clear" w:color="auto" w:fill="D9D9D9" w:themeFill="background1" w:themeFillShade="D9"/>
          </w:tcPr>
          <w:p w14:paraId="4DE1E057" w14:textId="77777777" w:rsidR="00DE5A42" w:rsidRPr="00A83215" w:rsidRDefault="00DE5A42">
            <w:pPr>
              <w:spacing w:line="240" w:lineRule="auto"/>
              <w:jc w:val="both"/>
              <w:rPr>
                <w:rFonts w:ascii="Times New Roman" w:hAnsi="Times New Roman" w:cs="Times New Roman"/>
                <w:color w:val="000000"/>
                <w:lang w:val="en-US"/>
              </w:rPr>
            </w:pPr>
          </w:p>
        </w:tc>
        <w:tc>
          <w:tcPr>
            <w:tcW w:w="992" w:type="dxa"/>
            <w:gridSpan w:val="2"/>
            <w:shd w:val="clear" w:color="auto" w:fill="D9D9D9" w:themeFill="background1" w:themeFillShade="D9"/>
          </w:tcPr>
          <w:p w14:paraId="6D684CCF" w14:textId="77777777" w:rsidR="00DE5A42" w:rsidRPr="00A83215" w:rsidRDefault="00DE5A42">
            <w:pPr>
              <w:spacing w:line="240" w:lineRule="auto"/>
              <w:jc w:val="both"/>
              <w:rPr>
                <w:rFonts w:ascii="Times New Roman" w:hAnsi="Times New Roman" w:cs="Times New Roman"/>
                <w:color w:val="000000"/>
                <w:lang w:val="en-US"/>
              </w:rPr>
            </w:pPr>
          </w:p>
        </w:tc>
      </w:tr>
      <w:tr w:rsidR="00DE5A42" w14:paraId="42F1C911" w14:textId="77777777" w:rsidTr="00DE5A42">
        <w:trPr>
          <w:trHeight w:val="397"/>
        </w:trPr>
        <w:tc>
          <w:tcPr>
            <w:tcW w:w="3487" w:type="dxa"/>
            <w:hideMark/>
          </w:tcPr>
          <w:p w14:paraId="1AEC5FCB" w14:textId="77777777" w:rsidR="00DE5A42" w:rsidRPr="00A83215" w:rsidRDefault="00DE5A42">
            <w:pPr>
              <w:spacing w:line="240" w:lineRule="auto"/>
              <w:jc w:val="both"/>
              <w:rPr>
                <w:rFonts w:ascii="Times New Roman" w:hAnsi="Times New Roman" w:cs="Times New Roman"/>
                <w:b/>
                <w:color w:val="000000"/>
                <w:lang w:val="en-US"/>
              </w:rPr>
            </w:pPr>
            <w:r w:rsidRPr="00A83215">
              <w:rPr>
                <w:rFonts w:ascii="Times New Roman" w:hAnsi="Times New Roman" w:cs="Times New Roman"/>
                <w:lang w:val="en-US"/>
              </w:rPr>
              <w:t>6-11 years old</w:t>
            </w:r>
          </w:p>
        </w:tc>
        <w:tc>
          <w:tcPr>
            <w:tcW w:w="960" w:type="dxa"/>
            <w:hideMark/>
          </w:tcPr>
          <w:p w14:paraId="7923A60A" w14:textId="7552AA96" w:rsidR="00DE5A42" w:rsidRPr="00A83215" w:rsidRDefault="00A83215">
            <w:pPr>
              <w:spacing w:line="240" w:lineRule="auto"/>
              <w:jc w:val="both"/>
              <w:rPr>
                <w:rFonts w:ascii="Times New Roman" w:hAnsi="Times New Roman" w:cs="Times New Roman"/>
                <w:color w:val="000000"/>
                <w:lang w:val="en-US"/>
              </w:rPr>
            </w:pPr>
            <w:r w:rsidRPr="00A83215">
              <w:rPr>
                <w:rFonts w:ascii="Times New Roman" w:hAnsi="Times New Roman" w:cs="Times New Roman"/>
                <w:color w:val="010205"/>
              </w:rPr>
              <w:t>9</w:t>
            </w:r>
            <w:r w:rsidR="00D14030">
              <w:rPr>
                <w:rFonts w:ascii="Times New Roman" w:hAnsi="Times New Roman" w:cs="Times New Roman"/>
                <w:color w:val="010205"/>
              </w:rPr>
              <w:t>,</w:t>
            </w:r>
            <w:r w:rsidRPr="00A83215">
              <w:rPr>
                <w:rFonts w:ascii="Times New Roman" w:hAnsi="Times New Roman" w:cs="Times New Roman"/>
                <w:color w:val="010205"/>
              </w:rPr>
              <w:t>604</w:t>
            </w:r>
          </w:p>
        </w:tc>
        <w:tc>
          <w:tcPr>
            <w:tcW w:w="940" w:type="dxa"/>
            <w:hideMark/>
          </w:tcPr>
          <w:p w14:paraId="67A5CFC8" w14:textId="77777777"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.95</w:t>
            </w:r>
          </w:p>
        </w:tc>
        <w:tc>
          <w:tcPr>
            <w:tcW w:w="850" w:type="dxa"/>
            <w:hideMark/>
          </w:tcPr>
          <w:p w14:paraId="5F211920" w14:textId="11D1B165"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1.5</w:t>
            </w:r>
            <w:r w:rsidR="00A83215" w:rsidRPr="00A83215">
              <w:rPr>
                <w:rFonts w:ascii="Times New Roman" w:hAnsi="Times New Roman" w:cs="Times New Roman"/>
                <w:color w:val="000000"/>
                <w:lang w:val="en-US"/>
              </w:rPr>
              <w:t>3</w:t>
            </w:r>
          </w:p>
        </w:tc>
        <w:tc>
          <w:tcPr>
            <w:tcW w:w="236" w:type="dxa"/>
          </w:tcPr>
          <w:p w14:paraId="13CDC8EE" w14:textId="77777777" w:rsidR="00DE5A42" w:rsidRPr="00A83215" w:rsidRDefault="00DE5A42">
            <w:pPr>
              <w:spacing w:line="240" w:lineRule="auto"/>
              <w:jc w:val="both"/>
              <w:rPr>
                <w:rFonts w:ascii="Times New Roman" w:hAnsi="Times New Roman" w:cs="Times New Roman"/>
                <w:color w:val="000000"/>
                <w:lang w:val="en-US"/>
              </w:rPr>
            </w:pPr>
          </w:p>
        </w:tc>
        <w:tc>
          <w:tcPr>
            <w:tcW w:w="1040" w:type="dxa"/>
            <w:hideMark/>
          </w:tcPr>
          <w:p w14:paraId="58A1FFF1" w14:textId="1055E1F7" w:rsidR="00DE5A42" w:rsidRPr="00A83215" w:rsidRDefault="00A83215">
            <w:pPr>
              <w:spacing w:line="240" w:lineRule="auto"/>
              <w:jc w:val="both"/>
              <w:rPr>
                <w:rFonts w:ascii="Times New Roman" w:hAnsi="Times New Roman" w:cs="Times New Roman"/>
                <w:color w:val="000000"/>
                <w:lang w:val="en-US"/>
              </w:rPr>
            </w:pPr>
            <w:r w:rsidRPr="00A83215">
              <w:rPr>
                <w:rFonts w:ascii="Times New Roman" w:hAnsi="Times New Roman" w:cs="Times New Roman"/>
                <w:color w:val="010205"/>
              </w:rPr>
              <w:t>6</w:t>
            </w:r>
            <w:r w:rsidR="00D14030">
              <w:rPr>
                <w:rFonts w:ascii="Times New Roman" w:hAnsi="Times New Roman" w:cs="Times New Roman"/>
                <w:color w:val="010205"/>
              </w:rPr>
              <w:t>,</w:t>
            </w:r>
            <w:r w:rsidRPr="00A83215">
              <w:rPr>
                <w:rFonts w:ascii="Times New Roman" w:hAnsi="Times New Roman" w:cs="Times New Roman"/>
                <w:color w:val="010205"/>
              </w:rPr>
              <w:t>433</w:t>
            </w:r>
          </w:p>
        </w:tc>
        <w:tc>
          <w:tcPr>
            <w:tcW w:w="851" w:type="dxa"/>
            <w:hideMark/>
          </w:tcPr>
          <w:p w14:paraId="59E4A434" w14:textId="016949AF"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.6</w:t>
            </w:r>
            <w:r w:rsidR="00A83215" w:rsidRPr="00A83215">
              <w:rPr>
                <w:rFonts w:ascii="Times New Roman" w:hAnsi="Times New Roman" w:cs="Times New Roman"/>
                <w:color w:val="000000"/>
                <w:lang w:val="en-US"/>
              </w:rPr>
              <w:t>3</w:t>
            </w:r>
          </w:p>
        </w:tc>
        <w:tc>
          <w:tcPr>
            <w:tcW w:w="992" w:type="dxa"/>
            <w:gridSpan w:val="2"/>
            <w:hideMark/>
          </w:tcPr>
          <w:p w14:paraId="337C4F0F" w14:textId="77777777"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1.20</w:t>
            </w:r>
          </w:p>
        </w:tc>
      </w:tr>
      <w:tr w:rsidR="00DE5A42" w14:paraId="623DAC5D" w14:textId="77777777" w:rsidTr="00DE5A42">
        <w:trPr>
          <w:trHeight w:val="397"/>
        </w:trPr>
        <w:tc>
          <w:tcPr>
            <w:tcW w:w="3487" w:type="dxa"/>
            <w:tcBorders>
              <w:top w:val="nil"/>
              <w:left w:val="nil"/>
              <w:bottom w:val="single" w:sz="4" w:space="0" w:color="auto"/>
              <w:right w:val="nil"/>
            </w:tcBorders>
            <w:hideMark/>
          </w:tcPr>
          <w:p w14:paraId="50BB6A1D" w14:textId="77777777" w:rsidR="00DE5A42" w:rsidRPr="00A83215" w:rsidRDefault="00DE5A42">
            <w:pPr>
              <w:spacing w:line="240" w:lineRule="auto"/>
              <w:jc w:val="both"/>
              <w:rPr>
                <w:rFonts w:ascii="Times New Roman" w:hAnsi="Times New Roman" w:cs="Times New Roman"/>
                <w:b/>
                <w:color w:val="000000"/>
                <w:lang w:val="en-US"/>
              </w:rPr>
            </w:pPr>
            <w:r w:rsidRPr="00A83215">
              <w:rPr>
                <w:rFonts w:ascii="Times New Roman" w:hAnsi="Times New Roman" w:cs="Times New Roman"/>
                <w:lang w:val="en-US"/>
              </w:rPr>
              <w:t>12-18 years old</w:t>
            </w:r>
          </w:p>
        </w:tc>
        <w:tc>
          <w:tcPr>
            <w:tcW w:w="960" w:type="dxa"/>
            <w:tcBorders>
              <w:top w:val="nil"/>
              <w:left w:val="nil"/>
              <w:bottom w:val="single" w:sz="4" w:space="0" w:color="auto"/>
              <w:right w:val="nil"/>
            </w:tcBorders>
            <w:hideMark/>
          </w:tcPr>
          <w:p w14:paraId="40E2CBAD" w14:textId="7F672FCE" w:rsidR="00DE5A42" w:rsidRPr="00A83215" w:rsidRDefault="00A83215">
            <w:pPr>
              <w:spacing w:line="240" w:lineRule="auto"/>
              <w:jc w:val="both"/>
              <w:rPr>
                <w:rFonts w:ascii="Times New Roman" w:hAnsi="Times New Roman" w:cs="Times New Roman"/>
                <w:color w:val="000000"/>
                <w:lang w:val="en-US"/>
              </w:rPr>
            </w:pPr>
            <w:r w:rsidRPr="00A83215">
              <w:rPr>
                <w:rFonts w:ascii="Times New Roman" w:hAnsi="Times New Roman" w:cs="Times New Roman"/>
                <w:color w:val="010205"/>
              </w:rPr>
              <w:t>6</w:t>
            </w:r>
            <w:r w:rsidR="00D14030">
              <w:rPr>
                <w:rFonts w:ascii="Times New Roman" w:hAnsi="Times New Roman" w:cs="Times New Roman"/>
                <w:color w:val="010205"/>
              </w:rPr>
              <w:t>,</w:t>
            </w:r>
            <w:r w:rsidRPr="00A83215">
              <w:rPr>
                <w:rFonts w:ascii="Times New Roman" w:hAnsi="Times New Roman" w:cs="Times New Roman"/>
                <w:color w:val="010205"/>
              </w:rPr>
              <w:t>824</w:t>
            </w:r>
          </w:p>
        </w:tc>
        <w:tc>
          <w:tcPr>
            <w:tcW w:w="940" w:type="dxa"/>
            <w:tcBorders>
              <w:top w:val="nil"/>
              <w:left w:val="nil"/>
              <w:bottom w:val="single" w:sz="4" w:space="0" w:color="auto"/>
              <w:right w:val="nil"/>
            </w:tcBorders>
            <w:hideMark/>
          </w:tcPr>
          <w:p w14:paraId="57AC9053" w14:textId="77777777"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.94</w:t>
            </w:r>
          </w:p>
        </w:tc>
        <w:tc>
          <w:tcPr>
            <w:tcW w:w="850" w:type="dxa"/>
            <w:tcBorders>
              <w:top w:val="nil"/>
              <w:left w:val="nil"/>
              <w:bottom w:val="single" w:sz="4" w:space="0" w:color="auto"/>
              <w:right w:val="nil"/>
            </w:tcBorders>
            <w:hideMark/>
          </w:tcPr>
          <w:p w14:paraId="1229B040" w14:textId="77777777"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1.56</w:t>
            </w:r>
          </w:p>
        </w:tc>
        <w:tc>
          <w:tcPr>
            <w:tcW w:w="236" w:type="dxa"/>
            <w:tcBorders>
              <w:top w:val="nil"/>
              <w:left w:val="nil"/>
              <w:bottom w:val="single" w:sz="4" w:space="0" w:color="auto"/>
              <w:right w:val="nil"/>
            </w:tcBorders>
          </w:tcPr>
          <w:p w14:paraId="645B3089" w14:textId="77777777" w:rsidR="00DE5A42" w:rsidRPr="00A83215" w:rsidRDefault="00DE5A42">
            <w:pPr>
              <w:spacing w:line="240" w:lineRule="auto"/>
              <w:jc w:val="both"/>
              <w:rPr>
                <w:rFonts w:ascii="Times New Roman" w:hAnsi="Times New Roman" w:cs="Times New Roman"/>
                <w:color w:val="000000"/>
                <w:lang w:val="en-US"/>
              </w:rPr>
            </w:pPr>
          </w:p>
        </w:tc>
        <w:tc>
          <w:tcPr>
            <w:tcW w:w="1040" w:type="dxa"/>
            <w:tcBorders>
              <w:top w:val="nil"/>
              <w:left w:val="nil"/>
              <w:bottom w:val="single" w:sz="4" w:space="0" w:color="auto"/>
              <w:right w:val="nil"/>
            </w:tcBorders>
            <w:hideMark/>
          </w:tcPr>
          <w:p w14:paraId="1961D4D5" w14:textId="49CA80A5" w:rsidR="00DE5A42" w:rsidRPr="00A83215" w:rsidRDefault="00A83215">
            <w:pPr>
              <w:spacing w:line="240" w:lineRule="auto"/>
              <w:jc w:val="both"/>
              <w:rPr>
                <w:rFonts w:ascii="Times New Roman" w:hAnsi="Times New Roman" w:cs="Times New Roman"/>
                <w:color w:val="000000"/>
                <w:lang w:val="en-US"/>
              </w:rPr>
            </w:pPr>
            <w:r w:rsidRPr="00A83215">
              <w:rPr>
                <w:rFonts w:ascii="Times New Roman" w:hAnsi="Times New Roman" w:cs="Times New Roman"/>
                <w:color w:val="010205"/>
              </w:rPr>
              <w:t>5</w:t>
            </w:r>
            <w:r w:rsidR="00D14030">
              <w:rPr>
                <w:rFonts w:ascii="Times New Roman" w:hAnsi="Times New Roman" w:cs="Times New Roman"/>
                <w:color w:val="010205"/>
              </w:rPr>
              <w:t>,</w:t>
            </w:r>
            <w:r w:rsidRPr="00A83215">
              <w:rPr>
                <w:rFonts w:ascii="Times New Roman" w:hAnsi="Times New Roman" w:cs="Times New Roman"/>
                <w:color w:val="010205"/>
              </w:rPr>
              <w:t>431</w:t>
            </w:r>
          </w:p>
        </w:tc>
        <w:tc>
          <w:tcPr>
            <w:tcW w:w="851" w:type="dxa"/>
            <w:tcBorders>
              <w:top w:val="nil"/>
              <w:left w:val="nil"/>
              <w:bottom w:val="single" w:sz="4" w:space="0" w:color="auto"/>
              <w:right w:val="nil"/>
            </w:tcBorders>
            <w:hideMark/>
          </w:tcPr>
          <w:p w14:paraId="592EB9C8" w14:textId="0F8176D4"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.6</w:t>
            </w:r>
            <w:r w:rsidR="00A83215" w:rsidRPr="00A83215">
              <w:rPr>
                <w:rFonts w:ascii="Times New Roman" w:hAnsi="Times New Roman" w:cs="Times New Roman"/>
                <w:color w:val="000000"/>
                <w:lang w:val="en-US"/>
              </w:rPr>
              <w:t>4</w:t>
            </w:r>
          </w:p>
        </w:tc>
        <w:tc>
          <w:tcPr>
            <w:tcW w:w="992" w:type="dxa"/>
            <w:gridSpan w:val="2"/>
            <w:tcBorders>
              <w:top w:val="nil"/>
              <w:left w:val="nil"/>
              <w:bottom w:val="single" w:sz="4" w:space="0" w:color="auto"/>
              <w:right w:val="nil"/>
            </w:tcBorders>
            <w:hideMark/>
          </w:tcPr>
          <w:p w14:paraId="709A15A7" w14:textId="5D48838D" w:rsidR="00DE5A42" w:rsidRPr="00A83215" w:rsidRDefault="00DE5A42">
            <w:pPr>
              <w:spacing w:line="240" w:lineRule="auto"/>
              <w:jc w:val="both"/>
              <w:rPr>
                <w:rFonts w:ascii="Times New Roman" w:hAnsi="Times New Roman" w:cs="Times New Roman"/>
                <w:color w:val="000000"/>
                <w:lang w:val="en-US"/>
              </w:rPr>
            </w:pPr>
            <w:r w:rsidRPr="00A83215">
              <w:rPr>
                <w:rFonts w:ascii="Times New Roman" w:hAnsi="Times New Roman" w:cs="Times New Roman"/>
                <w:color w:val="000000"/>
                <w:lang w:val="en-US"/>
              </w:rPr>
              <w:t>1.2</w:t>
            </w:r>
            <w:r w:rsidR="00A83215" w:rsidRPr="00A83215">
              <w:rPr>
                <w:rFonts w:ascii="Times New Roman" w:hAnsi="Times New Roman" w:cs="Times New Roman"/>
                <w:color w:val="000000"/>
                <w:lang w:val="en-US"/>
              </w:rPr>
              <w:t>1</w:t>
            </w:r>
          </w:p>
        </w:tc>
      </w:tr>
    </w:tbl>
    <w:p w14:paraId="730A5FFF" w14:textId="77777777" w:rsidR="00DE5A42" w:rsidRDefault="00DE5A42" w:rsidP="00DE5A42">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Note. </w:t>
      </w:r>
      <w:r>
        <w:rPr>
          <w:rFonts w:ascii="Times New Roman" w:hAnsi="Times New Roman" w:cs="Times New Roman"/>
          <w:i/>
          <w:iCs/>
          <w:lang w:val="en-US"/>
        </w:rPr>
        <w:t>N</w:t>
      </w:r>
      <w:r>
        <w:rPr>
          <w:rFonts w:ascii="Times New Roman" w:hAnsi="Times New Roman" w:cs="Times New Roman"/>
          <w:lang w:val="en-US"/>
        </w:rPr>
        <w:t xml:space="preserve">=Sample size, </w:t>
      </w:r>
      <w:r>
        <w:rPr>
          <w:rFonts w:ascii="Times New Roman" w:hAnsi="Times New Roman" w:cs="Times New Roman"/>
          <w:i/>
          <w:iCs/>
          <w:lang w:val="en-US"/>
        </w:rPr>
        <w:t>M</w:t>
      </w:r>
      <w:r>
        <w:rPr>
          <w:rFonts w:ascii="Times New Roman" w:hAnsi="Times New Roman" w:cs="Times New Roman"/>
          <w:lang w:val="en-US"/>
        </w:rPr>
        <w:t xml:space="preserve">=mean, </w:t>
      </w:r>
      <w:r>
        <w:rPr>
          <w:rFonts w:ascii="Times New Roman" w:hAnsi="Times New Roman" w:cs="Times New Roman"/>
          <w:i/>
          <w:iCs/>
          <w:lang w:val="en-US"/>
        </w:rPr>
        <w:t>SD</w:t>
      </w:r>
      <w:r>
        <w:rPr>
          <w:rFonts w:ascii="Times New Roman" w:hAnsi="Times New Roman" w:cs="Times New Roman"/>
          <w:lang w:val="en-US"/>
        </w:rPr>
        <w:t>= standard deviation.</w:t>
      </w:r>
    </w:p>
    <w:p w14:paraId="7011AF46" w14:textId="77777777" w:rsidR="00DE5A42" w:rsidRDefault="00DE5A42" w:rsidP="00DE5A42">
      <w:pPr>
        <w:spacing w:after="0" w:line="240" w:lineRule="auto"/>
        <w:jc w:val="both"/>
        <w:rPr>
          <w:rFonts w:ascii="Times New Roman" w:hAnsi="Times New Roman" w:cs="Times New Roman"/>
          <w:b/>
          <w:color w:val="000000"/>
          <w:lang w:val="en-US"/>
        </w:rPr>
      </w:pPr>
    </w:p>
    <w:p w14:paraId="717DF129" w14:textId="77777777" w:rsidR="00DE5A42" w:rsidRDefault="00DE5A42" w:rsidP="00DE5A42">
      <w:pPr>
        <w:spacing w:after="0" w:line="240" w:lineRule="auto"/>
        <w:jc w:val="both"/>
        <w:rPr>
          <w:rFonts w:ascii="Times New Roman" w:hAnsi="Times New Roman" w:cs="Times New Roman"/>
          <w:b/>
          <w:color w:val="000000"/>
          <w:lang w:val="en-US"/>
        </w:rPr>
      </w:pPr>
    </w:p>
    <w:p w14:paraId="07999EEB" w14:textId="77777777" w:rsidR="00DE5A42" w:rsidRDefault="00DE5A42" w:rsidP="00DE5A42">
      <w:pPr>
        <w:spacing w:after="0" w:line="240" w:lineRule="auto"/>
        <w:jc w:val="both"/>
        <w:rPr>
          <w:rFonts w:ascii="Times New Roman" w:hAnsi="Times New Roman" w:cs="Times New Roman"/>
          <w:b/>
          <w:color w:val="000000"/>
          <w:lang w:val="en-US"/>
        </w:rPr>
      </w:pPr>
    </w:p>
    <w:p w14:paraId="2B725BF0" w14:textId="77777777" w:rsidR="00DE5A42" w:rsidRDefault="00DE5A42" w:rsidP="00DE5A42">
      <w:pPr>
        <w:spacing w:after="0" w:line="240" w:lineRule="auto"/>
        <w:jc w:val="both"/>
        <w:rPr>
          <w:rFonts w:ascii="Times New Roman" w:hAnsi="Times New Roman" w:cs="Times New Roman"/>
          <w:b/>
          <w:color w:val="000000"/>
          <w:lang w:val="en-US"/>
        </w:rPr>
      </w:pPr>
    </w:p>
    <w:p w14:paraId="5D3DD35D" w14:textId="77777777" w:rsidR="00DE5A42" w:rsidRDefault="00DE5A42" w:rsidP="00DE5A42">
      <w:pPr>
        <w:spacing w:after="0" w:line="240" w:lineRule="auto"/>
        <w:jc w:val="both"/>
        <w:rPr>
          <w:rFonts w:ascii="Times New Roman" w:hAnsi="Times New Roman" w:cs="Times New Roman"/>
          <w:b/>
          <w:color w:val="000000"/>
          <w:lang w:val="en-US"/>
        </w:rPr>
      </w:pPr>
    </w:p>
    <w:p w14:paraId="27E27413" w14:textId="77777777" w:rsidR="00DE5A42" w:rsidRDefault="00DE5A42" w:rsidP="00DE5A42">
      <w:pPr>
        <w:spacing w:after="0" w:line="240" w:lineRule="auto"/>
        <w:jc w:val="both"/>
        <w:rPr>
          <w:rFonts w:ascii="Times New Roman" w:hAnsi="Times New Roman" w:cs="Times New Roman"/>
          <w:b/>
          <w:color w:val="000000"/>
          <w:lang w:val="en-US"/>
        </w:rPr>
      </w:pPr>
    </w:p>
    <w:p w14:paraId="358BB5D9" w14:textId="77777777" w:rsidR="00DE5A42" w:rsidRDefault="00DE5A42" w:rsidP="00DE5A42">
      <w:pPr>
        <w:spacing w:after="0" w:line="240" w:lineRule="auto"/>
        <w:jc w:val="both"/>
        <w:rPr>
          <w:rFonts w:ascii="Times New Roman" w:hAnsi="Times New Roman" w:cs="Times New Roman"/>
          <w:b/>
          <w:color w:val="000000"/>
          <w:lang w:val="en-US"/>
        </w:rPr>
      </w:pPr>
    </w:p>
    <w:p w14:paraId="4BCC2178" w14:textId="77777777" w:rsidR="00DE5A42" w:rsidRDefault="00DE5A42" w:rsidP="00DE5A42">
      <w:pPr>
        <w:spacing w:after="0" w:line="240" w:lineRule="auto"/>
        <w:jc w:val="both"/>
        <w:rPr>
          <w:rFonts w:ascii="Times New Roman" w:hAnsi="Times New Roman" w:cs="Times New Roman"/>
          <w:b/>
          <w:color w:val="000000"/>
          <w:lang w:val="en-US"/>
        </w:rPr>
      </w:pPr>
    </w:p>
    <w:p w14:paraId="712CD80D" w14:textId="77777777" w:rsidR="00DE5A42" w:rsidRDefault="00DE5A42" w:rsidP="00DE5A42">
      <w:pPr>
        <w:spacing w:after="0" w:line="240" w:lineRule="auto"/>
        <w:jc w:val="both"/>
        <w:rPr>
          <w:rFonts w:ascii="Times New Roman" w:hAnsi="Times New Roman" w:cs="Times New Roman"/>
          <w:b/>
          <w:color w:val="000000"/>
          <w:lang w:val="en-US"/>
        </w:rPr>
      </w:pPr>
    </w:p>
    <w:p w14:paraId="6069544C" w14:textId="77777777" w:rsidR="00DE5A42" w:rsidRDefault="00DE5A42" w:rsidP="00DE5A42">
      <w:pPr>
        <w:spacing w:after="0" w:line="240" w:lineRule="auto"/>
        <w:jc w:val="both"/>
        <w:rPr>
          <w:rFonts w:ascii="Times New Roman" w:hAnsi="Times New Roman" w:cs="Times New Roman"/>
          <w:b/>
          <w:color w:val="000000"/>
          <w:lang w:val="en-US"/>
        </w:rPr>
      </w:pPr>
    </w:p>
    <w:p w14:paraId="43D3BEE7" w14:textId="77777777" w:rsidR="00DE5A42" w:rsidRDefault="00DE5A42" w:rsidP="00DE5A42">
      <w:pPr>
        <w:spacing w:after="0" w:line="240" w:lineRule="auto"/>
        <w:jc w:val="both"/>
        <w:rPr>
          <w:rFonts w:ascii="Times New Roman" w:hAnsi="Times New Roman" w:cs="Times New Roman"/>
          <w:b/>
          <w:color w:val="000000"/>
          <w:lang w:val="en-US"/>
        </w:rPr>
      </w:pPr>
    </w:p>
    <w:p w14:paraId="2D4F6ED9" w14:textId="77777777" w:rsidR="00DE5A42" w:rsidRDefault="00DE5A42" w:rsidP="00DE5A42">
      <w:pPr>
        <w:spacing w:after="0" w:line="240" w:lineRule="auto"/>
        <w:jc w:val="both"/>
        <w:rPr>
          <w:rFonts w:ascii="Times New Roman" w:hAnsi="Times New Roman" w:cs="Times New Roman"/>
          <w:b/>
          <w:color w:val="000000"/>
          <w:lang w:val="en-US"/>
        </w:rPr>
      </w:pPr>
    </w:p>
    <w:p w14:paraId="5B5C46E2" w14:textId="77777777" w:rsidR="00DE5A42" w:rsidRDefault="00DE5A42" w:rsidP="00DE5A42">
      <w:pPr>
        <w:spacing w:after="0" w:line="240" w:lineRule="auto"/>
        <w:jc w:val="both"/>
        <w:rPr>
          <w:rFonts w:ascii="Times New Roman" w:hAnsi="Times New Roman" w:cs="Times New Roman"/>
          <w:b/>
          <w:color w:val="000000"/>
          <w:lang w:val="en-US"/>
        </w:rPr>
      </w:pPr>
    </w:p>
    <w:p w14:paraId="7E1833F3" w14:textId="77777777" w:rsidR="00DE5A42" w:rsidRDefault="00DE5A42" w:rsidP="00DE5A42">
      <w:pPr>
        <w:spacing w:after="0" w:line="240" w:lineRule="auto"/>
        <w:jc w:val="both"/>
        <w:rPr>
          <w:rFonts w:ascii="Times New Roman" w:hAnsi="Times New Roman" w:cs="Times New Roman"/>
          <w:b/>
          <w:color w:val="000000"/>
          <w:lang w:val="en-US"/>
        </w:rPr>
      </w:pPr>
    </w:p>
    <w:p w14:paraId="018DE80B" w14:textId="77777777" w:rsidR="00DE5A42" w:rsidRDefault="00DE5A42" w:rsidP="00DE5A42">
      <w:pPr>
        <w:spacing w:after="0" w:line="240" w:lineRule="auto"/>
        <w:jc w:val="both"/>
        <w:rPr>
          <w:rFonts w:ascii="Times New Roman" w:hAnsi="Times New Roman" w:cs="Times New Roman"/>
          <w:b/>
          <w:color w:val="000000"/>
          <w:lang w:val="en-US"/>
        </w:rPr>
      </w:pPr>
    </w:p>
    <w:p w14:paraId="3C0B9DBA" w14:textId="77777777" w:rsidR="00DE5A42" w:rsidRDefault="00DE5A42" w:rsidP="00DE5A42">
      <w:pPr>
        <w:spacing w:after="0" w:line="240" w:lineRule="auto"/>
        <w:jc w:val="both"/>
        <w:rPr>
          <w:rFonts w:ascii="Times New Roman" w:hAnsi="Times New Roman" w:cs="Times New Roman"/>
          <w:b/>
          <w:color w:val="000000"/>
          <w:lang w:val="en-US"/>
        </w:rPr>
      </w:pPr>
    </w:p>
    <w:p w14:paraId="24AEB719" w14:textId="77777777" w:rsidR="00DE5A42" w:rsidRDefault="00DE5A42" w:rsidP="00DE5A42">
      <w:pPr>
        <w:spacing w:after="0" w:line="240" w:lineRule="auto"/>
        <w:jc w:val="both"/>
        <w:rPr>
          <w:rFonts w:ascii="Times New Roman" w:hAnsi="Times New Roman" w:cs="Times New Roman"/>
          <w:b/>
          <w:color w:val="000000"/>
          <w:lang w:val="en-US"/>
        </w:rPr>
      </w:pPr>
    </w:p>
    <w:p w14:paraId="5DB306CF" w14:textId="77777777" w:rsidR="00DE5A42" w:rsidRDefault="00DE5A42" w:rsidP="00DE5A42">
      <w:pPr>
        <w:spacing w:after="0" w:line="240" w:lineRule="auto"/>
        <w:jc w:val="both"/>
        <w:rPr>
          <w:rFonts w:ascii="Times New Roman" w:hAnsi="Times New Roman" w:cs="Times New Roman"/>
          <w:b/>
          <w:color w:val="000000"/>
          <w:lang w:val="en-US"/>
        </w:rPr>
      </w:pPr>
    </w:p>
    <w:p w14:paraId="0A7A22FA" w14:textId="77777777" w:rsidR="00DE5A42" w:rsidRDefault="00DE5A42" w:rsidP="00DE5A42">
      <w:pPr>
        <w:spacing w:after="0" w:line="240" w:lineRule="auto"/>
        <w:jc w:val="both"/>
        <w:rPr>
          <w:rFonts w:ascii="Times New Roman" w:hAnsi="Times New Roman" w:cs="Times New Roman"/>
          <w:b/>
          <w:color w:val="000000"/>
          <w:lang w:val="en-US"/>
        </w:rPr>
      </w:pPr>
    </w:p>
    <w:p w14:paraId="0A9C74B7" w14:textId="77777777" w:rsidR="00DE5A42" w:rsidRDefault="00DE5A42" w:rsidP="00DE5A42">
      <w:pPr>
        <w:spacing w:after="0" w:line="240" w:lineRule="auto"/>
        <w:jc w:val="both"/>
        <w:rPr>
          <w:rFonts w:ascii="Times New Roman" w:hAnsi="Times New Roman" w:cs="Times New Roman"/>
          <w:b/>
          <w:color w:val="000000"/>
          <w:lang w:val="en-US"/>
        </w:rPr>
      </w:pPr>
      <w:r>
        <w:rPr>
          <w:rFonts w:ascii="Times New Roman" w:hAnsi="Times New Roman" w:cs="Times New Roman"/>
          <w:b/>
          <w:color w:val="000000"/>
          <w:lang w:val="en-US"/>
        </w:rPr>
        <w:t xml:space="preserve">Fig. 1S </w:t>
      </w:r>
      <w:r>
        <w:rPr>
          <w:rFonts w:ascii="Times New Roman" w:eastAsia="Times New Roman" w:hAnsi="Times New Roman" w:cs="Times New Roman"/>
          <w:lang w:val="en-US"/>
        </w:rPr>
        <w:t>Data of the NTR on the BPM per year since 1995 until 2018, and pre-pandemic (latest assessments before pandemic), first pandemic measurement (Apr.–May 2020), and second pandemic measurement (Nov–Dec. 2020) of proportions of normal and worrisome internalizing problems (left), and only worrisome problems (scaled-larger, right)</w:t>
      </w:r>
    </w:p>
    <w:p w14:paraId="2F36442F" w14:textId="77777777" w:rsidR="00DE5A42" w:rsidRDefault="00DE5A42" w:rsidP="00DE5A42">
      <w:pPr>
        <w:spacing w:after="0" w:line="240" w:lineRule="auto"/>
        <w:jc w:val="both"/>
        <w:rPr>
          <w:rFonts w:ascii="Times New Roman" w:hAnsi="Times New Roman" w:cs="Times New Roman"/>
          <w:b/>
          <w:color w:val="000000"/>
          <w:lang w:val="en-US"/>
        </w:rPr>
      </w:pPr>
    </w:p>
    <w:p w14:paraId="4FE27F4A" w14:textId="77777777" w:rsidR="00DE5A42" w:rsidRDefault="00DE5A42" w:rsidP="00DE5A42">
      <w:pPr>
        <w:spacing w:after="0" w:line="240" w:lineRule="auto"/>
        <w:jc w:val="both"/>
        <w:rPr>
          <w:rFonts w:ascii="Times New Roman" w:hAnsi="Times New Roman" w:cs="Times New Roman"/>
          <w:b/>
          <w:color w:val="000000"/>
          <w:lang w:val="en-US"/>
        </w:rPr>
      </w:pPr>
    </w:p>
    <w:p w14:paraId="3F3A06E9" w14:textId="77777777" w:rsidR="00DE5A42" w:rsidRDefault="00DE5A42" w:rsidP="00DE5A42">
      <w:pPr>
        <w:spacing w:after="0" w:line="240" w:lineRule="auto"/>
        <w:jc w:val="both"/>
        <w:rPr>
          <w:rFonts w:ascii="Times New Roman" w:hAnsi="Times New Roman" w:cs="Times New Roman"/>
          <w:b/>
          <w:color w:val="000000"/>
          <w:lang w:val="en-US"/>
        </w:rPr>
      </w:pPr>
    </w:p>
    <w:p w14:paraId="3027E7FF" w14:textId="4FD160BB" w:rsidR="00DE5A42" w:rsidRDefault="00DE5A42" w:rsidP="00DE5A42">
      <w:pPr>
        <w:spacing w:after="0" w:line="240" w:lineRule="auto"/>
        <w:jc w:val="both"/>
        <w:rPr>
          <w:rFonts w:ascii="Times New Roman" w:hAnsi="Times New Roman" w:cs="Times New Roman"/>
          <w:b/>
          <w:i/>
          <w:iCs/>
          <w:color w:val="000000"/>
          <w:lang w:val="en-US"/>
        </w:rPr>
      </w:pPr>
      <w:r>
        <w:rPr>
          <w:rFonts w:ascii="Times New Roman" w:hAnsi="Times New Roman" w:cs="Times New Roman"/>
          <w:b/>
          <w:noProof/>
          <w:color w:val="000000"/>
          <w:lang w:val="en-US"/>
        </w:rPr>
        <w:drawing>
          <wp:inline distT="0" distB="0" distL="0" distR="0" wp14:anchorId="5171EEA6" wp14:editId="7CC5EAE5">
            <wp:extent cx="5731510" cy="1699895"/>
            <wp:effectExtent l="0" t="0" r="2540" b="0"/>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699895"/>
                    </a:xfrm>
                    <a:prstGeom prst="rect">
                      <a:avLst/>
                    </a:prstGeom>
                    <a:noFill/>
                    <a:ln>
                      <a:noFill/>
                    </a:ln>
                  </pic:spPr>
                </pic:pic>
              </a:graphicData>
            </a:graphic>
          </wp:inline>
        </w:drawing>
      </w:r>
      <w:r>
        <w:rPr>
          <w:rFonts w:ascii="Times New Roman" w:eastAsia="Times New Roman" w:hAnsi="Times New Roman" w:cs="Times New Roman"/>
          <w:i/>
          <w:iCs/>
          <w:lang w:val="en-US"/>
        </w:rPr>
        <w:t xml:space="preserve"> </w:t>
      </w:r>
    </w:p>
    <w:p w14:paraId="05FBE2D4" w14:textId="77777777" w:rsidR="00DE5A42" w:rsidRDefault="00DE5A42" w:rsidP="00DE5A42">
      <w:pPr>
        <w:jc w:val="both"/>
        <w:rPr>
          <w:rFonts w:ascii="Times New Roman" w:hAnsi="Times New Roman" w:cs="Times New Roman"/>
          <w:b/>
          <w:lang w:val="en-US"/>
        </w:rPr>
      </w:pPr>
    </w:p>
    <w:p w14:paraId="016405D3" w14:textId="77777777" w:rsidR="00B17C3D" w:rsidRDefault="00B17C3D"/>
    <w:sectPr w:rsidR="00B17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42"/>
    <w:rsid w:val="00224976"/>
    <w:rsid w:val="00274F55"/>
    <w:rsid w:val="002D56AF"/>
    <w:rsid w:val="0049533F"/>
    <w:rsid w:val="006D570D"/>
    <w:rsid w:val="008E628C"/>
    <w:rsid w:val="009776F8"/>
    <w:rsid w:val="00A83215"/>
    <w:rsid w:val="00B17C3D"/>
    <w:rsid w:val="00B5235C"/>
    <w:rsid w:val="00B81B7F"/>
    <w:rsid w:val="00CC2CBE"/>
    <w:rsid w:val="00D14030"/>
    <w:rsid w:val="00DE5A42"/>
    <w:rsid w:val="00E20F0C"/>
    <w:rsid w:val="00E75885"/>
    <w:rsid w:val="00FB1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9FF7"/>
  <w15:chartTrackingRefBased/>
  <w15:docId w15:val="{A947E167-A4A9-45D9-8C2D-360FDE70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A42"/>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A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B81B7F"/>
    <w:pPr>
      <w:spacing w:line="240" w:lineRule="auto"/>
    </w:pPr>
    <w:rPr>
      <w:sz w:val="20"/>
      <w:szCs w:val="20"/>
    </w:rPr>
  </w:style>
  <w:style w:type="character" w:customStyle="1" w:styleId="CommentTextChar">
    <w:name w:val="Comment Text Char"/>
    <w:basedOn w:val="DefaultParagraphFont"/>
    <w:link w:val="CommentText"/>
    <w:semiHidden/>
    <w:rsid w:val="00B81B7F"/>
    <w:rPr>
      <w:sz w:val="20"/>
      <w:szCs w:val="20"/>
    </w:rPr>
  </w:style>
  <w:style w:type="character" w:styleId="CommentReference">
    <w:name w:val="annotation reference"/>
    <w:basedOn w:val="DefaultParagraphFont"/>
    <w:uiPriority w:val="99"/>
    <w:semiHidden/>
    <w:unhideWhenUsed/>
    <w:rsid w:val="00274F55"/>
    <w:rPr>
      <w:sz w:val="16"/>
      <w:szCs w:val="16"/>
    </w:rPr>
  </w:style>
  <w:style w:type="paragraph" w:styleId="CommentSubject">
    <w:name w:val="annotation subject"/>
    <w:basedOn w:val="CommentText"/>
    <w:next w:val="CommentText"/>
    <w:link w:val="CommentSubjectChar"/>
    <w:uiPriority w:val="99"/>
    <w:semiHidden/>
    <w:unhideWhenUsed/>
    <w:rsid w:val="00274F55"/>
    <w:rPr>
      <w:b/>
      <w:bCs/>
    </w:rPr>
  </w:style>
  <w:style w:type="character" w:customStyle="1" w:styleId="CommentSubjectChar">
    <w:name w:val="Comment Subject Char"/>
    <w:basedOn w:val="CommentTextChar"/>
    <w:link w:val="CommentSubject"/>
    <w:uiPriority w:val="99"/>
    <w:semiHidden/>
    <w:rsid w:val="00274F55"/>
    <w:rPr>
      <w:b/>
      <w:bCs/>
      <w:sz w:val="20"/>
      <w:szCs w:val="20"/>
    </w:rPr>
  </w:style>
  <w:style w:type="paragraph" w:styleId="Revision">
    <w:name w:val="Revision"/>
    <w:hidden/>
    <w:uiPriority w:val="99"/>
    <w:semiHidden/>
    <w:rsid w:val="00FB15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166">
      <w:bodyDiv w:val="1"/>
      <w:marLeft w:val="0"/>
      <w:marRight w:val="0"/>
      <w:marTop w:val="0"/>
      <w:marBottom w:val="0"/>
      <w:divBdr>
        <w:top w:val="none" w:sz="0" w:space="0" w:color="auto"/>
        <w:left w:val="none" w:sz="0" w:space="0" w:color="auto"/>
        <w:bottom w:val="none" w:sz="0" w:space="0" w:color="auto"/>
        <w:right w:val="none" w:sz="0" w:space="0" w:color="auto"/>
      </w:divBdr>
    </w:div>
    <w:div w:id="1545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3724</Words>
  <Characters>21233</Characters>
  <Application>Microsoft Office Word</Application>
  <DocSecurity>0</DocSecurity>
  <Lines>176</Lines>
  <Paragraphs>49</Paragraphs>
  <ScaleCrop>false</ScaleCrop>
  <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K.</dc:creator>
  <cp:keywords/>
  <dc:description/>
  <cp:lastModifiedBy>Tinca Polderman</cp:lastModifiedBy>
  <cp:revision>3</cp:revision>
  <dcterms:created xsi:type="dcterms:W3CDTF">2021-09-10T14:03:00Z</dcterms:created>
  <dcterms:modified xsi:type="dcterms:W3CDTF">2021-09-10T14:27:00Z</dcterms:modified>
</cp:coreProperties>
</file>