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27" w:rsidRPr="001C2227" w:rsidRDefault="001C2227" w:rsidP="001C2227">
      <w:pPr>
        <w:spacing w:before="120" w:after="120" w:line="480" w:lineRule="auto"/>
        <w:outlineLvl w:val="0"/>
        <w:rPr>
          <w:rFonts w:ascii="Arial" w:eastAsia="Arial" w:hAnsi="Arial" w:cs="Arial"/>
          <w:b/>
          <w:sz w:val="28"/>
          <w:szCs w:val="19"/>
          <w:lang w:val="en-US" w:eastAsia="zh-CN"/>
        </w:rPr>
      </w:pPr>
      <w:r w:rsidRPr="001C2227">
        <w:rPr>
          <w:rFonts w:ascii="Arial" w:eastAsia="Arial" w:hAnsi="Arial" w:cs="Arial"/>
          <w:b/>
          <w:sz w:val="28"/>
          <w:szCs w:val="19"/>
          <w:lang w:val="en-US" w:eastAsia="zh-CN"/>
        </w:rPr>
        <w:t>Supplementary material</w:t>
      </w:r>
    </w:p>
    <w:p w:rsidR="001C2227" w:rsidRPr="001C2227" w:rsidRDefault="001C2227" w:rsidP="001C2227">
      <w:pPr>
        <w:spacing w:after="0" w:line="480" w:lineRule="auto"/>
        <w:rPr>
          <w:rFonts w:ascii="Arial" w:eastAsia="Arial" w:hAnsi="Arial" w:cs="Arial"/>
          <w:b/>
          <w:lang w:val="en-US" w:eastAsia="zh-CN"/>
        </w:rPr>
      </w:pPr>
      <w:r w:rsidRPr="001C2227">
        <w:rPr>
          <w:rFonts w:ascii="Arial" w:eastAsia="Arial" w:hAnsi="Arial" w:cs="Arial"/>
          <w:b/>
          <w:lang w:val="en-US" w:eastAsia="zh-CN"/>
        </w:rPr>
        <w:t xml:space="preserve">Supplementary Table 1. Geometric mean-fold rises over time with ACOV2S and ELISA methods. 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20"/>
        <w:gridCol w:w="1520"/>
        <w:gridCol w:w="1521"/>
        <w:gridCol w:w="1520"/>
        <w:gridCol w:w="1521"/>
      </w:tblGrid>
      <w:tr w:rsidR="001C2227" w:rsidRPr="001C2227" w:rsidTr="00476132">
        <w:trPr>
          <w:trHeight w:val="411"/>
        </w:trPr>
        <w:tc>
          <w:tcPr>
            <w:tcW w:w="198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Day 1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Day 15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Day 29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Day 43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Day 57</w:t>
            </w:r>
          </w:p>
        </w:tc>
      </w:tr>
      <w:tr w:rsidR="001C2227" w:rsidRPr="001C2227" w:rsidTr="00476132">
        <w:trPr>
          <w:trHeight w:val="411"/>
        </w:trPr>
        <w:tc>
          <w:tcPr>
            <w:tcW w:w="9582" w:type="dxa"/>
            <w:gridSpan w:val="6"/>
            <w:shd w:val="clear" w:color="auto" w:fill="D0CECE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 xml:space="preserve">25 </w:t>
            </w:r>
            <w:proofErr w:type="spellStart"/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μg</w:t>
            </w:r>
            <w:proofErr w:type="spellEnd"/>
          </w:p>
        </w:tc>
      </w:tr>
      <w:tr w:rsidR="001C2227" w:rsidRPr="001C2227" w:rsidTr="00476132">
        <w:trPr>
          <w:trHeight w:val="411"/>
        </w:trPr>
        <w:tc>
          <w:tcPr>
            <w:tcW w:w="198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RBD ELISA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N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 xml:space="preserve">GMFR 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(95% CI)</w:t>
            </w:r>
          </w:p>
        </w:tc>
        <w:tc>
          <w:tcPr>
            <w:tcW w:w="1520" w:type="dxa"/>
            <w:tcMar>
              <w:left w:w="57" w:type="dxa"/>
              <w:right w:w="57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CH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1.00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(1.00–1.00)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 xml:space="preserve">118 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(60.9–230)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327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(195–549)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13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4133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(2715–6291)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13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3254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(1990–5231)</w:t>
            </w:r>
          </w:p>
        </w:tc>
      </w:tr>
      <w:tr w:rsidR="001C2227" w:rsidRPr="001C2227" w:rsidTr="00476132">
        <w:trPr>
          <w:trHeight w:val="411"/>
        </w:trPr>
        <w:tc>
          <w:tcPr>
            <w:tcW w:w="198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S-2P ELISA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N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 xml:space="preserve">GMFR 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(95% CI)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CH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1.00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(1.00–1.00)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279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(121–644)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348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171–708)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13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2855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(1490–5588)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13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2278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(1062–4885)</w:t>
            </w:r>
          </w:p>
        </w:tc>
      </w:tr>
      <w:tr w:rsidR="001C2227" w:rsidRPr="001C2227" w:rsidTr="00476132">
        <w:trPr>
          <w:trHeight w:val="944"/>
        </w:trPr>
        <w:tc>
          <w:tcPr>
            <w:tcW w:w="1980" w:type="dxa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ACOV2S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N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 xml:space="preserve">GMFR 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(95% CI)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1.00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(1.00–1.00)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11.1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(6.88–42.7)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138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(75.4–251)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5307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(2151–13093)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4273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(1863–9800)</w:t>
            </w:r>
          </w:p>
        </w:tc>
      </w:tr>
      <w:tr w:rsidR="001C2227" w:rsidRPr="001C2227" w:rsidTr="00476132">
        <w:trPr>
          <w:trHeight w:val="411"/>
        </w:trPr>
        <w:tc>
          <w:tcPr>
            <w:tcW w:w="9582" w:type="dxa"/>
            <w:gridSpan w:val="6"/>
            <w:shd w:val="clear" w:color="auto" w:fill="D0CECE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 xml:space="preserve">100 </w:t>
            </w:r>
            <w:proofErr w:type="spellStart"/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μg</w:t>
            </w:r>
            <w:proofErr w:type="spellEnd"/>
          </w:p>
        </w:tc>
      </w:tr>
      <w:tr w:rsidR="001C2227" w:rsidRPr="001C2227" w:rsidTr="00476132">
        <w:trPr>
          <w:trHeight w:val="411"/>
        </w:trPr>
        <w:tc>
          <w:tcPr>
            <w:tcW w:w="198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RBD ELISA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N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 xml:space="preserve">GMFR 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(95% CI)</w:t>
            </w:r>
          </w:p>
        </w:tc>
        <w:tc>
          <w:tcPr>
            <w:tcW w:w="1520" w:type="dxa"/>
            <w:tcMar>
              <w:left w:w="57" w:type="dxa"/>
              <w:right w:w="57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CH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1.00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(1.00–1.00)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 xml:space="preserve">15 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205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(106–398)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561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(265–1190)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14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3528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(1638–7598)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14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2343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(964–5697)</w:t>
            </w:r>
          </w:p>
        </w:tc>
      </w:tr>
      <w:tr w:rsidR="001C2227" w:rsidRPr="001C2227" w:rsidTr="00476132">
        <w:trPr>
          <w:trHeight w:val="411"/>
        </w:trPr>
        <w:tc>
          <w:tcPr>
            <w:tcW w:w="198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S-2P ELISA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N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 xml:space="preserve">GMFR 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fr-CH" w:eastAsia="zh-CN"/>
              </w:rPr>
              <w:t>(95% CI)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fr-CH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1.00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(1.00–1.00)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657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(327–1318)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831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(379–1820)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14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6381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(2846–14310)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14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6158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(3200–11850)</w:t>
            </w:r>
          </w:p>
        </w:tc>
      </w:tr>
      <w:tr w:rsidR="001C2227" w:rsidRPr="001C2227" w:rsidTr="00476132">
        <w:trPr>
          <w:trHeight w:val="411"/>
        </w:trPr>
        <w:tc>
          <w:tcPr>
            <w:tcW w:w="198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ACOV2S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N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 xml:space="preserve">GMFR </w:t>
            </w:r>
          </w:p>
          <w:p w:rsidR="001C2227" w:rsidRPr="001C2227" w:rsidRDefault="001C2227" w:rsidP="001C2227">
            <w:pPr>
              <w:spacing w:after="0" w:line="276" w:lineRule="auto"/>
              <w:ind w:left="164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(95% CI)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1.00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(1.00–1.00)</w:t>
            </w:r>
          </w:p>
        </w:tc>
        <w:tc>
          <w:tcPr>
            <w:tcW w:w="1520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128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(57.8–284)</w:t>
            </w:r>
          </w:p>
        </w:tc>
        <w:tc>
          <w:tcPr>
            <w:tcW w:w="1521" w:type="dxa"/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15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454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(312–660)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14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19507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(15649–24317)</w:t>
            </w:r>
          </w:p>
        </w:tc>
        <w:tc>
          <w:tcPr>
            <w:tcW w:w="1521" w:type="dxa"/>
            <w:tcMar>
              <w:left w:w="0" w:type="dxa"/>
              <w:right w:w="0" w:type="dxa"/>
            </w:tcMar>
            <w:vAlign w:val="center"/>
          </w:tcPr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 xml:space="preserve">14 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13990</w:t>
            </w:r>
          </w:p>
          <w:p w:rsidR="001C2227" w:rsidRPr="001C2227" w:rsidRDefault="001C2227" w:rsidP="001C2227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(11345–17252)</w:t>
            </w:r>
          </w:p>
        </w:tc>
      </w:tr>
    </w:tbl>
    <w:p w:rsidR="001C2227" w:rsidRPr="001C2227" w:rsidRDefault="001C2227" w:rsidP="001C2227">
      <w:pPr>
        <w:tabs>
          <w:tab w:val="left" w:pos="3261"/>
        </w:tabs>
        <w:spacing w:after="0" w:line="480" w:lineRule="auto"/>
        <w:rPr>
          <w:rFonts w:ascii="Arial" w:eastAsia="Arial" w:hAnsi="Arial" w:cs="Arial"/>
          <w:sz w:val="20"/>
          <w:szCs w:val="20"/>
          <w:lang w:val="en-US" w:eastAsia="zh-CN"/>
        </w:rPr>
      </w:pPr>
      <w:r w:rsidRPr="001C2227">
        <w:rPr>
          <w:rFonts w:ascii="Arial" w:eastAsia="Arial" w:hAnsi="Arial" w:cs="Arial"/>
          <w:sz w:val="20"/>
          <w:szCs w:val="20"/>
          <w:lang w:val="en-US" w:eastAsia="zh-CN"/>
        </w:rPr>
        <w:t xml:space="preserve">N is the number of samples available for analysis. </w:t>
      </w:r>
    </w:p>
    <w:p w:rsidR="001C2227" w:rsidRPr="001C2227" w:rsidRDefault="001C2227" w:rsidP="001C2227">
      <w:pPr>
        <w:tabs>
          <w:tab w:val="left" w:pos="3261"/>
        </w:tabs>
        <w:spacing w:after="0" w:line="480" w:lineRule="auto"/>
        <w:rPr>
          <w:rFonts w:ascii="Arial" w:eastAsia="Arial" w:hAnsi="Arial" w:cs="Arial"/>
          <w:sz w:val="20"/>
          <w:szCs w:val="20"/>
          <w:lang w:val="en-US" w:eastAsia="zh-CN"/>
        </w:rPr>
      </w:pPr>
      <w:r w:rsidRPr="001C2227">
        <w:rPr>
          <w:rFonts w:ascii="Arial" w:eastAsia="Arial" w:hAnsi="Arial" w:cs="Arial"/>
          <w:sz w:val="20"/>
          <w:szCs w:val="20"/>
          <w:lang w:val="en-US" w:eastAsia="zh-CN"/>
        </w:rPr>
        <w:t>GMFR, geometric mean fold rises.</w:t>
      </w:r>
    </w:p>
    <w:p w:rsidR="001C2227" w:rsidRPr="001C2227" w:rsidRDefault="001C2227" w:rsidP="001C2227">
      <w:pPr>
        <w:spacing w:after="0" w:line="360" w:lineRule="auto"/>
        <w:rPr>
          <w:rFonts w:ascii="Arial" w:eastAsia="Arial" w:hAnsi="Arial" w:cs="Arial"/>
          <w:b/>
          <w:lang w:val="en-US" w:eastAsia="zh-CN"/>
        </w:rPr>
      </w:pPr>
      <w:r w:rsidRPr="001C2227">
        <w:rPr>
          <w:rFonts w:ascii="Arial" w:eastAsia="Arial" w:hAnsi="Arial" w:cs="Arial"/>
          <w:lang w:val="en-US" w:eastAsia="zh-CN"/>
        </w:rPr>
        <w:br w:type="page"/>
      </w:r>
    </w:p>
    <w:p w:rsidR="001C2227" w:rsidRPr="001C2227" w:rsidRDefault="001C2227" w:rsidP="001C2227">
      <w:pPr>
        <w:spacing w:after="0" w:line="480" w:lineRule="auto"/>
        <w:rPr>
          <w:rFonts w:ascii="Arial" w:eastAsia="Arial" w:hAnsi="Arial" w:cs="Arial"/>
          <w:b/>
          <w:lang w:val="en-US" w:eastAsia="zh-CN"/>
        </w:rPr>
      </w:pPr>
      <w:r w:rsidRPr="001C2227">
        <w:rPr>
          <w:rFonts w:ascii="Arial" w:eastAsia="Arial" w:hAnsi="Arial" w:cs="Arial"/>
          <w:b/>
          <w:lang w:val="en-US" w:eastAsia="zh-CN"/>
        </w:rPr>
        <w:lastRenderedPageBreak/>
        <w:t>Supplementary Table 2. Summary of qualitative agreement measures between ACOV2S and neutralization assays (reference).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8"/>
        <w:gridCol w:w="2729"/>
        <w:gridCol w:w="2019"/>
        <w:gridCol w:w="2356"/>
      </w:tblGrid>
      <w:tr w:rsidR="001C2227" w:rsidRPr="001C2227" w:rsidTr="00476132">
        <w:trPr>
          <w:trHeight w:val="411"/>
        </w:trPr>
        <w:tc>
          <w:tcPr>
            <w:tcW w:w="2478" w:type="dxa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nLUC</w:t>
            </w:r>
            <w:r w:rsidRPr="001C2227"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  <w:lang w:val="en-US" w:eastAsia="zh-CN"/>
              </w:rPr>
              <w:t>80</w:t>
            </w:r>
          </w:p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(n=85)</w:t>
            </w:r>
          </w:p>
        </w:tc>
        <w:tc>
          <w:tcPr>
            <w:tcW w:w="2019" w:type="dxa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PsVNA</w:t>
            </w:r>
            <w:r w:rsidRPr="001C2227"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  <w:lang w:val="en-US" w:eastAsia="zh-CN"/>
              </w:rPr>
              <w:t>50</w:t>
            </w:r>
          </w:p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(n=144)</w:t>
            </w:r>
          </w:p>
        </w:tc>
        <w:tc>
          <w:tcPr>
            <w:tcW w:w="2356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PRNT</w:t>
            </w:r>
            <w:r w:rsidRPr="001C2227">
              <w:rPr>
                <w:rFonts w:ascii="Calibri" w:eastAsia="Calibri" w:hAnsi="Calibri" w:cs="Calibri"/>
                <w:b/>
                <w:sz w:val="20"/>
                <w:szCs w:val="20"/>
                <w:vertAlign w:val="subscript"/>
                <w:lang w:val="en-US" w:eastAsia="zh-CN"/>
              </w:rPr>
              <w:t>80</w:t>
            </w: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*</w:t>
            </w:r>
          </w:p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(n=57)</w:t>
            </w:r>
          </w:p>
        </w:tc>
      </w:tr>
      <w:tr w:rsidR="001C2227" w:rsidRPr="001C2227" w:rsidTr="00476132">
        <w:trPr>
          <w:trHeight w:val="399"/>
        </w:trPr>
        <w:tc>
          <w:tcPr>
            <w:tcW w:w="2478" w:type="dxa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PPA</w:t>
            </w: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(92.5–100)</w:t>
            </w:r>
          </w:p>
        </w:tc>
        <w:tc>
          <w:tcPr>
            <w:tcW w:w="2019" w:type="dxa"/>
          </w:tcPr>
          <w:p w:rsidR="001C2227" w:rsidRPr="001C2227" w:rsidRDefault="001C2227" w:rsidP="001C22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(95.4–100)</w:t>
            </w:r>
          </w:p>
        </w:tc>
        <w:tc>
          <w:tcPr>
            <w:tcW w:w="2356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(ؘ87.2–100)</w:t>
            </w:r>
          </w:p>
        </w:tc>
      </w:tr>
      <w:tr w:rsidR="001C2227" w:rsidRPr="001C2227" w:rsidTr="00476132">
        <w:trPr>
          <w:trHeight w:val="411"/>
        </w:trPr>
        <w:tc>
          <w:tcPr>
            <w:tcW w:w="2478" w:type="dxa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NPA</w:t>
            </w: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78.9 (62.7–90.4)</w:t>
            </w:r>
          </w:p>
        </w:tc>
        <w:tc>
          <w:tcPr>
            <w:tcW w:w="2019" w:type="dxa"/>
          </w:tcPr>
          <w:p w:rsidR="001C2227" w:rsidRPr="001C2227" w:rsidRDefault="001C2227" w:rsidP="001C22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49.2 (36.6–61.9)</w:t>
            </w:r>
          </w:p>
        </w:tc>
        <w:tc>
          <w:tcPr>
            <w:tcW w:w="2356" w:type="dxa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(ؘ88.4–100)</w:t>
            </w:r>
          </w:p>
        </w:tc>
      </w:tr>
      <w:tr w:rsidR="001C2227" w:rsidRPr="001C2227" w:rsidTr="00476132">
        <w:trPr>
          <w:trHeight w:val="399"/>
        </w:trPr>
        <w:tc>
          <w:tcPr>
            <w:tcW w:w="2478" w:type="dxa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OPA</w:t>
            </w: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90.6 (82.3–95.8)</w:t>
            </w:r>
          </w:p>
        </w:tc>
        <w:tc>
          <w:tcPr>
            <w:tcW w:w="2019" w:type="dxa"/>
          </w:tcPr>
          <w:p w:rsidR="001C2227" w:rsidRPr="001C2227" w:rsidRDefault="001C2227" w:rsidP="001C22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77.1 (69.3–83.7)</w:t>
            </w:r>
          </w:p>
        </w:tc>
        <w:tc>
          <w:tcPr>
            <w:tcW w:w="2356" w:type="dxa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(ؘ93.7–100)</w:t>
            </w:r>
          </w:p>
        </w:tc>
      </w:tr>
      <w:tr w:rsidR="001C2227" w:rsidRPr="001C2227" w:rsidTr="00476132">
        <w:trPr>
          <w:trHeight w:val="411"/>
        </w:trPr>
        <w:tc>
          <w:tcPr>
            <w:tcW w:w="2478" w:type="dxa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PPV</w:t>
            </w: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85.5 (73.3–93.5)</w:t>
            </w:r>
          </w:p>
        </w:tc>
        <w:tc>
          <w:tcPr>
            <w:tcW w:w="2019" w:type="dxa"/>
          </w:tcPr>
          <w:p w:rsidR="001C2227" w:rsidRPr="001C2227" w:rsidRDefault="001C2227" w:rsidP="001C22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70.5 (61.2–78.8)</w:t>
            </w:r>
          </w:p>
        </w:tc>
        <w:tc>
          <w:tcPr>
            <w:tcW w:w="2356" w:type="dxa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(ؘ87.2–100)</w:t>
            </w:r>
          </w:p>
        </w:tc>
      </w:tr>
      <w:tr w:rsidR="001C2227" w:rsidRPr="001C2227" w:rsidTr="00476132">
        <w:trPr>
          <w:trHeight w:val="411"/>
        </w:trPr>
        <w:tc>
          <w:tcPr>
            <w:tcW w:w="2478" w:type="dxa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NPV</w:t>
            </w: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(88.4–100)</w:t>
            </w:r>
          </w:p>
        </w:tc>
        <w:tc>
          <w:tcPr>
            <w:tcW w:w="2019" w:type="dxa"/>
          </w:tcPr>
          <w:p w:rsidR="001C2227" w:rsidRPr="001C2227" w:rsidRDefault="001C2227" w:rsidP="001C22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(89.1–100)</w:t>
            </w:r>
          </w:p>
        </w:tc>
        <w:tc>
          <w:tcPr>
            <w:tcW w:w="2356" w:type="dxa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100 (ؘ88.4–100)</w:t>
            </w:r>
          </w:p>
        </w:tc>
      </w:tr>
      <w:tr w:rsidR="001C2227" w:rsidRPr="001C2227" w:rsidTr="00476132">
        <w:trPr>
          <w:trHeight w:val="812"/>
        </w:trPr>
        <w:tc>
          <w:tcPr>
            <w:tcW w:w="2478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Positive likelihood ratio (95% CI)</w:t>
            </w: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4.75 (2.57–8.79)</w:t>
            </w:r>
          </w:p>
        </w:tc>
        <w:tc>
          <w:tcPr>
            <w:tcW w:w="2019" w:type="dxa"/>
            <w:vAlign w:val="center"/>
          </w:tcPr>
          <w:p w:rsidR="001C2227" w:rsidRPr="001C2227" w:rsidRDefault="001C2227" w:rsidP="001C22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1.97 (1.55–2.50)</w:t>
            </w:r>
          </w:p>
        </w:tc>
        <w:tc>
          <w:tcPr>
            <w:tcW w:w="2356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proofErr w:type="spellStart"/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Inf</w:t>
            </w:r>
            <w:proofErr w:type="spellEnd"/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 xml:space="preserve"> (–)</w:t>
            </w:r>
          </w:p>
        </w:tc>
      </w:tr>
      <w:tr w:rsidR="001C2227" w:rsidRPr="001C2227" w:rsidTr="00476132">
        <w:trPr>
          <w:trHeight w:val="812"/>
        </w:trPr>
        <w:tc>
          <w:tcPr>
            <w:tcW w:w="2478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b/>
                <w:sz w:val="20"/>
                <w:szCs w:val="20"/>
                <w:lang w:val="en-US" w:eastAsia="zh-CN"/>
              </w:rPr>
              <w:t>Negative likelihood ratio (95% CI)</w:t>
            </w:r>
          </w:p>
        </w:tc>
        <w:tc>
          <w:tcPr>
            <w:tcW w:w="2729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0 (–)</w:t>
            </w:r>
          </w:p>
        </w:tc>
        <w:tc>
          <w:tcPr>
            <w:tcW w:w="2019" w:type="dxa"/>
            <w:vAlign w:val="center"/>
          </w:tcPr>
          <w:p w:rsidR="001C2227" w:rsidRPr="001C2227" w:rsidRDefault="001C2227" w:rsidP="001C222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0 (–)</w:t>
            </w:r>
          </w:p>
        </w:tc>
        <w:tc>
          <w:tcPr>
            <w:tcW w:w="2356" w:type="dxa"/>
            <w:vAlign w:val="center"/>
          </w:tcPr>
          <w:p w:rsidR="001C2227" w:rsidRPr="001C2227" w:rsidRDefault="001C2227" w:rsidP="001C2227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  <w:r w:rsidRPr="001C2227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0 (–)</w:t>
            </w:r>
          </w:p>
        </w:tc>
      </w:tr>
    </w:tbl>
    <w:p w:rsidR="001C2227" w:rsidRPr="001C2227" w:rsidRDefault="001C2227" w:rsidP="001C2227">
      <w:pPr>
        <w:spacing w:after="0" w:line="480" w:lineRule="auto"/>
        <w:rPr>
          <w:rFonts w:ascii="Arial" w:eastAsia="Arial" w:hAnsi="Arial" w:cs="Arial"/>
          <w:sz w:val="20"/>
          <w:lang w:val="en-US" w:eastAsia="zh-CN"/>
        </w:rPr>
      </w:pPr>
      <w:r w:rsidRPr="001C2227">
        <w:rPr>
          <w:rFonts w:ascii="Arial" w:eastAsia="Arial" w:hAnsi="Arial" w:cs="Arial"/>
          <w:sz w:val="20"/>
          <w:lang w:val="en-US" w:eastAsia="zh-CN"/>
        </w:rPr>
        <w:t>Data shown as % (95% CI) unless otherwise stated.</w:t>
      </w:r>
    </w:p>
    <w:p w:rsidR="001C2227" w:rsidRPr="001C2227" w:rsidRDefault="001C2227" w:rsidP="001C2227">
      <w:pPr>
        <w:spacing w:after="0" w:line="480" w:lineRule="auto"/>
        <w:rPr>
          <w:rFonts w:ascii="Arial" w:eastAsia="Arial" w:hAnsi="Arial" w:cs="Arial"/>
          <w:sz w:val="20"/>
          <w:lang w:val="en-US" w:eastAsia="zh-CN"/>
        </w:rPr>
      </w:pPr>
      <w:r w:rsidRPr="001C2227">
        <w:rPr>
          <w:rFonts w:ascii="Arial" w:eastAsia="Arial" w:hAnsi="Arial" w:cs="Arial"/>
          <w:sz w:val="20"/>
          <w:lang w:val="en-US" w:eastAsia="zh-CN"/>
        </w:rPr>
        <w:t>* Only samples from Days 1 and 43 were available for comparison</w:t>
      </w:r>
    </w:p>
    <w:p w:rsidR="001C2227" w:rsidRPr="001C2227" w:rsidRDefault="001C2227" w:rsidP="001C2227">
      <w:pPr>
        <w:spacing w:after="0" w:line="480" w:lineRule="auto"/>
        <w:rPr>
          <w:rFonts w:ascii="Arial" w:eastAsia="Arial" w:hAnsi="Arial" w:cs="Arial"/>
          <w:color w:val="000000"/>
          <w:lang w:val="en-US" w:eastAsia="zh-CN"/>
        </w:rPr>
      </w:pPr>
      <w:bookmarkStart w:id="0" w:name="_heading=h.30j0zll" w:colFirst="0" w:colLast="0"/>
      <w:bookmarkEnd w:id="0"/>
    </w:p>
    <w:p w:rsidR="001C2227" w:rsidRPr="001C2227" w:rsidRDefault="001C2227" w:rsidP="001C2227">
      <w:pPr>
        <w:tabs>
          <w:tab w:val="left" w:pos="7987"/>
        </w:tabs>
        <w:spacing w:after="0" w:line="360" w:lineRule="auto"/>
        <w:rPr>
          <w:rFonts w:ascii="Arial" w:eastAsia="Arial" w:hAnsi="Arial" w:cs="Arial"/>
          <w:lang w:val="en-US" w:eastAsia="zh-CN"/>
        </w:rPr>
      </w:pPr>
      <w:r w:rsidRPr="001C2227">
        <w:rPr>
          <w:rFonts w:ascii="Arial" w:eastAsia="Arial" w:hAnsi="Arial" w:cs="Arial"/>
          <w:lang w:val="en-US" w:eastAsia="zh-CN"/>
        </w:rPr>
        <w:tab/>
      </w:r>
    </w:p>
    <w:p w:rsidR="001C2227" w:rsidRPr="001C2227" w:rsidRDefault="001C2227" w:rsidP="001C2227">
      <w:pPr>
        <w:tabs>
          <w:tab w:val="left" w:pos="7987"/>
        </w:tabs>
        <w:spacing w:after="0" w:line="360" w:lineRule="auto"/>
        <w:rPr>
          <w:rFonts w:ascii="Arial" w:eastAsia="Arial" w:hAnsi="Arial" w:cs="Arial"/>
          <w:lang w:val="en-US" w:eastAsia="zh-CN"/>
        </w:rPr>
      </w:pPr>
      <w:r w:rsidRPr="001C2227">
        <w:rPr>
          <w:rFonts w:ascii="Arial" w:eastAsia="Arial" w:hAnsi="Arial" w:cs="Arial"/>
          <w:lang w:val="en-US" w:eastAsia="zh-CN"/>
        </w:rPr>
        <w:br w:type="page"/>
      </w:r>
      <w:r w:rsidRPr="001C2227">
        <w:rPr>
          <w:rFonts w:ascii="Arial" w:eastAsia="Arial" w:hAnsi="Arial" w:cs="Arial"/>
          <w:lang w:val="en-US" w:eastAsia="zh-CN"/>
        </w:rPr>
        <w:lastRenderedPageBreak/>
        <w:tab/>
      </w:r>
    </w:p>
    <w:p w:rsidR="001C2227" w:rsidRPr="001C2227" w:rsidRDefault="001C2227" w:rsidP="001C2227">
      <w:pPr>
        <w:spacing w:after="0" w:line="480" w:lineRule="auto"/>
        <w:rPr>
          <w:rFonts w:ascii="Arial" w:eastAsia="Arial" w:hAnsi="Arial" w:cs="Arial"/>
          <w:lang w:val="en-US" w:eastAsia="zh-CN"/>
        </w:rPr>
      </w:pPr>
      <w:r w:rsidRPr="001C2227">
        <w:rPr>
          <w:rFonts w:ascii="Arial" w:eastAsia="Arial" w:hAnsi="Arial" w:cs="Arial"/>
          <w:b/>
          <w:lang w:val="en-US" w:eastAsia="zh-CN"/>
        </w:rPr>
        <w:t xml:space="preserve">Supplementary Figure 1. Anti-SARS-CoV-2 (anti-N) assay-measured antibody levels following mRNA-1273 vaccination over time. </w:t>
      </w:r>
      <w:r w:rsidRPr="001C2227">
        <w:rPr>
          <w:rFonts w:ascii="Arial" w:eastAsia="Arial" w:hAnsi="Arial" w:cs="Arial"/>
          <w:lang w:val="en-US" w:eastAsia="zh-CN"/>
        </w:rPr>
        <w:t xml:space="preserve">Line plots of the </w:t>
      </w:r>
      <w:proofErr w:type="spellStart"/>
      <w:r w:rsidRPr="001C2227">
        <w:rPr>
          <w:rFonts w:ascii="Arial" w:eastAsia="Arial" w:hAnsi="Arial" w:cs="Arial"/>
          <w:lang w:val="en-US" w:eastAsia="zh-CN"/>
        </w:rPr>
        <w:t>Elecsys</w:t>
      </w:r>
      <w:proofErr w:type="spellEnd"/>
      <w:r w:rsidRPr="001C2227">
        <w:rPr>
          <w:rFonts w:ascii="Arial" w:eastAsia="Arial" w:hAnsi="Arial" w:cs="Arial"/>
          <w:lang w:val="en-US" w:eastAsia="zh-CN"/>
        </w:rPr>
        <w:t xml:space="preserve"> Anti-SARS-CoV-2 assay cut-off indexes over time in samples of vaccinated trial participants, stratified by dose. Dotted grey vertical lines indicate time of vaccination, administered at Days 1 and 29. All results were below the reactivity cut-off (shown by red horizontal line).</w:t>
      </w:r>
    </w:p>
    <w:p w:rsidR="00A6633D" w:rsidRDefault="001C2227" w:rsidP="001C2227">
      <w:r w:rsidRPr="001C2227">
        <w:rPr>
          <w:rFonts w:ascii="Arial" w:eastAsia="Arial" w:hAnsi="Arial" w:cs="Arial"/>
          <w:b/>
          <w:noProof/>
          <w:lang w:eastAsia="en-GB"/>
        </w:rPr>
        <w:drawing>
          <wp:inline distT="0" distB="0" distL="0" distR="0" wp14:anchorId="320E22A0" wp14:editId="63531E9A">
            <wp:extent cx="4561367" cy="45366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8036" cy="454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6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27"/>
    <w:rsid w:val="001C2227"/>
    <w:rsid w:val="0074056E"/>
    <w:rsid w:val="00A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642E-1CAD-4478-8910-690178F0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inScience Communications2</dc:creator>
  <cp:keywords/>
  <dc:description/>
  <cp:lastModifiedBy>inScience Communications2</cp:lastModifiedBy>
  <cp:revision>1</cp:revision>
  <dcterms:created xsi:type="dcterms:W3CDTF">2021-10-04T16:29:00Z</dcterms:created>
  <dcterms:modified xsi:type="dcterms:W3CDTF">2021-10-04T16:30:00Z</dcterms:modified>
</cp:coreProperties>
</file>