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A0AA" w14:textId="77777777" w:rsidR="008C18B3" w:rsidRPr="00D50A87" w:rsidRDefault="008C18B3" w:rsidP="008C18B3">
      <w:pPr>
        <w:rPr>
          <w:rFonts w:ascii="Times New Roman" w:hAnsi="Times New Roman" w:cs="Times New Roman"/>
          <w:b/>
        </w:rPr>
      </w:pPr>
      <w:r w:rsidRPr="00D50A87">
        <w:rPr>
          <w:rFonts w:ascii="Times New Roman" w:hAnsi="Times New Roman" w:cs="Times New Roman"/>
          <w:b/>
        </w:rPr>
        <w:t xml:space="preserve">Supplementary File </w:t>
      </w:r>
    </w:p>
    <w:p w14:paraId="4E345939" w14:textId="77777777" w:rsidR="008C18B3" w:rsidRPr="00D50A87" w:rsidRDefault="008C18B3" w:rsidP="008C18B3">
      <w:pPr>
        <w:rPr>
          <w:rFonts w:ascii="Times New Roman" w:hAnsi="Times New Roman" w:cs="Times New Roman"/>
          <w:b/>
        </w:rPr>
      </w:pPr>
    </w:p>
    <w:p w14:paraId="494FB3C7" w14:textId="77777777" w:rsidR="008C18B3" w:rsidRPr="00D50A87" w:rsidRDefault="008C18B3" w:rsidP="008C18B3">
      <w:pPr>
        <w:rPr>
          <w:rFonts w:ascii="Times New Roman" w:hAnsi="Times New Roman" w:cs="Times New Roman"/>
          <w:b/>
          <w:sz w:val="20"/>
          <w:szCs w:val="20"/>
        </w:rPr>
      </w:pPr>
      <w:r w:rsidRPr="00D50A87">
        <w:rPr>
          <w:rFonts w:ascii="Times New Roman" w:hAnsi="Times New Roman" w:cs="Times New Roman"/>
          <w:b/>
          <w:sz w:val="20"/>
          <w:szCs w:val="20"/>
        </w:rPr>
        <w:t>Table 1 - Country groupings</w:t>
      </w:r>
    </w:p>
    <w:p w14:paraId="11B0AB7E" w14:textId="77777777" w:rsidR="008C18B3" w:rsidRPr="00D50A87" w:rsidRDefault="008C18B3" w:rsidP="008C18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ghtList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8C18B3" w:rsidRPr="00D50A87" w14:paraId="27315695" w14:textId="77777777" w:rsidTr="007E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41AFBE37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Control Group</w:t>
            </w:r>
          </w:p>
        </w:tc>
        <w:tc>
          <w:tcPr>
            <w:tcW w:w="4468" w:type="dxa"/>
          </w:tcPr>
          <w:p w14:paraId="0E211BBA" w14:textId="77777777" w:rsidR="008C18B3" w:rsidRPr="00D50A87" w:rsidRDefault="008C18B3" w:rsidP="007E3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Intervention Group</w:t>
            </w:r>
          </w:p>
        </w:tc>
      </w:tr>
      <w:tr w:rsidR="008C18B3" w:rsidRPr="00D50A87" w14:paraId="160596D0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AD36BD2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Belgium</w:t>
            </w:r>
          </w:p>
        </w:tc>
        <w:tc>
          <w:tcPr>
            <w:tcW w:w="4468" w:type="dxa"/>
          </w:tcPr>
          <w:p w14:paraId="0BDC1B07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</w:tr>
      <w:tr w:rsidR="008C18B3" w:rsidRPr="00D50A87" w14:paraId="102483DD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6F777709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Bulgaria</w:t>
            </w:r>
          </w:p>
        </w:tc>
        <w:tc>
          <w:tcPr>
            <w:tcW w:w="4468" w:type="dxa"/>
          </w:tcPr>
          <w:p w14:paraId="551E8D6D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</w:p>
        </w:tc>
      </w:tr>
      <w:tr w:rsidR="008C18B3" w:rsidRPr="00D50A87" w14:paraId="23E57001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63E37306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Croatia</w:t>
            </w:r>
          </w:p>
        </w:tc>
        <w:tc>
          <w:tcPr>
            <w:tcW w:w="4468" w:type="dxa"/>
          </w:tcPr>
          <w:p w14:paraId="27C0A0CC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</w:tr>
      <w:tr w:rsidR="008C18B3" w:rsidRPr="00D50A87" w14:paraId="4E16F3B7" w14:textId="77777777" w:rsidTr="007E39E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34068B30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Czech Republic</w:t>
            </w:r>
          </w:p>
        </w:tc>
        <w:tc>
          <w:tcPr>
            <w:tcW w:w="4468" w:type="dxa"/>
          </w:tcPr>
          <w:p w14:paraId="7A168C72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</w:tr>
      <w:tr w:rsidR="008C18B3" w:rsidRPr="00D50A87" w14:paraId="213C9342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61908886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Greece</w:t>
            </w:r>
          </w:p>
        </w:tc>
        <w:tc>
          <w:tcPr>
            <w:tcW w:w="4468" w:type="dxa"/>
          </w:tcPr>
          <w:p w14:paraId="00D25CBE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8C18B3" w:rsidRPr="00D50A87" w14:paraId="1FDB840F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BEA013A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Hungary</w:t>
            </w:r>
          </w:p>
        </w:tc>
        <w:tc>
          <w:tcPr>
            <w:tcW w:w="4468" w:type="dxa"/>
          </w:tcPr>
          <w:p w14:paraId="4B3DE087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</w:tr>
      <w:tr w:rsidR="008C18B3" w:rsidRPr="00D50A87" w14:paraId="7BC75020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4365E98C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Liechtenstein</w:t>
            </w:r>
          </w:p>
        </w:tc>
        <w:tc>
          <w:tcPr>
            <w:tcW w:w="4468" w:type="dxa"/>
          </w:tcPr>
          <w:p w14:paraId="37BD7F3E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Iceland</w:t>
            </w:r>
          </w:p>
        </w:tc>
      </w:tr>
      <w:tr w:rsidR="008C18B3" w:rsidRPr="00D50A87" w14:paraId="205CD003" w14:textId="77777777" w:rsidTr="007E39E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859DD54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Malta</w:t>
            </w:r>
          </w:p>
        </w:tc>
        <w:tc>
          <w:tcPr>
            <w:tcW w:w="4468" w:type="dxa"/>
          </w:tcPr>
          <w:p w14:paraId="1A8CA32E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</w:tr>
      <w:tr w:rsidR="008C18B3" w:rsidRPr="00D50A87" w14:paraId="22B239C5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3A4D4B0" w14:textId="77777777" w:rsidR="008C18B3" w:rsidRPr="00D50A87" w:rsidRDefault="008C18B3" w:rsidP="007E39E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b w:val="0"/>
                <w:sz w:val="20"/>
                <w:szCs w:val="20"/>
              </w:rPr>
              <w:t>Poland</w:t>
            </w:r>
          </w:p>
        </w:tc>
        <w:tc>
          <w:tcPr>
            <w:tcW w:w="4468" w:type="dxa"/>
          </w:tcPr>
          <w:p w14:paraId="0580365D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8C18B3" w:rsidRPr="00D50A87" w14:paraId="6B0E85A1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A5F05F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1A73E46A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</w:tc>
      </w:tr>
      <w:tr w:rsidR="008C18B3" w:rsidRPr="00D50A87" w14:paraId="1BF8A837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7296A8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7AE77176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</w:tr>
      <w:tr w:rsidR="008C18B3" w:rsidRPr="00D50A87" w14:paraId="025AC601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D5A12A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7389A3B8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Luxembourg</w:t>
            </w:r>
          </w:p>
        </w:tc>
      </w:tr>
      <w:tr w:rsidR="008C18B3" w:rsidRPr="00D50A87" w14:paraId="23DE23DB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6F6AC71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6E649612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</w:tr>
      <w:tr w:rsidR="008C18B3" w:rsidRPr="00D50A87" w14:paraId="6B332653" w14:textId="77777777" w:rsidTr="007E39E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1C125104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05BAD2BC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</w:tr>
      <w:tr w:rsidR="008C18B3" w:rsidRPr="00D50A87" w14:paraId="054B5325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452288D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7EEA805C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</w:tr>
      <w:tr w:rsidR="008C18B3" w:rsidRPr="00D50A87" w14:paraId="70734941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35C1608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56A0C35A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Slovakia</w:t>
            </w:r>
          </w:p>
        </w:tc>
      </w:tr>
      <w:tr w:rsidR="008C18B3" w:rsidRPr="00D50A87" w14:paraId="3C37124D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11CE4298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30DD7DFD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Slovenia</w:t>
            </w:r>
          </w:p>
        </w:tc>
      </w:tr>
      <w:tr w:rsidR="008C18B3" w:rsidRPr="00D50A87" w14:paraId="743C83C5" w14:textId="77777777" w:rsidTr="007E39E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27C5E113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6D586C38" w14:textId="77777777" w:rsidR="008C18B3" w:rsidRPr="00D50A87" w:rsidRDefault="008C18B3" w:rsidP="007E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8C18B3" w:rsidRPr="00D50A87" w14:paraId="57FEBA3C" w14:textId="77777777" w:rsidTr="007E3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50981E44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14:paraId="76CE00B9" w14:textId="77777777" w:rsidR="008C18B3" w:rsidRPr="00D50A87" w:rsidRDefault="008C18B3" w:rsidP="007E3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</w:tr>
    </w:tbl>
    <w:p w14:paraId="623B618B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B19F1DB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4D6028AA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7D04CDE2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3C5B45EC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4963B17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6265985A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6E929AF8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095019FA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6101454A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08CC0DF0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73F72CD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7823E84D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493DD44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079C46F5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15AE2E6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66BF4661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52FBD340" w14:textId="77777777" w:rsidR="008C18B3" w:rsidRDefault="008C18B3" w:rsidP="008C18B3">
      <w:pPr>
        <w:rPr>
          <w:rFonts w:ascii="Times New Roman" w:hAnsi="Times New Roman" w:cs="Times New Roman"/>
        </w:rPr>
      </w:pPr>
    </w:p>
    <w:p w14:paraId="0B080E6A" w14:textId="77777777" w:rsidR="00D50A87" w:rsidRPr="00D50A87" w:rsidRDefault="00D50A87" w:rsidP="008C18B3">
      <w:pPr>
        <w:rPr>
          <w:rFonts w:ascii="Times New Roman" w:hAnsi="Times New Roman" w:cs="Times New Roman"/>
        </w:rPr>
      </w:pPr>
    </w:p>
    <w:p w14:paraId="21E41A30" w14:textId="77777777" w:rsidR="008C18B3" w:rsidRPr="00D50A87" w:rsidRDefault="008C18B3" w:rsidP="008C18B3">
      <w:pPr>
        <w:rPr>
          <w:rFonts w:ascii="Times New Roman" w:hAnsi="Times New Roman" w:cs="Times New Roman"/>
          <w:b/>
          <w:sz w:val="20"/>
          <w:szCs w:val="20"/>
        </w:rPr>
      </w:pPr>
      <w:r w:rsidRPr="00D50A87">
        <w:rPr>
          <w:rFonts w:ascii="Times New Roman" w:hAnsi="Times New Roman" w:cs="Times New Roman"/>
          <w:b/>
          <w:sz w:val="20"/>
          <w:szCs w:val="20"/>
        </w:rPr>
        <w:lastRenderedPageBreak/>
        <w:t>Regression models and sensitivity an</w:t>
      </w:r>
      <w:bookmarkStart w:id="0" w:name="_GoBack"/>
      <w:bookmarkEnd w:id="0"/>
      <w:r w:rsidRPr="00D50A87">
        <w:rPr>
          <w:rFonts w:ascii="Times New Roman" w:hAnsi="Times New Roman" w:cs="Times New Roman"/>
          <w:b/>
          <w:sz w:val="20"/>
          <w:szCs w:val="20"/>
        </w:rPr>
        <w:t>alyses</w:t>
      </w:r>
    </w:p>
    <w:p w14:paraId="46CD7868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539106DF" w14:textId="77777777" w:rsidR="008C18B3" w:rsidRPr="00D50A87" w:rsidRDefault="008C18B3" w:rsidP="008C18B3">
      <w:pPr>
        <w:rPr>
          <w:rFonts w:ascii="Times New Roman" w:hAnsi="Times New Roman" w:cs="Times New Roman"/>
          <w:b/>
          <w:sz w:val="20"/>
          <w:szCs w:val="20"/>
        </w:rPr>
      </w:pPr>
      <w:r w:rsidRPr="00D50A87">
        <w:rPr>
          <w:rFonts w:ascii="Times New Roman" w:hAnsi="Times New Roman" w:cs="Times New Roman"/>
          <w:b/>
          <w:sz w:val="20"/>
          <w:szCs w:val="20"/>
        </w:rPr>
        <w:t>Table 2 – Overall COVID-19 vaccine uptake</w:t>
      </w:r>
    </w:p>
    <w:p w14:paraId="7DC171B9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4"/>
        <w:gridCol w:w="1392"/>
        <w:gridCol w:w="1055"/>
        <w:gridCol w:w="1382"/>
        <w:gridCol w:w="813"/>
        <w:gridCol w:w="813"/>
        <w:gridCol w:w="1162"/>
        <w:gridCol w:w="813"/>
        <w:gridCol w:w="813"/>
        <w:gridCol w:w="866"/>
      </w:tblGrid>
      <w:tr w:rsidR="008C18B3" w:rsidRPr="00D50A87" w14:paraId="379B9CCF" w14:textId="77777777" w:rsidTr="007E39E6">
        <w:trPr>
          <w:trHeight w:val="1106"/>
        </w:trPr>
        <w:tc>
          <w:tcPr>
            <w:tcW w:w="814" w:type="dxa"/>
          </w:tcPr>
          <w:p w14:paraId="0134C8D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392" w:type="dxa"/>
          </w:tcPr>
          <w:p w14:paraId="610877C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 xml:space="preserve">Country-level covariates </w:t>
            </w:r>
          </w:p>
        </w:tc>
        <w:tc>
          <w:tcPr>
            <w:tcW w:w="1055" w:type="dxa"/>
          </w:tcPr>
          <w:p w14:paraId="1CE6F6B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Fixed/random effects</w:t>
            </w:r>
          </w:p>
        </w:tc>
        <w:tc>
          <w:tcPr>
            <w:tcW w:w="1382" w:type="dxa"/>
          </w:tcPr>
          <w:p w14:paraId="63929F7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Change in overall COVID-19 vaccine uptake for first dose (%)</w:t>
            </w:r>
          </w:p>
        </w:tc>
        <w:tc>
          <w:tcPr>
            <w:tcW w:w="813" w:type="dxa"/>
          </w:tcPr>
          <w:p w14:paraId="0AFD91A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Robust Standard Error</w:t>
            </w:r>
          </w:p>
        </w:tc>
        <w:tc>
          <w:tcPr>
            <w:tcW w:w="813" w:type="dxa"/>
          </w:tcPr>
          <w:p w14:paraId="3CC93DD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62" w:type="dxa"/>
          </w:tcPr>
          <w:p w14:paraId="0F56EF6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Change in overall COVID-19 vaccine uptake for both doses (%)</w:t>
            </w:r>
          </w:p>
        </w:tc>
        <w:tc>
          <w:tcPr>
            <w:tcW w:w="813" w:type="dxa"/>
          </w:tcPr>
          <w:p w14:paraId="1529F02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Robust Standard Error</w:t>
            </w:r>
          </w:p>
        </w:tc>
        <w:tc>
          <w:tcPr>
            <w:tcW w:w="813" w:type="dxa"/>
          </w:tcPr>
          <w:p w14:paraId="04EF879A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866" w:type="dxa"/>
          </w:tcPr>
          <w:p w14:paraId="7431DA9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Number of observations</w:t>
            </w:r>
          </w:p>
        </w:tc>
      </w:tr>
      <w:tr w:rsidR="008C18B3" w:rsidRPr="00D50A87" w14:paraId="64ECA99A" w14:textId="77777777" w:rsidTr="007E39E6">
        <w:trPr>
          <w:trHeight w:val="513"/>
        </w:trPr>
        <w:tc>
          <w:tcPr>
            <w:tcW w:w="814" w:type="dxa"/>
          </w:tcPr>
          <w:p w14:paraId="67DB95D3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 (Main)</w:t>
            </w:r>
          </w:p>
        </w:tc>
        <w:tc>
          <w:tcPr>
            <w:tcW w:w="1392" w:type="dxa"/>
          </w:tcPr>
          <w:p w14:paraId="6E0FBDA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</w:t>
            </w:r>
          </w:p>
        </w:tc>
        <w:tc>
          <w:tcPr>
            <w:tcW w:w="1055" w:type="dxa"/>
          </w:tcPr>
          <w:p w14:paraId="6CECA9FA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Country and week fixed-effects</w:t>
            </w:r>
          </w:p>
        </w:tc>
        <w:tc>
          <w:tcPr>
            <w:tcW w:w="1382" w:type="dxa"/>
          </w:tcPr>
          <w:p w14:paraId="4E41E01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813" w:type="dxa"/>
          </w:tcPr>
          <w:p w14:paraId="503DDCF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813" w:type="dxa"/>
          </w:tcPr>
          <w:p w14:paraId="7051F18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62" w:type="dxa"/>
          </w:tcPr>
          <w:p w14:paraId="12AC8C8F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813" w:type="dxa"/>
          </w:tcPr>
          <w:p w14:paraId="009917C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813" w:type="dxa"/>
          </w:tcPr>
          <w:p w14:paraId="0C32E2C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6" w:type="dxa"/>
          </w:tcPr>
          <w:p w14:paraId="173199F9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8C18B3" w:rsidRPr="00D50A87" w14:paraId="34266E3A" w14:textId="77777777" w:rsidTr="007E39E6">
        <w:trPr>
          <w:trHeight w:val="555"/>
        </w:trPr>
        <w:tc>
          <w:tcPr>
            <w:tcW w:w="814" w:type="dxa"/>
          </w:tcPr>
          <w:p w14:paraId="66336DB8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392" w:type="dxa"/>
          </w:tcPr>
          <w:p w14:paraId="5E051C3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</w:t>
            </w:r>
          </w:p>
        </w:tc>
        <w:tc>
          <w:tcPr>
            <w:tcW w:w="1055" w:type="dxa"/>
          </w:tcPr>
          <w:p w14:paraId="05191553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Country and week fixed-effects</w:t>
            </w:r>
          </w:p>
        </w:tc>
        <w:tc>
          <w:tcPr>
            <w:tcW w:w="1382" w:type="dxa"/>
          </w:tcPr>
          <w:p w14:paraId="2E53B75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813" w:type="dxa"/>
          </w:tcPr>
          <w:p w14:paraId="5CAE5D0D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813" w:type="dxa"/>
          </w:tcPr>
          <w:p w14:paraId="283495A3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62" w:type="dxa"/>
          </w:tcPr>
          <w:p w14:paraId="045D66D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813" w:type="dxa"/>
          </w:tcPr>
          <w:p w14:paraId="0E3FB4D5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13" w:type="dxa"/>
          </w:tcPr>
          <w:p w14:paraId="3D08F79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6" w:type="dxa"/>
          </w:tcPr>
          <w:p w14:paraId="1C1030A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C18B3" w:rsidRPr="00D50A87" w14:paraId="3FB0B1FD" w14:textId="77777777" w:rsidTr="007E39E6">
        <w:trPr>
          <w:trHeight w:val="555"/>
        </w:trPr>
        <w:tc>
          <w:tcPr>
            <w:tcW w:w="814" w:type="dxa"/>
          </w:tcPr>
          <w:p w14:paraId="415F637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14:paraId="03778F25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supply, GDP per capita, EIU Democracy Index</w:t>
            </w:r>
          </w:p>
        </w:tc>
        <w:tc>
          <w:tcPr>
            <w:tcW w:w="1055" w:type="dxa"/>
          </w:tcPr>
          <w:p w14:paraId="1CBB39C9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382" w:type="dxa"/>
          </w:tcPr>
          <w:p w14:paraId="55A4A87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813" w:type="dxa"/>
          </w:tcPr>
          <w:p w14:paraId="28DFABE8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13" w:type="dxa"/>
          </w:tcPr>
          <w:p w14:paraId="27D2B27B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62" w:type="dxa"/>
          </w:tcPr>
          <w:p w14:paraId="5915F24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-1.47</w:t>
            </w:r>
          </w:p>
        </w:tc>
        <w:tc>
          <w:tcPr>
            <w:tcW w:w="813" w:type="dxa"/>
          </w:tcPr>
          <w:p w14:paraId="39FD30BD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13" w:type="dxa"/>
          </w:tcPr>
          <w:p w14:paraId="4143A86A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6" w:type="dxa"/>
          </w:tcPr>
          <w:p w14:paraId="5BA0B79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</w:tbl>
    <w:p w14:paraId="78A91A56" w14:textId="77777777" w:rsidR="008C18B3" w:rsidRPr="00D50A87" w:rsidRDefault="008C18B3" w:rsidP="008C18B3">
      <w:pPr>
        <w:rPr>
          <w:rFonts w:ascii="Times New Roman" w:hAnsi="Times New Roman" w:cs="Times New Roman"/>
          <w:sz w:val="20"/>
          <w:szCs w:val="20"/>
        </w:rPr>
      </w:pPr>
    </w:p>
    <w:p w14:paraId="0A6456DF" w14:textId="77777777" w:rsidR="008C18B3" w:rsidRPr="00D50A87" w:rsidRDefault="008C18B3" w:rsidP="008C18B3">
      <w:pPr>
        <w:rPr>
          <w:rFonts w:ascii="Times New Roman" w:hAnsi="Times New Roman" w:cs="Times New Roman"/>
          <w:sz w:val="20"/>
          <w:szCs w:val="20"/>
        </w:rPr>
      </w:pPr>
      <w:r w:rsidRPr="00D50A87">
        <w:rPr>
          <w:rFonts w:ascii="Times New Roman" w:hAnsi="Times New Roman" w:cs="Times New Roman"/>
          <w:sz w:val="20"/>
          <w:szCs w:val="20"/>
        </w:rPr>
        <w:t>* Included countries: Austria, Bulgaria, Croatia, Cyprus, Czech Republic, Greece, Hungary, Latvia, Liechtenstein, Lithuania, Luxembourg, Malta, Poland, Romania, Slovakia, Slovenia</w:t>
      </w:r>
    </w:p>
    <w:p w14:paraId="466565C7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3AFE690C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4D10BE76" w14:textId="77777777" w:rsidR="008C18B3" w:rsidRPr="00D50A87" w:rsidRDefault="008C18B3" w:rsidP="008C18B3">
      <w:pPr>
        <w:rPr>
          <w:rFonts w:ascii="Times New Roman" w:hAnsi="Times New Roman" w:cs="Times New Roman"/>
          <w:b/>
          <w:sz w:val="20"/>
          <w:szCs w:val="20"/>
        </w:rPr>
      </w:pPr>
      <w:r w:rsidRPr="00D50A87">
        <w:rPr>
          <w:rFonts w:ascii="Times New Roman" w:hAnsi="Times New Roman" w:cs="Times New Roman"/>
          <w:b/>
          <w:sz w:val="20"/>
          <w:szCs w:val="20"/>
        </w:rPr>
        <w:t>Table 3 – Oxford-AstraZeneca vaccine uptake</w:t>
      </w:r>
    </w:p>
    <w:p w14:paraId="16678B30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p w14:paraId="1D536D82" w14:textId="77777777" w:rsidR="008C18B3" w:rsidRPr="00D50A87" w:rsidRDefault="008C18B3" w:rsidP="008C18B3">
      <w:pPr>
        <w:rPr>
          <w:rFonts w:ascii="Times New Roman" w:hAnsi="Times New Roman" w:cs="Times New Roman"/>
        </w:rPr>
      </w:pPr>
    </w:p>
    <w:tbl>
      <w:tblPr>
        <w:tblStyle w:val="TableGrid"/>
        <w:tblW w:w="102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4"/>
        <w:gridCol w:w="1392"/>
        <w:gridCol w:w="1162"/>
        <w:gridCol w:w="1275"/>
        <w:gridCol w:w="813"/>
        <w:gridCol w:w="813"/>
        <w:gridCol w:w="1162"/>
        <w:gridCol w:w="813"/>
        <w:gridCol w:w="813"/>
        <w:gridCol w:w="1162"/>
      </w:tblGrid>
      <w:tr w:rsidR="008C18B3" w:rsidRPr="00D50A87" w14:paraId="4879F48B" w14:textId="77777777" w:rsidTr="007E39E6">
        <w:trPr>
          <w:trHeight w:val="1116"/>
        </w:trPr>
        <w:tc>
          <w:tcPr>
            <w:tcW w:w="814" w:type="dxa"/>
          </w:tcPr>
          <w:p w14:paraId="249CC92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392" w:type="dxa"/>
          </w:tcPr>
          <w:p w14:paraId="2DDCB39B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 xml:space="preserve">Fixed/random effects </w:t>
            </w:r>
          </w:p>
        </w:tc>
        <w:tc>
          <w:tcPr>
            <w:tcW w:w="1162" w:type="dxa"/>
          </w:tcPr>
          <w:p w14:paraId="06E3192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Fixed/random effects</w:t>
            </w:r>
          </w:p>
        </w:tc>
        <w:tc>
          <w:tcPr>
            <w:tcW w:w="1275" w:type="dxa"/>
          </w:tcPr>
          <w:p w14:paraId="5147B5F8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Change in overall COVID-19 vaccine uptake for first dose (%)</w:t>
            </w:r>
          </w:p>
        </w:tc>
        <w:tc>
          <w:tcPr>
            <w:tcW w:w="813" w:type="dxa"/>
          </w:tcPr>
          <w:p w14:paraId="471CC0A9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Robust Standard Error</w:t>
            </w:r>
          </w:p>
        </w:tc>
        <w:tc>
          <w:tcPr>
            <w:tcW w:w="813" w:type="dxa"/>
          </w:tcPr>
          <w:p w14:paraId="3517FDD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62" w:type="dxa"/>
          </w:tcPr>
          <w:p w14:paraId="74730BC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Change in overall COVID-19 vaccine uptake for both doses (%)</w:t>
            </w:r>
          </w:p>
        </w:tc>
        <w:tc>
          <w:tcPr>
            <w:tcW w:w="813" w:type="dxa"/>
          </w:tcPr>
          <w:p w14:paraId="7C96F0B5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Robust Standard Error</w:t>
            </w:r>
          </w:p>
        </w:tc>
        <w:tc>
          <w:tcPr>
            <w:tcW w:w="813" w:type="dxa"/>
          </w:tcPr>
          <w:p w14:paraId="459D4AD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162" w:type="dxa"/>
          </w:tcPr>
          <w:p w14:paraId="3E4DC48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Number of observations</w:t>
            </w:r>
          </w:p>
        </w:tc>
      </w:tr>
      <w:tr w:rsidR="008C18B3" w:rsidRPr="00D50A87" w14:paraId="7BEC28CC" w14:textId="77777777" w:rsidTr="007E39E6">
        <w:trPr>
          <w:trHeight w:val="517"/>
        </w:trPr>
        <w:tc>
          <w:tcPr>
            <w:tcW w:w="814" w:type="dxa"/>
          </w:tcPr>
          <w:p w14:paraId="09A74F7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 (Main)</w:t>
            </w:r>
          </w:p>
        </w:tc>
        <w:tc>
          <w:tcPr>
            <w:tcW w:w="1392" w:type="dxa"/>
          </w:tcPr>
          <w:p w14:paraId="72A143D3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</w:t>
            </w:r>
          </w:p>
        </w:tc>
        <w:tc>
          <w:tcPr>
            <w:tcW w:w="1162" w:type="dxa"/>
          </w:tcPr>
          <w:p w14:paraId="2FB3F88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Country and week fixed-effects</w:t>
            </w:r>
          </w:p>
        </w:tc>
        <w:tc>
          <w:tcPr>
            <w:tcW w:w="1275" w:type="dxa"/>
          </w:tcPr>
          <w:p w14:paraId="26531FA7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13" w:type="dxa"/>
          </w:tcPr>
          <w:p w14:paraId="5DF208C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3" w:type="dxa"/>
          </w:tcPr>
          <w:p w14:paraId="2946D21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62" w:type="dxa"/>
          </w:tcPr>
          <w:p w14:paraId="1CF5BCFB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813" w:type="dxa"/>
          </w:tcPr>
          <w:p w14:paraId="1A5FA4C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13" w:type="dxa"/>
          </w:tcPr>
          <w:p w14:paraId="62404319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162" w:type="dxa"/>
          </w:tcPr>
          <w:p w14:paraId="565AFEC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8C18B3" w:rsidRPr="00D50A87" w14:paraId="12ABDB65" w14:textId="77777777" w:rsidTr="007E39E6">
        <w:trPr>
          <w:trHeight w:val="560"/>
        </w:trPr>
        <w:tc>
          <w:tcPr>
            <w:tcW w:w="814" w:type="dxa"/>
          </w:tcPr>
          <w:p w14:paraId="2DE60F8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392" w:type="dxa"/>
          </w:tcPr>
          <w:p w14:paraId="6DEE536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</w:t>
            </w:r>
          </w:p>
        </w:tc>
        <w:tc>
          <w:tcPr>
            <w:tcW w:w="1162" w:type="dxa"/>
          </w:tcPr>
          <w:p w14:paraId="6B03954D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Country and week fixed-effects</w:t>
            </w:r>
          </w:p>
        </w:tc>
        <w:tc>
          <w:tcPr>
            <w:tcW w:w="1275" w:type="dxa"/>
          </w:tcPr>
          <w:p w14:paraId="03838C0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13" w:type="dxa"/>
          </w:tcPr>
          <w:p w14:paraId="689EE4E4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13" w:type="dxa"/>
          </w:tcPr>
          <w:p w14:paraId="32BFF990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62" w:type="dxa"/>
          </w:tcPr>
          <w:p w14:paraId="09D5D10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813" w:type="dxa"/>
          </w:tcPr>
          <w:p w14:paraId="6AC08022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13" w:type="dxa"/>
          </w:tcPr>
          <w:p w14:paraId="760097F4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62" w:type="dxa"/>
          </w:tcPr>
          <w:p w14:paraId="0FD2524C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C18B3" w:rsidRPr="00D50A87" w14:paraId="701B50C9" w14:textId="77777777" w:rsidTr="007E39E6">
        <w:trPr>
          <w:trHeight w:val="560"/>
        </w:trPr>
        <w:tc>
          <w:tcPr>
            <w:tcW w:w="814" w:type="dxa"/>
          </w:tcPr>
          <w:p w14:paraId="660C647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14:paraId="04781576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Vaccine supply, GDP per capita, EIU Democracy Index</w:t>
            </w:r>
          </w:p>
        </w:tc>
        <w:tc>
          <w:tcPr>
            <w:tcW w:w="1162" w:type="dxa"/>
          </w:tcPr>
          <w:p w14:paraId="0DDC019F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Random effects</w:t>
            </w:r>
          </w:p>
        </w:tc>
        <w:tc>
          <w:tcPr>
            <w:tcW w:w="1275" w:type="dxa"/>
          </w:tcPr>
          <w:p w14:paraId="4C36FB9D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3" w:type="dxa"/>
          </w:tcPr>
          <w:p w14:paraId="745FA17B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13" w:type="dxa"/>
          </w:tcPr>
          <w:p w14:paraId="13C2D7A9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62" w:type="dxa"/>
          </w:tcPr>
          <w:p w14:paraId="34D81821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813" w:type="dxa"/>
          </w:tcPr>
          <w:p w14:paraId="61228A7F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13" w:type="dxa"/>
          </w:tcPr>
          <w:p w14:paraId="0528022E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62" w:type="dxa"/>
          </w:tcPr>
          <w:p w14:paraId="6AE86298" w14:textId="77777777" w:rsidR="008C18B3" w:rsidRPr="00D50A87" w:rsidRDefault="008C18B3" w:rsidP="007E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8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</w:tbl>
    <w:p w14:paraId="62F71AB1" w14:textId="77777777" w:rsidR="008C18B3" w:rsidRPr="00D50A87" w:rsidRDefault="008C18B3" w:rsidP="008C18B3">
      <w:pPr>
        <w:rPr>
          <w:rFonts w:ascii="Times New Roman" w:hAnsi="Times New Roman" w:cs="Times New Roman"/>
          <w:sz w:val="20"/>
          <w:szCs w:val="20"/>
        </w:rPr>
      </w:pPr>
    </w:p>
    <w:p w14:paraId="3CC7D2E4" w14:textId="77777777" w:rsidR="00E50745" w:rsidRPr="00D50A87" w:rsidRDefault="008C18B3">
      <w:pPr>
        <w:rPr>
          <w:rFonts w:ascii="Times New Roman" w:hAnsi="Times New Roman" w:cs="Times New Roman"/>
        </w:rPr>
      </w:pPr>
      <w:r w:rsidRPr="00D50A87">
        <w:rPr>
          <w:rFonts w:ascii="Times New Roman" w:hAnsi="Times New Roman" w:cs="Times New Roman"/>
          <w:sz w:val="20"/>
          <w:szCs w:val="20"/>
        </w:rPr>
        <w:t>* Included countries: Austria, Bulgaria, Croatia, Cyprus, Czech Republic, Greece, Hungary, Latvia, Liechtenstein, Lithuania, Luxembourg, Malta, Poland, Romania, Slovakia, Slovenia</w:t>
      </w:r>
    </w:p>
    <w:sectPr w:rsidR="00E50745" w:rsidRPr="00D50A87" w:rsidSect="00DD65A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D369" w14:textId="77777777" w:rsidR="00D50A87" w:rsidRDefault="00D50A87" w:rsidP="00D50A87">
      <w:r>
        <w:separator/>
      </w:r>
    </w:p>
  </w:endnote>
  <w:endnote w:type="continuationSeparator" w:id="0">
    <w:p w14:paraId="1DB1945C" w14:textId="77777777" w:rsidR="00D50A87" w:rsidRDefault="00D50A87" w:rsidP="00D5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8C27" w14:textId="77777777" w:rsidR="00D50A87" w:rsidRDefault="00D50A87" w:rsidP="00136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FE4AD" w14:textId="77777777" w:rsidR="00D50A87" w:rsidRDefault="00D50A87" w:rsidP="00D50A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F9C7" w14:textId="77777777" w:rsidR="00D50A87" w:rsidRDefault="00D50A87" w:rsidP="00136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9B246" w14:textId="77777777" w:rsidR="00D50A87" w:rsidRDefault="00D50A87" w:rsidP="00D50A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5137" w14:textId="77777777" w:rsidR="00D50A87" w:rsidRDefault="00D50A87" w:rsidP="00D50A87">
      <w:r>
        <w:separator/>
      </w:r>
    </w:p>
  </w:footnote>
  <w:footnote w:type="continuationSeparator" w:id="0">
    <w:p w14:paraId="49C416C8" w14:textId="77777777" w:rsidR="00D50A87" w:rsidRDefault="00D50A87" w:rsidP="00D5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3"/>
    <w:rsid w:val="001F139B"/>
    <w:rsid w:val="008C18B3"/>
    <w:rsid w:val="00D50A87"/>
    <w:rsid w:val="00DD65A9"/>
    <w:rsid w:val="00E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94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C18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50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87"/>
  </w:style>
  <w:style w:type="character" w:styleId="PageNumber">
    <w:name w:val="page number"/>
    <w:basedOn w:val="DefaultParagraphFont"/>
    <w:uiPriority w:val="99"/>
    <w:semiHidden/>
    <w:unhideWhenUsed/>
    <w:rsid w:val="00D50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C18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50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87"/>
  </w:style>
  <w:style w:type="character" w:styleId="PageNumber">
    <w:name w:val="page number"/>
    <w:basedOn w:val="DefaultParagraphFont"/>
    <w:uiPriority w:val="99"/>
    <w:semiHidden/>
    <w:unhideWhenUsed/>
    <w:rsid w:val="00D5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vageesh jain</dc:creator>
  <cp:keywords/>
  <dc:description/>
  <cp:lastModifiedBy>vageesh jain</cp:lastModifiedBy>
  <cp:revision>3</cp:revision>
  <dcterms:created xsi:type="dcterms:W3CDTF">2021-06-22T12:16:00Z</dcterms:created>
  <dcterms:modified xsi:type="dcterms:W3CDTF">2021-06-22T12:24:00Z</dcterms:modified>
</cp:coreProperties>
</file>