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BE" w:rsidRPr="006D6E1C" w:rsidRDefault="00E462BE" w:rsidP="00E462BE">
      <w:pPr>
        <w:tabs>
          <w:tab w:val="left" w:pos="284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D6E1C">
        <w:rPr>
          <w:rFonts w:ascii="Times New Roman" w:hAnsi="Times New Roman" w:cs="Times New Roman"/>
          <w:sz w:val="24"/>
          <w:szCs w:val="24"/>
          <w:lang w:val="en-US"/>
        </w:rPr>
        <w:t>Is the BioNTech-Pfizer COVID-19 vaccination effective in elderly populations? Results from population data from Bavaria, Germany</w:t>
      </w:r>
    </w:p>
    <w:p w:rsidR="00E462BE" w:rsidRPr="006D6E1C" w:rsidRDefault="00E462BE" w:rsidP="00E462BE">
      <w:pPr>
        <w:pStyle w:val="authors"/>
        <w:spacing w:after="160" w:line="480" w:lineRule="auto"/>
        <w:jc w:val="both"/>
        <w:rPr>
          <w:lang w:val="de-DE"/>
        </w:rPr>
      </w:pPr>
      <w:r w:rsidRPr="006D6E1C">
        <w:rPr>
          <w:lang w:val="de-DE"/>
        </w:rPr>
        <w:t>Delphina Gomes</w:t>
      </w:r>
      <w:r w:rsidRPr="006D6E1C">
        <w:rPr>
          <w:vertAlign w:val="superscript"/>
          <w:lang w:val="de-DE"/>
        </w:rPr>
        <w:t>1¶</w:t>
      </w:r>
      <w:r w:rsidRPr="006D6E1C">
        <w:rPr>
          <w:lang w:val="de-DE"/>
        </w:rPr>
        <w:t>, Andreas Beyerlein</w:t>
      </w:r>
      <w:r w:rsidRPr="006D6E1C">
        <w:rPr>
          <w:vertAlign w:val="superscript"/>
          <w:lang w:val="de-DE"/>
        </w:rPr>
        <w:t>1¶</w:t>
      </w:r>
      <w:r w:rsidRPr="006D6E1C">
        <w:rPr>
          <w:lang w:val="de-DE"/>
        </w:rPr>
        <w:t>, Katharina Katz</w:t>
      </w:r>
      <w:r w:rsidRPr="006D6E1C">
        <w:rPr>
          <w:vertAlign w:val="superscript"/>
          <w:lang w:val="de-DE"/>
        </w:rPr>
        <w:t>2</w:t>
      </w:r>
      <w:r w:rsidRPr="006D6E1C">
        <w:rPr>
          <w:lang w:val="de-DE"/>
        </w:rPr>
        <w:t>, Gabriele Hoelscher</w:t>
      </w:r>
      <w:r w:rsidRPr="006D6E1C">
        <w:rPr>
          <w:vertAlign w:val="superscript"/>
          <w:lang w:val="de-DE"/>
        </w:rPr>
        <w:t>2</w:t>
      </w:r>
      <w:r w:rsidRPr="006D6E1C">
        <w:rPr>
          <w:lang w:val="de-DE"/>
        </w:rPr>
        <w:t>, Uta Nennstiel</w:t>
      </w:r>
      <w:r w:rsidRPr="006D6E1C">
        <w:rPr>
          <w:vertAlign w:val="superscript"/>
          <w:lang w:val="de-DE"/>
        </w:rPr>
        <w:t>2</w:t>
      </w:r>
      <w:r w:rsidRPr="006D6E1C">
        <w:rPr>
          <w:lang w:val="de-DE"/>
        </w:rPr>
        <w:t>, Bernhard Liebl</w:t>
      </w:r>
      <w:r w:rsidRPr="006D6E1C">
        <w:rPr>
          <w:vertAlign w:val="superscript"/>
          <w:lang w:val="de-DE"/>
        </w:rPr>
        <w:t>2</w:t>
      </w:r>
      <w:r w:rsidRPr="006D6E1C">
        <w:rPr>
          <w:lang w:val="de-DE"/>
        </w:rPr>
        <w:t>, Klaus Überla</w:t>
      </w:r>
      <w:r w:rsidRPr="006D6E1C">
        <w:rPr>
          <w:vertAlign w:val="superscript"/>
          <w:lang w:val="de-DE"/>
        </w:rPr>
        <w:t>3</w:t>
      </w:r>
      <w:r w:rsidRPr="006D6E1C">
        <w:rPr>
          <w:lang w:val="de-DE"/>
        </w:rPr>
        <w:t>, Rüdiger von Kries</w:t>
      </w:r>
      <w:r w:rsidRPr="006D6E1C">
        <w:rPr>
          <w:vertAlign w:val="superscript"/>
          <w:lang w:val="de-DE"/>
        </w:rPr>
        <w:t xml:space="preserve">1* </w:t>
      </w:r>
    </w:p>
    <w:p w:rsidR="00E462BE" w:rsidRPr="006D6E1C" w:rsidRDefault="00E462BE" w:rsidP="00E462BE">
      <w:pPr>
        <w:pStyle w:val="address"/>
        <w:spacing w:after="160" w:afterAutospacing="0" w:line="480" w:lineRule="auto"/>
        <w:ind w:left="0"/>
        <w:jc w:val="both"/>
      </w:pPr>
      <w:r w:rsidRPr="006D6E1C">
        <w:rPr>
          <w:vertAlign w:val="superscript"/>
        </w:rPr>
        <w:t xml:space="preserve">1 </w:t>
      </w:r>
      <w:r w:rsidRPr="006D6E1C">
        <w:t>Institute of Social Pediatrics and Adolescent Medicine, Division of Pediatric Epidemiology, Ludwig-Maximilians-University, Munich, Germany</w:t>
      </w:r>
    </w:p>
    <w:p w:rsidR="00E462BE" w:rsidRPr="006D6E1C" w:rsidRDefault="00E462BE" w:rsidP="00E462BE">
      <w:pPr>
        <w:pStyle w:val="address"/>
        <w:spacing w:after="160" w:afterAutospacing="0" w:line="480" w:lineRule="auto"/>
        <w:ind w:left="0"/>
        <w:jc w:val="both"/>
      </w:pPr>
      <w:r w:rsidRPr="006D6E1C">
        <w:rPr>
          <w:vertAlign w:val="superscript"/>
          <w:lang w:val="en-GB"/>
        </w:rPr>
        <w:t>2</w:t>
      </w:r>
      <w:r w:rsidRPr="006D6E1C">
        <w:t xml:space="preserve"> Bavarian Health and Food Safety Authority, Oberschleissheim, Germany</w:t>
      </w:r>
    </w:p>
    <w:p w:rsidR="00E462BE" w:rsidRPr="006D6E1C" w:rsidRDefault="00E462BE" w:rsidP="00E462BE">
      <w:pPr>
        <w:pStyle w:val="address"/>
        <w:spacing w:after="160" w:afterAutospacing="0" w:line="480" w:lineRule="auto"/>
        <w:ind w:left="0"/>
        <w:jc w:val="both"/>
        <w:rPr>
          <w:lang w:val="de-DE"/>
        </w:rPr>
      </w:pPr>
      <w:r w:rsidRPr="006D6E1C">
        <w:rPr>
          <w:vertAlign w:val="superscript"/>
          <w:lang w:val="de-DE"/>
        </w:rPr>
        <w:t xml:space="preserve">3 </w:t>
      </w:r>
      <w:r w:rsidRPr="006D6E1C">
        <w:rPr>
          <w:lang w:val="de-DE"/>
        </w:rPr>
        <w:t>Institute of Clinical and Molecular Virology, Universitätsklinikum Erlangen, Friedrich-Alexander-Universität Erlangen-Nürnberg, Erlangen, Germany</w:t>
      </w:r>
    </w:p>
    <w:p w:rsidR="00E462BE" w:rsidRPr="006D6E1C" w:rsidRDefault="00E462BE" w:rsidP="00E462BE">
      <w:pPr>
        <w:pStyle w:val="address"/>
        <w:spacing w:after="160" w:afterAutospacing="0" w:line="480" w:lineRule="auto"/>
        <w:ind w:left="0"/>
        <w:jc w:val="both"/>
        <w:rPr>
          <w:lang w:val="de-DE"/>
        </w:rPr>
      </w:pPr>
      <w:r w:rsidRPr="006D6E1C">
        <w:rPr>
          <w:b/>
          <w:bCs/>
          <w:lang w:val="de-DE"/>
        </w:rPr>
        <w:t>*</w:t>
      </w:r>
      <w:hyperlink r:id="rId7" w:history="1">
        <w:r w:rsidRPr="006D6E1C">
          <w:rPr>
            <w:rStyle w:val="Hyperlink"/>
            <w:rFonts w:eastAsiaTheme="minorEastAsia"/>
            <w:lang w:val="de-DE"/>
          </w:rPr>
          <w:t>ruediger.kries@med.uni-muenchen.de</w:t>
        </w:r>
      </w:hyperlink>
    </w:p>
    <w:p w:rsidR="00E462BE" w:rsidRPr="006D6E1C" w:rsidRDefault="00E462BE" w:rsidP="00E462BE">
      <w:pPr>
        <w:pStyle w:val="address"/>
        <w:spacing w:after="160" w:afterAutospacing="0" w:line="480" w:lineRule="auto"/>
        <w:ind w:left="0"/>
        <w:jc w:val="both"/>
        <w:rPr>
          <w:lang w:val="en-IN"/>
        </w:rPr>
      </w:pPr>
      <w:r w:rsidRPr="006D6E1C">
        <w:rPr>
          <w:vertAlign w:val="superscript"/>
          <w:lang w:val="en-IN"/>
        </w:rPr>
        <w:t>¶</w:t>
      </w:r>
      <w:r w:rsidRPr="006D6E1C">
        <w:rPr>
          <w:lang w:val="en-IN"/>
        </w:rPr>
        <w:t xml:space="preserve">These authors contributed equally to this work. </w:t>
      </w:r>
    </w:p>
    <w:p w:rsidR="00E462BE" w:rsidRDefault="00E462BE" w:rsidP="00AB2EC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E462BE" w:rsidRDefault="00E462BE" w:rsidP="00AB2EC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E462BE" w:rsidRDefault="00E462BE" w:rsidP="00AB2EC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E462BE" w:rsidRDefault="00E462BE" w:rsidP="00AB2EC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E462BE" w:rsidRDefault="00E462BE" w:rsidP="00AB2EC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E462BE" w:rsidRDefault="00E462BE" w:rsidP="00AB2EC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E462BE" w:rsidRDefault="00E462BE" w:rsidP="00AB2EC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E462BE" w:rsidRDefault="00E462BE" w:rsidP="00AB2EC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E462BE" w:rsidRDefault="00E462BE" w:rsidP="00AB2EC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E462BE" w:rsidRDefault="00E462BE" w:rsidP="00AB2EC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E462BE" w:rsidRDefault="00E462BE" w:rsidP="00AB2EC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5F2343" w:rsidRDefault="005F2343" w:rsidP="00AB2EC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</w:p>
    <w:p w:rsidR="005F2343" w:rsidRDefault="005F2343" w:rsidP="00AB2EC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  <w:bookmarkStart w:id="0" w:name="_GoBack"/>
      <w:bookmarkEnd w:id="0"/>
    </w:p>
    <w:p w:rsidR="00622569" w:rsidRPr="00AB2EC4" w:rsidRDefault="00622569" w:rsidP="00AB2EC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IN"/>
        </w:rPr>
      </w:pPr>
      <w:r w:rsidRPr="00AB2EC4">
        <w:rPr>
          <w:rFonts w:ascii="Times New Roman" w:hAnsi="Times New Roman" w:cs="Times New Roman"/>
          <w:b/>
          <w:bCs/>
          <w:sz w:val="20"/>
          <w:szCs w:val="20"/>
          <w:lang w:val="en-IN"/>
        </w:rPr>
        <w:lastRenderedPageBreak/>
        <w:t>S</w:t>
      </w:r>
      <w:r w:rsidR="004F6966" w:rsidRPr="00AB2EC4">
        <w:rPr>
          <w:rFonts w:ascii="Times New Roman" w:hAnsi="Times New Roman" w:cs="Times New Roman"/>
          <w:b/>
          <w:bCs/>
          <w:sz w:val="20"/>
          <w:szCs w:val="20"/>
          <w:lang w:val="en-IN"/>
        </w:rPr>
        <w:t>1</w:t>
      </w:r>
      <w:r w:rsidRPr="00AB2EC4">
        <w:rPr>
          <w:rFonts w:ascii="Times New Roman" w:hAnsi="Times New Roman" w:cs="Times New Roman"/>
          <w:b/>
          <w:bCs/>
          <w:sz w:val="20"/>
          <w:szCs w:val="20"/>
          <w:lang w:val="en-IN"/>
        </w:rPr>
        <w:t xml:space="preserve"> Figure. Vaccine efficacy to prevent COVID-19 infection and related outcomes after at least one </w:t>
      </w:r>
      <w:r w:rsidR="000237B0" w:rsidRPr="00AB2EC4">
        <w:rPr>
          <w:rFonts w:ascii="Times New Roman" w:hAnsi="Times New Roman" w:cs="Times New Roman"/>
          <w:b/>
          <w:bCs/>
          <w:sz w:val="20"/>
          <w:szCs w:val="20"/>
          <w:lang w:val="en-IN"/>
        </w:rPr>
        <w:t xml:space="preserve">BNT162b2 vaccine </w:t>
      </w:r>
      <w:r w:rsidRPr="00AB2EC4">
        <w:rPr>
          <w:rFonts w:ascii="Times New Roman" w:hAnsi="Times New Roman" w:cs="Times New Roman"/>
          <w:b/>
          <w:bCs/>
          <w:sz w:val="20"/>
          <w:szCs w:val="20"/>
          <w:lang w:val="en-IN"/>
        </w:rPr>
        <w:t xml:space="preserve">dose compared to none in Bavarian persons aged 80 years and above. </w:t>
      </w:r>
    </w:p>
    <w:p w:rsidR="00664EBA" w:rsidRPr="00AB2EC4" w:rsidRDefault="004F6966" w:rsidP="00AB2EC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AB2EC4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5760720" cy="55410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 Figure forest plot_1+dose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EBA" w:rsidRPr="00AB2EC4">
        <w:rPr>
          <w:rFonts w:ascii="Times New Roman" w:hAnsi="Times New Roman" w:cs="Times New Roman"/>
          <w:sz w:val="20"/>
          <w:szCs w:val="20"/>
          <w:lang w:val="en-GB"/>
        </w:rPr>
        <w:t xml:space="preserve">Vaccine efficacy was calculated as 1 – HR and are adjusted for sex. CI, confidence interval; HR, hazards ratio; VE, vaccine efficacy. </w:t>
      </w:r>
    </w:p>
    <w:p w:rsidR="00474C8E" w:rsidRPr="00AB2EC4" w:rsidRDefault="00474C8E" w:rsidP="00AB2EC4">
      <w:pPr>
        <w:spacing w:line="240" w:lineRule="auto"/>
        <w:rPr>
          <w:sz w:val="20"/>
          <w:szCs w:val="20"/>
          <w:lang w:val="en-IN"/>
        </w:rPr>
      </w:pPr>
    </w:p>
    <w:sectPr w:rsidR="00474C8E" w:rsidRPr="00AB2EC4" w:rsidSect="00664EB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DB" w:rsidRDefault="00B4097B">
      <w:pPr>
        <w:spacing w:after="0" w:line="240" w:lineRule="auto"/>
      </w:pPr>
      <w:r>
        <w:separator/>
      </w:r>
    </w:p>
  </w:endnote>
  <w:endnote w:type="continuationSeparator" w:id="0">
    <w:p w:rsidR="00A52EDB" w:rsidRDefault="00B4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796310"/>
      <w:docPartObj>
        <w:docPartGallery w:val="Page Numbers (Bottom of Page)"/>
        <w:docPartUnique/>
      </w:docPartObj>
    </w:sdtPr>
    <w:sdtEndPr/>
    <w:sdtContent>
      <w:p w:rsidR="00F852B9" w:rsidRDefault="0090042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343">
          <w:rPr>
            <w:noProof/>
          </w:rPr>
          <w:t>1</w:t>
        </w:r>
        <w:r>
          <w:fldChar w:fldCharType="end"/>
        </w:r>
      </w:p>
    </w:sdtContent>
  </w:sdt>
  <w:p w:rsidR="00F852B9" w:rsidRDefault="005F23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DB" w:rsidRDefault="00B4097B">
      <w:pPr>
        <w:spacing w:after="0" w:line="240" w:lineRule="auto"/>
      </w:pPr>
      <w:r>
        <w:separator/>
      </w:r>
    </w:p>
  </w:footnote>
  <w:footnote w:type="continuationSeparator" w:id="0">
    <w:p w:rsidR="00A52EDB" w:rsidRDefault="00B40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BA"/>
    <w:rsid w:val="000237B0"/>
    <w:rsid w:val="00474C8E"/>
    <w:rsid w:val="004F6966"/>
    <w:rsid w:val="005F2343"/>
    <w:rsid w:val="00622569"/>
    <w:rsid w:val="00631845"/>
    <w:rsid w:val="00664EBA"/>
    <w:rsid w:val="008D1394"/>
    <w:rsid w:val="00900427"/>
    <w:rsid w:val="00A52EDB"/>
    <w:rsid w:val="00A559C2"/>
    <w:rsid w:val="00AB2EC4"/>
    <w:rsid w:val="00B4097B"/>
    <w:rsid w:val="00E462BE"/>
    <w:rsid w:val="00F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7549"/>
  <w15:chartTrackingRefBased/>
  <w15:docId w15:val="{A9042975-2213-4438-9F90-F7F5D7A1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4E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64E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4E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4EBA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64EBA"/>
    <w:rPr>
      <w:color w:val="0563C1" w:themeColor="hyperlink"/>
      <w:u w:val="single"/>
    </w:rPr>
  </w:style>
  <w:style w:type="paragraph" w:customStyle="1" w:styleId="authors">
    <w:name w:val="&lt;authors&gt;"/>
    <w:basedOn w:val="Standard"/>
    <w:rsid w:val="0066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dress">
    <w:name w:val="&lt;address&gt;"/>
    <w:basedOn w:val="Standard"/>
    <w:rsid w:val="00664EBA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64EBA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64EBA"/>
    <w:rPr>
      <w:rFonts w:eastAsiaTheme="minorEastAsia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664EBA"/>
    <w:pPr>
      <w:spacing w:line="240" w:lineRule="auto"/>
    </w:pPr>
    <w:rPr>
      <w:rFonts w:ascii="Calibri" w:eastAsiaTheme="minorEastAsia" w:hAnsi="Calibri" w:cs="Calibri"/>
      <w:noProof/>
      <w:lang w:eastAsia="de-DE"/>
    </w:rPr>
  </w:style>
  <w:style w:type="character" w:customStyle="1" w:styleId="EndNoteBibliographyZchn">
    <w:name w:val="EndNote Bibliography Zchn"/>
    <w:basedOn w:val="Absatz-Standardschriftart"/>
    <w:link w:val="EndNoteBibliography"/>
    <w:rsid w:val="00664EBA"/>
    <w:rPr>
      <w:rFonts w:ascii="Calibri" w:eastAsiaTheme="minorEastAsia" w:hAnsi="Calibri" w:cs="Calibri"/>
      <w:noProof/>
      <w:lang w:eastAsia="de-DE"/>
    </w:rPr>
  </w:style>
  <w:style w:type="paragraph" w:customStyle="1" w:styleId="h1">
    <w:name w:val="&lt;h1&gt;"/>
    <w:basedOn w:val="Standard"/>
    <w:rsid w:val="0066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8"/>
      <w:szCs w:val="32"/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664E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ettings" Target="settings.xml"/><Relationship Id="rId7" Type="http://schemas.openxmlformats.org/officeDocument/2006/relationships/hyperlink" Target="mailto:ruediger.kries@med.uni-muench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49B8-17D9-4EDF-AD00-D0CD4BDC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>Klinikum der Universitaet Muenchen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Delphina Gomes</dc:creator>
  <cp:keywords/>
  <dc:description/>
  <cp:lastModifiedBy>Delphina Gomes</cp:lastModifiedBy>
  <cp:revision>13</cp:revision>
  <dcterms:created xsi:type="dcterms:W3CDTF">2021-06-01T12:37:00Z</dcterms:created>
  <dcterms:modified xsi:type="dcterms:W3CDTF">2021-08-19T09:43:00Z</dcterms:modified>
</cp:coreProperties>
</file>