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598"/>
        <w:tblW w:w="14193" w:type="dxa"/>
        <w:tblLayout w:type="fixed"/>
        <w:tblLook w:val="04A0" w:firstRow="1" w:lastRow="0" w:firstColumn="1" w:lastColumn="0" w:noHBand="0" w:noVBand="1"/>
      </w:tblPr>
      <w:tblGrid>
        <w:gridCol w:w="526"/>
        <w:gridCol w:w="1923"/>
        <w:gridCol w:w="2429"/>
        <w:gridCol w:w="2531"/>
        <w:gridCol w:w="2024"/>
        <w:gridCol w:w="2227"/>
        <w:gridCol w:w="2533"/>
      </w:tblGrid>
      <w:tr w:rsidR="00205F3C" w:rsidRPr="00205F3C" w:rsidTr="00205F3C">
        <w:trPr>
          <w:trHeight w:val="9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</w:pPr>
            <w:r w:rsidRPr="00205F3C">
              <w:t>SN No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Author and year of study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 of relapse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</w:t>
            </w:r>
            <w:bookmarkStart w:id="0" w:name="_GoBack"/>
            <w:bookmarkEnd w:id="0"/>
            <w:r w:rsidRPr="00205F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ange in EDSS score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Pain severity score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Fatigue severity score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Adverse events</w:t>
            </w:r>
          </w:p>
        </w:tc>
      </w:tr>
      <w:tr w:rsidR="00205F3C" w:rsidRPr="00205F3C" w:rsidTr="00205F3C">
        <w:trPr>
          <w:trHeight w:val="80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Manabu Araki et.al, 2014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Decreased from 2.9 ± 1.1 to 0.4 ± 0.8 (p , 0.005)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Decreased from 5.1 ± 1.7 (range, 3.0–6.5) to 4.1 ±  1.6 (range, 2.0–6.0)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Reduced from 3.0 ± 1.5 to 0.9 ± 1.2 at 12 months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Reduced from 6.1 ± 2.0 to 3.0 ±  1.4 at 12 months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 xml:space="preserve">upper respiratory infections, acute </w:t>
            </w:r>
            <w:proofErr w:type="spellStart"/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enterocolitis</w:t>
            </w:r>
            <w:proofErr w:type="spellEnd"/>
            <w:r w:rsidRPr="00205F3C">
              <w:rPr>
                <w:rFonts w:ascii="Times New Roman" w:hAnsi="Times New Roman" w:cs="Times New Roman"/>
                <w:sz w:val="18"/>
                <w:szCs w:val="18"/>
              </w:rPr>
              <w:t xml:space="preserve">, acute pyelonephritis, </w:t>
            </w:r>
            <w:proofErr w:type="spellStart"/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leukocytopenia</w:t>
            </w:r>
            <w:proofErr w:type="spellEnd"/>
            <w:r w:rsidRPr="00205F3C">
              <w:rPr>
                <w:rFonts w:ascii="Times New Roman" w:hAnsi="Times New Roman" w:cs="Times New Roman"/>
                <w:sz w:val="18"/>
                <w:szCs w:val="18"/>
              </w:rPr>
              <w:t xml:space="preserve"> and/or </w:t>
            </w:r>
            <w:proofErr w:type="spellStart"/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lymphocytopenia</w:t>
            </w:r>
            <w:proofErr w:type="spellEnd"/>
          </w:p>
        </w:tc>
      </w:tr>
      <w:tr w:rsidR="00205F3C" w:rsidRPr="00205F3C" w:rsidTr="00205F3C">
        <w:trPr>
          <w:trHeight w:val="9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 xml:space="preserve">Anthony </w:t>
            </w:r>
            <w:proofErr w:type="spellStart"/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Traboulsee</w:t>
            </w:r>
            <w:proofErr w:type="spellEnd"/>
            <w:r w:rsidRPr="00205F3C">
              <w:rPr>
                <w:rFonts w:ascii="Times New Roman" w:hAnsi="Times New Roman" w:cs="Times New Roman"/>
                <w:sz w:val="18"/>
                <w:szCs w:val="18"/>
              </w:rPr>
              <w:t xml:space="preserve"> et. l, 2020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Satralizumab</w:t>
            </w:r>
            <w:proofErr w:type="spellEnd"/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19/63(30%0</w:t>
            </w:r>
          </w:p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Placebo: 16/32(50pct)</w:t>
            </w:r>
          </w:p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HR 0·45 (0·23 to 0·89); p=0·018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Satralizumab</w:t>
            </w:r>
            <w:proofErr w:type="spellEnd"/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53 [–0·34 (–0·62 to –0·05)]</w:t>
            </w:r>
          </w:p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Placebo:</w:t>
            </w:r>
          </w:p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20 [–0·17 (–0·52 to 0·19)]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Satralizumab</w:t>
            </w:r>
            <w:proofErr w:type="spellEnd"/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62 [–2·74 (–11·20 to 5·73)]</w:t>
            </w:r>
          </w:p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Placebo:</w:t>
            </w:r>
          </w:p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32[ –5·95 (–15·55 to 3·65)] Difference:</w:t>
            </w:r>
          </w:p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3·21 (–5·09 to 11·52); p=0·44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Satralizumab</w:t>
            </w:r>
            <w:proofErr w:type="spellEnd"/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 xml:space="preserve">62 [5·71 (2·51 to 8·91)] </w:t>
            </w:r>
          </w:p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Placebo:</w:t>
            </w:r>
          </w:p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32 [3·60 (–0·01 to 7·22)]</w:t>
            </w:r>
          </w:p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 xml:space="preserve">Difference: </w:t>
            </w:r>
          </w:p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2·11 (–1·01 to 5·22)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urinary tract infection and upper respiratory tract infection</w:t>
            </w:r>
          </w:p>
        </w:tc>
      </w:tr>
      <w:tr w:rsidR="00205F3C" w:rsidRPr="00205F3C" w:rsidTr="00205F3C">
        <w:trPr>
          <w:trHeight w:val="9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Chao Zhang et.al, 2020(RCT)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HR 0·274 [95% CI 0·123–0·607]; p=0·0006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Relative risk 3·667 [95% CI 1·603–8·387]; p=0·0005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urinary tract infection, upper respiratory tract infection, anemia, leukopenia</w:t>
            </w:r>
          </w:p>
        </w:tc>
      </w:tr>
      <w:tr w:rsidR="00205F3C" w:rsidRPr="00205F3C" w:rsidTr="00205F3C">
        <w:trPr>
          <w:trHeight w:val="9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Ilya</w:t>
            </w:r>
            <w:proofErr w:type="spellEnd"/>
            <w:r w:rsidRPr="00205F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Ayzenberg</w:t>
            </w:r>
            <w:proofErr w:type="spellEnd"/>
            <w:r w:rsidRPr="00205F3C">
              <w:rPr>
                <w:rFonts w:ascii="Times New Roman" w:hAnsi="Times New Roman" w:cs="Times New Roman"/>
                <w:sz w:val="18"/>
                <w:szCs w:val="18"/>
              </w:rPr>
              <w:t xml:space="preserve"> et.al, 2013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decreased from 3.0 (range, 2.3-3.0) to 0.6 (range, 0-1.3)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EDSS did not change in 2 patient and 1 patient changed EDSS from 5 to 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</w:tr>
      <w:tr w:rsidR="00205F3C" w:rsidRPr="00205F3C" w:rsidTr="00205F3C">
        <w:trPr>
          <w:trHeight w:val="9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 xml:space="preserve">Marius </w:t>
            </w:r>
            <w:proofErr w:type="spellStart"/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Ringelstein</w:t>
            </w:r>
            <w:proofErr w:type="spellEnd"/>
            <w:r w:rsidRPr="00205F3C">
              <w:rPr>
                <w:rFonts w:ascii="Times New Roman" w:hAnsi="Times New Roman" w:cs="Times New Roman"/>
                <w:sz w:val="18"/>
                <w:szCs w:val="18"/>
              </w:rPr>
              <w:t xml:space="preserve"> et.al, 2015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Decreased from 4.0 (interquartile range, 3.0-5.0) to 0.4 (interquartile range, 0.0-0.8) (P = .008)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Decreased from 7.3 (interquartile range, 5.4-8.4) to 5.5 (interquartile range, 2.6-6.5) (P = .03).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 xml:space="preserve">Decreased from 6.5 (5.0-7.0) to 2.5 (0.3-4.5) (P = .02)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nausea, gastritis, transient diarrhea, headache, fatigue, and recurrent urinary tract infections</w:t>
            </w:r>
          </w:p>
        </w:tc>
      </w:tr>
      <w:tr w:rsidR="00205F3C" w:rsidRPr="00205F3C" w:rsidTr="00205F3C">
        <w:trPr>
          <w:trHeight w:val="9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Itay</w:t>
            </w:r>
            <w:proofErr w:type="spellEnd"/>
            <w:r w:rsidRPr="00205F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Lotan</w:t>
            </w:r>
            <w:proofErr w:type="spellEnd"/>
            <w:r w:rsidRPr="00205F3C">
              <w:rPr>
                <w:rFonts w:ascii="Times New Roman" w:hAnsi="Times New Roman" w:cs="Times New Roman"/>
                <w:sz w:val="18"/>
                <w:szCs w:val="18"/>
              </w:rPr>
              <w:t xml:space="preserve"> et.al, 2019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Decreased from 2.0 (interquartile range = 5.75-1.29 to 0 ( interquartile range= 1.0-0) p=0.0015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Ambulatory status:</w:t>
            </w:r>
          </w:p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improved in two patients remained stable in nine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urinary tract infections, skin abscess, asymptomatic neutropenia</w:t>
            </w:r>
          </w:p>
        </w:tc>
      </w:tr>
      <w:tr w:rsidR="00205F3C" w:rsidRPr="00205F3C" w:rsidTr="00205F3C">
        <w:trPr>
          <w:trHeight w:val="9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T.Yamamura</w:t>
            </w:r>
            <w:proofErr w:type="spellEnd"/>
            <w:r w:rsidRPr="00205F3C">
              <w:rPr>
                <w:rFonts w:ascii="Times New Roman" w:hAnsi="Times New Roman" w:cs="Times New Roman"/>
                <w:sz w:val="18"/>
                <w:szCs w:val="18"/>
              </w:rPr>
              <w:t xml:space="preserve"> et.al, 2019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Satralizumab</w:t>
            </w:r>
            <w:proofErr w:type="spellEnd"/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STZ: 8/41</w:t>
            </w:r>
          </w:p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Placebo:</w:t>
            </w:r>
          </w:p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18/42</w:t>
            </w:r>
          </w:p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Hazard ratio:</w:t>
            </w:r>
          </w:p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0.34 (0.15 to 0.77)</w:t>
            </w:r>
          </w:p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Satralizumab</w:t>
            </w:r>
            <w:proofErr w:type="spellEnd"/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−0.10</w:t>
            </w:r>
          </w:p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Placebo:</w:t>
            </w:r>
          </w:p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−0.21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Satralizumab</w:t>
            </w:r>
            <w:proofErr w:type="spellEnd"/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0.35±4.52 Placebo:</w:t>
            </w:r>
          </w:p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−3.73±4.12 4.08</w:t>
            </w:r>
          </w:p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 xml:space="preserve">Hazard ratio: (−8.44 to 16.61) </w:t>
            </w:r>
          </w:p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P=0.52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Satralizumab</w:t>
            </w:r>
            <w:proofErr w:type="spellEnd"/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0.02±2.00 Placebo:</w:t>
            </w:r>
          </w:p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3.12±1.79 Hazard ratio: −3.10 (−8.38 to 2.18)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Infection, neoplasm</w:t>
            </w:r>
          </w:p>
        </w:tc>
      </w:tr>
      <w:tr w:rsidR="00205F3C" w:rsidRPr="00205F3C" w:rsidTr="00205F3C">
        <w:trPr>
          <w:trHeight w:val="9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 xml:space="preserve">Sean J </w:t>
            </w:r>
            <w:proofErr w:type="spellStart"/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Pittock</w:t>
            </w:r>
            <w:proofErr w:type="spellEnd"/>
            <w:r w:rsidRPr="00205F3C">
              <w:rPr>
                <w:rFonts w:ascii="Times New Roman" w:hAnsi="Times New Roman" w:cs="Times New Roman"/>
                <w:sz w:val="18"/>
                <w:szCs w:val="18"/>
              </w:rPr>
              <w:t xml:space="preserve"> et.al, 2013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3 to 0 (range zero to one) (p&lt;0·0001)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 xml:space="preserve">3·5 to 4·0 (0– 10·0) (mean diff </w:t>
            </w:r>
            <w:proofErr w:type="spellStart"/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erence</w:t>
            </w:r>
            <w:proofErr w:type="spellEnd"/>
            <w:r w:rsidRPr="00205F3C">
              <w:rPr>
                <w:rFonts w:ascii="Times New Roman" w:hAnsi="Times New Roman" w:cs="Times New Roman"/>
                <w:sz w:val="18"/>
                <w:szCs w:val="18"/>
              </w:rPr>
              <w:t xml:space="preserve"> 0·3 [95% CI –0·1 to 0·6]; p=0·50)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Headache, nausea, dizziness, diarrhea, coughing, abdominal pain</w:t>
            </w:r>
          </w:p>
        </w:tc>
      </w:tr>
      <w:tr w:rsidR="00205F3C" w:rsidRPr="00205F3C" w:rsidTr="00205F3C">
        <w:trPr>
          <w:trHeight w:val="9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 xml:space="preserve">Dean M. </w:t>
            </w:r>
            <w:proofErr w:type="spellStart"/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Wingerchuk</w:t>
            </w:r>
            <w:proofErr w:type="spellEnd"/>
            <w:r w:rsidRPr="00205F3C">
              <w:rPr>
                <w:rFonts w:ascii="Times New Roman" w:hAnsi="Times New Roman" w:cs="Times New Roman"/>
                <w:sz w:val="18"/>
                <w:szCs w:val="18"/>
              </w:rPr>
              <w:t xml:space="preserve"> et al, 2021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Eculizumab</w:t>
            </w:r>
            <w:proofErr w:type="spellEnd"/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0.025 (95% CI = 0.013–0.048) Placebo:</w:t>
            </w:r>
          </w:p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 xml:space="preserve">0.350 (95% CI = 0.199–0.616) </w:t>
            </w:r>
          </w:p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Trend toward improvement no data available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 xml:space="preserve">Headache, upper respiratory tract infection, </w:t>
            </w:r>
            <w:proofErr w:type="spellStart"/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nasopharyngitis</w:t>
            </w:r>
            <w:proofErr w:type="spellEnd"/>
            <w:r w:rsidRPr="00205F3C">
              <w:rPr>
                <w:rFonts w:ascii="Times New Roman" w:hAnsi="Times New Roman" w:cs="Times New Roman"/>
                <w:sz w:val="18"/>
                <w:szCs w:val="18"/>
              </w:rPr>
              <w:t xml:space="preserve">, urinary tract infection, arthralgia, back pain, diarrhea, and nausea </w:t>
            </w:r>
          </w:p>
        </w:tc>
      </w:tr>
      <w:tr w:rsidR="00205F3C" w:rsidRPr="00205F3C" w:rsidTr="00205F3C">
        <w:trPr>
          <w:trHeight w:val="9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Bruce A C Cree et al, 2019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AQP4-IgG seropositive:</w:t>
            </w:r>
          </w:p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Inebilizumab</w:t>
            </w:r>
            <w:proofErr w:type="spellEnd"/>
            <w:r w:rsidRPr="00205F3C">
              <w:rPr>
                <w:rFonts w:ascii="Times New Roman" w:hAnsi="Times New Roman" w:cs="Times New Roman"/>
                <w:sz w:val="18"/>
                <w:szCs w:val="18"/>
              </w:rPr>
              <w:t xml:space="preserve">: 18/161 (11%) </w:t>
            </w:r>
            <w:r w:rsidRPr="00205F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placebo 22/52(42%) (HR 0·227 [95% CI 0·121–0·423]; p&lt;0·0001)</w:t>
            </w:r>
          </w:p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Intention-to-treat population:</w:t>
            </w:r>
          </w:p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Inebilizumab</w:t>
            </w:r>
            <w:proofErr w:type="spellEnd"/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: 21/174 (12%) placebo 22/56(39%) (hazard ratio [HR] 0·272 [95% CI 0·150–0·496]; p&lt;0·0001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AQP4-IgG seropositive:</w:t>
            </w:r>
          </w:p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 xml:space="preserve">Placebo: 18/52 (35%) </w:t>
            </w:r>
            <w:r w:rsidRPr="00205F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Inebilizumab</w:t>
            </w:r>
            <w:proofErr w:type="gramStart"/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:25</w:t>
            </w:r>
            <w:proofErr w:type="gramEnd"/>
            <w:r w:rsidRPr="00205F3C">
              <w:rPr>
                <w:rFonts w:ascii="Times New Roman" w:hAnsi="Times New Roman" w:cs="Times New Roman"/>
                <w:sz w:val="18"/>
                <w:szCs w:val="18"/>
              </w:rPr>
              <w:t xml:space="preserve">/161(16%) OR 0·371 (0·181 to 0·763) p=0·0070 </w:t>
            </w:r>
          </w:p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Intention-to-treat population:</w:t>
            </w:r>
          </w:p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 xml:space="preserve">Placebo: 19/56(34%) </w:t>
            </w:r>
            <w:proofErr w:type="spellStart"/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Inebilizumab</w:t>
            </w:r>
            <w:proofErr w:type="spellEnd"/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: 27/174 (16%) OR 0·370 (0·185 to 0·739) 0·0049</w:t>
            </w:r>
          </w:p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 xml:space="preserve">Urinary tract infection, arthralgia, back pain, headache, </w:t>
            </w:r>
            <w:proofErr w:type="spellStart"/>
            <w:r w:rsidRPr="00205F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nasopharyngitis</w:t>
            </w:r>
            <w:proofErr w:type="spellEnd"/>
            <w:r w:rsidRPr="00205F3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diarrhoea</w:t>
            </w:r>
            <w:proofErr w:type="spellEnd"/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, upper respiratory tract infection</w:t>
            </w:r>
          </w:p>
        </w:tc>
      </w:tr>
      <w:tr w:rsidR="00205F3C" w:rsidRPr="00205F3C" w:rsidTr="00205F3C">
        <w:trPr>
          <w:trHeight w:val="9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 xml:space="preserve">S.J. </w:t>
            </w:r>
            <w:proofErr w:type="spellStart"/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Pittock</w:t>
            </w:r>
            <w:proofErr w:type="spellEnd"/>
            <w:r w:rsidRPr="00205F3C">
              <w:rPr>
                <w:rFonts w:ascii="Times New Roman" w:hAnsi="Times New Roman" w:cs="Times New Roman"/>
                <w:sz w:val="18"/>
                <w:szCs w:val="18"/>
              </w:rPr>
              <w:t xml:space="preserve"> et al, 2019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Eculizumab</w:t>
            </w:r>
            <w:proofErr w:type="spellEnd"/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 xml:space="preserve">3/96(3%) </w:t>
            </w:r>
          </w:p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Placebo:</w:t>
            </w:r>
          </w:p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20/47(43%)</w:t>
            </w:r>
          </w:p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Hazard ratio:</w:t>
            </w:r>
          </w:p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0.04 (0.01 to 0.15) p&lt;0.001</w:t>
            </w:r>
          </w:p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Eculizumab</w:t>
            </w:r>
            <w:proofErr w:type="spellEnd"/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–0.18±0.81 Placebo:</w:t>
            </w:r>
          </w:p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0.12±0.95 –Hazard ratio:</w:t>
            </w:r>
          </w:p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0.29 (–0.59 to 0.01)</w:t>
            </w:r>
          </w:p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C" w:rsidRPr="00205F3C" w:rsidRDefault="00205F3C" w:rsidP="00205F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05F3C">
              <w:rPr>
                <w:rFonts w:ascii="Times New Roman" w:hAnsi="Times New Roman" w:cs="Times New Roman"/>
                <w:sz w:val="18"/>
                <w:szCs w:val="18"/>
              </w:rPr>
              <w:t xml:space="preserve">Upper respiratory tract infection, headache, </w:t>
            </w:r>
            <w:proofErr w:type="spellStart"/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nasopharyngitis</w:t>
            </w:r>
            <w:proofErr w:type="spellEnd"/>
            <w:r w:rsidRPr="00205F3C">
              <w:rPr>
                <w:rFonts w:ascii="Times New Roman" w:hAnsi="Times New Roman" w:cs="Times New Roman"/>
                <w:sz w:val="18"/>
                <w:szCs w:val="18"/>
              </w:rPr>
              <w:t>, nausea, diarrhea, urinary tract infection</w:t>
            </w:r>
          </w:p>
        </w:tc>
      </w:tr>
    </w:tbl>
    <w:p w:rsidR="00A049A1" w:rsidRPr="00205F3C" w:rsidRDefault="00A049A1" w:rsidP="00205F3C">
      <w:pPr>
        <w:pStyle w:val="NoSpacing"/>
        <w:rPr>
          <w:rFonts w:ascii="Times New Roman" w:hAnsi="Times New Roman" w:cs="Times New Roman"/>
          <w:sz w:val="18"/>
          <w:szCs w:val="18"/>
          <w:lang w:val="en-GB"/>
        </w:rPr>
      </w:pPr>
    </w:p>
    <w:p w:rsidR="002E2292" w:rsidRPr="00205F3C" w:rsidRDefault="002E2292" w:rsidP="00205F3C">
      <w:pPr>
        <w:pStyle w:val="NoSpacing"/>
        <w:rPr>
          <w:rFonts w:ascii="Times New Roman" w:hAnsi="Times New Roman" w:cs="Times New Roman"/>
          <w:sz w:val="18"/>
          <w:szCs w:val="18"/>
          <w:lang w:val="en-GB"/>
        </w:rPr>
      </w:pPr>
    </w:p>
    <w:p w:rsidR="00E36E38" w:rsidRPr="00205F3C" w:rsidRDefault="00A049A1" w:rsidP="00205F3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05F3C">
        <w:rPr>
          <w:rFonts w:ascii="Times New Roman" w:hAnsi="Times New Roman" w:cs="Times New Roman"/>
          <w:sz w:val="18"/>
          <w:szCs w:val="18"/>
        </w:rPr>
        <w:t>Table 2: Outcomes of the included studies</w:t>
      </w:r>
    </w:p>
    <w:p w:rsidR="00A049A1" w:rsidRPr="00205F3C" w:rsidRDefault="00A049A1" w:rsidP="00205F3C">
      <w:pPr>
        <w:pStyle w:val="NoSpacing"/>
        <w:rPr>
          <w:rFonts w:ascii="Times New Roman" w:hAnsi="Times New Roman" w:cs="Times New Roman"/>
          <w:sz w:val="18"/>
          <w:szCs w:val="18"/>
        </w:rPr>
      </w:pPr>
    </w:p>
    <w:sectPr w:rsidR="00A049A1" w:rsidRPr="00205F3C" w:rsidSect="00107D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5C"/>
    <w:rsid w:val="00035D72"/>
    <w:rsid w:val="00045E52"/>
    <w:rsid w:val="00107D78"/>
    <w:rsid w:val="00205F3C"/>
    <w:rsid w:val="00231ACA"/>
    <w:rsid w:val="002E027C"/>
    <w:rsid w:val="002E2292"/>
    <w:rsid w:val="003237A2"/>
    <w:rsid w:val="005379FB"/>
    <w:rsid w:val="0054126A"/>
    <w:rsid w:val="00571CB3"/>
    <w:rsid w:val="005A3076"/>
    <w:rsid w:val="005D53DE"/>
    <w:rsid w:val="005E49E7"/>
    <w:rsid w:val="006960F2"/>
    <w:rsid w:val="0077495C"/>
    <w:rsid w:val="00894E97"/>
    <w:rsid w:val="00937326"/>
    <w:rsid w:val="00A049A1"/>
    <w:rsid w:val="00D65725"/>
    <w:rsid w:val="00DB6FB8"/>
    <w:rsid w:val="00DC43BF"/>
    <w:rsid w:val="00E36E38"/>
    <w:rsid w:val="00E76116"/>
    <w:rsid w:val="00F8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05F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05F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2021-06-25T09:25:00Z</dcterms:created>
  <dcterms:modified xsi:type="dcterms:W3CDTF">2021-07-23T01:16:00Z</dcterms:modified>
</cp:coreProperties>
</file>