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750907" w14:textId="25F32679" w:rsidR="00F30B6B" w:rsidRPr="00F37253" w:rsidRDefault="00F30B6B" w:rsidP="009C2A20">
      <w:pPr>
        <w:spacing w:after="240" w:line="360" w:lineRule="auto"/>
        <w:contextualSpacing/>
        <w:rPr>
          <w:rFonts w:ascii="Calibri" w:eastAsia="MS Gothic" w:hAnsi="Calibri"/>
          <w:b/>
          <w:bCs/>
          <w:color w:val="000000"/>
          <w:spacing w:val="-10"/>
          <w:kern w:val="28"/>
          <w:sz w:val="48"/>
          <w:szCs w:val="48"/>
          <w:lang w:val="en-US" w:eastAsia="en-US"/>
        </w:rPr>
      </w:pPr>
      <w:r w:rsidRPr="00F37253">
        <w:rPr>
          <w:rFonts w:ascii="Calibri" w:eastAsia="MS Gothic" w:hAnsi="Calibri"/>
          <w:b/>
          <w:bCs/>
          <w:color w:val="000000"/>
          <w:spacing w:val="-10"/>
          <w:kern w:val="28"/>
          <w:sz w:val="48"/>
          <w:szCs w:val="48"/>
          <w:lang w:val="en-US" w:eastAsia="en-US"/>
        </w:rPr>
        <w:t xml:space="preserve">Effectiveness of Tocilizumab, Sarilumab, and Anakinra for critically ill patients with </w:t>
      </w:r>
      <w:r w:rsidR="00F559D6">
        <w:rPr>
          <w:rFonts w:ascii="Calibri" w:eastAsia="MS Gothic" w:hAnsi="Calibri"/>
          <w:b/>
          <w:bCs/>
          <w:color w:val="000000"/>
          <w:spacing w:val="-10"/>
          <w:kern w:val="28"/>
          <w:sz w:val="48"/>
          <w:szCs w:val="48"/>
          <w:lang w:val="en-US" w:eastAsia="en-US"/>
        </w:rPr>
        <w:t>COVID</w:t>
      </w:r>
      <w:r w:rsidRPr="00F37253">
        <w:rPr>
          <w:rFonts w:ascii="Calibri" w:eastAsia="MS Gothic" w:hAnsi="Calibri"/>
          <w:b/>
          <w:bCs/>
          <w:color w:val="000000"/>
          <w:spacing w:val="-10"/>
          <w:kern w:val="28"/>
          <w:sz w:val="48"/>
          <w:szCs w:val="48"/>
          <w:lang w:val="en-US" w:eastAsia="en-US"/>
        </w:rPr>
        <w:t>-19</w:t>
      </w:r>
    </w:p>
    <w:p w14:paraId="5A30FB28" w14:textId="1300F2F3" w:rsidR="00F30B6B" w:rsidRPr="00F37253" w:rsidRDefault="00F30B6B" w:rsidP="009C2A20">
      <w:pPr>
        <w:spacing w:after="240" w:line="360" w:lineRule="auto"/>
        <w:rPr>
          <w:rFonts w:asciiTheme="minorHAnsi" w:hAnsiTheme="minorHAnsi" w:cs="Calibri"/>
          <w:b/>
          <w:bCs/>
          <w:color w:val="000000"/>
          <w:sz w:val="28"/>
          <w:szCs w:val="28"/>
          <w:lang w:val="en-US" w:eastAsia="en-US"/>
        </w:rPr>
      </w:pPr>
      <w:r w:rsidRPr="00F37253">
        <w:rPr>
          <w:rFonts w:asciiTheme="minorHAnsi" w:hAnsiTheme="minorHAnsi" w:cs="Calibri"/>
          <w:b/>
          <w:bCs/>
          <w:color w:val="000000"/>
          <w:sz w:val="28"/>
          <w:szCs w:val="28"/>
          <w:lang w:val="en-US" w:eastAsia="en-US"/>
        </w:rPr>
        <w:t>Supplementary Appendix</w:t>
      </w:r>
    </w:p>
    <w:sdt>
      <w:sdtPr>
        <w:rPr>
          <w:rFonts w:ascii="Times New Roman" w:eastAsia="Times New Roman" w:hAnsi="Times New Roman" w:cs="Times New Roman"/>
          <w:b w:val="0"/>
          <w:bCs w:val="0"/>
          <w:color w:val="auto"/>
          <w:sz w:val="24"/>
          <w:szCs w:val="24"/>
          <w:lang w:val="en-GB" w:eastAsia="en-GB"/>
        </w:rPr>
        <w:id w:val="713321479"/>
        <w:docPartObj>
          <w:docPartGallery w:val="Table of Contents"/>
          <w:docPartUnique/>
        </w:docPartObj>
      </w:sdtPr>
      <w:sdtEndPr>
        <w:rPr>
          <w:noProof/>
        </w:rPr>
      </w:sdtEndPr>
      <w:sdtContent>
        <w:p w14:paraId="2212D7EF" w14:textId="0ECE23DD" w:rsidR="0051384A" w:rsidRDefault="0051384A" w:rsidP="00712369">
          <w:pPr>
            <w:pStyle w:val="TOCHeading"/>
            <w:spacing w:line="240" w:lineRule="auto"/>
          </w:pPr>
          <w:r>
            <w:t>Table of Contents</w:t>
          </w:r>
        </w:p>
        <w:p w14:paraId="668DE2A1" w14:textId="68F16D52" w:rsidR="00235E45" w:rsidRDefault="0051384A">
          <w:pPr>
            <w:pStyle w:val="TOC1"/>
            <w:tabs>
              <w:tab w:val="left" w:pos="480"/>
              <w:tab w:val="right" w:pos="9010"/>
            </w:tabs>
            <w:rPr>
              <w:rFonts w:asciiTheme="minorHAnsi" w:eastAsiaTheme="minorEastAsia" w:hAnsiTheme="minorHAnsi" w:cstheme="minorBidi"/>
              <w:b w:val="0"/>
              <w:bCs w:val="0"/>
              <w:caps w:val="0"/>
              <w:noProof/>
              <w:lang w:val="en-NL" w:eastAsia="en-US"/>
            </w:rPr>
          </w:pPr>
          <w:r>
            <w:rPr>
              <w:b w:val="0"/>
              <w:bCs w:val="0"/>
            </w:rPr>
            <w:fldChar w:fldCharType="begin"/>
          </w:r>
          <w:r>
            <w:instrText xml:space="preserve"> TOC \o "1-3" \h \z \u </w:instrText>
          </w:r>
          <w:r>
            <w:rPr>
              <w:b w:val="0"/>
              <w:bCs w:val="0"/>
            </w:rPr>
            <w:fldChar w:fldCharType="separate"/>
          </w:r>
          <w:hyperlink w:anchor="_Toc74659147" w:history="1">
            <w:r w:rsidR="00235E45" w:rsidRPr="004A2C55">
              <w:rPr>
                <w:rStyle w:val="Hyperlink"/>
                <w:noProof/>
              </w:rPr>
              <w:t>1.</w:t>
            </w:r>
            <w:r w:rsidR="00235E45">
              <w:rPr>
                <w:rFonts w:asciiTheme="minorHAnsi" w:eastAsiaTheme="minorEastAsia" w:hAnsiTheme="minorHAnsi" w:cstheme="minorBidi"/>
                <w:b w:val="0"/>
                <w:bCs w:val="0"/>
                <w:caps w:val="0"/>
                <w:noProof/>
                <w:lang w:val="en-NL" w:eastAsia="en-US"/>
              </w:rPr>
              <w:tab/>
            </w:r>
            <w:r w:rsidR="00235E45" w:rsidRPr="004A2C55">
              <w:rPr>
                <w:rStyle w:val="Hyperlink"/>
                <w:noProof/>
              </w:rPr>
              <w:t>REMAP-CAP investigators</w:t>
            </w:r>
            <w:r w:rsidR="00235E45">
              <w:rPr>
                <w:noProof/>
                <w:webHidden/>
              </w:rPr>
              <w:tab/>
            </w:r>
            <w:r w:rsidR="00235E45">
              <w:rPr>
                <w:noProof/>
                <w:webHidden/>
              </w:rPr>
              <w:fldChar w:fldCharType="begin"/>
            </w:r>
            <w:r w:rsidR="00235E45">
              <w:rPr>
                <w:noProof/>
                <w:webHidden/>
              </w:rPr>
              <w:instrText xml:space="preserve"> PAGEREF _Toc74659147 \h </w:instrText>
            </w:r>
            <w:r w:rsidR="00235E45">
              <w:rPr>
                <w:noProof/>
                <w:webHidden/>
              </w:rPr>
            </w:r>
            <w:r w:rsidR="00235E45">
              <w:rPr>
                <w:noProof/>
                <w:webHidden/>
              </w:rPr>
              <w:fldChar w:fldCharType="separate"/>
            </w:r>
            <w:r w:rsidR="00235E45">
              <w:rPr>
                <w:noProof/>
                <w:webHidden/>
              </w:rPr>
              <w:t>3</w:t>
            </w:r>
            <w:r w:rsidR="00235E45">
              <w:rPr>
                <w:noProof/>
                <w:webHidden/>
              </w:rPr>
              <w:fldChar w:fldCharType="end"/>
            </w:r>
          </w:hyperlink>
        </w:p>
        <w:p w14:paraId="6C3C3931" w14:textId="021B3747" w:rsidR="00235E45" w:rsidRDefault="00493306">
          <w:pPr>
            <w:pStyle w:val="TOC2"/>
            <w:tabs>
              <w:tab w:val="left" w:pos="720"/>
              <w:tab w:val="right" w:pos="9010"/>
            </w:tabs>
            <w:rPr>
              <w:rFonts w:eastAsiaTheme="minorEastAsia" w:cstheme="minorBidi"/>
              <w:b w:val="0"/>
              <w:bCs w:val="0"/>
              <w:noProof/>
              <w:sz w:val="24"/>
              <w:szCs w:val="24"/>
              <w:lang w:val="en-NL" w:eastAsia="en-US"/>
            </w:rPr>
          </w:pPr>
          <w:hyperlink w:anchor="_Toc74659148" w:history="1">
            <w:r w:rsidR="00235E45" w:rsidRPr="004A2C55">
              <w:rPr>
                <w:rStyle w:val="Hyperlink"/>
                <w:noProof/>
              </w:rPr>
              <w:t>1.1.</w:t>
            </w:r>
            <w:r w:rsidR="00235E45">
              <w:rPr>
                <w:rFonts w:eastAsiaTheme="minorEastAsia" w:cstheme="minorBidi"/>
                <w:b w:val="0"/>
                <w:bCs w:val="0"/>
                <w:noProof/>
                <w:sz w:val="24"/>
                <w:szCs w:val="24"/>
                <w:lang w:val="en-NL" w:eastAsia="en-US"/>
              </w:rPr>
              <w:tab/>
            </w:r>
            <w:r w:rsidR="00235E45" w:rsidRPr="004A2C55">
              <w:rPr>
                <w:rStyle w:val="Hyperlink"/>
                <w:noProof/>
              </w:rPr>
              <w:t>Immune Modulation Therapy domain Writing Committee</w:t>
            </w:r>
            <w:r w:rsidR="00235E45">
              <w:rPr>
                <w:noProof/>
                <w:webHidden/>
              </w:rPr>
              <w:tab/>
            </w:r>
            <w:r w:rsidR="00235E45">
              <w:rPr>
                <w:noProof/>
                <w:webHidden/>
              </w:rPr>
              <w:fldChar w:fldCharType="begin"/>
            </w:r>
            <w:r w:rsidR="00235E45">
              <w:rPr>
                <w:noProof/>
                <w:webHidden/>
              </w:rPr>
              <w:instrText xml:space="preserve"> PAGEREF _Toc74659148 \h </w:instrText>
            </w:r>
            <w:r w:rsidR="00235E45">
              <w:rPr>
                <w:noProof/>
                <w:webHidden/>
              </w:rPr>
            </w:r>
            <w:r w:rsidR="00235E45">
              <w:rPr>
                <w:noProof/>
                <w:webHidden/>
              </w:rPr>
              <w:fldChar w:fldCharType="separate"/>
            </w:r>
            <w:r w:rsidR="00235E45">
              <w:rPr>
                <w:noProof/>
                <w:webHidden/>
              </w:rPr>
              <w:t>3</w:t>
            </w:r>
            <w:r w:rsidR="00235E45">
              <w:rPr>
                <w:noProof/>
                <w:webHidden/>
              </w:rPr>
              <w:fldChar w:fldCharType="end"/>
            </w:r>
          </w:hyperlink>
        </w:p>
        <w:p w14:paraId="5D6AEC8F" w14:textId="3D757D05" w:rsidR="00235E45" w:rsidRDefault="00493306">
          <w:pPr>
            <w:pStyle w:val="TOC2"/>
            <w:tabs>
              <w:tab w:val="left" w:pos="720"/>
              <w:tab w:val="right" w:pos="9010"/>
            </w:tabs>
            <w:rPr>
              <w:rFonts w:eastAsiaTheme="minorEastAsia" w:cstheme="minorBidi"/>
              <w:b w:val="0"/>
              <w:bCs w:val="0"/>
              <w:noProof/>
              <w:sz w:val="24"/>
              <w:szCs w:val="24"/>
              <w:lang w:val="en-NL" w:eastAsia="en-US"/>
            </w:rPr>
          </w:pPr>
          <w:hyperlink w:anchor="_Toc74659149" w:history="1">
            <w:r w:rsidR="00235E45" w:rsidRPr="004A2C55">
              <w:rPr>
                <w:rStyle w:val="Hyperlink"/>
                <w:rFonts w:eastAsia="Calibri"/>
                <w:noProof/>
                <w:lang w:eastAsia="en-US"/>
              </w:rPr>
              <w:t>1.2.</w:t>
            </w:r>
            <w:r w:rsidR="00235E45">
              <w:rPr>
                <w:rFonts w:eastAsiaTheme="minorEastAsia" w:cstheme="minorBidi"/>
                <w:b w:val="0"/>
                <w:bCs w:val="0"/>
                <w:noProof/>
                <w:sz w:val="24"/>
                <w:szCs w:val="24"/>
                <w:lang w:val="en-NL" w:eastAsia="en-US"/>
              </w:rPr>
              <w:tab/>
            </w:r>
            <w:r w:rsidR="00235E45" w:rsidRPr="004A2C55">
              <w:rPr>
                <w:rStyle w:val="Hyperlink"/>
                <w:rFonts w:eastAsia="Calibri"/>
                <w:noProof/>
                <w:lang w:eastAsia="en-US"/>
              </w:rPr>
              <w:t>REMAP-CAP Trial Investigators and Collaborators</w:t>
            </w:r>
            <w:r w:rsidR="00235E45">
              <w:rPr>
                <w:noProof/>
                <w:webHidden/>
              </w:rPr>
              <w:tab/>
            </w:r>
            <w:r w:rsidR="00235E45">
              <w:rPr>
                <w:noProof/>
                <w:webHidden/>
              </w:rPr>
              <w:fldChar w:fldCharType="begin"/>
            </w:r>
            <w:r w:rsidR="00235E45">
              <w:rPr>
                <w:noProof/>
                <w:webHidden/>
              </w:rPr>
              <w:instrText xml:space="preserve"> PAGEREF _Toc74659149 \h </w:instrText>
            </w:r>
            <w:r w:rsidR="00235E45">
              <w:rPr>
                <w:noProof/>
                <w:webHidden/>
              </w:rPr>
            </w:r>
            <w:r w:rsidR="00235E45">
              <w:rPr>
                <w:noProof/>
                <w:webHidden/>
              </w:rPr>
              <w:fldChar w:fldCharType="separate"/>
            </w:r>
            <w:r w:rsidR="00235E45">
              <w:rPr>
                <w:noProof/>
                <w:webHidden/>
              </w:rPr>
              <w:t>4</w:t>
            </w:r>
            <w:r w:rsidR="00235E45">
              <w:rPr>
                <w:noProof/>
                <w:webHidden/>
              </w:rPr>
              <w:fldChar w:fldCharType="end"/>
            </w:r>
          </w:hyperlink>
        </w:p>
        <w:p w14:paraId="6A02092E" w14:textId="6E29D00D" w:rsidR="00235E45" w:rsidRDefault="00493306">
          <w:pPr>
            <w:pStyle w:val="TOC1"/>
            <w:tabs>
              <w:tab w:val="left" w:pos="480"/>
              <w:tab w:val="right" w:pos="9010"/>
            </w:tabs>
            <w:rPr>
              <w:rFonts w:asciiTheme="minorHAnsi" w:eastAsiaTheme="minorEastAsia" w:hAnsiTheme="minorHAnsi" w:cstheme="minorBidi"/>
              <w:b w:val="0"/>
              <w:bCs w:val="0"/>
              <w:caps w:val="0"/>
              <w:noProof/>
              <w:lang w:val="en-NL" w:eastAsia="en-US"/>
            </w:rPr>
          </w:pPr>
          <w:hyperlink w:anchor="_Toc74659150" w:history="1">
            <w:r w:rsidR="00235E45" w:rsidRPr="004A2C55">
              <w:rPr>
                <w:rStyle w:val="Hyperlink"/>
                <w:iCs/>
                <w:noProof/>
              </w:rPr>
              <w:t>2.</w:t>
            </w:r>
            <w:r w:rsidR="00235E45">
              <w:rPr>
                <w:rFonts w:asciiTheme="minorHAnsi" w:eastAsiaTheme="minorEastAsia" w:hAnsiTheme="minorHAnsi" w:cstheme="minorBidi"/>
                <w:b w:val="0"/>
                <w:bCs w:val="0"/>
                <w:caps w:val="0"/>
                <w:noProof/>
                <w:lang w:val="en-NL" w:eastAsia="en-US"/>
              </w:rPr>
              <w:tab/>
            </w:r>
            <w:r w:rsidR="00235E45" w:rsidRPr="004A2C55">
              <w:rPr>
                <w:rStyle w:val="Hyperlink"/>
                <w:iCs/>
                <w:noProof/>
              </w:rPr>
              <w:t>Additional methods</w:t>
            </w:r>
            <w:r w:rsidR="00235E45">
              <w:rPr>
                <w:noProof/>
                <w:webHidden/>
              </w:rPr>
              <w:tab/>
            </w:r>
            <w:r w:rsidR="00235E45">
              <w:rPr>
                <w:noProof/>
                <w:webHidden/>
              </w:rPr>
              <w:fldChar w:fldCharType="begin"/>
            </w:r>
            <w:r w:rsidR="00235E45">
              <w:rPr>
                <w:noProof/>
                <w:webHidden/>
              </w:rPr>
              <w:instrText xml:space="preserve"> PAGEREF _Toc74659150 \h </w:instrText>
            </w:r>
            <w:r w:rsidR="00235E45">
              <w:rPr>
                <w:noProof/>
                <w:webHidden/>
              </w:rPr>
            </w:r>
            <w:r w:rsidR="00235E45">
              <w:rPr>
                <w:noProof/>
                <w:webHidden/>
              </w:rPr>
              <w:fldChar w:fldCharType="separate"/>
            </w:r>
            <w:r w:rsidR="00235E45">
              <w:rPr>
                <w:noProof/>
                <w:webHidden/>
              </w:rPr>
              <w:t>27</w:t>
            </w:r>
            <w:r w:rsidR="00235E45">
              <w:rPr>
                <w:noProof/>
                <w:webHidden/>
              </w:rPr>
              <w:fldChar w:fldCharType="end"/>
            </w:r>
          </w:hyperlink>
        </w:p>
        <w:p w14:paraId="6B2724BE" w14:textId="223DE0DA" w:rsidR="00235E45" w:rsidRDefault="00493306">
          <w:pPr>
            <w:pStyle w:val="TOC2"/>
            <w:tabs>
              <w:tab w:val="left" w:pos="720"/>
              <w:tab w:val="right" w:pos="9010"/>
            </w:tabs>
            <w:rPr>
              <w:rFonts w:eastAsiaTheme="minorEastAsia" w:cstheme="minorBidi"/>
              <w:b w:val="0"/>
              <w:bCs w:val="0"/>
              <w:noProof/>
              <w:sz w:val="24"/>
              <w:szCs w:val="24"/>
              <w:lang w:val="en-NL" w:eastAsia="en-US"/>
            </w:rPr>
          </w:pPr>
          <w:hyperlink w:anchor="_Toc74659151" w:history="1">
            <w:r w:rsidR="00235E45" w:rsidRPr="004A2C55">
              <w:rPr>
                <w:rStyle w:val="Hyperlink"/>
                <w:noProof/>
              </w:rPr>
              <w:t>2.1.</w:t>
            </w:r>
            <w:r w:rsidR="00235E45">
              <w:rPr>
                <w:rFonts w:eastAsiaTheme="minorEastAsia" w:cstheme="minorBidi"/>
                <w:b w:val="0"/>
                <w:bCs w:val="0"/>
                <w:noProof/>
                <w:sz w:val="24"/>
                <w:szCs w:val="24"/>
                <w:lang w:val="en-NL" w:eastAsia="en-US"/>
              </w:rPr>
              <w:tab/>
            </w:r>
            <w:r w:rsidR="00235E45" w:rsidRPr="004A2C55">
              <w:rPr>
                <w:rStyle w:val="Hyperlink"/>
                <w:noProof/>
              </w:rPr>
              <w:t>REMAP-CAP eligibility criteria for suspected or proven COVID-19</w:t>
            </w:r>
            <w:r w:rsidR="00235E45">
              <w:rPr>
                <w:noProof/>
                <w:webHidden/>
              </w:rPr>
              <w:tab/>
            </w:r>
            <w:r w:rsidR="00235E45">
              <w:rPr>
                <w:noProof/>
                <w:webHidden/>
              </w:rPr>
              <w:fldChar w:fldCharType="begin"/>
            </w:r>
            <w:r w:rsidR="00235E45">
              <w:rPr>
                <w:noProof/>
                <w:webHidden/>
              </w:rPr>
              <w:instrText xml:space="preserve"> PAGEREF _Toc74659151 \h </w:instrText>
            </w:r>
            <w:r w:rsidR="00235E45">
              <w:rPr>
                <w:noProof/>
                <w:webHidden/>
              </w:rPr>
            </w:r>
            <w:r w:rsidR="00235E45">
              <w:rPr>
                <w:noProof/>
                <w:webHidden/>
              </w:rPr>
              <w:fldChar w:fldCharType="separate"/>
            </w:r>
            <w:r w:rsidR="00235E45">
              <w:rPr>
                <w:noProof/>
                <w:webHidden/>
              </w:rPr>
              <w:t>27</w:t>
            </w:r>
            <w:r w:rsidR="00235E45">
              <w:rPr>
                <w:noProof/>
                <w:webHidden/>
              </w:rPr>
              <w:fldChar w:fldCharType="end"/>
            </w:r>
          </w:hyperlink>
        </w:p>
        <w:p w14:paraId="57B9709A" w14:textId="0AAFD9E0" w:rsidR="00235E45" w:rsidRDefault="00493306">
          <w:pPr>
            <w:pStyle w:val="TOC2"/>
            <w:tabs>
              <w:tab w:val="left" w:pos="720"/>
              <w:tab w:val="right" w:pos="9010"/>
            </w:tabs>
            <w:rPr>
              <w:rFonts w:eastAsiaTheme="minorEastAsia" w:cstheme="minorBidi"/>
              <w:b w:val="0"/>
              <w:bCs w:val="0"/>
              <w:noProof/>
              <w:sz w:val="24"/>
              <w:szCs w:val="24"/>
              <w:lang w:val="en-NL" w:eastAsia="en-US"/>
            </w:rPr>
          </w:pPr>
          <w:hyperlink w:anchor="_Toc74659152" w:history="1">
            <w:r w:rsidR="00235E45" w:rsidRPr="004A2C55">
              <w:rPr>
                <w:rStyle w:val="Hyperlink"/>
                <w:noProof/>
              </w:rPr>
              <w:t>2.2.</w:t>
            </w:r>
            <w:r w:rsidR="00235E45">
              <w:rPr>
                <w:rFonts w:eastAsiaTheme="minorEastAsia" w:cstheme="minorBidi"/>
                <w:b w:val="0"/>
                <w:bCs w:val="0"/>
                <w:noProof/>
                <w:sz w:val="24"/>
                <w:szCs w:val="24"/>
                <w:lang w:val="en-NL" w:eastAsia="en-US"/>
              </w:rPr>
              <w:tab/>
            </w:r>
            <w:r w:rsidR="00235E45" w:rsidRPr="004A2C55">
              <w:rPr>
                <w:rStyle w:val="Hyperlink"/>
                <w:noProof/>
              </w:rPr>
              <w:t>Additional statistical methods</w:t>
            </w:r>
            <w:r w:rsidR="00235E45">
              <w:rPr>
                <w:noProof/>
                <w:webHidden/>
              </w:rPr>
              <w:tab/>
            </w:r>
            <w:r w:rsidR="00235E45">
              <w:rPr>
                <w:noProof/>
                <w:webHidden/>
              </w:rPr>
              <w:fldChar w:fldCharType="begin"/>
            </w:r>
            <w:r w:rsidR="00235E45">
              <w:rPr>
                <w:noProof/>
                <w:webHidden/>
              </w:rPr>
              <w:instrText xml:space="preserve"> PAGEREF _Toc74659152 \h </w:instrText>
            </w:r>
            <w:r w:rsidR="00235E45">
              <w:rPr>
                <w:noProof/>
                <w:webHidden/>
              </w:rPr>
            </w:r>
            <w:r w:rsidR="00235E45">
              <w:rPr>
                <w:noProof/>
                <w:webHidden/>
              </w:rPr>
              <w:fldChar w:fldCharType="separate"/>
            </w:r>
            <w:r w:rsidR="00235E45">
              <w:rPr>
                <w:noProof/>
                <w:webHidden/>
              </w:rPr>
              <w:t>29</w:t>
            </w:r>
            <w:r w:rsidR="00235E45">
              <w:rPr>
                <w:noProof/>
                <w:webHidden/>
              </w:rPr>
              <w:fldChar w:fldCharType="end"/>
            </w:r>
          </w:hyperlink>
        </w:p>
        <w:p w14:paraId="0021AD39" w14:textId="16506E0B" w:rsidR="00235E45" w:rsidRDefault="00493306">
          <w:pPr>
            <w:pStyle w:val="TOC1"/>
            <w:tabs>
              <w:tab w:val="left" w:pos="480"/>
              <w:tab w:val="right" w:pos="9010"/>
            </w:tabs>
            <w:rPr>
              <w:rFonts w:asciiTheme="minorHAnsi" w:eastAsiaTheme="minorEastAsia" w:hAnsiTheme="minorHAnsi" w:cstheme="minorBidi"/>
              <w:b w:val="0"/>
              <w:bCs w:val="0"/>
              <w:caps w:val="0"/>
              <w:noProof/>
              <w:lang w:val="en-NL" w:eastAsia="en-US"/>
            </w:rPr>
          </w:pPr>
          <w:hyperlink w:anchor="_Toc74659153" w:history="1">
            <w:r w:rsidR="00235E45" w:rsidRPr="004A2C55">
              <w:rPr>
                <w:rStyle w:val="Hyperlink"/>
                <w:iCs/>
                <w:noProof/>
              </w:rPr>
              <w:t>3.</w:t>
            </w:r>
            <w:r w:rsidR="00235E45">
              <w:rPr>
                <w:rFonts w:asciiTheme="minorHAnsi" w:eastAsiaTheme="minorEastAsia" w:hAnsiTheme="minorHAnsi" w:cstheme="minorBidi"/>
                <w:b w:val="0"/>
                <w:bCs w:val="0"/>
                <w:caps w:val="0"/>
                <w:noProof/>
                <w:lang w:val="en-NL" w:eastAsia="en-US"/>
              </w:rPr>
              <w:tab/>
            </w:r>
            <w:r w:rsidR="00235E45" w:rsidRPr="004A2C55">
              <w:rPr>
                <w:rStyle w:val="Hyperlink"/>
                <w:iCs/>
                <w:noProof/>
              </w:rPr>
              <w:t>Additional results and analyses</w:t>
            </w:r>
            <w:r w:rsidR="00235E45">
              <w:rPr>
                <w:noProof/>
                <w:webHidden/>
              </w:rPr>
              <w:tab/>
            </w:r>
            <w:r w:rsidR="00235E45">
              <w:rPr>
                <w:noProof/>
                <w:webHidden/>
              </w:rPr>
              <w:fldChar w:fldCharType="begin"/>
            </w:r>
            <w:r w:rsidR="00235E45">
              <w:rPr>
                <w:noProof/>
                <w:webHidden/>
              </w:rPr>
              <w:instrText xml:space="preserve"> PAGEREF _Toc74659153 \h </w:instrText>
            </w:r>
            <w:r w:rsidR="00235E45">
              <w:rPr>
                <w:noProof/>
                <w:webHidden/>
              </w:rPr>
            </w:r>
            <w:r w:rsidR="00235E45">
              <w:rPr>
                <w:noProof/>
                <w:webHidden/>
              </w:rPr>
              <w:fldChar w:fldCharType="separate"/>
            </w:r>
            <w:r w:rsidR="00235E45">
              <w:rPr>
                <w:noProof/>
                <w:webHidden/>
              </w:rPr>
              <w:t>31</w:t>
            </w:r>
            <w:r w:rsidR="00235E45">
              <w:rPr>
                <w:noProof/>
                <w:webHidden/>
              </w:rPr>
              <w:fldChar w:fldCharType="end"/>
            </w:r>
          </w:hyperlink>
        </w:p>
        <w:p w14:paraId="26FF1F0D" w14:textId="2E972CC2" w:rsidR="00235E45" w:rsidRDefault="00493306">
          <w:pPr>
            <w:pStyle w:val="TOC2"/>
            <w:tabs>
              <w:tab w:val="left" w:pos="720"/>
              <w:tab w:val="right" w:pos="9010"/>
            </w:tabs>
            <w:rPr>
              <w:rFonts w:eastAsiaTheme="minorEastAsia" w:cstheme="minorBidi"/>
              <w:b w:val="0"/>
              <w:bCs w:val="0"/>
              <w:noProof/>
              <w:sz w:val="24"/>
              <w:szCs w:val="24"/>
              <w:lang w:val="en-NL" w:eastAsia="en-US"/>
            </w:rPr>
          </w:pPr>
          <w:hyperlink w:anchor="_Toc74659154" w:history="1">
            <w:r w:rsidR="00235E45" w:rsidRPr="004A2C55">
              <w:rPr>
                <w:rStyle w:val="Hyperlink"/>
                <w:iCs/>
                <w:noProof/>
              </w:rPr>
              <w:t>3.1.</w:t>
            </w:r>
            <w:r w:rsidR="00235E45">
              <w:rPr>
                <w:rFonts w:eastAsiaTheme="minorEastAsia" w:cstheme="minorBidi"/>
                <w:b w:val="0"/>
                <w:bCs w:val="0"/>
                <w:noProof/>
                <w:sz w:val="24"/>
                <w:szCs w:val="24"/>
                <w:lang w:val="en-NL" w:eastAsia="en-US"/>
              </w:rPr>
              <w:tab/>
            </w:r>
            <w:r w:rsidR="00235E45" w:rsidRPr="004A2C55">
              <w:rPr>
                <w:rStyle w:val="Hyperlink"/>
                <w:iCs/>
                <w:noProof/>
              </w:rPr>
              <w:t>Site participation and exclusions</w:t>
            </w:r>
            <w:r w:rsidR="00235E45">
              <w:rPr>
                <w:noProof/>
                <w:webHidden/>
              </w:rPr>
              <w:tab/>
            </w:r>
            <w:r w:rsidR="00235E45">
              <w:rPr>
                <w:noProof/>
                <w:webHidden/>
              </w:rPr>
              <w:fldChar w:fldCharType="begin"/>
            </w:r>
            <w:r w:rsidR="00235E45">
              <w:rPr>
                <w:noProof/>
                <w:webHidden/>
              </w:rPr>
              <w:instrText xml:space="preserve"> PAGEREF _Toc74659154 \h </w:instrText>
            </w:r>
            <w:r w:rsidR="00235E45">
              <w:rPr>
                <w:noProof/>
                <w:webHidden/>
              </w:rPr>
            </w:r>
            <w:r w:rsidR="00235E45">
              <w:rPr>
                <w:noProof/>
                <w:webHidden/>
              </w:rPr>
              <w:fldChar w:fldCharType="separate"/>
            </w:r>
            <w:r w:rsidR="00235E45">
              <w:rPr>
                <w:noProof/>
                <w:webHidden/>
              </w:rPr>
              <w:t>31</w:t>
            </w:r>
            <w:r w:rsidR="00235E45">
              <w:rPr>
                <w:noProof/>
                <w:webHidden/>
              </w:rPr>
              <w:fldChar w:fldCharType="end"/>
            </w:r>
          </w:hyperlink>
        </w:p>
        <w:p w14:paraId="24570A2C" w14:textId="5ABF629F" w:rsidR="00235E45" w:rsidRDefault="00493306">
          <w:pPr>
            <w:pStyle w:val="TOC2"/>
            <w:tabs>
              <w:tab w:val="left" w:pos="720"/>
              <w:tab w:val="right" w:pos="9010"/>
            </w:tabs>
            <w:rPr>
              <w:rFonts w:eastAsiaTheme="minorEastAsia" w:cstheme="minorBidi"/>
              <w:b w:val="0"/>
              <w:bCs w:val="0"/>
              <w:noProof/>
              <w:sz w:val="24"/>
              <w:szCs w:val="24"/>
              <w:lang w:val="en-NL" w:eastAsia="en-US"/>
            </w:rPr>
          </w:pPr>
          <w:hyperlink w:anchor="_Toc74659155" w:history="1">
            <w:r w:rsidR="00235E45" w:rsidRPr="004A2C55">
              <w:rPr>
                <w:rStyle w:val="Hyperlink"/>
                <w:iCs/>
                <w:noProof/>
              </w:rPr>
              <w:t>3.2.</w:t>
            </w:r>
            <w:r w:rsidR="00235E45">
              <w:rPr>
                <w:rFonts w:eastAsiaTheme="minorEastAsia" w:cstheme="minorBidi"/>
                <w:b w:val="0"/>
                <w:bCs w:val="0"/>
                <w:noProof/>
                <w:sz w:val="24"/>
                <w:szCs w:val="24"/>
                <w:lang w:val="en-NL" w:eastAsia="en-US"/>
              </w:rPr>
              <w:tab/>
            </w:r>
            <w:r w:rsidR="00235E45" w:rsidRPr="004A2C55">
              <w:rPr>
                <w:rStyle w:val="Hyperlink"/>
                <w:iCs/>
                <w:noProof/>
              </w:rPr>
              <w:t>Additional analyses</w:t>
            </w:r>
            <w:r w:rsidR="00235E45">
              <w:rPr>
                <w:noProof/>
                <w:webHidden/>
              </w:rPr>
              <w:tab/>
            </w:r>
            <w:r w:rsidR="00235E45">
              <w:rPr>
                <w:noProof/>
                <w:webHidden/>
              </w:rPr>
              <w:fldChar w:fldCharType="begin"/>
            </w:r>
            <w:r w:rsidR="00235E45">
              <w:rPr>
                <w:noProof/>
                <w:webHidden/>
              </w:rPr>
              <w:instrText xml:space="preserve"> PAGEREF _Toc74659155 \h </w:instrText>
            </w:r>
            <w:r w:rsidR="00235E45">
              <w:rPr>
                <w:noProof/>
                <w:webHidden/>
              </w:rPr>
            </w:r>
            <w:r w:rsidR="00235E45">
              <w:rPr>
                <w:noProof/>
                <w:webHidden/>
              </w:rPr>
              <w:fldChar w:fldCharType="separate"/>
            </w:r>
            <w:r w:rsidR="00235E45">
              <w:rPr>
                <w:noProof/>
                <w:webHidden/>
              </w:rPr>
              <w:t>32</w:t>
            </w:r>
            <w:r w:rsidR="00235E45">
              <w:rPr>
                <w:noProof/>
                <w:webHidden/>
              </w:rPr>
              <w:fldChar w:fldCharType="end"/>
            </w:r>
          </w:hyperlink>
        </w:p>
        <w:p w14:paraId="3A2DF0AF" w14:textId="35EF5850" w:rsidR="00235E45" w:rsidRDefault="00493306">
          <w:pPr>
            <w:pStyle w:val="TOC2"/>
            <w:tabs>
              <w:tab w:val="right" w:pos="9010"/>
            </w:tabs>
            <w:rPr>
              <w:rFonts w:eastAsiaTheme="minorEastAsia" w:cstheme="minorBidi"/>
              <w:b w:val="0"/>
              <w:bCs w:val="0"/>
              <w:noProof/>
              <w:sz w:val="24"/>
              <w:szCs w:val="24"/>
              <w:lang w:val="en-NL" w:eastAsia="en-US"/>
            </w:rPr>
          </w:pPr>
          <w:hyperlink w:anchor="_Toc74659156" w:history="1">
            <w:r w:rsidR="00235E45" w:rsidRPr="004A2C55">
              <w:rPr>
                <w:rStyle w:val="Hyperlink"/>
                <w:rFonts w:cstheme="majorHAnsi"/>
                <w:noProof/>
                <w:lang w:val="en-US"/>
              </w:rPr>
              <w:t>Table S1: Baseline Characteristics by disease state</w:t>
            </w:r>
            <w:r w:rsidR="00235E45">
              <w:rPr>
                <w:noProof/>
                <w:webHidden/>
              </w:rPr>
              <w:tab/>
            </w:r>
            <w:r w:rsidR="00235E45">
              <w:rPr>
                <w:noProof/>
                <w:webHidden/>
              </w:rPr>
              <w:fldChar w:fldCharType="begin"/>
            </w:r>
            <w:r w:rsidR="00235E45">
              <w:rPr>
                <w:noProof/>
                <w:webHidden/>
              </w:rPr>
              <w:instrText xml:space="preserve"> PAGEREF _Toc74659156 \h </w:instrText>
            </w:r>
            <w:r w:rsidR="00235E45">
              <w:rPr>
                <w:noProof/>
                <w:webHidden/>
              </w:rPr>
            </w:r>
            <w:r w:rsidR="00235E45">
              <w:rPr>
                <w:noProof/>
                <w:webHidden/>
              </w:rPr>
              <w:fldChar w:fldCharType="separate"/>
            </w:r>
            <w:r w:rsidR="00235E45">
              <w:rPr>
                <w:noProof/>
                <w:webHidden/>
              </w:rPr>
              <w:t>33</w:t>
            </w:r>
            <w:r w:rsidR="00235E45">
              <w:rPr>
                <w:noProof/>
                <w:webHidden/>
              </w:rPr>
              <w:fldChar w:fldCharType="end"/>
            </w:r>
          </w:hyperlink>
        </w:p>
        <w:p w14:paraId="0F7733FB" w14:textId="4AE4EBFC" w:rsidR="00235E45" w:rsidRDefault="00493306">
          <w:pPr>
            <w:pStyle w:val="TOC2"/>
            <w:tabs>
              <w:tab w:val="right" w:pos="9010"/>
            </w:tabs>
            <w:rPr>
              <w:rFonts w:eastAsiaTheme="minorEastAsia" w:cstheme="minorBidi"/>
              <w:b w:val="0"/>
              <w:bCs w:val="0"/>
              <w:noProof/>
              <w:sz w:val="24"/>
              <w:szCs w:val="24"/>
              <w:lang w:val="en-NL" w:eastAsia="en-US"/>
            </w:rPr>
          </w:pPr>
          <w:hyperlink w:anchor="_Toc74659157" w:history="1">
            <w:r w:rsidR="00235E45" w:rsidRPr="004A2C55">
              <w:rPr>
                <w:rStyle w:val="Hyperlink"/>
                <w:rFonts w:eastAsiaTheme="minorHAnsi" w:cstheme="majorHAnsi"/>
                <w:noProof/>
                <w:lang w:val="en-US" w:eastAsia="en-US"/>
              </w:rPr>
              <w:t>Table S2. Co-enrolment into other REMAP-CAP domains for Severe State participants enrolled in Immune Modulation Therapy domain</w:t>
            </w:r>
            <w:r w:rsidR="00235E45">
              <w:rPr>
                <w:noProof/>
                <w:webHidden/>
              </w:rPr>
              <w:tab/>
            </w:r>
            <w:r w:rsidR="00235E45">
              <w:rPr>
                <w:noProof/>
                <w:webHidden/>
              </w:rPr>
              <w:fldChar w:fldCharType="begin"/>
            </w:r>
            <w:r w:rsidR="00235E45">
              <w:rPr>
                <w:noProof/>
                <w:webHidden/>
              </w:rPr>
              <w:instrText xml:space="preserve"> PAGEREF _Toc74659157 \h </w:instrText>
            </w:r>
            <w:r w:rsidR="00235E45">
              <w:rPr>
                <w:noProof/>
                <w:webHidden/>
              </w:rPr>
            </w:r>
            <w:r w:rsidR="00235E45">
              <w:rPr>
                <w:noProof/>
                <w:webHidden/>
              </w:rPr>
              <w:fldChar w:fldCharType="separate"/>
            </w:r>
            <w:r w:rsidR="00235E45">
              <w:rPr>
                <w:noProof/>
                <w:webHidden/>
              </w:rPr>
              <w:t>37</w:t>
            </w:r>
            <w:r w:rsidR="00235E45">
              <w:rPr>
                <w:noProof/>
                <w:webHidden/>
              </w:rPr>
              <w:fldChar w:fldCharType="end"/>
            </w:r>
          </w:hyperlink>
        </w:p>
        <w:p w14:paraId="6B11E5D2" w14:textId="3D81F39A" w:rsidR="00235E45" w:rsidRDefault="00493306">
          <w:pPr>
            <w:pStyle w:val="TOC2"/>
            <w:tabs>
              <w:tab w:val="right" w:pos="9010"/>
            </w:tabs>
            <w:rPr>
              <w:rFonts w:eastAsiaTheme="minorEastAsia" w:cstheme="minorBidi"/>
              <w:b w:val="0"/>
              <w:bCs w:val="0"/>
              <w:noProof/>
              <w:sz w:val="24"/>
              <w:szCs w:val="24"/>
              <w:lang w:val="en-NL" w:eastAsia="en-US"/>
            </w:rPr>
          </w:pPr>
          <w:hyperlink w:anchor="_Toc74659158" w:history="1">
            <w:r w:rsidR="00235E45" w:rsidRPr="004A2C55">
              <w:rPr>
                <w:rStyle w:val="Hyperlink"/>
                <w:rFonts w:eastAsiaTheme="minorHAnsi" w:cstheme="majorHAnsi"/>
                <w:noProof/>
                <w:lang w:val="en-US" w:eastAsia="en-US"/>
              </w:rPr>
              <w:t>Table S3. Sensitivity analyses of the primary outcomes</w:t>
            </w:r>
            <w:r w:rsidR="00235E45">
              <w:rPr>
                <w:noProof/>
                <w:webHidden/>
              </w:rPr>
              <w:tab/>
            </w:r>
            <w:r w:rsidR="00235E45">
              <w:rPr>
                <w:noProof/>
                <w:webHidden/>
              </w:rPr>
              <w:fldChar w:fldCharType="begin"/>
            </w:r>
            <w:r w:rsidR="00235E45">
              <w:rPr>
                <w:noProof/>
                <w:webHidden/>
              </w:rPr>
              <w:instrText xml:space="preserve"> PAGEREF _Toc74659158 \h </w:instrText>
            </w:r>
            <w:r w:rsidR="00235E45">
              <w:rPr>
                <w:noProof/>
                <w:webHidden/>
              </w:rPr>
            </w:r>
            <w:r w:rsidR="00235E45">
              <w:rPr>
                <w:noProof/>
                <w:webHidden/>
              </w:rPr>
              <w:fldChar w:fldCharType="separate"/>
            </w:r>
            <w:r w:rsidR="00235E45">
              <w:rPr>
                <w:noProof/>
                <w:webHidden/>
              </w:rPr>
              <w:t>37</w:t>
            </w:r>
            <w:r w:rsidR="00235E45">
              <w:rPr>
                <w:noProof/>
                <w:webHidden/>
              </w:rPr>
              <w:fldChar w:fldCharType="end"/>
            </w:r>
          </w:hyperlink>
        </w:p>
        <w:p w14:paraId="28AA87A0" w14:textId="384D16F7" w:rsidR="00235E45" w:rsidRDefault="00493306">
          <w:pPr>
            <w:pStyle w:val="TOC2"/>
            <w:tabs>
              <w:tab w:val="right" w:pos="9010"/>
            </w:tabs>
            <w:rPr>
              <w:rFonts w:eastAsiaTheme="minorEastAsia" w:cstheme="minorBidi"/>
              <w:b w:val="0"/>
              <w:bCs w:val="0"/>
              <w:noProof/>
              <w:sz w:val="24"/>
              <w:szCs w:val="24"/>
              <w:lang w:val="en-NL" w:eastAsia="en-US"/>
            </w:rPr>
          </w:pPr>
          <w:hyperlink w:anchor="_Toc74659159" w:history="1">
            <w:r w:rsidR="00235E45" w:rsidRPr="004A2C55">
              <w:rPr>
                <w:rStyle w:val="Hyperlink"/>
                <w:rFonts w:eastAsiaTheme="minorHAnsi" w:cstheme="majorHAnsi"/>
                <w:noProof/>
                <w:lang w:val="en-US" w:eastAsia="en-US"/>
              </w:rPr>
              <w:t>Table S4. Secondary outcomes</w:t>
            </w:r>
            <w:r w:rsidR="00235E45">
              <w:rPr>
                <w:noProof/>
                <w:webHidden/>
              </w:rPr>
              <w:tab/>
            </w:r>
            <w:r w:rsidR="00235E45">
              <w:rPr>
                <w:noProof/>
                <w:webHidden/>
              </w:rPr>
              <w:fldChar w:fldCharType="begin"/>
            </w:r>
            <w:r w:rsidR="00235E45">
              <w:rPr>
                <w:noProof/>
                <w:webHidden/>
              </w:rPr>
              <w:instrText xml:space="preserve"> PAGEREF _Toc74659159 \h </w:instrText>
            </w:r>
            <w:r w:rsidR="00235E45">
              <w:rPr>
                <w:noProof/>
                <w:webHidden/>
              </w:rPr>
            </w:r>
            <w:r w:rsidR="00235E45">
              <w:rPr>
                <w:noProof/>
                <w:webHidden/>
              </w:rPr>
              <w:fldChar w:fldCharType="separate"/>
            </w:r>
            <w:r w:rsidR="00235E45">
              <w:rPr>
                <w:noProof/>
                <w:webHidden/>
              </w:rPr>
              <w:t>39</w:t>
            </w:r>
            <w:r w:rsidR="00235E45">
              <w:rPr>
                <w:noProof/>
                <w:webHidden/>
              </w:rPr>
              <w:fldChar w:fldCharType="end"/>
            </w:r>
          </w:hyperlink>
        </w:p>
        <w:p w14:paraId="3121D2FA" w14:textId="7CC858C5" w:rsidR="00235E45" w:rsidRDefault="00493306">
          <w:pPr>
            <w:pStyle w:val="TOC2"/>
            <w:tabs>
              <w:tab w:val="right" w:pos="9010"/>
            </w:tabs>
            <w:rPr>
              <w:rFonts w:eastAsiaTheme="minorEastAsia" w:cstheme="minorBidi"/>
              <w:b w:val="0"/>
              <w:bCs w:val="0"/>
              <w:noProof/>
              <w:sz w:val="24"/>
              <w:szCs w:val="24"/>
              <w:lang w:val="en-NL" w:eastAsia="en-US"/>
            </w:rPr>
          </w:pPr>
          <w:hyperlink w:anchor="_Toc74659160" w:history="1">
            <w:r w:rsidR="00235E45" w:rsidRPr="004A2C55">
              <w:rPr>
                <w:rStyle w:val="Hyperlink"/>
                <w:rFonts w:eastAsiaTheme="minorHAnsi" w:cstheme="majorHAnsi"/>
                <w:noProof/>
                <w:lang w:val="en-US" w:eastAsia="en-US"/>
              </w:rPr>
              <w:t>Table S5. Primary safety analysis of serious adverse events</w:t>
            </w:r>
            <w:r w:rsidR="00235E45">
              <w:rPr>
                <w:noProof/>
                <w:webHidden/>
              </w:rPr>
              <w:tab/>
            </w:r>
            <w:r w:rsidR="00235E45">
              <w:rPr>
                <w:noProof/>
                <w:webHidden/>
              </w:rPr>
              <w:fldChar w:fldCharType="begin"/>
            </w:r>
            <w:r w:rsidR="00235E45">
              <w:rPr>
                <w:noProof/>
                <w:webHidden/>
              </w:rPr>
              <w:instrText xml:space="preserve"> PAGEREF _Toc74659160 \h </w:instrText>
            </w:r>
            <w:r w:rsidR="00235E45">
              <w:rPr>
                <w:noProof/>
                <w:webHidden/>
              </w:rPr>
            </w:r>
            <w:r w:rsidR="00235E45">
              <w:rPr>
                <w:noProof/>
                <w:webHidden/>
              </w:rPr>
              <w:fldChar w:fldCharType="separate"/>
            </w:r>
            <w:r w:rsidR="00235E45">
              <w:rPr>
                <w:noProof/>
                <w:webHidden/>
              </w:rPr>
              <w:t>42</w:t>
            </w:r>
            <w:r w:rsidR="00235E45">
              <w:rPr>
                <w:noProof/>
                <w:webHidden/>
              </w:rPr>
              <w:fldChar w:fldCharType="end"/>
            </w:r>
          </w:hyperlink>
        </w:p>
        <w:p w14:paraId="79A79017" w14:textId="4EB49982" w:rsidR="00235E45" w:rsidRDefault="00493306">
          <w:pPr>
            <w:pStyle w:val="TOC2"/>
            <w:tabs>
              <w:tab w:val="right" w:pos="9010"/>
            </w:tabs>
            <w:rPr>
              <w:rFonts w:eastAsiaTheme="minorEastAsia" w:cstheme="minorBidi"/>
              <w:b w:val="0"/>
              <w:bCs w:val="0"/>
              <w:noProof/>
              <w:sz w:val="24"/>
              <w:szCs w:val="24"/>
              <w:lang w:val="en-NL" w:eastAsia="en-US"/>
            </w:rPr>
          </w:pPr>
          <w:hyperlink w:anchor="_Toc74659161" w:history="1">
            <w:r w:rsidR="00235E45" w:rsidRPr="004A2C55">
              <w:rPr>
                <w:rStyle w:val="Hyperlink"/>
                <w:rFonts w:eastAsiaTheme="minorHAnsi" w:cstheme="majorHAnsi"/>
                <w:noProof/>
                <w:lang w:val="en-US" w:eastAsia="en-US"/>
              </w:rPr>
              <w:t>Table S6. Predefined subgroup analysis of the primary outcomes by CRP terciles</w:t>
            </w:r>
            <w:r w:rsidR="00235E45">
              <w:rPr>
                <w:noProof/>
                <w:webHidden/>
              </w:rPr>
              <w:tab/>
            </w:r>
            <w:r w:rsidR="00235E45">
              <w:rPr>
                <w:noProof/>
                <w:webHidden/>
              </w:rPr>
              <w:fldChar w:fldCharType="begin"/>
            </w:r>
            <w:r w:rsidR="00235E45">
              <w:rPr>
                <w:noProof/>
                <w:webHidden/>
              </w:rPr>
              <w:instrText xml:space="preserve"> PAGEREF _Toc74659161 \h </w:instrText>
            </w:r>
            <w:r w:rsidR="00235E45">
              <w:rPr>
                <w:noProof/>
                <w:webHidden/>
              </w:rPr>
            </w:r>
            <w:r w:rsidR="00235E45">
              <w:rPr>
                <w:noProof/>
                <w:webHidden/>
              </w:rPr>
              <w:fldChar w:fldCharType="separate"/>
            </w:r>
            <w:r w:rsidR="00235E45">
              <w:rPr>
                <w:noProof/>
                <w:webHidden/>
              </w:rPr>
              <w:t>42</w:t>
            </w:r>
            <w:r w:rsidR="00235E45">
              <w:rPr>
                <w:noProof/>
                <w:webHidden/>
              </w:rPr>
              <w:fldChar w:fldCharType="end"/>
            </w:r>
          </w:hyperlink>
        </w:p>
        <w:p w14:paraId="2C4FC94E" w14:textId="1BE0F4E4" w:rsidR="00235E45" w:rsidRDefault="00493306">
          <w:pPr>
            <w:pStyle w:val="TOC2"/>
            <w:tabs>
              <w:tab w:val="right" w:pos="9010"/>
            </w:tabs>
            <w:rPr>
              <w:rFonts w:eastAsiaTheme="minorEastAsia" w:cstheme="minorBidi"/>
              <w:b w:val="0"/>
              <w:bCs w:val="0"/>
              <w:noProof/>
              <w:sz w:val="24"/>
              <w:szCs w:val="24"/>
              <w:lang w:val="en-NL" w:eastAsia="en-US"/>
            </w:rPr>
          </w:pPr>
          <w:hyperlink w:anchor="_Toc74659162" w:history="1">
            <w:r w:rsidR="00235E45" w:rsidRPr="004A2C55">
              <w:rPr>
                <w:rStyle w:val="Hyperlink"/>
                <w:rFonts w:eastAsiaTheme="minorHAnsi" w:cstheme="majorHAnsi"/>
                <w:noProof/>
                <w:lang w:val="en-US" w:eastAsia="en-US"/>
              </w:rPr>
              <w:t>Table S7. Predefined subgroup analysis of the Primary Outcomes by baseline mechanical ventilation status</w:t>
            </w:r>
            <w:r w:rsidR="00235E45">
              <w:rPr>
                <w:noProof/>
                <w:webHidden/>
              </w:rPr>
              <w:tab/>
            </w:r>
            <w:r w:rsidR="00235E45">
              <w:rPr>
                <w:noProof/>
                <w:webHidden/>
              </w:rPr>
              <w:fldChar w:fldCharType="begin"/>
            </w:r>
            <w:r w:rsidR="00235E45">
              <w:rPr>
                <w:noProof/>
                <w:webHidden/>
              </w:rPr>
              <w:instrText xml:space="preserve"> PAGEREF _Toc74659162 \h </w:instrText>
            </w:r>
            <w:r w:rsidR="00235E45">
              <w:rPr>
                <w:noProof/>
                <w:webHidden/>
              </w:rPr>
            </w:r>
            <w:r w:rsidR="00235E45">
              <w:rPr>
                <w:noProof/>
                <w:webHidden/>
              </w:rPr>
              <w:fldChar w:fldCharType="separate"/>
            </w:r>
            <w:r w:rsidR="00235E45">
              <w:rPr>
                <w:noProof/>
                <w:webHidden/>
              </w:rPr>
              <w:t>44</w:t>
            </w:r>
            <w:r w:rsidR="00235E45">
              <w:rPr>
                <w:noProof/>
                <w:webHidden/>
              </w:rPr>
              <w:fldChar w:fldCharType="end"/>
            </w:r>
          </w:hyperlink>
        </w:p>
        <w:p w14:paraId="0BEA6E0F" w14:textId="0F384478" w:rsidR="00235E45" w:rsidRDefault="00493306">
          <w:pPr>
            <w:pStyle w:val="TOC2"/>
            <w:tabs>
              <w:tab w:val="right" w:pos="9010"/>
            </w:tabs>
            <w:rPr>
              <w:rFonts w:eastAsiaTheme="minorEastAsia" w:cstheme="minorBidi"/>
              <w:b w:val="0"/>
              <w:bCs w:val="0"/>
              <w:noProof/>
              <w:sz w:val="24"/>
              <w:szCs w:val="24"/>
              <w:lang w:val="en-NL" w:eastAsia="en-US"/>
            </w:rPr>
          </w:pPr>
          <w:hyperlink w:anchor="_Toc74659163" w:history="1">
            <w:r w:rsidR="00235E45" w:rsidRPr="004A2C55">
              <w:rPr>
                <w:rStyle w:val="Hyperlink"/>
                <w:rFonts w:cstheme="majorHAnsi"/>
                <w:noProof/>
                <w:lang w:val="en-US"/>
              </w:rPr>
              <w:t>Figure S1. Alterations to the Immune Modulation Therapy domain of REMAP-CAP</w:t>
            </w:r>
            <w:r w:rsidR="00235E45">
              <w:rPr>
                <w:noProof/>
                <w:webHidden/>
              </w:rPr>
              <w:tab/>
            </w:r>
            <w:r w:rsidR="00235E45">
              <w:rPr>
                <w:noProof/>
                <w:webHidden/>
              </w:rPr>
              <w:fldChar w:fldCharType="begin"/>
            </w:r>
            <w:r w:rsidR="00235E45">
              <w:rPr>
                <w:noProof/>
                <w:webHidden/>
              </w:rPr>
              <w:instrText xml:space="preserve"> PAGEREF _Toc74659163 \h </w:instrText>
            </w:r>
            <w:r w:rsidR="00235E45">
              <w:rPr>
                <w:noProof/>
                <w:webHidden/>
              </w:rPr>
            </w:r>
            <w:r w:rsidR="00235E45">
              <w:rPr>
                <w:noProof/>
                <w:webHidden/>
              </w:rPr>
              <w:fldChar w:fldCharType="separate"/>
            </w:r>
            <w:r w:rsidR="00235E45">
              <w:rPr>
                <w:noProof/>
                <w:webHidden/>
              </w:rPr>
              <w:t>45</w:t>
            </w:r>
            <w:r w:rsidR="00235E45">
              <w:rPr>
                <w:noProof/>
                <w:webHidden/>
              </w:rPr>
              <w:fldChar w:fldCharType="end"/>
            </w:r>
          </w:hyperlink>
        </w:p>
        <w:p w14:paraId="3B8CFC2F" w14:textId="322E55FF" w:rsidR="00235E45" w:rsidRDefault="00493306">
          <w:pPr>
            <w:pStyle w:val="TOC2"/>
            <w:tabs>
              <w:tab w:val="right" w:pos="9010"/>
            </w:tabs>
            <w:rPr>
              <w:rFonts w:eastAsiaTheme="minorEastAsia" w:cstheme="minorBidi"/>
              <w:b w:val="0"/>
              <w:bCs w:val="0"/>
              <w:noProof/>
              <w:sz w:val="24"/>
              <w:szCs w:val="24"/>
              <w:lang w:val="en-NL" w:eastAsia="en-US"/>
            </w:rPr>
          </w:pPr>
          <w:hyperlink w:anchor="_Toc74659164" w:history="1">
            <w:r w:rsidR="00235E45" w:rsidRPr="004A2C55">
              <w:rPr>
                <w:rStyle w:val="Hyperlink"/>
                <w:noProof/>
              </w:rPr>
              <w:t>Figure S2. Forest Plot of Organ Support Free days for sarilumab compared to tocilizumab</w:t>
            </w:r>
            <w:r w:rsidR="00235E45">
              <w:rPr>
                <w:noProof/>
                <w:webHidden/>
              </w:rPr>
              <w:tab/>
            </w:r>
            <w:r w:rsidR="00235E45">
              <w:rPr>
                <w:noProof/>
                <w:webHidden/>
              </w:rPr>
              <w:fldChar w:fldCharType="begin"/>
            </w:r>
            <w:r w:rsidR="00235E45">
              <w:rPr>
                <w:noProof/>
                <w:webHidden/>
              </w:rPr>
              <w:instrText xml:space="preserve"> PAGEREF _Toc74659164 \h </w:instrText>
            </w:r>
            <w:r w:rsidR="00235E45">
              <w:rPr>
                <w:noProof/>
                <w:webHidden/>
              </w:rPr>
            </w:r>
            <w:r w:rsidR="00235E45">
              <w:rPr>
                <w:noProof/>
                <w:webHidden/>
              </w:rPr>
              <w:fldChar w:fldCharType="separate"/>
            </w:r>
            <w:r w:rsidR="00235E45">
              <w:rPr>
                <w:noProof/>
                <w:webHidden/>
              </w:rPr>
              <w:t>45</w:t>
            </w:r>
            <w:r w:rsidR="00235E45">
              <w:rPr>
                <w:noProof/>
                <w:webHidden/>
              </w:rPr>
              <w:fldChar w:fldCharType="end"/>
            </w:r>
          </w:hyperlink>
        </w:p>
        <w:p w14:paraId="2AB35C89" w14:textId="10BC74F0" w:rsidR="00235E45" w:rsidRDefault="00493306">
          <w:pPr>
            <w:pStyle w:val="TOC2"/>
            <w:tabs>
              <w:tab w:val="right" w:pos="9010"/>
            </w:tabs>
            <w:rPr>
              <w:rFonts w:eastAsiaTheme="minorEastAsia" w:cstheme="minorBidi"/>
              <w:b w:val="0"/>
              <w:bCs w:val="0"/>
              <w:noProof/>
              <w:sz w:val="24"/>
              <w:szCs w:val="24"/>
              <w:lang w:val="en-NL" w:eastAsia="en-US"/>
            </w:rPr>
          </w:pPr>
          <w:hyperlink w:anchor="_Toc74659165" w:history="1">
            <w:r w:rsidR="00235E45" w:rsidRPr="004A2C55">
              <w:rPr>
                <w:rStyle w:val="Hyperlink"/>
                <w:noProof/>
              </w:rPr>
              <w:t>Figure S3. Forest Plot of Hospital Survival for sarilumab compared to tocilizumab</w:t>
            </w:r>
            <w:r w:rsidR="00235E45">
              <w:rPr>
                <w:noProof/>
                <w:webHidden/>
              </w:rPr>
              <w:tab/>
            </w:r>
            <w:r w:rsidR="00235E45">
              <w:rPr>
                <w:noProof/>
                <w:webHidden/>
              </w:rPr>
              <w:fldChar w:fldCharType="begin"/>
            </w:r>
            <w:r w:rsidR="00235E45">
              <w:rPr>
                <w:noProof/>
                <w:webHidden/>
              </w:rPr>
              <w:instrText xml:space="preserve"> PAGEREF _Toc74659165 \h </w:instrText>
            </w:r>
            <w:r w:rsidR="00235E45">
              <w:rPr>
                <w:noProof/>
                <w:webHidden/>
              </w:rPr>
            </w:r>
            <w:r w:rsidR="00235E45">
              <w:rPr>
                <w:noProof/>
                <w:webHidden/>
              </w:rPr>
              <w:fldChar w:fldCharType="separate"/>
            </w:r>
            <w:r w:rsidR="00235E45">
              <w:rPr>
                <w:noProof/>
                <w:webHidden/>
              </w:rPr>
              <w:t>46</w:t>
            </w:r>
            <w:r w:rsidR="00235E45">
              <w:rPr>
                <w:noProof/>
                <w:webHidden/>
              </w:rPr>
              <w:fldChar w:fldCharType="end"/>
            </w:r>
          </w:hyperlink>
        </w:p>
        <w:p w14:paraId="3DF1B5DB" w14:textId="7B0C2D69" w:rsidR="00235E45" w:rsidRDefault="00493306">
          <w:pPr>
            <w:pStyle w:val="TOC2"/>
            <w:tabs>
              <w:tab w:val="right" w:pos="9010"/>
            </w:tabs>
            <w:rPr>
              <w:rFonts w:eastAsiaTheme="minorEastAsia" w:cstheme="minorBidi"/>
              <w:b w:val="0"/>
              <w:bCs w:val="0"/>
              <w:noProof/>
              <w:sz w:val="24"/>
              <w:szCs w:val="24"/>
              <w:lang w:val="en-NL" w:eastAsia="en-US"/>
            </w:rPr>
          </w:pPr>
          <w:hyperlink w:anchor="_Toc74659166" w:history="1">
            <w:r w:rsidR="00235E45" w:rsidRPr="004A2C55">
              <w:rPr>
                <w:rStyle w:val="Hyperlink"/>
                <w:noProof/>
              </w:rPr>
              <w:t xml:space="preserve">Figure S4. </w:t>
            </w:r>
            <w:r w:rsidR="00235E45" w:rsidRPr="004A2C55">
              <w:rPr>
                <w:rStyle w:val="Hyperlink"/>
                <w:rFonts w:eastAsiaTheme="minorHAnsi" w:cs="P&gt;p¶'3"/>
                <w:noProof/>
                <w:lang w:val="en-US" w:eastAsia="en-US"/>
              </w:rPr>
              <w:t>Organ Support Free Days - odds ratios and 95% CrI for tocilizumab, sarilumab, and pooled IL-6ra in models with nested, independent, and pooled treatment effects</w:t>
            </w:r>
            <w:r w:rsidR="00235E45">
              <w:rPr>
                <w:noProof/>
                <w:webHidden/>
              </w:rPr>
              <w:tab/>
            </w:r>
            <w:r w:rsidR="00235E45">
              <w:rPr>
                <w:noProof/>
                <w:webHidden/>
              </w:rPr>
              <w:fldChar w:fldCharType="begin"/>
            </w:r>
            <w:r w:rsidR="00235E45">
              <w:rPr>
                <w:noProof/>
                <w:webHidden/>
              </w:rPr>
              <w:instrText xml:space="preserve"> PAGEREF _Toc74659166 \h </w:instrText>
            </w:r>
            <w:r w:rsidR="00235E45">
              <w:rPr>
                <w:noProof/>
                <w:webHidden/>
              </w:rPr>
            </w:r>
            <w:r w:rsidR="00235E45">
              <w:rPr>
                <w:noProof/>
                <w:webHidden/>
              </w:rPr>
              <w:fldChar w:fldCharType="separate"/>
            </w:r>
            <w:r w:rsidR="00235E45">
              <w:rPr>
                <w:noProof/>
                <w:webHidden/>
              </w:rPr>
              <w:t>46</w:t>
            </w:r>
            <w:r w:rsidR="00235E45">
              <w:rPr>
                <w:noProof/>
                <w:webHidden/>
              </w:rPr>
              <w:fldChar w:fldCharType="end"/>
            </w:r>
          </w:hyperlink>
        </w:p>
        <w:p w14:paraId="7CDA7456" w14:textId="6DA3FC75" w:rsidR="00235E45" w:rsidRDefault="00493306">
          <w:pPr>
            <w:pStyle w:val="TOC2"/>
            <w:tabs>
              <w:tab w:val="right" w:pos="9010"/>
            </w:tabs>
            <w:rPr>
              <w:rFonts w:eastAsiaTheme="minorEastAsia" w:cstheme="minorBidi"/>
              <w:b w:val="0"/>
              <w:bCs w:val="0"/>
              <w:noProof/>
              <w:sz w:val="24"/>
              <w:szCs w:val="24"/>
              <w:lang w:val="en-NL" w:eastAsia="en-US"/>
            </w:rPr>
          </w:pPr>
          <w:hyperlink w:anchor="_Toc74659167" w:history="1">
            <w:r w:rsidR="00235E45" w:rsidRPr="004A2C55">
              <w:rPr>
                <w:rStyle w:val="Hyperlink"/>
                <w:noProof/>
              </w:rPr>
              <w:t>Figure S5. Forest Plot of Organ Support Free Days by subgroup</w:t>
            </w:r>
            <w:r w:rsidR="00235E45">
              <w:rPr>
                <w:noProof/>
                <w:webHidden/>
              </w:rPr>
              <w:tab/>
            </w:r>
            <w:r w:rsidR="00235E45">
              <w:rPr>
                <w:noProof/>
                <w:webHidden/>
              </w:rPr>
              <w:fldChar w:fldCharType="begin"/>
            </w:r>
            <w:r w:rsidR="00235E45">
              <w:rPr>
                <w:noProof/>
                <w:webHidden/>
              </w:rPr>
              <w:instrText xml:space="preserve"> PAGEREF _Toc74659167 \h </w:instrText>
            </w:r>
            <w:r w:rsidR="00235E45">
              <w:rPr>
                <w:noProof/>
                <w:webHidden/>
              </w:rPr>
            </w:r>
            <w:r w:rsidR="00235E45">
              <w:rPr>
                <w:noProof/>
                <w:webHidden/>
              </w:rPr>
              <w:fldChar w:fldCharType="separate"/>
            </w:r>
            <w:r w:rsidR="00235E45">
              <w:rPr>
                <w:noProof/>
                <w:webHidden/>
              </w:rPr>
              <w:t>47</w:t>
            </w:r>
            <w:r w:rsidR="00235E45">
              <w:rPr>
                <w:noProof/>
                <w:webHidden/>
              </w:rPr>
              <w:fldChar w:fldCharType="end"/>
            </w:r>
          </w:hyperlink>
        </w:p>
        <w:p w14:paraId="63AE0904" w14:textId="02C8AEC1" w:rsidR="00235E45" w:rsidRDefault="00493306">
          <w:pPr>
            <w:pStyle w:val="TOC2"/>
            <w:tabs>
              <w:tab w:val="right" w:pos="9010"/>
            </w:tabs>
            <w:rPr>
              <w:rFonts w:eastAsiaTheme="minorEastAsia" w:cstheme="minorBidi"/>
              <w:b w:val="0"/>
              <w:bCs w:val="0"/>
              <w:noProof/>
              <w:sz w:val="24"/>
              <w:szCs w:val="24"/>
              <w:lang w:val="en-NL" w:eastAsia="en-US"/>
            </w:rPr>
          </w:pPr>
          <w:hyperlink w:anchor="_Toc74659168" w:history="1">
            <w:r w:rsidR="00235E45" w:rsidRPr="004A2C55">
              <w:rPr>
                <w:rStyle w:val="Hyperlink"/>
                <w:noProof/>
              </w:rPr>
              <w:t>Figure S6. Forest Plot of Hospital Survival by subgroup</w:t>
            </w:r>
            <w:r w:rsidR="00235E45">
              <w:rPr>
                <w:noProof/>
                <w:webHidden/>
              </w:rPr>
              <w:tab/>
            </w:r>
            <w:r w:rsidR="00235E45">
              <w:rPr>
                <w:noProof/>
                <w:webHidden/>
              </w:rPr>
              <w:fldChar w:fldCharType="begin"/>
            </w:r>
            <w:r w:rsidR="00235E45">
              <w:rPr>
                <w:noProof/>
                <w:webHidden/>
              </w:rPr>
              <w:instrText xml:space="preserve"> PAGEREF _Toc74659168 \h </w:instrText>
            </w:r>
            <w:r w:rsidR="00235E45">
              <w:rPr>
                <w:noProof/>
                <w:webHidden/>
              </w:rPr>
            </w:r>
            <w:r w:rsidR="00235E45">
              <w:rPr>
                <w:noProof/>
                <w:webHidden/>
              </w:rPr>
              <w:fldChar w:fldCharType="separate"/>
            </w:r>
            <w:r w:rsidR="00235E45">
              <w:rPr>
                <w:noProof/>
                <w:webHidden/>
              </w:rPr>
              <w:t>48</w:t>
            </w:r>
            <w:r w:rsidR="00235E45">
              <w:rPr>
                <w:noProof/>
                <w:webHidden/>
              </w:rPr>
              <w:fldChar w:fldCharType="end"/>
            </w:r>
          </w:hyperlink>
        </w:p>
        <w:p w14:paraId="269CCF5F" w14:textId="5D44F642" w:rsidR="00235E45" w:rsidRDefault="00493306">
          <w:pPr>
            <w:pStyle w:val="TOC2"/>
            <w:tabs>
              <w:tab w:val="right" w:pos="9010"/>
            </w:tabs>
            <w:rPr>
              <w:rFonts w:eastAsiaTheme="minorEastAsia" w:cstheme="minorBidi"/>
              <w:b w:val="0"/>
              <w:bCs w:val="0"/>
              <w:noProof/>
              <w:sz w:val="24"/>
              <w:szCs w:val="24"/>
              <w:lang w:val="en-NL" w:eastAsia="en-US"/>
            </w:rPr>
          </w:pPr>
          <w:hyperlink w:anchor="_Toc74659169" w:history="1">
            <w:r w:rsidR="00235E45" w:rsidRPr="004A2C55">
              <w:rPr>
                <w:rStyle w:val="Hyperlink"/>
                <w:noProof/>
                <w:lang w:val="en-US"/>
              </w:rPr>
              <w:t>Appendix 1: Statistical Analysis Plan</w:t>
            </w:r>
            <w:r w:rsidR="00235E45">
              <w:rPr>
                <w:noProof/>
                <w:webHidden/>
              </w:rPr>
              <w:tab/>
            </w:r>
            <w:r w:rsidR="00235E45">
              <w:rPr>
                <w:noProof/>
                <w:webHidden/>
              </w:rPr>
              <w:fldChar w:fldCharType="begin"/>
            </w:r>
            <w:r w:rsidR="00235E45">
              <w:rPr>
                <w:noProof/>
                <w:webHidden/>
              </w:rPr>
              <w:instrText xml:space="preserve"> PAGEREF _Toc74659169 \h </w:instrText>
            </w:r>
            <w:r w:rsidR="00235E45">
              <w:rPr>
                <w:noProof/>
                <w:webHidden/>
              </w:rPr>
            </w:r>
            <w:r w:rsidR="00235E45">
              <w:rPr>
                <w:noProof/>
                <w:webHidden/>
              </w:rPr>
              <w:fldChar w:fldCharType="separate"/>
            </w:r>
            <w:r w:rsidR="00235E45">
              <w:rPr>
                <w:noProof/>
                <w:webHidden/>
              </w:rPr>
              <w:t>48</w:t>
            </w:r>
            <w:r w:rsidR="00235E45">
              <w:rPr>
                <w:noProof/>
                <w:webHidden/>
              </w:rPr>
              <w:fldChar w:fldCharType="end"/>
            </w:r>
          </w:hyperlink>
        </w:p>
        <w:p w14:paraId="68CC3F15" w14:textId="386198BE" w:rsidR="00235E45" w:rsidRDefault="00493306">
          <w:pPr>
            <w:pStyle w:val="TOC2"/>
            <w:tabs>
              <w:tab w:val="right" w:pos="9010"/>
            </w:tabs>
            <w:rPr>
              <w:rFonts w:eastAsiaTheme="minorEastAsia" w:cstheme="minorBidi"/>
              <w:b w:val="0"/>
              <w:bCs w:val="0"/>
              <w:noProof/>
              <w:sz w:val="24"/>
              <w:szCs w:val="24"/>
              <w:lang w:val="en-NL" w:eastAsia="en-US"/>
            </w:rPr>
          </w:pPr>
          <w:hyperlink w:anchor="_Toc74659170" w:history="1">
            <w:r w:rsidR="00235E45" w:rsidRPr="004A2C55">
              <w:rPr>
                <w:rStyle w:val="Hyperlink"/>
                <w:noProof/>
                <w:lang w:val="en-US"/>
              </w:rPr>
              <w:t>Appendix 2: Statistical Analysis Committee Primary Analysis Report for the Immune Modulation Therapy Domain</w:t>
            </w:r>
            <w:r w:rsidR="00235E45">
              <w:rPr>
                <w:noProof/>
                <w:webHidden/>
              </w:rPr>
              <w:tab/>
            </w:r>
            <w:r w:rsidR="00235E45">
              <w:rPr>
                <w:noProof/>
                <w:webHidden/>
              </w:rPr>
              <w:fldChar w:fldCharType="begin"/>
            </w:r>
            <w:r w:rsidR="00235E45">
              <w:rPr>
                <w:noProof/>
                <w:webHidden/>
              </w:rPr>
              <w:instrText xml:space="preserve"> PAGEREF _Toc74659170 \h </w:instrText>
            </w:r>
            <w:r w:rsidR="00235E45">
              <w:rPr>
                <w:noProof/>
                <w:webHidden/>
              </w:rPr>
            </w:r>
            <w:r w:rsidR="00235E45">
              <w:rPr>
                <w:noProof/>
                <w:webHidden/>
              </w:rPr>
              <w:fldChar w:fldCharType="separate"/>
            </w:r>
            <w:r w:rsidR="00235E45">
              <w:rPr>
                <w:noProof/>
                <w:webHidden/>
              </w:rPr>
              <w:t>48</w:t>
            </w:r>
            <w:r w:rsidR="00235E45">
              <w:rPr>
                <w:noProof/>
                <w:webHidden/>
              </w:rPr>
              <w:fldChar w:fldCharType="end"/>
            </w:r>
          </w:hyperlink>
        </w:p>
        <w:p w14:paraId="7E9D0515" w14:textId="11218031" w:rsidR="00235E45" w:rsidRDefault="00493306">
          <w:pPr>
            <w:pStyle w:val="TOC2"/>
            <w:tabs>
              <w:tab w:val="right" w:pos="9010"/>
            </w:tabs>
            <w:rPr>
              <w:rFonts w:eastAsiaTheme="minorEastAsia" w:cstheme="minorBidi"/>
              <w:b w:val="0"/>
              <w:bCs w:val="0"/>
              <w:noProof/>
              <w:sz w:val="24"/>
              <w:szCs w:val="24"/>
              <w:lang w:val="en-NL" w:eastAsia="en-US"/>
            </w:rPr>
          </w:pPr>
          <w:hyperlink w:anchor="_Toc74659171" w:history="1">
            <w:r w:rsidR="00235E45" w:rsidRPr="004A2C55">
              <w:rPr>
                <w:rStyle w:val="Hyperlink"/>
                <w:noProof/>
                <w:lang w:val="en-US"/>
              </w:rPr>
              <w:t>Appendix 3: ITSC Secondary Analysis Report for the Immune Modulation Therapy Domain</w:t>
            </w:r>
            <w:r w:rsidR="00235E45">
              <w:rPr>
                <w:noProof/>
                <w:webHidden/>
              </w:rPr>
              <w:tab/>
            </w:r>
            <w:r w:rsidR="00235E45">
              <w:rPr>
                <w:noProof/>
                <w:webHidden/>
              </w:rPr>
              <w:fldChar w:fldCharType="begin"/>
            </w:r>
            <w:r w:rsidR="00235E45">
              <w:rPr>
                <w:noProof/>
                <w:webHidden/>
              </w:rPr>
              <w:instrText xml:space="preserve"> PAGEREF _Toc74659171 \h </w:instrText>
            </w:r>
            <w:r w:rsidR="00235E45">
              <w:rPr>
                <w:noProof/>
                <w:webHidden/>
              </w:rPr>
            </w:r>
            <w:r w:rsidR="00235E45">
              <w:rPr>
                <w:noProof/>
                <w:webHidden/>
              </w:rPr>
              <w:fldChar w:fldCharType="separate"/>
            </w:r>
            <w:r w:rsidR="00235E45">
              <w:rPr>
                <w:noProof/>
                <w:webHidden/>
              </w:rPr>
              <w:t>48</w:t>
            </w:r>
            <w:r w:rsidR="00235E45">
              <w:rPr>
                <w:noProof/>
                <w:webHidden/>
              </w:rPr>
              <w:fldChar w:fldCharType="end"/>
            </w:r>
          </w:hyperlink>
        </w:p>
        <w:p w14:paraId="47F2ACA3" w14:textId="68D8EB84" w:rsidR="0051384A" w:rsidRDefault="0051384A" w:rsidP="00712369">
          <w:r>
            <w:rPr>
              <w:b/>
              <w:bCs/>
              <w:noProof/>
            </w:rPr>
            <w:fldChar w:fldCharType="end"/>
          </w:r>
        </w:p>
      </w:sdtContent>
    </w:sdt>
    <w:p w14:paraId="2E72F458" w14:textId="0581718B" w:rsidR="00E61210" w:rsidRPr="00F37253" w:rsidRDefault="00E61210" w:rsidP="009C2A20">
      <w:pPr>
        <w:spacing w:line="360" w:lineRule="auto"/>
        <w:rPr>
          <w:rFonts w:asciiTheme="majorHAnsi" w:hAnsiTheme="majorHAnsi" w:cstheme="majorHAnsi"/>
          <w:b/>
          <w:bCs/>
          <w:sz w:val="22"/>
          <w:szCs w:val="22"/>
          <w:lang w:val="en-US"/>
        </w:rPr>
      </w:pPr>
      <w:r>
        <w:rPr>
          <w:rFonts w:asciiTheme="majorHAnsi" w:hAnsiTheme="majorHAnsi" w:cstheme="majorHAnsi"/>
          <w:b/>
          <w:bCs/>
          <w:sz w:val="22"/>
          <w:szCs w:val="22"/>
          <w:lang w:val="en-US"/>
        </w:rPr>
        <w:br w:type="page"/>
      </w:r>
    </w:p>
    <w:p w14:paraId="6168E347" w14:textId="773FB134" w:rsidR="00E61210" w:rsidRDefault="00B84795" w:rsidP="009C2A20">
      <w:pPr>
        <w:pStyle w:val="Heading1"/>
      </w:pPr>
      <w:bookmarkStart w:id="0" w:name="_Toc72762430"/>
      <w:bookmarkStart w:id="1" w:name="_Toc74659147"/>
      <w:r w:rsidRPr="00F37253">
        <w:lastRenderedPageBreak/>
        <w:t>REMAP-CAP investigators</w:t>
      </w:r>
      <w:bookmarkStart w:id="2" w:name="_Toc60671528"/>
      <w:bookmarkStart w:id="3" w:name="_Toc72762431"/>
      <w:bookmarkEnd w:id="0"/>
      <w:bookmarkEnd w:id="1"/>
    </w:p>
    <w:p w14:paraId="06097F1C" w14:textId="0EF3928A" w:rsidR="00787A80" w:rsidRPr="00787A80" w:rsidRDefault="00787A80" w:rsidP="009F07E7">
      <w:pPr>
        <w:pStyle w:val="ADSCAP"/>
        <w:numPr>
          <w:ilvl w:val="1"/>
          <w:numId w:val="9"/>
        </w:numPr>
      </w:pPr>
      <w:r>
        <w:t xml:space="preserve"> </w:t>
      </w:r>
      <w:bookmarkStart w:id="4" w:name="_Toc74659148"/>
      <w:r>
        <w:t>Immune Modulation Therapy domain Writing Committee</w:t>
      </w:r>
      <w:bookmarkEnd w:id="4"/>
    </w:p>
    <w:bookmarkEnd w:id="2"/>
    <w:bookmarkEnd w:id="3"/>
    <w:p w14:paraId="606DC173" w14:textId="77777777" w:rsidR="009A7AE2" w:rsidRPr="009A7AE2" w:rsidRDefault="009A7AE2" w:rsidP="009A7AE2">
      <w:pPr>
        <w:autoSpaceDE w:val="0"/>
        <w:autoSpaceDN w:val="0"/>
        <w:adjustRightInd w:val="0"/>
        <w:rPr>
          <w:rFonts w:asciiTheme="majorHAnsi" w:eastAsiaTheme="minorHAnsi" w:hAnsiTheme="majorHAnsi" w:cstheme="majorHAnsi"/>
          <w:color w:val="000000"/>
          <w:sz w:val="22"/>
          <w:szCs w:val="22"/>
          <w:lang w:val="en-US" w:eastAsia="en-US"/>
        </w:rPr>
      </w:pPr>
      <w:r w:rsidRPr="009A7AE2">
        <w:rPr>
          <w:rFonts w:asciiTheme="majorHAnsi" w:eastAsiaTheme="minorHAnsi" w:hAnsiTheme="majorHAnsi" w:cstheme="majorHAnsi"/>
          <w:color w:val="000000"/>
          <w:sz w:val="22"/>
          <w:szCs w:val="22"/>
          <w:lang w:val="en-US" w:eastAsia="en-US"/>
        </w:rPr>
        <w:t xml:space="preserve">Lennie P.G. Derde, MD, PhD </w:t>
      </w:r>
      <w:r w:rsidRPr="00352180">
        <w:rPr>
          <w:rFonts w:asciiTheme="majorHAnsi" w:eastAsiaTheme="minorHAnsi" w:hAnsiTheme="majorHAnsi" w:cstheme="majorHAnsi"/>
          <w:color w:val="000000"/>
          <w:sz w:val="22"/>
          <w:szCs w:val="22"/>
          <w:vertAlign w:val="superscript"/>
          <w:lang w:val="en-US" w:eastAsia="en-US"/>
        </w:rPr>
        <w:t>1</w:t>
      </w:r>
      <w:r w:rsidRPr="009A7AE2">
        <w:rPr>
          <w:rFonts w:asciiTheme="majorHAnsi" w:eastAsiaTheme="minorHAnsi" w:hAnsiTheme="majorHAnsi" w:cstheme="majorHAnsi"/>
          <w:color w:val="000000"/>
          <w:sz w:val="22"/>
          <w:szCs w:val="22"/>
          <w:lang w:val="en-US" w:eastAsia="en-US"/>
        </w:rPr>
        <w:t xml:space="preserve">; Anthony C. Gordon, MBBS, MD </w:t>
      </w:r>
      <w:r w:rsidRPr="00352180">
        <w:rPr>
          <w:rFonts w:asciiTheme="majorHAnsi" w:eastAsiaTheme="minorHAnsi" w:hAnsiTheme="majorHAnsi" w:cstheme="majorHAnsi"/>
          <w:color w:val="000000"/>
          <w:sz w:val="22"/>
          <w:szCs w:val="22"/>
          <w:vertAlign w:val="superscript"/>
          <w:lang w:val="en-US" w:eastAsia="en-US"/>
        </w:rPr>
        <w:t>2,3</w:t>
      </w:r>
      <w:r w:rsidRPr="009A7AE2">
        <w:rPr>
          <w:rFonts w:asciiTheme="majorHAnsi" w:eastAsiaTheme="minorHAnsi" w:hAnsiTheme="majorHAnsi" w:cstheme="majorHAnsi"/>
          <w:color w:val="000000"/>
          <w:sz w:val="22"/>
          <w:szCs w:val="22"/>
          <w:lang w:val="en-US" w:eastAsia="en-US"/>
        </w:rPr>
        <w:t xml:space="preserve">; Paul R. Mouncey, MSc </w:t>
      </w:r>
      <w:r w:rsidRPr="00352180">
        <w:rPr>
          <w:rFonts w:asciiTheme="majorHAnsi" w:eastAsiaTheme="minorHAnsi" w:hAnsiTheme="majorHAnsi" w:cstheme="majorHAnsi"/>
          <w:color w:val="000000"/>
          <w:sz w:val="22"/>
          <w:szCs w:val="22"/>
          <w:vertAlign w:val="superscript"/>
          <w:lang w:val="en-US" w:eastAsia="en-US"/>
        </w:rPr>
        <w:t>4</w:t>
      </w:r>
      <w:r w:rsidRPr="009A7AE2">
        <w:rPr>
          <w:rFonts w:asciiTheme="majorHAnsi" w:eastAsiaTheme="minorHAnsi" w:hAnsiTheme="majorHAnsi" w:cstheme="majorHAnsi"/>
          <w:color w:val="000000"/>
          <w:sz w:val="22"/>
          <w:szCs w:val="22"/>
          <w:lang w:val="en-US" w:eastAsia="en-US"/>
        </w:rPr>
        <w:t>; Farah Al-</w:t>
      </w:r>
    </w:p>
    <w:p w14:paraId="5D0CD33F" w14:textId="5411EC17" w:rsidR="009A7AE2" w:rsidRPr="00AB1E15" w:rsidRDefault="009A7AE2" w:rsidP="00352180">
      <w:pPr>
        <w:autoSpaceDE w:val="0"/>
        <w:autoSpaceDN w:val="0"/>
        <w:adjustRightInd w:val="0"/>
        <w:rPr>
          <w:rFonts w:asciiTheme="majorHAnsi" w:eastAsiaTheme="minorHAnsi" w:hAnsiTheme="majorHAnsi" w:cstheme="majorHAnsi"/>
          <w:color w:val="000000"/>
          <w:sz w:val="22"/>
          <w:szCs w:val="22"/>
          <w:lang w:val="en-US" w:eastAsia="en-US"/>
        </w:rPr>
      </w:pPr>
      <w:r w:rsidRPr="009A7AE2">
        <w:rPr>
          <w:rFonts w:asciiTheme="majorHAnsi" w:eastAsiaTheme="minorHAnsi" w:hAnsiTheme="majorHAnsi" w:cstheme="majorHAnsi"/>
          <w:color w:val="000000"/>
          <w:sz w:val="22"/>
          <w:szCs w:val="22"/>
          <w:lang w:val="en-US" w:eastAsia="en-US"/>
        </w:rPr>
        <w:t xml:space="preserve">Beidh, PhD </w:t>
      </w:r>
      <w:r w:rsidRPr="00352180">
        <w:rPr>
          <w:rFonts w:asciiTheme="majorHAnsi" w:eastAsiaTheme="minorHAnsi" w:hAnsiTheme="majorHAnsi" w:cstheme="majorHAnsi"/>
          <w:color w:val="000000"/>
          <w:sz w:val="22"/>
          <w:szCs w:val="22"/>
          <w:vertAlign w:val="superscript"/>
          <w:lang w:val="en-US" w:eastAsia="en-US"/>
        </w:rPr>
        <w:t>2</w:t>
      </w:r>
      <w:r w:rsidRPr="009A7AE2">
        <w:rPr>
          <w:rFonts w:asciiTheme="majorHAnsi" w:eastAsiaTheme="minorHAnsi" w:hAnsiTheme="majorHAnsi" w:cstheme="majorHAnsi"/>
          <w:color w:val="000000"/>
          <w:sz w:val="22"/>
          <w:szCs w:val="22"/>
          <w:lang w:val="en-US" w:eastAsia="en-US"/>
        </w:rPr>
        <w:t xml:space="preserve">; Kathryn M. Rowan, PhD </w:t>
      </w:r>
      <w:r w:rsidRPr="00352180">
        <w:rPr>
          <w:rFonts w:asciiTheme="majorHAnsi" w:eastAsiaTheme="minorHAnsi" w:hAnsiTheme="majorHAnsi" w:cstheme="majorHAnsi"/>
          <w:color w:val="000000"/>
          <w:sz w:val="22"/>
          <w:szCs w:val="22"/>
          <w:vertAlign w:val="superscript"/>
          <w:lang w:val="en-US" w:eastAsia="en-US"/>
        </w:rPr>
        <w:t>4</w:t>
      </w:r>
      <w:r w:rsidRPr="009A7AE2">
        <w:rPr>
          <w:rFonts w:asciiTheme="majorHAnsi" w:eastAsiaTheme="minorHAnsi" w:hAnsiTheme="majorHAnsi" w:cstheme="majorHAnsi"/>
          <w:color w:val="000000"/>
          <w:sz w:val="22"/>
          <w:szCs w:val="22"/>
          <w:lang w:val="en-US" w:eastAsia="en-US"/>
        </w:rPr>
        <w:t xml:space="preserve">; Alistair D. Nichol, MD, PhD </w:t>
      </w:r>
      <w:r w:rsidRPr="00352180">
        <w:rPr>
          <w:rFonts w:asciiTheme="majorHAnsi" w:eastAsiaTheme="minorHAnsi" w:hAnsiTheme="majorHAnsi" w:cstheme="majorHAnsi"/>
          <w:color w:val="000000"/>
          <w:sz w:val="22"/>
          <w:szCs w:val="22"/>
          <w:vertAlign w:val="superscript"/>
          <w:lang w:val="en-US" w:eastAsia="en-US"/>
        </w:rPr>
        <w:t>5,6,7</w:t>
      </w:r>
      <w:r w:rsidRPr="009A7AE2">
        <w:rPr>
          <w:rFonts w:asciiTheme="majorHAnsi" w:eastAsiaTheme="minorHAnsi" w:hAnsiTheme="majorHAnsi" w:cstheme="majorHAnsi"/>
          <w:color w:val="000000"/>
          <w:sz w:val="22"/>
          <w:szCs w:val="22"/>
          <w:lang w:val="en-US" w:eastAsia="en-US"/>
        </w:rPr>
        <w:t xml:space="preserve">; Yaseen M. Arabi, MD </w:t>
      </w:r>
      <w:r w:rsidRPr="00352180">
        <w:rPr>
          <w:rFonts w:asciiTheme="majorHAnsi" w:eastAsiaTheme="minorHAnsi" w:hAnsiTheme="majorHAnsi" w:cstheme="majorHAnsi"/>
          <w:color w:val="000000"/>
          <w:sz w:val="22"/>
          <w:szCs w:val="22"/>
          <w:vertAlign w:val="superscript"/>
          <w:lang w:val="en-US" w:eastAsia="en-US"/>
        </w:rPr>
        <w:t>8</w:t>
      </w:r>
      <w:r w:rsidRPr="009A7AE2">
        <w:rPr>
          <w:rFonts w:asciiTheme="majorHAnsi" w:eastAsiaTheme="minorHAnsi" w:hAnsiTheme="majorHAnsi" w:cstheme="majorHAnsi"/>
          <w:color w:val="000000"/>
          <w:sz w:val="22"/>
          <w:szCs w:val="22"/>
          <w:lang w:val="en-US" w:eastAsia="en-US"/>
        </w:rPr>
        <w:t>; Djillali</w:t>
      </w:r>
      <w:r>
        <w:rPr>
          <w:rFonts w:asciiTheme="majorHAnsi" w:eastAsiaTheme="minorHAnsi" w:hAnsiTheme="majorHAnsi" w:cstheme="majorHAnsi"/>
          <w:color w:val="000000"/>
          <w:sz w:val="22"/>
          <w:szCs w:val="22"/>
          <w:lang w:val="en-US" w:eastAsia="en-US"/>
        </w:rPr>
        <w:t xml:space="preserve"> </w:t>
      </w:r>
      <w:r w:rsidRPr="009A7AE2">
        <w:rPr>
          <w:rFonts w:asciiTheme="majorHAnsi" w:eastAsiaTheme="minorHAnsi" w:hAnsiTheme="majorHAnsi" w:cstheme="majorHAnsi"/>
          <w:color w:val="000000"/>
          <w:sz w:val="22"/>
          <w:szCs w:val="22"/>
          <w:lang w:val="en-US" w:eastAsia="en-US"/>
        </w:rPr>
        <w:t xml:space="preserve">Annane, MD, PhD </w:t>
      </w:r>
      <w:r w:rsidRPr="00352180">
        <w:rPr>
          <w:rFonts w:asciiTheme="majorHAnsi" w:eastAsiaTheme="minorHAnsi" w:hAnsiTheme="majorHAnsi" w:cstheme="majorHAnsi"/>
          <w:color w:val="000000"/>
          <w:sz w:val="22"/>
          <w:szCs w:val="22"/>
          <w:vertAlign w:val="superscript"/>
          <w:lang w:val="en-US" w:eastAsia="en-US"/>
        </w:rPr>
        <w:t>9,10,11</w:t>
      </w:r>
      <w:r w:rsidRPr="009A7AE2">
        <w:rPr>
          <w:rFonts w:asciiTheme="majorHAnsi" w:eastAsiaTheme="minorHAnsi" w:hAnsiTheme="majorHAnsi" w:cstheme="majorHAnsi"/>
          <w:color w:val="000000"/>
          <w:sz w:val="22"/>
          <w:szCs w:val="22"/>
          <w:lang w:val="en-US" w:eastAsia="en-US"/>
        </w:rPr>
        <w:t xml:space="preserve">; Abi Beane, </w:t>
      </w:r>
      <w:r w:rsidRPr="00352180">
        <w:rPr>
          <w:rFonts w:asciiTheme="majorHAnsi" w:eastAsiaTheme="minorHAnsi" w:hAnsiTheme="majorHAnsi" w:cstheme="majorHAnsi"/>
          <w:color w:val="000000"/>
          <w:sz w:val="22"/>
          <w:szCs w:val="22"/>
          <w:lang w:val="en-US" w:eastAsia="en-US"/>
        </w:rPr>
        <w:t xml:space="preserve">PhD </w:t>
      </w:r>
      <w:r w:rsidRPr="00352180">
        <w:rPr>
          <w:rFonts w:asciiTheme="majorHAnsi" w:eastAsiaTheme="minorHAnsi" w:hAnsiTheme="majorHAnsi" w:cstheme="majorHAnsi"/>
          <w:color w:val="000000"/>
          <w:sz w:val="22"/>
          <w:szCs w:val="22"/>
          <w:vertAlign w:val="superscript"/>
          <w:lang w:val="en-US" w:eastAsia="en-US"/>
        </w:rPr>
        <w:t>12</w:t>
      </w:r>
      <w:r w:rsidRPr="00352180">
        <w:rPr>
          <w:rFonts w:asciiTheme="majorHAnsi" w:eastAsiaTheme="minorHAnsi" w:hAnsiTheme="majorHAnsi" w:cstheme="majorHAnsi"/>
          <w:color w:val="000000"/>
          <w:sz w:val="22"/>
          <w:szCs w:val="22"/>
          <w:lang w:val="en-US" w:eastAsia="en-US"/>
        </w:rPr>
        <w:t xml:space="preserve">; Richard Beasley </w:t>
      </w:r>
      <w:r w:rsidR="00352180" w:rsidRPr="00352180">
        <w:rPr>
          <w:rFonts w:asciiTheme="majorHAnsi" w:eastAsiaTheme="minorHAnsi" w:hAnsiTheme="majorHAnsi" w:cstheme="majorHAnsi"/>
          <w:color w:val="000000"/>
          <w:sz w:val="22"/>
          <w:szCs w:val="22"/>
          <w:vertAlign w:val="superscript"/>
          <w:lang w:val="en-US" w:eastAsia="en-US"/>
        </w:rPr>
        <w:t>13</w:t>
      </w:r>
      <w:r w:rsidRPr="00352180">
        <w:rPr>
          <w:rFonts w:asciiTheme="majorHAnsi" w:eastAsiaTheme="minorHAnsi" w:hAnsiTheme="majorHAnsi" w:cstheme="majorHAnsi"/>
          <w:color w:val="000000"/>
          <w:sz w:val="22"/>
          <w:szCs w:val="22"/>
          <w:lang w:val="en-US" w:eastAsia="en-US"/>
        </w:rPr>
        <w:t>; Zahra</w:t>
      </w:r>
      <w:r w:rsidRPr="009A7AE2">
        <w:rPr>
          <w:rFonts w:asciiTheme="majorHAnsi" w:eastAsiaTheme="minorHAnsi" w:hAnsiTheme="majorHAnsi" w:cstheme="majorHAnsi"/>
          <w:color w:val="000000"/>
          <w:sz w:val="22"/>
          <w:szCs w:val="22"/>
          <w:lang w:val="en-US" w:eastAsia="en-US"/>
        </w:rPr>
        <w:t xml:space="preserve"> Bhimani, MPH </w:t>
      </w:r>
      <w:r w:rsidRPr="00352180">
        <w:rPr>
          <w:rFonts w:asciiTheme="majorHAnsi" w:eastAsiaTheme="minorHAnsi" w:hAnsiTheme="majorHAnsi" w:cstheme="majorHAnsi"/>
          <w:color w:val="000000"/>
          <w:sz w:val="22"/>
          <w:szCs w:val="22"/>
          <w:vertAlign w:val="superscript"/>
          <w:lang w:val="en-US" w:eastAsia="en-US"/>
        </w:rPr>
        <w:t>14</w:t>
      </w:r>
      <w:r w:rsidRPr="009A7AE2">
        <w:rPr>
          <w:rFonts w:asciiTheme="majorHAnsi" w:eastAsiaTheme="minorHAnsi" w:hAnsiTheme="majorHAnsi" w:cstheme="majorHAnsi"/>
          <w:color w:val="000000"/>
          <w:sz w:val="22"/>
          <w:szCs w:val="22"/>
          <w:lang w:val="en-US" w:eastAsia="en-US"/>
        </w:rPr>
        <w:t>; Marc J.M.</w:t>
      </w:r>
      <w:r>
        <w:rPr>
          <w:rFonts w:asciiTheme="majorHAnsi" w:eastAsiaTheme="minorHAnsi" w:hAnsiTheme="majorHAnsi" w:cstheme="majorHAnsi"/>
          <w:color w:val="000000"/>
          <w:sz w:val="22"/>
          <w:szCs w:val="22"/>
          <w:lang w:val="en-US" w:eastAsia="en-US"/>
        </w:rPr>
        <w:t xml:space="preserve"> </w:t>
      </w:r>
      <w:r w:rsidRPr="009A7AE2">
        <w:rPr>
          <w:rFonts w:asciiTheme="majorHAnsi" w:eastAsiaTheme="minorHAnsi" w:hAnsiTheme="majorHAnsi" w:cstheme="majorHAnsi"/>
          <w:color w:val="000000"/>
          <w:sz w:val="22"/>
          <w:szCs w:val="22"/>
          <w:lang w:val="en-US" w:eastAsia="en-US"/>
        </w:rPr>
        <w:t xml:space="preserve">Bonten, MD, </w:t>
      </w:r>
      <w:r w:rsidRPr="00352180">
        <w:rPr>
          <w:rFonts w:asciiTheme="majorHAnsi" w:eastAsiaTheme="minorHAnsi" w:hAnsiTheme="majorHAnsi" w:cstheme="majorHAnsi"/>
          <w:color w:val="000000"/>
          <w:sz w:val="22"/>
          <w:szCs w:val="22"/>
          <w:lang w:val="en-US" w:eastAsia="en-US"/>
        </w:rPr>
        <w:t xml:space="preserve">PhD </w:t>
      </w:r>
      <w:r w:rsidRPr="00352180">
        <w:rPr>
          <w:rFonts w:asciiTheme="majorHAnsi" w:eastAsiaTheme="minorHAnsi" w:hAnsiTheme="majorHAnsi" w:cstheme="majorHAnsi"/>
          <w:color w:val="000000"/>
          <w:sz w:val="22"/>
          <w:szCs w:val="22"/>
          <w:vertAlign w:val="superscript"/>
          <w:lang w:val="en-US" w:eastAsia="en-US"/>
        </w:rPr>
        <w:t>1</w:t>
      </w:r>
      <w:r w:rsidRPr="00352180">
        <w:rPr>
          <w:rFonts w:asciiTheme="majorHAnsi" w:eastAsiaTheme="minorHAnsi" w:hAnsiTheme="majorHAnsi" w:cstheme="majorHAnsi"/>
          <w:color w:val="000000"/>
          <w:sz w:val="22"/>
          <w:szCs w:val="22"/>
          <w:lang w:val="en-US" w:eastAsia="en-US"/>
        </w:rPr>
        <w:t xml:space="preserve">; Charlotte A. Bradbury, MBChB, PhD </w:t>
      </w:r>
      <w:r w:rsidRPr="00352180">
        <w:rPr>
          <w:rFonts w:asciiTheme="majorHAnsi" w:eastAsiaTheme="minorHAnsi" w:hAnsiTheme="majorHAnsi" w:cstheme="majorHAnsi"/>
          <w:color w:val="000000"/>
          <w:sz w:val="22"/>
          <w:szCs w:val="22"/>
          <w:vertAlign w:val="superscript"/>
          <w:lang w:val="en-US" w:eastAsia="en-US"/>
        </w:rPr>
        <w:t>15</w:t>
      </w:r>
      <w:r w:rsidRPr="00352180">
        <w:rPr>
          <w:rFonts w:asciiTheme="majorHAnsi" w:eastAsiaTheme="minorHAnsi" w:hAnsiTheme="majorHAnsi" w:cstheme="majorHAnsi"/>
          <w:color w:val="000000"/>
          <w:sz w:val="22"/>
          <w:szCs w:val="22"/>
          <w:lang w:val="en-US" w:eastAsia="en-US"/>
        </w:rPr>
        <w:t xml:space="preserve">; Frank M. Brunkhorst, MD, PhD </w:t>
      </w:r>
      <w:r w:rsidRPr="00352180">
        <w:rPr>
          <w:rFonts w:asciiTheme="majorHAnsi" w:eastAsiaTheme="minorHAnsi" w:hAnsiTheme="majorHAnsi" w:cstheme="majorHAnsi"/>
          <w:color w:val="000000"/>
          <w:sz w:val="22"/>
          <w:szCs w:val="22"/>
          <w:vertAlign w:val="superscript"/>
          <w:lang w:val="en-US" w:eastAsia="en-US"/>
        </w:rPr>
        <w:t>16</w:t>
      </w:r>
      <w:r w:rsidRPr="00352180">
        <w:rPr>
          <w:rFonts w:asciiTheme="majorHAnsi" w:eastAsiaTheme="minorHAnsi" w:hAnsiTheme="majorHAnsi" w:cstheme="majorHAnsi"/>
          <w:color w:val="000000"/>
          <w:sz w:val="22"/>
          <w:szCs w:val="22"/>
          <w:lang w:val="en-US" w:eastAsia="en-US"/>
        </w:rPr>
        <w:t xml:space="preserve">; Adrian Buzgau, MSc </w:t>
      </w:r>
      <w:r w:rsidR="00352180" w:rsidRPr="00352180">
        <w:rPr>
          <w:rFonts w:asciiTheme="majorHAnsi" w:eastAsiaTheme="minorHAnsi" w:hAnsiTheme="majorHAnsi" w:cstheme="majorHAnsi"/>
          <w:color w:val="000000"/>
          <w:sz w:val="22"/>
          <w:szCs w:val="22"/>
          <w:vertAlign w:val="superscript"/>
          <w:lang w:val="en-US" w:eastAsia="en-US"/>
        </w:rPr>
        <w:t>5</w:t>
      </w:r>
      <w:r w:rsidRPr="00352180">
        <w:rPr>
          <w:rFonts w:asciiTheme="majorHAnsi" w:eastAsiaTheme="minorHAnsi" w:hAnsiTheme="majorHAnsi" w:cstheme="majorHAnsi"/>
          <w:color w:val="000000"/>
          <w:sz w:val="22"/>
          <w:szCs w:val="22"/>
          <w:lang w:val="en-US" w:eastAsia="en-US"/>
        </w:rPr>
        <w:t>;</w:t>
      </w:r>
      <w:r w:rsidRPr="009A7AE2">
        <w:rPr>
          <w:rFonts w:asciiTheme="majorHAnsi" w:eastAsiaTheme="minorHAnsi" w:hAnsiTheme="majorHAnsi" w:cstheme="majorHAnsi"/>
          <w:color w:val="000000"/>
          <w:sz w:val="22"/>
          <w:szCs w:val="22"/>
          <w:lang w:val="en-US" w:eastAsia="en-US"/>
        </w:rPr>
        <w:t xml:space="preserve"> </w:t>
      </w:r>
      <w:r w:rsidRPr="00352180">
        <w:rPr>
          <w:rFonts w:asciiTheme="majorHAnsi" w:eastAsiaTheme="minorHAnsi" w:hAnsiTheme="majorHAnsi" w:cstheme="majorHAnsi"/>
          <w:color w:val="000000"/>
          <w:sz w:val="22"/>
          <w:szCs w:val="22"/>
          <w:lang w:val="en-US" w:eastAsia="en-US"/>
        </w:rPr>
        <w:t>Meredith Buxton</w:t>
      </w:r>
      <w:r w:rsidR="00352180" w:rsidRPr="00352180">
        <w:rPr>
          <w:rFonts w:asciiTheme="majorHAnsi" w:eastAsiaTheme="minorHAnsi" w:hAnsiTheme="majorHAnsi" w:cstheme="majorHAnsi"/>
          <w:color w:val="000000"/>
          <w:sz w:val="22"/>
          <w:szCs w:val="22"/>
          <w:lang w:val="en-US" w:eastAsia="en-US"/>
        </w:rPr>
        <w:t xml:space="preserve"> </w:t>
      </w:r>
      <w:r w:rsidR="00352180" w:rsidRPr="00352180">
        <w:rPr>
          <w:rFonts w:asciiTheme="majorHAnsi" w:eastAsiaTheme="minorHAnsi" w:hAnsiTheme="majorHAnsi" w:cstheme="majorHAnsi"/>
          <w:color w:val="000000"/>
          <w:sz w:val="22"/>
          <w:szCs w:val="22"/>
          <w:vertAlign w:val="superscript"/>
          <w:lang w:val="en-US" w:eastAsia="en-US"/>
        </w:rPr>
        <w:t>17</w:t>
      </w:r>
      <w:r w:rsidRPr="00352180">
        <w:rPr>
          <w:rFonts w:asciiTheme="majorHAnsi" w:eastAsiaTheme="minorHAnsi" w:hAnsiTheme="majorHAnsi" w:cstheme="majorHAnsi"/>
          <w:color w:val="000000"/>
          <w:sz w:val="22"/>
          <w:szCs w:val="22"/>
          <w:lang w:val="en-US" w:eastAsia="en-US"/>
        </w:rPr>
        <w:t>;</w:t>
      </w:r>
      <w:r>
        <w:rPr>
          <w:rFonts w:asciiTheme="majorHAnsi" w:eastAsiaTheme="minorHAnsi" w:hAnsiTheme="majorHAnsi" w:cstheme="majorHAnsi"/>
          <w:color w:val="000000"/>
          <w:sz w:val="22"/>
          <w:szCs w:val="22"/>
          <w:lang w:val="en-US" w:eastAsia="en-US"/>
        </w:rPr>
        <w:t xml:space="preserve"> A</w:t>
      </w:r>
      <w:r w:rsidRPr="009A7AE2">
        <w:rPr>
          <w:rFonts w:asciiTheme="majorHAnsi" w:eastAsiaTheme="minorHAnsi" w:hAnsiTheme="majorHAnsi" w:cstheme="majorHAnsi"/>
          <w:color w:val="000000"/>
          <w:sz w:val="22"/>
          <w:szCs w:val="22"/>
          <w:lang w:val="en-US" w:eastAsia="en-US"/>
        </w:rPr>
        <w:t xml:space="preserve">llen C. Cheng, </w:t>
      </w:r>
      <w:r w:rsidRPr="001F19D4">
        <w:rPr>
          <w:rFonts w:asciiTheme="majorHAnsi" w:eastAsiaTheme="minorHAnsi" w:hAnsiTheme="majorHAnsi" w:cstheme="majorHAnsi"/>
          <w:color w:val="000000"/>
          <w:sz w:val="22"/>
          <w:szCs w:val="22"/>
          <w:lang w:val="en-US" w:eastAsia="en-US"/>
        </w:rPr>
        <w:t xml:space="preserve">MD, PhD </w:t>
      </w:r>
      <w:r w:rsidRPr="001F19D4">
        <w:rPr>
          <w:rFonts w:asciiTheme="majorHAnsi" w:eastAsiaTheme="minorHAnsi" w:hAnsiTheme="majorHAnsi" w:cstheme="majorHAnsi"/>
          <w:color w:val="000000"/>
          <w:sz w:val="22"/>
          <w:szCs w:val="22"/>
          <w:vertAlign w:val="superscript"/>
          <w:lang w:val="en-US" w:eastAsia="en-US"/>
        </w:rPr>
        <w:t>5,1</w:t>
      </w:r>
      <w:r w:rsidR="00352180" w:rsidRPr="001F19D4">
        <w:rPr>
          <w:rFonts w:asciiTheme="majorHAnsi" w:eastAsiaTheme="minorHAnsi" w:hAnsiTheme="majorHAnsi" w:cstheme="majorHAnsi"/>
          <w:color w:val="000000"/>
          <w:sz w:val="22"/>
          <w:szCs w:val="22"/>
          <w:vertAlign w:val="superscript"/>
          <w:lang w:val="en-US" w:eastAsia="en-US"/>
        </w:rPr>
        <w:t>8</w:t>
      </w:r>
      <w:r w:rsidRPr="001F19D4">
        <w:rPr>
          <w:rFonts w:asciiTheme="majorHAnsi" w:eastAsiaTheme="minorHAnsi" w:hAnsiTheme="majorHAnsi" w:cstheme="majorHAnsi"/>
          <w:color w:val="000000"/>
          <w:sz w:val="22"/>
          <w:szCs w:val="22"/>
          <w:lang w:val="en-US" w:eastAsia="en-US"/>
        </w:rPr>
        <w:t xml:space="preserve">; </w:t>
      </w:r>
      <w:r w:rsidRPr="00C855A2">
        <w:rPr>
          <w:rFonts w:asciiTheme="majorHAnsi" w:eastAsiaTheme="minorHAnsi" w:hAnsiTheme="majorHAnsi" w:cstheme="majorHAnsi"/>
          <w:color w:val="000000"/>
          <w:sz w:val="22"/>
          <w:szCs w:val="22"/>
          <w:lang w:val="en-US" w:eastAsia="en-US"/>
        </w:rPr>
        <w:t>Nicola Cooper</w:t>
      </w:r>
      <w:r w:rsidR="001F19D4" w:rsidRPr="00C855A2">
        <w:rPr>
          <w:rFonts w:asciiTheme="majorHAnsi" w:eastAsiaTheme="minorHAnsi" w:hAnsiTheme="majorHAnsi" w:cstheme="majorHAnsi"/>
          <w:color w:val="000000"/>
          <w:sz w:val="22"/>
          <w:szCs w:val="22"/>
          <w:lang w:val="en-US" w:eastAsia="en-US"/>
        </w:rPr>
        <w:t xml:space="preserve"> </w:t>
      </w:r>
      <w:r w:rsidR="001F19D4" w:rsidRPr="00C855A2">
        <w:rPr>
          <w:rFonts w:asciiTheme="majorHAnsi" w:eastAsiaTheme="minorHAnsi" w:hAnsiTheme="majorHAnsi" w:cstheme="majorHAnsi"/>
          <w:color w:val="000000"/>
          <w:sz w:val="22"/>
          <w:szCs w:val="22"/>
          <w:vertAlign w:val="superscript"/>
          <w:lang w:val="en-US" w:eastAsia="en-US"/>
        </w:rPr>
        <w:t>2,3</w:t>
      </w:r>
      <w:r w:rsidRPr="00C855A2">
        <w:rPr>
          <w:rFonts w:asciiTheme="majorHAnsi" w:eastAsiaTheme="minorHAnsi" w:hAnsiTheme="majorHAnsi" w:cstheme="majorHAnsi"/>
          <w:color w:val="000000"/>
          <w:sz w:val="22"/>
          <w:szCs w:val="22"/>
          <w:lang w:val="en-US" w:eastAsia="en-US"/>
        </w:rPr>
        <w:t>; Matt Cove</w:t>
      </w:r>
      <w:r w:rsidR="00C855A2" w:rsidRPr="00C855A2">
        <w:rPr>
          <w:rFonts w:asciiTheme="majorHAnsi" w:eastAsiaTheme="minorHAnsi" w:hAnsiTheme="majorHAnsi" w:cstheme="majorHAnsi"/>
          <w:color w:val="000000"/>
          <w:sz w:val="22"/>
          <w:szCs w:val="22"/>
          <w:lang w:val="en-US" w:eastAsia="en-US"/>
        </w:rPr>
        <w:t xml:space="preserve"> </w:t>
      </w:r>
      <w:r w:rsidR="00C855A2" w:rsidRPr="00C855A2">
        <w:rPr>
          <w:rFonts w:asciiTheme="majorHAnsi" w:eastAsiaTheme="minorHAnsi" w:hAnsiTheme="majorHAnsi" w:cstheme="majorHAnsi"/>
          <w:color w:val="000000"/>
          <w:sz w:val="22"/>
          <w:szCs w:val="22"/>
          <w:vertAlign w:val="superscript"/>
          <w:lang w:val="en-US" w:eastAsia="en-US"/>
        </w:rPr>
        <w:t>19</w:t>
      </w:r>
      <w:r w:rsidRPr="00C855A2">
        <w:rPr>
          <w:rFonts w:asciiTheme="majorHAnsi" w:eastAsiaTheme="minorHAnsi" w:hAnsiTheme="majorHAnsi" w:cstheme="majorHAnsi"/>
          <w:color w:val="000000"/>
          <w:sz w:val="22"/>
          <w:szCs w:val="22"/>
          <w:lang w:val="en-US" w:eastAsia="en-US"/>
        </w:rPr>
        <w:t>; Olaf</w:t>
      </w:r>
      <w:r w:rsidRPr="009A7AE2">
        <w:rPr>
          <w:rFonts w:asciiTheme="majorHAnsi" w:eastAsiaTheme="minorHAnsi" w:hAnsiTheme="majorHAnsi" w:cstheme="majorHAnsi"/>
          <w:color w:val="000000"/>
          <w:sz w:val="22"/>
          <w:szCs w:val="22"/>
          <w:lang w:val="en-US" w:eastAsia="en-US"/>
        </w:rPr>
        <w:t xml:space="preserve"> L. Cremer, MD, PhD </w:t>
      </w:r>
      <w:r w:rsidRPr="00C855A2">
        <w:rPr>
          <w:rFonts w:asciiTheme="majorHAnsi" w:eastAsiaTheme="minorHAnsi" w:hAnsiTheme="majorHAnsi" w:cstheme="majorHAnsi"/>
          <w:color w:val="000000"/>
          <w:sz w:val="22"/>
          <w:szCs w:val="22"/>
          <w:vertAlign w:val="superscript"/>
          <w:lang w:val="en-US" w:eastAsia="en-US"/>
        </w:rPr>
        <w:t>1</w:t>
      </w:r>
      <w:r w:rsidRPr="009A7AE2">
        <w:rPr>
          <w:rFonts w:asciiTheme="majorHAnsi" w:eastAsiaTheme="minorHAnsi" w:hAnsiTheme="majorHAnsi" w:cstheme="majorHAnsi"/>
          <w:color w:val="000000"/>
          <w:sz w:val="22"/>
          <w:szCs w:val="22"/>
          <w:lang w:val="en-US" w:eastAsia="en-US"/>
        </w:rPr>
        <w:t xml:space="preserve">; </w:t>
      </w:r>
      <w:r w:rsidRPr="00AB1E15">
        <w:rPr>
          <w:rFonts w:asciiTheme="majorHAnsi" w:eastAsiaTheme="minorHAnsi" w:hAnsiTheme="majorHAnsi" w:cstheme="majorHAnsi"/>
          <w:color w:val="000000"/>
          <w:sz w:val="22"/>
          <w:szCs w:val="22"/>
          <w:lang w:val="en-US" w:eastAsia="en-US"/>
        </w:rPr>
        <w:t xml:space="preserve">Michelle A. Detry, PhD </w:t>
      </w:r>
      <w:r w:rsidR="00C855A2" w:rsidRPr="00AB1E15">
        <w:rPr>
          <w:rFonts w:asciiTheme="majorHAnsi" w:eastAsiaTheme="minorHAnsi" w:hAnsiTheme="majorHAnsi" w:cstheme="majorHAnsi"/>
          <w:color w:val="000000"/>
          <w:sz w:val="22"/>
          <w:szCs w:val="22"/>
          <w:vertAlign w:val="superscript"/>
          <w:lang w:val="en-US" w:eastAsia="en-US"/>
        </w:rPr>
        <w:t>20</w:t>
      </w:r>
      <w:r w:rsidRPr="00AB1E15">
        <w:rPr>
          <w:rFonts w:asciiTheme="majorHAnsi" w:eastAsiaTheme="minorHAnsi" w:hAnsiTheme="majorHAnsi" w:cstheme="majorHAnsi"/>
          <w:color w:val="000000"/>
          <w:sz w:val="22"/>
          <w:szCs w:val="22"/>
          <w:lang w:val="en-US" w:eastAsia="en-US"/>
        </w:rPr>
        <w:t xml:space="preserve">; Eamon J. Duffy, BPharm </w:t>
      </w:r>
      <w:r w:rsidR="00C855A2" w:rsidRPr="00AB1E15">
        <w:rPr>
          <w:rFonts w:asciiTheme="majorHAnsi" w:eastAsiaTheme="minorHAnsi" w:hAnsiTheme="majorHAnsi" w:cstheme="majorHAnsi"/>
          <w:color w:val="000000"/>
          <w:sz w:val="22"/>
          <w:szCs w:val="22"/>
          <w:vertAlign w:val="superscript"/>
          <w:lang w:val="en-US" w:eastAsia="en-US"/>
        </w:rPr>
        <w:t>21</w:t>
      </w:r>
      <w:r w:rsidRPr="00AB1E15">
        <w:rPr>
          <w:rFonts w:asciiTheme="majorHAnsi" w:eastAsiaTheme="minorHAnsi" w:hAnsiTheme="majorHAnsi" w:cstheme="majorHAnsi"/>
          <w:color w:val="000000"/>
          <w:sz w:val="22"/>
          <w:szCs w:val="22"/>
          <w:lang w:val="en-US" w:eastAsia="en-US"/>
        </w:rPr>
        <w:t xml:space="preserve">; Lise J. Estcourt, MBBCh, PhD </w:t>
      </w:r>
      <w:r w:rsidR="00C855A2" w:rsidRPr="00AB1E15">
        <w:rPr>
          <w:rFonts w:asciiTheme="majorHAnsi" w:eastAsiaTheme="minorHAnsi" w:hAnsiTheme="majorHAnsi" w:cstheme="majorHAnsi"/>
          <w:color w:val="000000"/>
          <w:sz w:val="22"/>
          <w:szCs w:val="22"/>
          <w:vertAlign w:val="superscript"/>
          <w:lang w:val="en-US" w:eastAsia="en-US"/>
        </w:rPr>
        <w:t>22</w:t>
      </w:r>
      <w:r w:rsidRPr="00AB1E15">
        <w:rPr>
          <w:rFonts w:asciiTheme="majorHAnsi" w:eastAsiaTheme="minorHAnsi" w:hAnsiTheme="majorHAnsi" w:cstheme="majorHAnsi"/>
          <w:color w:val="000000"/>
          <w:sz w:val="22"/>
          <w:szCs w:val="22"/>
          <w:lang w:val="en-US" w:eastAsia="en-US"/>
        </w:rPr>
        <w:t xml:space="preserve">; Mark Fitzgerald, PhD </w:t>
      </w:r>
      <w:r w:rsidR="00C855A2" w:rsidRPr="00AB1E15">
        <w:rPr>
          <w:rFonts w:asciiTheme="majorHAnsi" w:eastAsiaTheme="minorHAnsi" w:hAnsiTheme="majorHAnsi" w:cstheme="majorHAnsi"/>
          <w:color w:val="000000"/>
          <w:sz w:val="22"/>
          <w:szCs w:val="22"/>
          <w:vertAlign w:val="superscript"/>
          <w:lang w:val="en-US" w:eastAsia="en-US"/>
        </w:rPr>
        <w:t>20</w:t>
      </w:r>
      <w:r w:rsidRPr="00AB1E15">
        <w:rPr>
          <w:rFonts w:asciiTheme="majorHAnsi" w:eastAsiaTheme="minorHAnsi" w:hAnsiTheme="majorHAnsi" w:cstheme="majorHAnsi"/>
          <w:color w:val="000000"/>
          <w:sz w:val="22"/>
          <w:szCs w:val="22"/>
          <w:lang w:val="en-US" w:eastAsia="en-US"/>
        </w:rPr>
        <w:t>; James Galea</w:t>
      </w:r>
      <w:r w:rsidR="00C855A2" w:rsidRPr="00AB1E15">
        <w:rPr>
          <w:rFonts w:asciiTheme="majorHAnsi" w:eastAsiaTheme="minorHAnsi" w:hAnsiTheme="majorHAnsi" w:cstheme="majorHAnsi"/>
          <w:color w:val="000000"/>
          <w:sz w:val="22"/>
          <w:szCs w:val="22"/>
          <w:lang w:val="en-US" w:eastAsia="en-US"/>
        </w:rPr>
        <w:t xml:space="preserve"> </w:t>
      </w:r>
      <w:r w:rsidR="00C855A2" w:rsidRPr="00AB1E15">
        <w:rPr>
          <w:rFonts w:asciiTheme="majorHAnsi" w:eastAsiaTheme="minorHAnsi" w:hAnsiTheme="majorHAnsi" w:cstheme="majorHAnsi"/>
          <w:color w:val="000000"/>
          <w:sz w:val="22"/>
          <w:szCs w:val="22"/>
          <w:vertAlign w:val="superscript"/>
          <w:lang w:val="en-US" w:eastAsia="en-US"/>
        </w:rPr>
        <w:t>23</w:t>
      </w:r>
      <w:r w:rsidR="00C855A2" w:rsidRPr="00AB1E15">
        <w:rPr>
          <w:rFonts w:asciiTheme="majorHAnsi" w:eastAsiaTheme="minorHAnsi" w:hAnsiTheme="majorHAnsi" w:cstheme="majorHAnsi"/>
          <w:color w:val="000000"/>
          <w:sz w:val="22"/>
          <w:szCs w:val="22"/>
          <w:lang w:val="en-US" w:eastAsia="en-US"/>
        </w:rPr>
        <w:t>;</w:t>
      </w:r>
      <w:r w:rsidRPr="00AB1E15">
        <w:rPr>
          <w:rFonts w:asciiTheme="majorHAnsi" w:eastAsiaTheme="minorHAnsi" w:hAnsiTheme="majorHAnsi" w:cstheme="majorHAnsi"/>
          <w:color w:val="000000"/>
          <w:sz w:val="22"/>
          <w:szCs w:val="22"/>
          <w:lang w:val="en-US" w:eastAsia="en-US"/>
        </w:rPr>
        <w:t xml:space="preserve"> Herman Goossens, PhD </w:t>
      </w:r>
      <w:r w:rsidRPr="00AB1E15">
        <w:rPr>
          <w:rFonts w:asciiTheme="majorHAnsi" w:eastAsiaTheme="minorHAnsi" w:hAnsiTheme="majorHAnsi" w:cstheme="majorHAnsi"/>
          <w:color w:val="000000"/>
          <w:sz w:val="22"/>
          <w:szCs w:val="22"/>
          <w:vertAlign w:val="superscript"/>
          <w:lang w:val="en-US" w:eastAsia="en-US"/>
        </w:rPr>
        <w:t>2</w:t>
      </w:r>
      <w:r w:rsidR="00C855A2" w:rsidRPr="00AB1E15">
        <w:rPr>
          <w:rFonts w:asciiTheme="majorHAnsi" w:eastAsiaTheme="minorHAnsi" w:hAnsiTheme="majorHAnsi" w:cstheme="majorHAnsi"/>
          <w:color w:val="000000"/>
          <w:sz w:val="22"/>
          <w:szCs w:val="22"/>
          <w:vertAlign w:val="superscript"/>
          <w:lang w:val="en-US" w:eastAsia="en-US"/>
        </w:rPr>
        <w:t>4</w:t>
      </w:r>
      <w:r w:rsidRPr="00AB1E15">
        <w:rPr>
          <w:rFonts w:asciiTheme="majorHAnsi" w:eastAsiaTheme="minorHAnsi" w:hAnsiTheme="majorHAnsi" w:cstheme="majorHAnsi"/>
          <w:color w:val="000000"/>
          <w:sz w:val="22"/>
          <w:szCs w:val="22"/>
          <w:lang w:val="en-US" w:eastAsia="en-US"/>
        </w:rPr>
        <w:t xml:space="preserve">; Rashan Haniffa, PhD </w:t>
      </w:r>
      <w:r w:rsidRPr="00AB1E15">
        <w:rPr>
          <w:rFonts w:asciiTheme="majorHAnsi" w:eastAsiaTheme="minorHAnsi" w:hAnsiTheme="majorHAnsi" w:cstheme="majorHAnsi"/>
          <w:color w:val="000000"/>
          <w:sz w:val="22"/>
          <w:szCs w:val="22"/>
          <w:vertAlign w:val="superscript"/>
          <w:lang w:val="en-US" w:eastAsia="en-US"/>
        </w:rPr>
        <w:t>2</w:t>
      </w:r>
      <w:r w:rsidR="00C855A2" w:rsidRPr="00AB1E15">
        <w:rPr>
          <w:rFonts w:asciiTheme="majorHAnsi" w:eastAsiaTheme="minorHAnsi" w:hAnsiTheme="majorHAnsi" w:cstheme="majorHAnsi"/>
          <w:color w:val="000000"/>
          <w:sz w:val="22"/>
          <w:szCs w:val="22"/>
          <w:vertAlign w:val="superscript"/>
          <w:lang w:val="en-US" w:eastAsia="en-US"/>
        </w:rPr>
        <w:t>5</w:t>
      </w:r>
      <w:r w:rsidRPr="00AB1E15">
        <w:rPr>
          <w:rFonts w:asciiTheme="majorHAnsi" w:eastAsiaTheme="minorHAnsi" w:hAnsiTheme="majorHAnsi" w:cstheme="majorHAnsi"/>
          <w:color w:val="000000"/>
          <w:sz w:val="22"/>
          <w:szCs w:val="22"/>
          <w:vertAlign w:val="superscript"/>
          <w:lang w:val="en-US" w:eastAsia="en-US"/>
        </w:rPr>
        <w:t>,2</w:t>
      </w:r>
      <w:r w:rsidR="00C855A2" w:rsidRPr="00AB1E15">
        <w:rPr>
          <w:rFonts w:asciiTheme="majorHAnsi" w:eastAsiaTheme="minorHAnsi" w:hAnsiTheme="majorHAnsi" w:cstheme="majorHAnsi"/>
          <w:color w:val="000000"/>
          <w:sz w:val="22"/>
          <w:szCs w:val="22"/>
          <w:vertAlign w:val="superscript"/>
          <w:lang w:val="en-US" w:eastAsia="en-US"/>
        </w:rPr>
        <w:t>6</w:t>
      </w:r>
      <w:r w:rsidRPr="00AB1E15">
        <w:rPr>
          <w:rFonts w:asciiTheme="majorHAnsi" w:eastAsiaTheme="minorHAnsi" w:hAnsiTheme="majorHAnsi" w:cstheme="majorHAnsi"/>
          <w:color w:val="000000"/>
          <w:sz w:val="22"/>
          <w:szCs w:val="22"/>
          <w:vertAlign w:val="superscript"/>
          <w:lang w:val="en-US" w:eastAsia="en-US"/>
        </w:rPr>
        <w:t>,2</w:t>
      </w:r>
      <w:r w:rsidR="00C855A2" w:rsidRPr="00AB1E15">
        <w:rPr>
          <w:rFonts w:asciiTheme="majorHAnsi" w:eastAsiaTheme="minorHAnsi" w:hAnsiTheme="majorHAnsi" w:cstheme="majorHAnsi"/>
          <w:color w:val="000000"/>
          <w:sz w:val="22"/>
          <w:szCs w:val="22"/>
          <w:vertAlign w:val="superscript"/>
          <w:lang w:val="en-US" w:eastAsia="en-US"/>
        </w:rPr>
        <w:t>7</w:t>
      </w:r>
      <w:r w:rsidRPr="00AB1E15">
        <w:rPr>
          <w:rFonts w:asciiTheme="majorHAnsi" w:eastAsiaTheme="minorHAnsi" w:hAnsiTheme="majorHAnsi" w:cstheme="majorHAnsi"/>
          <w:color w:val="000000"/>
          <w:sz w:val="22"/>
          <w:szCs w:val="22"/>
          <w:lang w:val="en-US" w:eastAsia="en-US"/>
        </w:rPr>
        <w:t xml:space="preserve">; Thomas E. Hills, PhD </w:t>
      </w:r>
      <w:r w:rsidR="00C855A2" w:rsidRPr="00AB1E15">
        <w:rPr>
          <w:rFonts w:asciiTheme="majorHAnsi" w:eastAsiaTheme="minorHAnsi" w:hAnsiTheme="majorHAnsi" w:cstheme="majorHAnsi"/>
          <w:color w:val="000000"/>
          <w:sz w:val="22"/>
          <w:szCs w:val="22"/>
          <w:vertAlign w:val="superscript"/>
          <w:lang w:val="en-US" w:eastAsia="en-US"/>
        </w:rPr>
        <w:t>13,28</w:t>
      </w:r>
      <w:r w:rsidRPr="00AB1E15">
        <w:rPr>
          <w:rFonts w:asciiTheme="majorHAnsi" w:eastAsiaTheme="minorHAnsi" w:hAnsiTheme="majorHAnsi" w:cstheme="majorHAnsi"/>
          <w:color w:val="000000"/>
          <w:sz w:val="22"/>
          <w:szCs w:val="22"/>
          <w:lang w:val="en-US" w:eastAsia="en-US"/>
        </w:rPr>
        <w:t>; Nao Ichihara</w:t>
      </w:r>
      <w:r w:rsidR="00C855A2" w:rsidRPr="00AB1E15">
        <w:rPr>
          <w:rFonts w:asciiTheme="majorHAnsi" w:eastAsiaTheme="minorHAnsi" w:hAnsiTheme="majorHAnsi" w:cstheme="majorHAnsi"/>
          <w:color w:val="000000"/>
          <w:sz w:val="22"/>
          <w:szCs w:val="22"/>
          <w:lang w:val="en-US" w:eastAsia="en-US"/>
        </w:rPr>
        <w:t xml:space="preserve"> </w:t>
      </w:r>
      <w:r w:rsidR="00C855A2" w:rsidRPr="00AB1E15">
        <w:rPr>
          <w:rFonts w:asciiTheme="majorHAnsi" w:eastAsiaTheme="minorHAnsi" w:hAnsiTheme="majorHAnsi" w:cstheme="majorHAnsi"/>
          <w:color w:val="000000"/>
          <w:sz w:val="22"/>
          <w:szCs w:val="22"/>
          <w:vertAlign w:val="superscript"/>
          <w:lang w:val="en-US" w:eastAsia="en-US"/>
        </w:rPr>
        <w:t>29</w:t>
      </w:r>
      <w:r w:rsidRPr="00AB1E15">
        <w:rPr>
          <w:rFonts w:asciiTheme="majorHAnsi" w:eastAsiaTheme="minorHAnsi" w:hAnsiTheme="majorHAnsi" w:cstheme="majorHAnsi"/>
          <w:color w:val="000000"/>
          <w:sz w:val="22"/>
          <w:szCs w:val="22"/>
          <w:lang w:val="en-US" w:eastAsia="en-US"/>
        </w:rPr>
        <w:t>; Andrew King</w:t>
      </w:r>
      <w:r w:rsidR="00C855A2" w:rsidRPr="00AB1E15">
        <w:rPr>
          <w:rFonts w:asciiTheme="majorHAnsi" w:eastAsiaTheme="minorHAnsi" w:hAnsiTheme="majorHAnsi" w:cstheme="majorHAnsi"/>
          <w:color w:val="000000"/>
          <w:sz w:val="22"/>
          <w:szCs w:val="22"/>
          <w:lang w:val="en-US" w:eastAsia="en-US"/>
        </w:rPr>
        <w:t xml:space="preserve"> </w:t>
      </w:r>
      <w:r w:rsidR="00C855A2" w:rsidRPr="00AB1E15">
        <w:rPr>
          <w:rFonts w:asciiTheme="majorHAnsi" w:eastAsiaTheme="minorHAnsi" w:hAnsiTheme="majorHAnsi" w:cstheme="majorHAnsi"/>
          <w:color w:val="000000"/>
          <w:sz w:val="22"/>
          <w:szCs w:val="22"/>
          <w:vertAlign w:val="superscript"/>
          <w:lang w:val="en-US" w:eastAsia="en-US"/>
        </w:rPr>
        <w:t>23</w:t>
      </w:r>
      <w:r w:rsidRPr="00AB1E15">
        <w:rPr>
          <w:rFonts w:asciiTheme="majorHAnsi" w:eastAsiaTheme="minorHAnsi" w:hAnsiTheme="majorHAnsi" w:cstheme="majorHAnsi"/>
          <w:color w:val="000000"/>
          <w:sz w:val="22"/>
          <w:szCs w:val="22"/>
          <w:lang w:val="en-US" w:eastAsia="en-US"/>
        </w:rPr>
        <w:t xml:space="preserve">; Francois Lamontagne, MD </w:t>
      </w:r>
      <w:r w:rsidR="00C855A2" w:rsidRPr="00AB1E15">
        <w:rPr>
          <w:rFonts w:asciiTheme="majorHAnsi" w:eastAsiaTheme="minorHAnsi" w:hAnsiTheme="majorHAnsi" w:cstheme="majorHAnsi"/>
          <w:color w:val="000000"/>
          <w:sz w:val="22"/>
          <w:szCs w:val="22"/>
          <w:vertAlign w:val="superscript"/>
          <w:lang w:val="en-US" w:eastAsia="en-US"/>
        </w:rPr>
        <w:t>30</w:t>
      </w:r>
      <w:r w:rsidRPr="00AB1E15">
        <w:rPr>
          <w:rFonts w:asciiTheme="majorHAnsi" w:eastAsiaTheme="minorHAnsi" w:hAnsiTheme="majorHAnsi" w:cstheme="majorHAnsi"/>
          <w:color w:val="000000"/>
          <w:sz w:val="22"/>
          <w:szCs w:val="22"/>
          <w:lang w:val="en-US" w:eastAsia="en-US"/>
        </w:rPr>
        <w:t xml:space="preserve">; Patrick R. Lawler, MD, MPH </w:t>
      </w:r>
      <w:r w:rsidR="00C855A2" w:rsidRPr="00AB1E15">
        <w:rPr>
          <w:rFonts w:asciiTheme="majorHAnsi" w:eastAsiaTheme="minorHAnsi" w:hAnsiTheme="majorHAnsi" w:cstheme="majorHAnsi"/>
          <w:color w:val="000000"/>
          <w:sz w:val="22"/>
          <w:szCs w:val="22"/>
          <w:vertAlign w:val="superscript"/>
          <w:lang w:val="en-US" w:eastAsia="en-US"/>
        </w:rPr>
        <w:t>31,32</w:t>
      </w:r>
      <w:r w:rsidRPr="00AB1E15">
        <w:rPr>
          <w:rFonts w:asciiTheme="majorHAnsi" w:eastAsiaTheme="minorHAnsi" w:hAnsiTheme="majorHAnsi" w:cstheme="majorHAnsi"/>
          <w:color w:val="000000"/>
          <w:sz w:val="22"/>
          <w:szCs w:val="22"/>
          <w:lang w:val="en-US" w:eastAsia="en-US"/>
        </w:rPr>
        <w:t xml:space="preserve">; Helen L. Leavis, MD, PhD </w:t>
      </w:r>
      <w:r w:rsidRPr="00AB1E15">
        <w:rPr>
          <w:rFonts w:asciiTheme="majorHAnsi" w:eastAsiaTheme="minorHAnsi" w:hAnsiTheme="majorHAnsi" w:cstheme="majorHAnsi"/>
          <w:color w:val="000000"/>
          <w:sz w:val="22"/>
          <w:szCs w:val="22"/>
          <w:vertAlign w:val="superscript"/>
          <w:lang w:val="en-US" w:eastAsia="en-US"/>
        </w:rPr>
        <w:t>1;</w:t>
      </w:r>
      <w:r w:rsidRPr="00AB1E15">
        <w:rPr>
          <w:rFonts w:asciiTheme="majorHAnsi" w:eastAsiaTheme="minorHAnsi" w:hAnsiTheme="majorHAnsi" w:cstheme="majorHAnsi"/>
          <w:color w:val="000000"/>
          <w:sz w:val="22"/>
          <w:szCs w:val="22"/>
          <w:lang w:val="en-US" w:eastAsia="en-US"/>
        </w:rPr>
        <w:t xml:space="preserve"> Roger</w:t>
      </w:r>
      <w:r w:rsidRPr="009A7AE2">
        <w:rPr>
          <w:rFonts w:asciiTheme="majorHAnsi" w:eastAsiaTheme="minorHAnsi" w:hAnsiTheme="majorHAnsi" w:cstheme="majorHAnsi"/>
          <w:color w:val="000000"/>
          <w:sz w:val="22"/>
          <w:szCs w:val="22"/>
          <w:lang w:val="en-US" w:eastAsia="en-US"/>
        </w:rPr>
        <w:t xml:space="preserve"> J.</w:t>
      </w:r>
      <w:r>
        <w:rPr>
          <w:rFonts w:asciiTheme="majorHAnsi" w:eastAsiaTheme="minorHAnsi" w:hAnsiTheme="majorHAnsi" w:cstheme="majorHAnsi"/>
          <w:color w:val="000000"/>
          <w:sz w:val="22"/>
          <w:szCs w:val="22"/>
          <w:lang w:val="en-US" w:eastAsia="en-US"/>
        </w:rPr>
        <w:t xml:space="preserve"> </w:t>
      </w:r>
      <w:r w:rsidRPr="009A7AE2">
        <w:rPr>
          <w:rFonts w:asciiTheme="majorHAnsi" w:eastAsiaTheme="minorHAnsi" w:hAnsiTheme="majorHAnsi" w:cstheme="majorHAnsi"/>
          <w:color w:val="000000"/>
          <w:sz w:val="22"/>
          <w:szCs w:val="22"/>
          <w:lang w:val="en-US" w:eastAsia="en-US"/>
        </w:rPr>
        <w:t xml:space="preserve">Lewis, MD, PhD </w:t>
      </w:r>
      <w:r w:rsidR="00C855A2" w:rsidRPr="00C855A2">
        <w:rPr>
          <w:rFonts w:asciiTheme="majorHAnsi" w:eastAsiaTheme="minorHAnsi" w:hAnsiTheme="majorHAnsi" w:cstheme="majorHAnsi"/>
          <w:color w:val="000000"/>
          <w:sz w:val="22"/>
          <w:szCs w:val="22"/>
          <w:vertAlign w:val="superscript"/>
          <w:lang w:val="en-US" w:eastAsia="en-US"/>
        </w:rPr>
        <w:t>20,33</w:t>
      </w:r>
      <w:r w:rsidR="00C855A2">
        <w:rPr>
          <w:rFonts w:asciiTheme="majorHAnsi" w:eastAsiaTheme="minorHAnsi" w:hAnsiTheme="majorHAnsi" w:cstheme="majorHAnsi"/>
          <w:color w:val="000000"/>
          <w:sz w:val="22"/>
          <w:szCs w:val="22"/>
          <w:lang w:val="en-US" w:eastAsia="en-US"/>
        </w:rPr>
        <w:t>;</w:t>
      </w:r>
      <w:r w:rsidRPr="009A7AE2">
        <w:rPr>
          <w:rFonts w:asciiTheme="majorHAnsi" w:eastAsiaTheme="minorHAnsi" w:hAnsiTheme="majorHAnsi" w:cstheme="majorHAnsi"/>
          <w:color w:val="000000"/>
          <w:sz w:val="22"/>
          <w:szCs w:val="22"/>
          <w:lang w:val="en-US" w:eastAsia="en-US"/>
        </w:rPr>
        <w:t xml:space="preserve"> Kelsey M. Linstrum, MS </w:t>
      </w:r>
      <w:r w:rsidRPr="00C855A2">
        <w:rPr>
          <w:rFonts w:asciiTheme="majorHAnsi" w:eastAsiaTheme="minorHAnsi" w:hAnsiTheme="majorHAnsi" w:cstheme="majorHAnsi"/>
          <w:color w:val="000000"/>
          <w:sz w:val="22"/>
          <w:szCs w:val="22"/>
          <w:vertAlign w:val="superscript"/>
          <w:lang w:val="en-US" w:eastAsia="en-US"/>
        </w:rPr>
        <w:t>3</w:t>
      </w:r>
      <w:r w:rsidR="00C855A2" w:rsidRPr="00C855A2">
        <w:rPr>
          <w:rFonts w:asciiTheme="majorHAnsi" w:eastAsiaTheme="minorHAnsi" w:hAnsiTheme="majorHAnsi" w:cstheme="majorHAnsi"/>
          <w:color w:val="000000"/>
          <w:sz w:val="22"/>
          <w:szCs w:val="22"/>
          <w:vertAlign w:val="superscript"/>
          <w:lang w:val="en-US" w:eastAsia="en-US"/>
        </w:rPr>
        <w:t>4</w:t>
      </w:r>
      <w:r w:rsidRPr="009A7AE2">
        <w:rPr>
          <w:rFonts w:asciiTheme="majorHAnsi" w:eastAsiaTheme="minorHAnsi" w:hAnsiTheme="majorHAnsi" w:cstheme="majorHAnsi"/>
          <w:color w:val="000000"/>
          <w:sz w:val="22"/>
          <w:szCs w:val="22"/>
          <w:lang w:val="en-US" w:eastAsia="en-US"/>
        </w:rPr>
        <w:t xml:space="preserve">; Edward Litton, MD, PhD </w:t>
      </w:r>
      <w:r w:rsidRPr="00C855A2">
        <w:rPr>
          <w:rFonts w:asciiTheme="majorHAnsi" w:eastAsiaTheme="minorHAnsi" w:hAnsiTheme="majorHAnsi" w:cstheme="majorHAnsi"/>
          <w:color w:val="000000"/>
          <w:sz w:val="22"/>
          <w:szCs w:val="22"/>
          <w:vertAlign w:val="superscript"/>
          <w:lang w:val="en-US" w:eastAsia="en-US"/>
        </w:rPr>
        <w:t>3</w:t>
      </w:r>
      <w:r w:rsidR="00C855A2" w:rsidRPr="00C855A2">
        <w:rPr>
          <w:rFonts w:asciiTheme="majorHAnsi" w:eastAsiaTheme="minorHAnsi" w:hAnsiTheme="majorHAnsi" w:cstheme="majorHAnsi"/>
          <w:color w:val="000000"/>
          <w:sz w:val="22"/>
          <w:szCs w:val="22"/>
          <w:vertAlign w:val="superscript"/>
          <w:lang w:val="en-US" w:eastAsia="en-US"/>
        </w:rPr>
        <w:t>5,36</w:t>
      </w:r>
      <w:r w:rsidRPr="009A7AE2">
        <w:rPr>
          <w:rFonts w:asciiTheme="majorHAnsi" w:eastAsiaTheme="minorHAnsi" w:hAnsiTheme="majorHAnsi" w:cstheme="majorHAnsi"/>
          <w:color w:val="000000"/>
          <w:sz w:val="22"/>
          <w:szCs w:val="22"/>
          <w:lang w:val="en-US" w:eastAsia="en-US"/>
        </w:rPr>
        <w:t xml:space="preserve">; John C. Marshall, MD </w:t>
      </w:r>
      <w:r w:rsidRPr="00C855A2">
        <w:rPr>
          <w:rFonts w:asciiTheme="majorHAnsi" w:eastAsiaTheme="minorHAnsi" w:hAnsiTheme="majorHAnsi" w:cstheme="majorHAnsi"/>
          <w:color w:val="000000"/>
          <w:sz w:val="22"/>
          <w:szCs w:val="22"/>
          <w:vertAlign w:val="superscript"/>
          <w:lang w:val="en-US" w:eastAsia="en-US"/>
        </w:rPr>
        <w:t>14</w:t>
      </w:r>
      <w:r w:rsidRPr="009A7AE2">
        <w:rPr>
          <w:rFonts w:asciiTheme="majorHAnsi" w:eastAsiaTheme="minorHAnsi" w:hAnsiTheme="majorHAnsi" w:cstheme="majorHAnsi"/>
          <w:color w:val="000000"/>
          <w:sz w:val="22"/>
          <w:szCs w:val="22"/>
          <w:lang w:val="en-US" w:eastAsia="en-US"/>
        </w:rPr>
        <w:t>;</w:t>
      </w:r>
      <w:r>
        <w:rPr>
          <w:rFonts w:asciiTheme="majorHAnsi" w:eastAsiaTheme="minorHAnsi" w:hAnsiTheme="majorHAnsi" w:cstheme="majorHAnsi"/>
          <w:color w:val="000000"/>
          <w:sz w:val="22"/>
          <w:szCs w:val="22"/>
          <w:lang w:val="en-US" w:eastAsia="en-US"/>
        </w:rPr>
        <w:t xml:space="preserve"> </w:t>
      </w:r>
      <w:r w:rsidRPr="009A7AE2">
        <w:rPr>
          <w:rFonts w:asciiTheme="majorHAnsi" w:eastAsiaTheme="minorHAnsi" w:hAnsiTheme="majorHAnsi" w:cstheme="majorHAnsi"/>
          <w:color w:val="000000"/>
          <w:sz w:val="22"/>
          <w:szCs w:val="22"/>
          <w:lang w:val="en-US" w:eastAsia="en-US"/>
        </w:rPr>
        <w:t xml:space="preserve">Florian B. Mayr, MD, MPH </w:t>
      </w:r>
      <w:r w:rsidRPr="00C855A2">
        <w:rPr>
          <w:rFonts w:asciiTheme="majorHAnsi" w:eastAsiaTheme="minorHAnsi" w:hAnsiTheme="majorHAnsi" w:cstheme="majorHAnsi"/>
          <w:color w:val="000000"/>
          <w:sz w:val="22"/>
          <w:szCs w:val="22"/>
          <w:vertAlign w:val="superscript"/>
          <w:lang w:val="en-US" w:eastAsia="en-US"/>
        </w:rPr>
        <w:t>3</w:t>
      </w:r>
      <w:r w:rsidR="00C855A2" w:rsidRPr="00C855A2">
        <w:rPr>
          <w:rFonts w:asciiTheme="majorHAnsi" w:eastAsiaTheme="minorHAnsi" w:hAnsiTheme="majorHAnsi" w:cstheme="majorHAnsi"/>
          <w:color w:val="000000"/>
          <w:sz w:val="22"/>
          <w:szCs w:val="22"/>
          <w:vertAlign w:val="superscript"/>
          <w:lang w:val="en-US" w:eastAsia="en-US"/>
        </w:rPr>
        <w:t>4</w:t>
      </w:r>
      <w:r w:rsidRPr="009A7AE2">
        <w:rPr>
          <w:rFonts w:asciiTheme="majorHAnsi" w:eastAsiaTheme="minorHAnsi" w:hAnsiTheme="majorHAnsi" w:cstheme="majorHAnsi"/>
          <w:color w:val="000000"/>
          <w:sz w:val="22"/>
          <w:szCs w:val="22"/>
          <w:lang w:val="en-US" w:eastAsia="en-US"/>
        </w:rPr>
        <w:t xml:space="preserve">; Danny </w:t>
      </w:r>
      <w:r w:rsidRPr="000E5B64">
        <w:rPr>
          <w:rFonts w:asciiTheme="majorHAnsi" w:eastAsiaTheme="minorHAnsi" w:hAnsiTheme="majorHAnsi" w:cstheme="majorHAnsi"/>
          <w:color w:val="000000"/>
          <w:sz w:val="22"/>
          <w:szCs w:val="22"/>
          <w:lang w:val="en-US" w:eastAsia="en-US"/>
        </w:rPr>
        <w:t xml:space="preserve">McAuley, MD </w:t>
      </w:r>
      <w:r w:rsidRPr="000E5B64">
        <w:rPr>
          <w:rFonts w:asciiTheme="majorHAnsi" w:eastAsiaTheme="minorHAnsi" w:hAnsiTheme="majorHAnsi" w:cstheme="majorHAnsi"/>
          <w:color w:val="000000"/>
          <w:sz w:val="22"/>
          <w:szCs w:val="22"/>
          <w:vertAlign w:val="superscript"/>
          <w:lang w:val="en-US" w:eastAsia="en-US"/>
        </w:rPr>
        <w:t>3</w:t>
      </w:r>
      <w:r w:rsidR="00C855A2" w:rsidRPr="000E5B64">
        <w:rPr>
          <w:rFonts w:asciiTheme="majorHAnsi" w:eastAsiaTheme="minorHAnsi" w:hAnsiTheme="majorHAnsi" w:cstheme="majorHAnsi"/>
          <w:color w:val="000000"/>
          <w:sz w:val="22"/>
          <w:szCs w:val="22"/>
          <w:vertAlign w:val="superscript"/>
          <w:lang w:val="en-US" w:eastAsia="en-US"/>
        </w:rPr>
        <w:t>7,38</w:t>
      </w:r>
      <w:r w:rsidRPr="000E5B64">
        <w:rPr>
          <w:rFonts w:asciiTheme="majorHAnsi" w:eastAsiaTheme="minorHAnsi" w:hAnsiTheme="majorHAnsi" w:cstheme="majorHAnsi"/>
          <w:color w:val="000000"/>
          <w:sz w:val="22"/>
          <w:szCs w:val="22"/>
          <w:lang w:val="en-US" w:eastAsia="en-US"/>
        </w:rPr>
        <w:t xml:space="preserve">; Anna McGlothlin, PhD </w:t>
      </w:r>
      <w:r w:rsidR="00AB1E15" w:rsidRPr="000E5B64">
        <w:rPr>
          <w:rFonts w:asciiTheme="majorHAnsi" w:eastAsiaTheme="minorHAnsi" w:hAnsiTheme="majorHAnsi" w:cstheme="majorHAnsi"/>
          <w:color w:val="000000"/>
          <w:sz w:val="22"/>
          <w:szCs w:val="22"/>
          <w:vertAlign w:val="superscript"/>
          <w:lang w:val="en-US" w:eastAsia="en-US"/>
        </w:rPr>
        <w:t>20</w:t>
      </w:r>
      <w:r w:rsidRPr="000E5B64">
        <w:rPr>
          <w:rFonts w:asciiTheme="majorHAnsi" w:eastAsiaTheme="minorHAnsi" w:hAnsiTheme="majorHAnsi" w:cstheme="majorHAnsi"/>
          <w:color w:val="000000"/>
          <w:sz w:val="22"/>
          <w:szCs w:val="22"/>
          <w:lang w:val="en-US" w:eastAsia="en-US"/>
        </w:rPr>
        <w:t xml:space="preserve">; Shay P McGuinness, MD </w:t>
      </w:r>
      <w:r w:rsidRPr="000E5B64">
        <w:rPr>
          <w:rFonts w:asciiTheme="majorHAnsi" w:eastAsiaTheme="minorHAnsi" w:hAnsiTheme="majorHAnsi" w:cstheme="majorHAnsi"/>
          <w:color w:val="000000"/>
          <w:sz w:val="22"/>
          <w:szCs w:val="22"/>
          <w:vertAlign w:val="superscript"/>
          <w:lang w:val="en-US" w:eastAsia="en-US"/>
        </w:rPr>
        <w:t>5,</w:t>
      </w:r>
      <w:r w:rsidR="00AB1E15" w:rsidRPr="000E5B64">
        <w:rPr>
          <w:rFonts w:asciiTheme="majorHAnsi" w:eastAsiaTheme="minorHAnsi" w:hAnsiTheme="majorHAnsi" w:cstheme="majorHAnsi"/>
          <w:color w:val="000000"/>
          <w:sz w:val="22"/>
          <w:szCs w:val="22"/>
          <w:vertAlign w:val="superscript"/>
          <w:lang w:val="en-US" w:eastAsia="en-US"/>
        </w:rPr>
        <w:t>21,28</w:t>
      </w:r>
      <w:r w:rsidRPr="000E5B64">
        <w:rPr>
          <w:rFonts w:asciiTheme="majorHAnsi" w:eastAsiaTheme="minorHAnsi" w:hAnsiTheme="majorHAnsi" w:cstheme="majorHAnsi"/>
          <w:color w:val="000000"/>
          <w:sz w:val="22"/>
          <w:szCs w:val="22"/>
          <w:lang w:val="en-US" w:eastAsia="en-US"/>
        </w:rPr>
        <w:t xml:space="preserve">; Bryan J. McVerry, MD </w:t>
      </w:r>
      <w:r w:rsidRPr="000E5B64">
        <w:rPr>
          <w:rFonts w:asciiTheme="majorHAnsi" w:eastAsiaTheme="minorHAnsi" w:hAnsiTheme="majorHAnsi" w:cstheme="majorHAnsi"/>
          <w:color w:val="000000"/>
          <w:sz w:val="22"/>
          <w:szCs w:val="22"/>
          <w:vertAlign w:val="superscript"/>
          <w:lang w:val="en-US" w:eastAsia="en-US"/>
        </w:rPr>
        <w:t>3</w:t>
      </w:r>
      <w:r w:rsidR="00AB1E15" w:rsidRPr="000E5B64">
        <w:rPr>
          <w:rFonts w:asciiTheme="majorHAnsi" w:eastAsiaTheme="minorHAnsi" w:hAnsiTheme="majorHAnsi" w:cstheme="majorHAnsi"/>
          <w:color w:val="000000"/>
          <w:sz w:val="22"/>
          <w:szCs w:val="22"/>
          <w:vertAlign w:val="superscript"/>
          <w:lang w:val="en-US" w:eastAsia="en-US"/>
        </w:rPr>
        <w:t>4</w:t>
      </w:r>
      <w:r w:rsidRPr="000E5B64">
        <w:rPr>
          <w:rFonts w:asciiTheme="majorHAnsi" w:eastAsiaTheme="minorHAnsi" w:hAnsiTheme="majorHAnsi" w:cstheme="majorHAnsi"/>
          <w:color w:val="000000"/>
          <w:sz w:val="22"/>
          <w:szCs w:val="22"/>
          <w:lang w:val="en-US" w:eastAsia="en-US"/>
        </w:rPr>
        <w:t xml:space="preserve">; Stephanie K. Montgomery, MSc </w:t>
      </w:r>
      <w:r w:rsidRPr="000E5B64">
        <w:rPr>
          <w:rFonts w:asciiTheme="majorHAnsi" w:eastAsiaTheme="minorHAnsi" w:hAnsiTheme="majorHAnsi" w:cstheme="majorHAnsi"/>
          <w:color w:val="000000"/>
          <w:sz w:val="22"/>
          <w:szCs w:val="22"/>
          <w:vertAlign w:val="superscript"/>
          <w:lang w:val="en-US" w:eastAsia="en-US"/>
        </w:rPr>
        <w:t>3</w:t>
      </w:r>
      <w:r w:rsidR="00AB1E15" w:rsidRPr="000E5B64">
        <w:rPr>
          <w:rFonts w:asciiTheme="majorHAnsi" w:eastAsiaTheme="minorHAnsi" w:hAnsiTheme="majorHAnsi" w:cstheme="majorHAnsi"/>
          <w:color w:val="000000"/>
          <w:sz w:val="22"/>
          <w:szCs w:val="22"/>
          <w:vertAlign w:val="superscript"/>
          <w:lang w:val="en-US" w:eastAsia="en-US"/>
        </w:rPr>
        <w:t>4</w:t>
      </w:r>
      <w:r w:rsidRPr="000E5B64">
        <w:rPr>
          <w:rFonts w:asciiTheme="majorHAnsi" w:eastAsiaTheme="minorHAnsi" w:hAnsiTheme="majorHAnsi" w:cstheme="majorHAnsi"/>
          <w:color w:val="000000"/>
          <w:sz w:val="22"/>
          <w:szCs w:val="22"/>
          <w:lang w:val="en-US" w:eastAsia="en-US"/>
        </w:rPr>
        <w:t xml:space="preserve">; Susan C. Morpeth, MD, PhD </w:t>
      </w:r>
      <w:r w:rsidR="000E5B64" w:rsidRPr="000E5B64">
        <w:rPr>
          <w:rFonts w:asciiTheme="majorHAnsi" w:eastAsiaTheme="minorHAnsi" w:hAnsiTheme="majorHAnsi" w:cstheme="majorHAnsi"/>
          <w:color w:val="000000"/>
          <w:sz w:val="22"/>
          <w:szCs w:val="22"/>
          <w:vertAlign w:val="superscript"/>
          <w:lang w:val="en-US" w:eastAsia="en-US"/>
        </w:rPr>
        <w:t>28,39</w:t>
      </w:r>
      <w:r w:rsidRPr="000E5B64">
        <w:rPr>
          <w:rFonts w:asciiTheme="majorHAnsi" w:eastAsiaTheme="minorHAnsi" w:hAnsiTheme="majorHAnsi" w:cstheme="majorHAnsi"/>
          <w:color w:val="000000"/>
          <w:sz w:val="22"/>
          <w:szCs w:val="22"/>
          <w:lang w:val="en-US" w:eastAsia="en-US"/>
        </w:rPr>
        <w:t xml:space="preserve">; Srinivas Murthy, MD </w:t>
      </w:r>
      <w:r w:rsidR="000E5B64" w:rsidRPr="000E5B64">
        <w:rPr>
          <w:rFonts w:asciiTheme="majorHAnsi" w:eastAsiaTheme="minorHAnsi" w:hAnsiTheme="majorHAnsi" w:cstheme="majorHAnsi"/>
          <w:color w:val="000000"/>
          <w:sz w:val="22"/>
          <w:szCs w:val="22"/>
          <w:vertAlign w:val="superscript"/>
          <w:lang w:val="en-US" w:eastAsia="en-US"/>
        </w:rPr>
        <w:t>40</w:t>
      </w:r>
      <w:r w:rsidRPr="000E5B64">
        <w:rPr>
          <w:rFonts w:asciiTheme="majorHAnsi" w:eastAsiaTheme="minorHAnsi" w:hAnsiTheme="majorHAnsi" w:cstheme="majorHAnsi"/>
          <w:color w:val="000000"/>
          <w:sz w:val="22"/>
          <w:szCs w:val="22"/>
          <w:lang w:val="en-US" w:eastAsia="en-US"/>
        </w:rPr>
        <w:t>; Mihai G. Netea</w:t>
      </w:r>
      <w:r w:rsidR="000E5B64" w:rsidRPr="000E5B64">
        <w:rPr>
          <w:rFonts w:asciiTheme="majorHAnsi" w:eastAsiaTheme="minorHAnsi" w:hAnsiTheme="majorHAnsi" w:cstheme="majorHAnsi"/>
          <w:color w:val="000000"/>
          <w:sz w:val="22"/>
          <w:szCs w:val="22"/>
          <w:lang w:val="en-US" w:eastAsia="en-US"/>
        </w:rPr>
        <w:t xml:space="preserve"> </w:t>
      </w:r>
      <w:r w:rsidR="000E5B64" w:rsidRPr="000E5B64">
        <w:rPr>
          <w:rFonts w:asciiTheme="majorHAnsi" w:eastAsiaTheme="minorHAnsi" w:hAnsiTheme="majorHAnsi" w:cstheme="majorHAnsi"/>
          <w:color w:val="000000"/>
          <w:sz w:val="22"/>
          <w:szCs w:val="22"/>
          <w:vertAlign w:val="superscript"/>
          <w:lang w:val="en-US" w:eastAsia="en-US"/>
        </w:rPr>
        <w:t>41</w:t>
      </w:r>
      <w:r w:rsidRPr="000E5B64">
        <w:rPr>
          <w:rFonts w:asciiTheme="majorHAnsi" w:eastAsiaTheme="minorHAnsi" w:hAnsiTheme="majorHAnsi" w:cstheme="majorHAnsi"/>
          <w:color w:val="000000"/>
          <w:sz w:val="22"/>
          <w:szCs w:val="22"/>
          <w:lang w:val="en-US" w:eastAsia="en-US"/>
        </w:rPr>
        <w:t>;</w:t>
      </w:r>
      <w:r>
        <w:rPr>
          <w:rFonts w:asciiTheme="majorHAnsi" w:eastAsiaTheme="minorHAnsi" w:hAnsiTheme="majorHAnsi" w:cstheme="majorHAnsi"/>
          <w:color w:val="000000"/>
          <w:sz w:val="22"/>
          <w:szCs w:val="22"/>
          <w:lang w:val="en-US" w:eastAsia="en-US"/>
        </w:rPr>
        <w:t xml:space="preserve"> </w:t>
      </w:r>
      <w:r w:rsidRPr="00AD62C1">
        <w:rPr>
          <w:rFonts w:asciiTheme="majorHAnsi" w:eastAsiaTheme="minorHAnsi" w:hAnsiTheme="majorHAnsi" w:cstheme="majorHAnsi"/>
          <w:color w:val="000000"/>
          <w:sz w:val="22"/>
          <w:szCs w:val="22"/>
          <w:lang w:val="en-US" w:eastAsia="en-US"/>
        </w:rPr>
        <w:t>Kayode Ogungbenro</w:t>
      </w:r>
      <w:r w:rsidR="00AD62C1" w:rsidRPr="00AD62C1">
        <w:rPr>
          <w:rFonts w:asciiTheme="majorHAnsi" w:eastAsiaTheme="minorHAnsi" w:hAnsiTheme="majorHAnsi" w:cstheme="majorHAnsi"/>
          <w:color w:val="000000"/>
          <w:sz w:val="22"/>
          <w:szCs w:val="22"/>
          <w:lang w:val="en-US" w:eastAsia="en-US"/>
        </w:rPr>
        <w:t xml:space="preserve"> </w:t>
      </w:r>
      <w:r w:rsidR="00AD62C1" w:rsidRPr="00AD62C1">
        <w:rPr>
          <w:rFonts w:asciiTheme="majorHAnsi" w:eastAsiaTheme="minorHAnsi" w:hAnsiTheme="majorHAnsi" w:cstheme="majorHAnsi"/>
          <w:color w:val="000000"/>
          <w:sz w:val="22"/>
          <w:szCs w:val="22"/>
          <w:vertAlign w:val="superscript"/>
          <w:lang w:val="en-US" w:eastAsia="en-US"/>
        </w:rPr>
        <w:t>23</w:t>
      </w:r>
      <w:r w:rsidRPr="00AD62C1">
        <w:rPr>
          <w:rFonts w:asciiTheme="majorHAnsi" w:eastAsiaTheme="minorHAnsi" w:hAnsiTheme="majorHAnsi" w:cstheme="majorHAnsi"/>
          <w:color w:val="000000"/>
          <w:sz w:val="22"/>
          <w:szCs w:val="22"/>
          <w:lang w:val="en-US" w:eastAsia="en-US"/>
        </w:rPr>
        <w:t>; Katrina</w:t>
      </w:r>
      <w:r w:rsidRPr="009A7AE2">
        <w:rPr>
          <w:rFonts w:asciiTheme="majorHAnsi" w:eastAsiaTheme="minorHAnsi" w:hAnsiTheme="majorHAnsi" w:cstheme="majorHAnsi"/>
          <w:color w:val="000000"/>
          <w:sz w:val="22"/>
          <w:szCs w:val="22"/>
          <w:lang w:val="en-US" w:eastAsia="en-US"/>
        </w:rPr>
        <w:t xml:space="preserve"> Orr, BPharm </w:t>
      </w:r>
      <w:r w:rsidR="00AD62C1" w:rsidRPr="00AD62C1">
        <w:rPr>
          <w:rFonts w:asciiTheme="majorHAnsi" w:eastAsiaTheme="minorHAnsi" w:hAnsiTheme="majorHAnsi" w:cstheme="majorHAnsi"/>
          <w:color w:val="000000"/>
          <w:sz w:val="22"/>
          <w:szCs w:val="22"/>
          <w:vertAlign w:val="superscript"/>
          <w:lang w:val="en-US" w:eastAsia="en-US"/>
        </w:rPr>
        <w:t>42</w:t>
      </w:r>
      <w:r w:rsidRPr="009A7AE2">
        <w:rPr>
          <w:rFonts w:asciiTheme="majorHAnsi" w:eastAsiaTheme="minorHAnsi" w:hAnsiTheme="majorHAnsi" w:cstheme="majorHAnsi"/>
          <w:color w:val="000000"/>
          <w:sz w:val="22"/>
          <w:szCs w:val="22"/>
          <w:lang w:val="en-US" w:eastAsia="en-US"/>
        </w:rPr>
        <w:t xml:space="preserve">; Rachael L. Parke, PhD </w:t>
      </w:r>
      <w:r w:rsidR="00AD62C1" w:rsidRPr="00AD62C1">
        <w:rPr>
          <w:rFonts w:asciiTheme="majorHAnsi" w:eastAsiaTheme="minorHAnsi" w:hAnsiTheme="majorHAnsi" w:cstheme="majorHAnsi"/>
          <w:color w:val="000000"/>
          <w:sz w:val="22"/>
          <w:szCs w:val="22"/>
          <w:vertAlign w:val="superscript"/>
          <w:lang w:val="en-US" w:eastAsia="en-US"/>
        </w:rPr>
        <w:t>13</w:t>
      </w:r>
      <w:r w:rsidRPr="00AD62C1">
        <w:rPr>
          <w:rFonts w:asciiTheme="majorHAnsi" w:eastAsiaTheme="minorHAnsi" w:hAnsiTheme="majorHAnsi" w:cstheme="majorHAnsi"/>
          <w:color w:val="000000"/>
          <w:sz w:val="22"/>
          <w:szCs w:val="22"/>
          <w:vertAlign w:val="superscript"/>
          <w:lang w:val="en-US" w:eastAsia="en-US"/>
        </w:rPr>
        <w:t>,</w:t>
      </w:r>
      <w:r w:rsidR="00AD62C1" w:rsidRPr="00AD62C1">
        <w:rPr>
          <w:rFonts w:asciiTheme="majorHAnsi" w:eastAsiaTheme="minorHAnsi" w:hAnsiTheme="majorHAnsi" w:cstheme="majorHAnsi"/>
          <w:color w:val="000000"/>
          <w:sz w:val="22"/>
          <w:szCs w:val="22"/>
          <w:vertAlign w:val="superscript"/>
          <w:lang w:val="en-US" w:eastAsia="en-US"/>
        </w:rPr>
        <w:t>43</w:t>
      </w:r>
      <w:r w:rsidRPr="009A7AE2">
        <w:rPr>
          <w:rFonts w:asciiTheme="majorHAnsi" w:eastAsiaTheme="minorHAnsi" w:hAnsiTheme="majorHAnsi" w:cstheme="majorHAnsi"/>
          <w:color w:val="000000"/>
          <w:sz w:val="22"/>
          <w:szCs w:val="22"/>
          <w:lang w:val="en-US" w:eastAsia="en-US"/>
        </w:rPr>
        <w:t xml:space="preserve">; Jane C. Parker, BN </w:t>
      </w:r>
      <w:r w:rsidRPr="00AD62C1">
        <w:rPr>
          <w:rFonts w:asciiTheme="majorHAnsi" w:eastAsiaTheme="minorHAnsi" w:hAnsiTheme="majorHAnsi" w:cstheme="majorHAnsi"/>
          <w:color w:val="000000"/>
          <w:sz w:val="22"/>
          <w:szCs w:val="22"/>
          <w:vertAlign w:val="superscript"/>
          <w:lang w:val="en-US" w:eastAsia="en-US"/>
        </w:rPr>
        <w:t>5</w:t>
      </w:r>
      <w:r w:rsidRPr="009A7AE2">
        <w:rPr>
          <w:rFonts w:asciiTheme="majorHAnsi" w:eastAsiaTheme="minorHAnsi" w:hAnsiTheme="majorHAnsi" w:cstheme="majorHAnsi"/>
          <w:color w:val="000000"/>
          <w:sz w:val="22"/>
          <w:szCs w:val="22"/>
          <w:lang w:val="en-US" w:eastAsia="en-US"/>
        </w:rPr>
        <w:t>; Asad E.</w:t>
      </w:r>
      <w:r>
        <w:rPr>
          <w:rFonts w:asciiTheme="majorHAnsi" w:eastAsiaTheme="minorHAnsi" w:hAnsiTheme="majorHAnsi" w:cstheme="majorHAnsi"/>
          <w:color w:val="000000"/>
          <w:sz w:val="22"/>
          <w:szCs w:val="22"/>
          <w:lang w:val="en-US" w:eastAsia="en-US"/>
        </w:rPr>
        <w:t xml:space="preserve"> </w:t>
      </w:r>
      <w:r w:rsidRPr="009A7AE2">
        <w:rPr>
          <w:rFonts w:asciiTheme="majorHAnsi" w:eastAsiaTheme="minorHAnsi" w:hAnsiTheme="majorHAnsi" w:cstheme="majorHAnsi"/>
          <w:color w:val="000000"/>
          <w:sz w:val="22"/>
          <w:szCs w:val="22"/>
          <w:lang w:val="en-US" w:eastAsia="en-US"/>
        </w:rPr>
        <w:t xml:space="preserve">Patanwala, PharmD, MPH </w:t>
      </w:r>
      <w:r w:rsidRPr="00AD62C1">
        <w:rPr>
          <w:rFonts w:asciiTheme="majorHAnsi" w:eastAsiaTheme="minorHAnsi" w:hAnsiTheme="majorHAnsi" w:cstheme="majorHAnsi"/>
          <w:color w:val="000000"/>
          <w:sz w:val="22"/>
          <w:szCs w:val="22"/>
          <w:vertAlign w:val="superscript"/>
          <w:lang w:val="en-US" w:eastAsia="en-US"/>
        </w:rPr>
        <w:t>4</w:t>
      </w:r>
      <w:r w:rsidR="00AD62C1" w:rsidRPr="00AD62C1">
        <w:rPr>
          <w:rFonts w:asciiTheme="majorHAnsi" w:eastAsiaTheme="minorHAnsi" w:hAnsiTheme="majorHAnsi" w:cstheme="majorHAnsi"/>
          <w:color w:val="000000"/>
          <w:sz w:val="22"/>
          <w:szCs w:val="22"/>
          <w:vertAlign w:val="superscript"/>
          <w:lang w:val="en-US" w:eastAsia="en-US"/>
        </w:rPr>
        <w:t>4,45</w:t>
      </w:r>
      <w:r w:rsidRPr="009A7AE2">
        <w:rPr>
          <w:rFonts w:asciiTheme="majorHAnsi" w:eastAsiaTheme="minorHAnsi" w:hAnsiTheme="majorHAnsi" w:cstheme="majorHAnsi"/>
          <w:color w:val="000000"/>
          <w:sz w:val="22"/>
          <w:szCs w:val="22"/>
          <w:lang w:val="en-US" w:eastAsia="en-US"/>
        </w:rPr>
        <w:t xml:space="preserve">; Ville </w:t>
      </w:r>
      <w:r w:rsidRPr="00AD62C1">
        <w:rPr>
          <w:rFonts w:asciiTheme="majorHAnsi" w:eastAsiaTheme="minorHAnsi" w:hAnsiTheme="majorHAnsi" w:cstheme="majorHAnsi"/>
          <w:color w:val="000000"/>
          <w:sz w:val="22"/>
          <w:szCs w:val="22"/>
          <w:lang w:val="en-US" w:eastAsia="en-US"/>
        </w:rPr>
        <w:t xml:space="preserve">Pettila, MD </w:t>
      </w:r>
      <w:r w:rsidRPr="00AD62C1">
        <w:rPr>
          <w:rFonts w:asciiTheme="majorHAnsi" w:eastAsiaTheme="minorHAnsi" w:hAnsiTheme="majorHAnsi" w:cstheme="majorHAnsi"/>
          <w:color w:val="000000"/>
          <w:sz w:val="22"/>
          <w:szCs w:val="22"/>
          <w:vertAlign w:val="superscript"/>
          <w:lang w:val="en-US" w:eastAsia="en-US"/>
        </w:rPr>
        <w:t>4</w:t>
      </w:r>
      <w:r w:rsidR="00AD62C1" w:rsidRPr="00AD62C1">
        <w:rPr>
          <w:rFonts w:asciiTheme="majorHAnsi" w:eastAsiaTheme="minorHAnsi" w:hAnsiTheme="majorHAnsi" w:cstheme="majorHAnsi"/>
          <w:color w:val="000000"/>
          <w:sz w:val="22"/>
          <w:szCs w:val="22"/>
          <w:vertAlign w:val="superscript"/>
          <w:lang w:val="en-US" w:eastAsia="en-US"/>
        </w:rPr>
        <w:t>6</w:t>
      </w:r>
      <w:r w:rsidRPr="00AD62C1">
        <w:rPr>
          <w:rFonts w:asciiTheme="majorHAnsi" w:eastAsiaTheme="minorHAnsi" w:hAnsiTheme="majorHAnsi" w:cstheme="majorHAnsi"/>
          <w:color w:val="000000"/>
          <w:sz w:val="22"/>
          <w:szCs w:val="22"/>
          <w:lang w:val="en-US" w:eastAsia="en-US"/>
        </w:rPr>
        <w:t>; Luis Felipe Reyes</w:t>
      </w:r>
      <w:r w:rsidR="00AD62C1" w:rsidRPr="00AD62C1">
        <w:rPr>
          <w:rFonts w:asciiTheme="majorHAnsi" w:eastAsiaTheme="minorHAnsi" w:hAnsiTheme="majorHAnsi" w:cstheme="majorHAnsi"/>
          <w:color w:val="000000"/>
          <w:sz w:val="22"/>
          <w:szCs w:val="22"/>
          <w:lang w:val="en-US" w:eastAsia="en-US"/>
        </w:rPr>
        <w:t xml:space="preserve"> </w:t>
      </w:r>
      <w:r w:rsidR="00AD62C1" w:rsidRPr="00AD62C1">
        <w:rPr>
          <w:rFonts w:asciiTheme="majorHAnsi" w:eastAsiaTheme="minorHAnsi" w:hAnsiTheme="majorHAnsi" w:cstheme="majorHAnsi"/>
          <w:color w:val="000000"/>
          <w:sz w:val="22"/>
          <w:szCs w:val="22"/>
          <w:vertAlign w:val="superscript"/>
          <w:lang w:val="en-US" w:eastAsia="en-US"/>
        </w:rPr>
        <w:t>47,48</w:t>
      </w:r>
      <w:r w:rsidRPr="00AD62C1">
        <w:rPr>
          <w:rFonts w:asciiTheme="majorHAnsi" w:eastAsiaTheme="minorHAnsi" w:hAnsiTheme="majorHAnsi" w:cstheme="majorHAnsi"/>
          <w:color w:val="000000"/>
          <w:sz w:val="22"/>
          <w:szCs w:val="22"/>
          <w:lang w:val="en-US" w:eastAsia="en-US"/>
        </w:rPr>
        <w:t>; Ashish Sanil</w:t>
      </w:r>
      <w:r w:rsidR="00AD62C1" w:rsidRPr="00AD62C1">
        <w:rPr>
          <w:rFonts w:asciiTheme="majorHAnsi" w:eastAsiaTheme="minorHAnsi" w:hAnsiTheme="majorHAnsi" w:cstheme="majorHAnsi"/>
          <w:color w:val="000000"/>
          <w:sz w:val="22"/>
          <w:szCs w:val="22"/>
          <w:lang w:val="en-US" w:eastAsia="en-US"/>
        </w:rPr>
        <w:t xml:space="preserve"> </w:t>
      </w:r>
      <w:r w:rsidR="00AD62C1" w:rsidRPr="00AD62C1">
        <w:rPr>
          <w:rFonts w:asciiTheme="majorHAnsi" w:eastAsiaTheme="minorHAnsi" w:hAnsiTheme="majorHAnsi" w:cstheme="majorHAnsi"/>
          <w:color w:val="000000"/>
          <w:sz w:val="22"/>
          <w:szCs w:val="22"/>
          <w:vertAlign w:val="superscript"/>
          <w:lang w:val="en-US" w:eastAsia="en-US"/>
        </w:rPr>
        <w:t>20</w:t>
      </w:r>
      <w:r w:rsidRPr="00AD62C1">
        <w:rPr>
          <w:rFonts w:asciiTheme="majorHAnsi" w:eastAsiaTheme="minorHAnsi" w:hAnsiTheme="majorHAnsi" w:cstheme="majorHAnsi"/>
          <w:color w:val="000000"/>
          <w:sz w:val="22"/>
          <w:szCs w:val="22"/>
          <w:lang w:val="en-US" w:eastAsia="en-US"/>
        </w:rPr>
        <w:t xml:space="preserve">; </w:t>
      </w:r>
      <w:r w:rsidRPr="005168D0">
        <w:rPr>
          <w:rFonts w:asciiTheme="majorHAnsi" w:eastAsiaTheme="minorHAnsi" w:hAnsiTheme="majorHAnsi" w:cstheme="majorHAnsi"/>
          <w:color w:val="000000"/>
          <w:sz w:val="22"/>
          <w:szCs w:val="22"/>
          <w:lang w:val="en-US" w:eastAsia="en-US"/>
        </w:rPr>
        <w:t>Hiroki Saito</w:t>
      </w:r>
      <w:r w:rsidR="005168D0" w:rsidRPr="005168D0">
        <w:rPr>
          <w:rFonts w:asciiTheme="majorHAnsi" w:eastAsiaTheme="minorHAnsi" w:hAnsiTheme="majorHAnsi" w:cstheme="majorHAnsi"/>
          <w:color w:val="000000"/>
          <w:sz w:val="22"/>
          <w:szCs w:val="22"/>
          <w:lang w:val="en-US" w:eastAsia="en-US"/>
        </w:rPr>
        <w:t xml:space="preserve"> </w:t>
      </w:r>
      <w:r w:rsidR="005168D0" w:rsidRPr="005168D0">
        <w:rPr>
          <w:rFonts w:asciiTheme="majorHAnsi" w:eastAsiaTheme="minorHAnsi" w:hAnsiTheme="majorHAnsi" w:cstheme="majorHAnsi"/>
          <w:color w:val="000000"/>
          <w:sz w:val="22"/>
          <w:szCs w:val="22"/>
          <w:vertAlign w:val="superscript"/>
          <w:lang w:val="en-US" w:eastAsia="en-US"/>
        </w:rPr>
        <w:t>49</w:t>
      </w:r>
      <w:r w:rsidRPr="005168D0">
        <w:rPr>
          <w:rFonts w:asciiTheme="majorHAnsi" w:eastAsiaTheme="minorHAnsi" w:hAnsiTheme="majorHAnsi" w:cstheme="majorHAnsi"/>
          <w:color w:val="000000"/>
          <w:sz w:val="22"/>
          <w:szCs w:val="22"/>
          <w:lang w:val="en-US" w:eastAsia="en-US"/>
        </w:rPr>
        <w:t>;</w:t>
      </w:r>
      <w:r>
        <w:rPr>
          <w:rFonts w:asciiTheme="majorHAnsi" w:eastAsiaTheme="minorHAnsi" w:hAnsiTheme="majorHAnsi" w:cstheme="majorHAnsi"/>
          <w:color w:val="000000"/>
          <w:sz w:val="22"/>
          <w:szCs w:val="22"/>
          <w:lang w:val="en-US" w:eastAsia="en-US"/>
        </w:rPr>
        <w:t xml:space="preserve"> </w:t>
      </w:r>
      <w:r w:rsidRPr="009A7AE2">
        <w:rPr>
          <w:rFonts w:asciiTheme="majorHAnsi" w:eastAsiaTheme="minorHAnsi" w:hAnsiTheme="majorHAnsi" w:cstheme="majorHAnsi"/>
          <w:color w:val="000000"/>
          <w:sz w:val="22"/>
          <w:szCs w:val="22"/>
          <w:lang w:val="en-NL" w:eastAsia="en-US"/>
        </w:rPr>
        <w:t xml:space="preserve">Marlene S. Santos, MD, MSHS </w:t>
      </w:r>
      <w:r w:rsidRPr="005168D0">
        <w:rPr>
          <w:rFonts w:asciiTheme="majorHAnsi" w:eastAsiaTheme="minorHAnsi" w:hAnsiTheme="majorHAnsi" w:cstheme="majorHAnsi"/>
          <w:color w:val="000000"/>
          <w:sz w:val="22"/>
          <w:szCs w:val="22"/>
          <w:vertAlign w:val="superscript"/>
          <w:lang w:val="en-NL" w:eastAsia="en-US"/>
        </w:rPr>
        <w:t>14</w:t>
      </w:r>
      <w:r w:rsidRPr="009A7AE2">
        <w:rPr>
          <w:rFonts w:asciiTheme="majorHAnsi" w:eastAsiaTheme="minorHAnsi" w:hAnsiTheme="majorHAnsi" w:cstheme="majorHAnsi"/>
          <w:color w:val="000000"/>
          <w:sz w:val="22"/>
          <w:szCs w:val="22"/>
          <w:lang w:val="en-NL" w:eastAsia="en-US"/>
        </w:rPr>
        <w:t xml:space="preserve">; Christina T. Saunders, </w:t>
      </w:r>
      <w:r w:rsidRPr="005168D0">
        <w:rPr>
          <w:rFonts w:asciiTheme="majorHAnsi" w:eastAsiaTheme="minorHAnsi" w:hAnsiTheme="majorHAnsi" w:cstheme="majorHAnsi"/>
          <w:color w:val="000000"/>
          <w:sz w:val="22"/>
          <w:szCs w:val="22"/>
          <w:lang w:val="en-NL" w:eastAsia="en-US"/>
        </w:rPr>
        <w:t xml:space="preserve">PhD </w:t>
      </w:r>
      <w:r w:rsidR="005168D0" w:rsidRPr="005168D0">
        <w:rPr>
          <w:rFonts w:asciiTheme="majorHAnsi" w:eastAsiaTheme="minorHAnsi" w:hAnsiTheme="majorHAnsi" w:cstheme="majorHAnsi"/>
          <w:color w:val="000000"/>
          <w:sz w:val="22"/>
          <w:szCs w:val="22"/>
          <w:vertAlign w:val="superscript"/>
          <w:lang w:val="en-US" w:eastAsia="en-US"/>
        </w:rPr>
        <w:t>20</w:t>
      </w:r>
      <w:r w:rsidRPr="005168D0">
        <w:rPr>
          <w:rFonts w:asciiTheme="majorHAnsi" w:eastAsiaTheme="minorHAnsi" w:hAnsiTheme="majorHAnsi" w:cstheme="majorHAnsi"/>
          <w:color w:val="000000"/>
          <w:sz w:val="22"/>
          <w:szCs w:val="22"/>
          <w:lang w:val="en-NL" w:eastAsia="en-US"/>
        </w:rPr>
        <w:t xml:space="preserve">; </w:t>
      </w:r>
      <w:r w:rsidRPr="005168D0">
        <w:rPr>
          <w:rFonts w:asciiTheme="majorHAnsi" w:eastAsiaTheme="minorHAnsi" w:hAnsiTheme="majorHAnsi" w:cstheme="majorHAnsi"/>
          <w:color w:val="000000"/>
          <w:sz w:val="22"/>
          <w:szCs w:val="22"/>
          <w:lang w:val="en-US" w:eastAsia="en-US"/>
        </w:rPr>
        <w:t>Manoj Saxena</w:t>
      </w:r>
      <w:r w:rsidR="005168D0" w:rsidRPr="005168D0">
        <w:rPr>
          <w:rFonts w:asciiTheme="majorHAnsi" w:eastAsiaTheme="minorHAnsi" w:hAnsiTheme="majorHAnsi" w:cstheme="majorHAnsi"/>
          <w:color w:val="000000"/>
          <w:sz w:val="22"/>
          <w:szCs w:val="22"/>
          <w:lang w:val="en-US" w:eastAsia="en-US"/>
        </w:rPr>
        <w:t xml:space="preserve"> </w:t>
      </w:r>
      <w:r w:rsidR="005168D0" w:rsidRPr="005168D0">
        <w:rPr>
          <w:rFonts w:asciiTheme="majorHAnsi" w:eastAsiaTheme="minorHAnsi" w:hAnsiTheme="majorHAnsi" w:cstheme="majorHAnsi"/>
          <w:color w:val="000000"/>
          <w:sz w:val="22"/>
          <w:szCs w:val="22"/>
          <w:vertAlign w:val="superscript"/>
          <w:lang w:val="en-US" w:eastAsia="en-US"/>
        </w:rPr>
        <w:t>50</w:t>
      </w:r>
      <w:r w:rsidRPr="005168D0">
        <w:rPr>
          <w:rFonts w:asciiTheme="majorHAnsi" w:eastAsiaTheme="minorHAnsi" w:hAnsiTheme="majorHAnsi" w:cstheme="majorHAnsi"/>
          <w:color w:val="000000"/>
          <w:sz w:val="22"/>
          <w:szCs w:val="22"/>
          <w:lang w:val="en-US" w:eastAsia="en-US"/>
        </w:rPr>
        <w:t>;</w:t>
      </w:r>
      <w:r>
        <w:rPr>
          <w:rFonts w:asciiTheme="majorHAnsi" w:eastAsiaTheme="minorHAnsi" w:hAnsiTheme="majorHAnsi" w:cstheme="majorHAnsi"/>
          <w:color w:val="000000"/>
          <w:sz w:val="22"/>
          <w:szCs w:val="22"/>
          <w:lang w:val="en-US" w:eastAsia="en-US"/>
        </w:rPr>
        <w:t xml:space="preserve"> </w:t>
      </w:r>
      <w:r w:rsidRPr="005168D0">
        <w:rPr>
          <w:rFonts w:asciiTheme="majorHAnsi" w:eastAsiaTheme="minorHAnsi" w:hAnsiTheme="majorHAnsi" w:cstheme="majorHAnsi"/>
          <w:color w:val="000000"/>
          <w:sz w:val="22"/>
          <w:szCs w:val="22"/>
          <w:lang w:val="en-NL" w:eastAsia="en-US"/>
        </w:rPr>
        <w:t xml:space="preserve">Christopher W. Seymour, MD, MSc </w:t>
      </w:r>
      <w:r w:rsidRPr="005168D0">
        <w:rPr>
          <w:rFonts w:asciiTheme="majorHAnsi" w:eastAsiaTheme="minorHAnsi" w:hAnsiTheme="majorHAnsi" w:cstheme="majorHAnsi"/>
          <w:color w:val="000000"/>
          <w:sz w:val="22"/>
          <w:szCs w:val="22"/>
          <w:vertAlign w:val="superscript"/>
          <w:lang w:val="en-NL" w:eastAsia="en-US"/>
        </w:rPr>
        <w:t>3</w:t>
      </w:r>
      <w:r w:rsidR="005168D0" w:rsidRPr="005168D0">
        <w:rPr>
          <w:rFonts w:asciiTheme="majorHAnsi" w:eastAsiaTheme="minorHAnsi" w:hAnsiTheme="majorHAnsi" w:cstheme="majorHAnsi"/>
          <w:color w:val="000000"/>
          <w:sz w:val="22"/>
          <w:szCs w:val="22"/>
          <w:vertAlign w:val="superscript"/>
          <w:lang w:val="en-US" w:eastAsia="en-US"/>
        </w:rPr>
        <w:t>4</w:t>
      </w:r>
      <w:r w:rsidRPr="005168D0">
        <w:rPr>
          <w:rFonts w:asciiTheme="majorHAnsi" w:eastAsiaTheme="minorHAnsi" w:hAnsiTheme="majorHAnsi" w:cstheme="majorHAnsi"/>
          <w:color w:val="000000"/>
          <w:sz w:val="22"/>
          <w:szCs w:val="22"/>
          <w:lang w:val="en-NL" w:eastAsia="en-US"/>
        </w:rPr>
        <w:t xml:space="preserve">; Manu Shankar-Hari, MD, PhD </w:t>
      </w:r>
      <w:r w:rsidR="005168D0" w:rsidRPr="005168D0">
        <w:rPr>
          <w:rFonts w:asciiTheme="majorHAnsi" w:eastAsiaTheme="minorHAnsi" w:hAnsiTheme="majorHAnsi" w:cstheme="majorHAnsi"/>
          <w:color w:val="000000"/>
          <w:sz w:val="22"/>
          <w:szCs w:val="22"/>
          <w:vertAlign w:val="superscript"/>
          <w:lang w:val="en-US" w:eastAsia="en-US"/>
        </w:rPr>
        <w:t>51,52</w:t>
      </w:r>
      <w:r w:rsidRPr="005168D0">
        <w:rPr>
          <w:rFonts w:asciiTheme="majorHAnsi" w:eastAsiaTheme="minorHAnsi" w:hAnsiTheme="majorHAnsi" w:cstheme="majorHAnsi"/>
          <w:color w:val="000000"/>
          <w:sz w:val="22"/>
          <w:szCs w:val="22"/>
          <w:lang w:val="en-NL" w:eastAsia="en-US"/>
        </w:rPr>
        <w:t xml:space="preserve">; Wendy I. Sligl, MD, MSc </w:t>
      </w:r>
      <w:r w:rsidR="005168D0" w:rsidRPr="005168D0">
        <w:rPr>
          <w:rFonts w:asciiTheme="majorHAnsi" w:eastAsiaTheme="minorHAnsi" w:hAnsiTheme="majorHAnsi" w:cstheme="majorHAnsi"/>
          <w:color w:val="000000"/>
          <w:sz w:val="22"/>
          <w:szCs w:val="22"/>
          <w:vertAlign w:val="superscript"/>
          <w:lang w:val="en-US" w:eastAsia="en-US"/>
        </w:rPr>
        <w:t>53</w:t>
      </w:r>
      <w:r w:rsidRPr="005168D0">
        <w:rPr>
          <w:rFonts w:asciiTheme="majorHAnsi" w:eastAsiaTheme="minorHAnsi" w:hAnsiTheme="majorHAnsi" w:cstheme="majorHAnsi"/>
          <w:color w:val="000000"/>
          <w:sz w:val="22"/>
          <w:szCs w:val="22"/>
          <w:lang w:val="en-NL" w:eastAsia="en-US"/>
        </w:rPr>
        <w:t xml:space="preserve">; Alexis F. Turgeon, MD, MSc </w:t>
      </w:r>
      <w:r w:rsidR="005168D0" w:rsidRPr="005168D0">
        <w:rPr>
          <w:rFonts w:asciiTheme="majorHAnsi" w:eastAsiaTheme="minorHAnsi" w:hAnsiTheme="majorHAnsi" w:cstheme="majorHAnsi"/>
          <w:color w:val="000000"/>
          <w:sz w:val="22"/>
          <w:szCs w:val="22"/>
          <w:vertAlign w:val="superscript"/>
          <w:lang w:val="en-US" w:eastAsia="en-US"/>
        </w:rPr>
        <w:t>54</w:t>
      </w:r>
      <w:r w:rsidRPr="005168D0">
        <w:rPr>
          <w:rFonts w:asciiTheme="majorHAnsi" w:eastAsiaTheme="minorHAnsi" w:hAnsiTheme="majorHAnsi" w:cstheme="majorHAnsi"/>
          <w:color w:val="000000"/>
          <w:sz w:val="22"/>
          <w:szCs w:val="22"/>
          <w:lang w:val="en-NL" w:eastAsia="en-US"/>
        </w:rPr>
        <w:t xml:space="preserve">; Anne M. Turner, MPH </w:t>
      </w:r>
      <w:r w:rsidR="005168D0" w:rsidRPr="005168D0">
        <w:rPr>
          <w:rFonts w:asciiTheme="majorHAnsi" w:eastAsiaTheme="minorHAnsi" w:hAnsiTheme="majorHAnsi" w:cstheme="majorHAnsi"/>
          <w:color w:val="000000"/>
          <w:sz w:val="22"/>
          <w:szCs w:val="22"/>
          <w:vertAlign w:val="superscript"/>
          <w:lang w:val="en-US" w:eastAsia="en-US"/>
        </w:rPr>
        <w:t>13</w:t>
      </w:r>
      <w:r w:rsidRPr="005168D0">
        <w:rPr>
          <w:rFonts w:asciiTheme="majorHAnsi" w:eastAsiaTheme="minorHAnsi" w:hAnsiTheme="majorHAnsi" w:cstheme="majorHAnsi"/>
          <w:color w:val="000000"/>
          <w:sz w:val="22"/>
          <w:szCs w:val="22"/>
          <w:lang w:val="en-NL" w:eastAsia="en-US"/>
        </w:rPr>
        <w:t xml:space="preserve">; </w:t>
      </w:r>
      <w:r w:rsidRPr="005168D0">
        <w:rPr>
          <w:rFonts w:asciiTheme="majorHAnsi" w:eastAsiaTheme="minorHAnsi" w:hAnsiTheme="majorHAnsi" w:cstheme="majorHAnsi"/>
          <w:color w:val="000000"/>
          <w:sz w:val="22"/>
          <w:szCs w:val="22"/>
          <w:lang w:val="en-US" w:eastAsia="en-US"/>
        </w:rPr>
        <w:t>Steven Tong</w:t>
      </w:r>
      <w:r w:rsidR="005168D0" w:rsidRPr="005168D0">
        <w:rPr>
          <w:rFonts w:asciiTheme="majorHAnsi" w:eastAsiaTheme="minorHAnsi" w:hAnsiTheme="majorHAnsi" w:cstheme="majorHAnsi"/>
          <w:color w:val="000000"/>
          <w:sz w:val="22"/>
          <w:szCs w:val="22"/>
          <w:lang w:val="en-US" w:eastAsia="en-US"/>
        </w:rPr>
        <w:t xml:space="preserve"> </w:t>
      </w:r>
      <w:r w:rsidR="005168D0" w:rsidRPr="005168D0">
        <w:rPr>
          <w:rFonts w:asciiTheme="majorHAnsi" w:eastAsiaTheme="minorHAnsi" w:hAnsiTheme="majorHAnsi" w:cstheme="majorHAnsi"/>
          <w:color w:val="000000"/>
          <w:sz w:val="22"/>
          <w:szCs w:val="22"/>
          <w:vertAlign w:val="superscript"/>
          <w:lang w:val="en-US" w:eastAsia="en-US"/>
        </w:rPr>
        <w:t>55</w:t>
      </w:r>
      <w:r w:rsidRPr="005168D0">
        <w:rPr>
          <w:rFonts w:asciiTheme="majorHAnsi" w:eastAsiaTheme="minorHAnsi" w:hAnsiTheme="majorHAnsi" w:cstheme="majorHAnsi"/>
          <w:color w:val="000000"/>
          <w:sz w:val="22"/>
          <w:szCs w:val="22"/>
          <w:lang w:val="en-US" w:eastAsia="en-US"/>
        </w:rPr>
        <w:t xml:space="preserve">; </w:t>
      </w:r>
      <w:r w:rsidRPr="005168D0">
        <w:rPr>
          <w:rFonts w:asciiTheme="majorHAnsi" w:eastAsiaTheme="minorHAnsi" w:hAnsiTheme="majorHAnsi" w:cstheme="majorHAnsi"/>
          <w:color w:val="000000"/>
          <w:sz w:val="22"/>
          <w:szCs w:val="22"/>
          <w:lang w:val="en-NL" w:eastAsia="en-US"/>
        </w:rPr>
        <w:t xml:space="preserve">Suvi Vaara </w:t>
      </w:r>
      <w:r w:rsidRPr="005168D0">
        <w:rPr>
          <w:rFonts w:asciiTheme="majorHAnsi" w:eastAsiaTheme="minorHAnsi" w:hAnsiTheme="majorHAnsi" w:cstheme="majorHAnsi"/>
          <w:color w:val="000000"/>
          <w:sz w:val="22"/>
          <w:szCs w:val="22"/>
          <w:vertAlign w:val="superscript"/>
          <w:lang w:val="en-NL" w:eastAsia="en-US"/>
        </w:rPr>
        <w:t>4</w:t>
      </w:r>
      <w:r w:rsidR="005168D0" w:rsidRPr="005168D0">
        <w:rPr>
          <w:rFonts w:asciiTheme="majorHAnsi" w:eastAsiaTheme="minorHAnsi" w:hAnsiTheme="majorHAnsi" w:cstheme="majorHAnsi"/>
          <w:color w:val="000000"/>
          <w:sz w:val="22"/>
          <w:szCs w:val="22"/>
          <w:vertAlign w:val="superscript"/>
          <w:lang w:val="en-US" w:eastAsia="en-US"/>
        </w:rPr>
        <w:t>6</w:t>
      </w:r>
      <w:r w:rsidRPr="005168D0">
        <w:rPr>
          <w:rFonts w:asciiTheme="majorHAnsi" w:eastAsiaTheme="minorHAnsi" w:hAnsiTheme="majorHAnsi" w:cstheme="majorHAnsi"/>
          <w:color w:val="000000"/>
          <w:sz w:val="22"/>
          <w:szCs w:val="22"/>
          <w:lang w:val="en-NL" w:eastAsia="en-US"/>
        </w:rPr>
        <w:t xml:space="preserve">; </w:t>
      </w:r>
      <w:r w:rsidRPr="005168D0">
        <w:rPr>
          <w:rFonts w:asciiTheme="majorHAnsi" w:eastAsiaTheme="minorHAnsi" w:hAnsiTheme="majorHAnsi" w:cstheme="majorHAnsi"/>
          <w:color w:val="000000"/>
          <w:sz w:val="22"/>
          <w:szCs w:val="22"/>
          <w:lang w:val="en-US" w:eastAsia="en-US"/>
        </w:rPr>
        <w:t>Taryn Youngstein</w:t>
      </w:r>
      <w:r w:rsidR="005168D0" w:rsidRPr="005168D0">
        <w:rPr>
          <w:rFonts w:asciiTheme="majorHAnsi" w:eastAsiaTheme="minorHAnsi" w:hAnsiTheme="majorHAnsi" w:cstheme="majorHAnsi"/>
          <w:color w:val="000000"/>
          <w:sz w:val="22"/>
          <w:szCs w:val="22"/>
          <w:lang w:val="en-US" w:eastAsia="en-US"/>
        </w:rPr>
        <w:t xml:space="preserve"> </w:t>
      </w:r>
      <w:r w:rsidR="005168D0" w:rsidRPr="005168D0">
        <w:rPr>
          <w:rFonts w:asciiTheme="majorHAnsi" w:eastAsiaTheme="minorHAnsi" w:hAnsiTheme="majorHAnsi" w:cstheme="majorHAnsi"/>
          <w:color w:val="000000"/>
          <w:sz w:val="22"/>
          <w:szCs w:val="22"/>
          <w:vertAlign w:val="superscript"/>
          <w:lang w:val="en-US" w:eastAsia="en-US"/>
        </w:rPr>
        <w:t>2,3</w:t>
      </w:r>
      <w:r w:rsidRPr="005168D0">
        <w:rPr>
          <w:rFonts w:asciiTheme="majorHAnsi" w:eastAsiaTheme="minorHAnsi" w:hAnsiTheme="majorHAnsi" w:cstheme="majorHAnsi"/>
          <w:color w:val="000000"/>
          <w:sz w:val="22"/>
          <w:szCs w:val="22"/>
          <w:lang w:val="en-US" w:eastAsia="en-US"/>
        </w:rPr>
        <w:t xml:space="preserve">; </w:t>
      </w:r>
      <w:r w:rsidRPr="005168D0">
        <w:rPr>
          <w:rFonts w:asciiTheme="majorHAnsi" w:eastAsiaTheme="minorHAnsi" w:hAnsiTheme="majorHAnsi" w:cstheme="majorHAnsi"/>
          <w:color w:val="000000"/>
          <w:sz w:val="22"/>
          <w:szCs w:val="22"/>
          <w:lang w:val="en-NL" w:eastAsia="en-US"/>
        </w:rPr>
        <w:t>Ryan</w:t>
      </w:r>
      <w:r w:rsidRPr="009A7AE2">
        <w:rPr>
          <w:rFonts w:asciiTheme="majorHAnsi" w:eastAsiaTheme="minorHAnsi" w:hAnsiTheme="majorHAnsi" w:cstheme="majorHAnsi"/>
          <w:color w:val="000000"/>
          <w:sz w:val="22"/>
          <w:szCs w:val="22"/>
          <w:lang w:val="en-NL" w:eastAsia="en-US"/>
        </w:rPr>
        <w:t xml:space="preserve"> Zarychanski, MD, MSc </w:t>
      </w:r>
      <w:r w:rsidR="005168D0" w:rsidRPr="005168D0">
        <w:rPr>
          <w:rFonts w:asciiTheme="majorHAnsi" w:eastAsiaTheme="minorHAnsi" w:hAnsiTheme="majorHAnsi" w:cstheme="majorHAnsi"/>
          <w:color w:val="000000"/>
          <w:sz w:val="22"/>
          <w:szCs w:val="22"/>
          <w:vertAlign w:val="superscript"/>
          <w:lang w:val="en-US" w:eastAsia="en-US"/>
        </w:rPr>
        <w:t>56</w:t>
      </w:r>
      <w:r w:rsidRPr="009A7AE2">
        <w:rPr>
          <w:rFonts w:asciiTheme="majorHAnsi" w:eastAsiaTheme="minorHAnsi" w:hAnsiTheme="majorHAnsi" w:cstheme="majorHAnsi"/>
          <w:color w:val="000000"/>
          <w:sz w:val="22"/>
          <w:szCs w:val="22"/>
          <w:lang w:val="en-NL" w:eastAsia="en-US"/>
        </w:rPr>
        <w:t xml:space="preserve">; Cameron Green, MSc </w:t>
      </w:r>
      <w:r w:rsidRPr="005168D0">
        <w:rPr>
          <w:rFonts w:asciiTheme="majorHAnsi" w:eastAsiaTheme="minorHAnsi" w:hAnsiTheme="majorHAnsi" w:cstheme="majorHAnsi"/>
          <w:color w:val="000000"/>
          <w:sz w:val="22"/>
          <w:szCs w:val="22"/>
          <w:vertAlign w:val="superscript"/>
          <w:lang w:val="en-NL" w:eastAsia="en-US"/>
        </w:rPr>
        <w:t>5</w:t>
      </w:r>
      <w:r w:rsidRPr="009A7AE2">
        <w:rPr>
          <w:rFonts w:asciiTheme="majorHAnsi" w:eastAsiaTheme="minorHAnsi" w:hAnsiTheme="majorHAnsi" w:cstheme="majorHAnsi"/>
          <w:color w:val="000000"/>
          <w:sz w:val="22"/>
          <w:szCs w:val="22"/>
          <w:lang w:val="en-NL" w:eastAsia="en-US"/>
        </w:rPr>
        <w:t xml:space="preserve">; Alisa M. Higgins, PhD </w:t>
      </w:r>
      <w:r w:rsidRPr="005168D0">
        <w:rPr>
          <w:rFonts w:asciiTheme="majorHAnsi" w:eastAsiaTheme="minorHAnsi" w:hAnsiTheme="majorHAnsi" w:cstheme="majorHAnsi"/>
          <w:color w:val="000000"/>
          <w:sz w:val="22"/>
          <w:szCs w:val="22"/>
          <w:vertAlign w:val="superscript"/>
          <w:lang w:val="en-NL" w:eastAsia="en-US"/>
        </w:rPr>
        <w:t>5</w:t>
      </w:r>
      <w:r w:rsidRPr="009A7AE2">
        <w:rPr>
          <w:rFonts w:asciiTheme="majorHAnsi" w:eastAsiaTheme="minorHAnsi" w:hAnsiTheme="majorHAnsi" w:cstheme="majorHAnsi"/>
          <w:color w:val="000000"/>
          <w:sz w:val="22"/>
          <w:szCs w:val="22"/>
          <w:lang w:val="en-NL" w:eastAsia="en-US"/>
        </w:rPr>
        <w:t xml:space="preserve">; Colin J. McArthur, </w:t>
      </w:r>
      <w:r w:rsidRPr="005168D0">
        <w:rPr>
          <w:rFonts w:asciiTheme="majorHAnsi" w:eastAsiaTheme="minorHAnsi" w:hAnsiTheme="majorHAnsi" w:cstheme="majorHAnsi"/>
          <w:color w:val="000000"/>
          <w:sz w:val="22"/>
          <w:szCs w:val="22"/>
          <w:lang w:val="en-NL" w:eastAsia="en-US"/>
        </w:rPr>
        <w:t xml:space="preserve">MD </w:t>
      </w:r>
      <w:r w:rsidRPr="005168D0">
        <w:rPr>
          <w:rFonts w:asciiTheme="majorHAnsi" w:eastAsiaTheme="minorHAnsi" w:hAnsiTheme="majorHAnsi" w:cstheme="majorHAnsi"/>
          <w:color w:val="000000"/>
          <w:sz w:val="22"/>
          <w:szCs w:val="22"/>
          <w:vertAlign w:val="superscript"/>
          <w:lang w:val="en-NL" w:eastAsia="en-US"/>
        </w:rPr>
        <w:t>2</w:t>
      </w:r>
      <w:r w:rsidR="005168D0" w:rsidRPr="005168D0">
        <w:rPr>
          <w:rFonts w:asciiTheme="majorHAnsi" w:eastAsiaTheme="minorHAnsi" w:hAnsiTheme="majorHAnsi" w:cstheme="majorHAnsi"/>
          <w:color w:val="000000"/>
          <w:sz w:val="22"/>
          <w:szCs w:val="22"/>
          <w:vertAlign w:val="superscript"/>
          <w:lang w:val="en-US" w:eastAsia="en-US"/>
        </w:rPr>
        <w:t>8</w:t>
      </w:r>
      <w:r w:rsidRPr="005168D0">
        <w:rPr>
          <w:rFonts w:asciiTheme="majorHAnsi" w:eastAsiaTheme="minorHAnsi" w:hAnsiTheme="majorHAnsi" w:cstheme="majorHAnsi"/>
          <w:color w:val="000000"/>
          <w:sz w:val="22"/>
          <w:szCs w:val="22"/>
          <w:lang w:val="en-NL" w:eastAsia="en-US"/>
        </w:rPr>
        <w:t xml:space="preserve">; Lindsay R. Berry, PhD </w:t>
      </w:r>
      <w:r w:rsidR="005168D0" w:rsidRPr="005168D0">
        <w:rPr>
          <w:rFonts w:asciiTheme="majorHAnsi" w:eastAsiaTheme="minorHAnsi" w:hAnsiTheme="majorHAnsi" w:cstheme="majorHAnsi"/>
          <w:color w:val="000000"/>
          <w:sz w:val="22"/>
          <w:szCs w:val="22"/>
          <w:vertAlign w:val="superscript"/>
          <w:lang w:val="en-US" w:eastAsia="en-US"/>
        </w:rPr>
        <w:t>20</w:t>
      </w:r>
      <w:r w:rsidRPr="005168D0">
        <w:rPr>
          <w:rFonts w:asciiTheme="majorHAnsi" w:eastAsiaTheme="minorHAnsi" w:hAnsiTheme="majorHAnsi" w:cstheme="majorHAnsi"/>
          <w:color w:val="000000"/>
          <w:sz w:val="22"/>
          <w:szCs w:val="22"/>
          <w:lang w:val="en-NL" w:eastAsia="en-US"/>
        </w:rPr>
        <w:t>; Elizabeth</w:t>
      </w:r>
      <w:r w:rsidRPr="009A7AE2">
        <w:rPr>
          <w:rFonts w:asciiTheme="majorHAnsi" w:eastAsiaTheme="minorHAnsi" w:hAnsiTheme="majorHAnsi" w:cstheme="majorHAnsi"/>
          <w:color w:val="000000"/>
          <w:sz w:val="22"/>
          <w:szCs w:val="22"/>
          <w:lang w:val="en-NL" w:eastAsia="en-US"/>
        </w:rPr>
        <w:t xml:space="preserve"> Lorenzi, PhD </w:t>
      </w:r>
      <w:r w:rsidR="005168D0" w:rsidRPr="005168D0">
        <w:rPr>
          <w:rFonts w:asciiTheme="majorHAnsi" w:eastAsiaTheme="minorHAnsi" w:hAnsiTheme="majorHAnsi" w:cstheme="majorHAnsi"/>
          <w:color w:val="000000"/>
          <w:sz w:val="22"/>
          <w:szCs w:val="22"/>
          <w:vertAlign w:val="superscript"/>
          <w:lang w:val="en-US" w:eastAsia="en-US"/>
        </w:rPr>
        <w:t>20</w:t>
      </w:r>
      <w:r w:rsidRPr="009A7AE2">
        <w:rPr>
          <w:rFonts w:asciiTheme="majorHAnsi" w:eastAsiaTheme="minorHAnsi" w:hAnsiTheme="majorHAnsi" w:cstheme="majorHAnsi"/>
          <w:color w:val="000000"/>
          <w:sz w:val="22"/>
          <w:szCs w:val="22"/>
          <w:lang w:val="en-NL" w:eastAsia="en-US"/>
        </w:rPr>
        <w:t xml:space="preserve">; Scott Berry, PhD </w:t>
      </w:r>
      <w:r w:rsidR="005168D0" w:rsidRPr="005168D0">
        <w:rPr>
          <w:rFonts w:asciiTheme="majorHAnsi" w:eastAsiaTheme="minorHAnsi" w:hAnsiTheme="majorHAnsi" w:cstheme="majorHAnsi"/>
          <w:color w:val="000000"/>
          <w:sz w:val="22"/>
          <w:szCs w:val="22"/>
          <w:vertAlign w:val="superscript"/>
          <w:lang w:val="en-US" w:eastAsia="en-US"/>
        </w:rPr>
        <w:t>20</w:t>
      </w:r>
      <w:r w:rsidRPr="009A7AE2">
        <w:rPr>
          <w:rFonts w:asciiTheme="majorHAnsi" w:eastAsiaTheme="minorHAnsi" w:hAnsiTheme="majorHAnsi" w:cstheme="majorHAnsi"/>
          <w:color w:val="000000"/>
          <w:sz w:val="22"/>
          <w:szCs w:val="22"/>
          <w:lang w:val="en-NL" w:eastAsia="en-US"/>
        </w:rPr>
        <w:t xml:space="preserve">; Steve A. Webb, MD, PhD </w:t>
      </w:r>
      <w:r w:rsidRPr="005168D0">
        <w:rPr>
          <w:rFonts w:asciiTheme="majorHAnsi" w:eastAsiaTheme="minorHAnsi" w:hAnsiTheme="majorHAnsi" w:cstheme="majorHAnsi"/>
          <w:color w:val="000000"/>
          <w:sz w:val="22"/>
          <w:szCs w:val="22"/>
          <w:vertAlign w:val="superscript"/>
          <w:lang w:val="en-NL" w:eastAsia="en-US"/>
        </w:rPr>
        <w:t>5,</w:t>
      </w:r>
      <w:r w:rsidR="005168D0" w:rsidRPr="005168D0">
        <w:rPr>
          <w:rFonts w:asciiTheme="majorHAnsi" w:eastAsiaTheme="minorHAnsi" w:hAnsiTheme="majorHAnsi" w:cstheme="majorHAnsi"/>
          <w:color w:val="000000"/>
          <w:sz w:val="22"/>
          <w:szCs w:val="22"/>
          <w:vertAlign w:val="superscript"/>
          <w:lang w:val="en-US" w:eastAsia="en-US"/>
        </w:rPr>
        <w:t>57</w:t>
      </w:r>
      <w:r w:rsidRPr="009A7AE2">
        <w:rPr>
          <w:rFonts w:asciiTheme="majorHAnsi" w:eastAsiaTheme="minorHAnsi" w:hAnsiTheme="majorHAnsi" w:cstheme="majorHAnsi"/>
          <w:color w:val="000000"/>
          <w:sz w:val="22"/>
          <w:szCs w:val="22"/>
          <w:lang w:val="en-NL" w:eastAsia="en-US"/>
        </w:rPr>
        <w:t xml:space="preserve">; Derek C. Angus, MD, MPH </w:t>
      </w:r>
      <w:r w:rsidRPr="005168D0">
        <w:rPr>
          <w:rFonts w:asciiTheme="majorHAnsi" w:eastAsiaTheme="minorHAnsi" w:hAnsiTheme="majorHAnsi" w:cstheme="majorHAnsi"/>
          <w:color w:val="000000"/>
          <w:sz w:val="22"/>
          <w:szCs w:val="22"/>
          <w:vertAlign w:val="superscript"/>
          <w:lang w:val="en-NL" w:eastAsia="en-US"/>
        </w:rPr>
        <w:t>3</w:t>
      </w:r>
      <w:r w:rsidR="005168D0" w:rsidRPr="005168D0">
        <w:rPr>
          <w:rFonts w:asciiTheme="majorHAnsi" w:eastAsiaTheme="minorHAnsi" w:hAnsiTheme="majorHAnsi" w:cstheme="majorHAnsi"/>
          <w:color w:val="000000"/>
          <w:sz w:val="22"/>
          <w:szCs w:val="22"/>
          <w:vertAlign w:val="superscript"/>
          <w:lang w:val="en-US" w:eastAsia="en-US"/>
        </w:rPr>
        <w:t>4</w:t>
      </w:r>
      <w:r w:rsidRPr="009A7AE2">
        <w:rPr>
          <w:rFonts w:asciiTheme="majorHAnsi" w:eastAsiaTheme="minorHAnsi" w:hAnsiTheme="majorHAnsi" w:cstheme="majorHAnsi"/>
          <w:color w:val="000000"/>
          <w:sz w:val="22"/>
          <w:szCs w:val="22"/>
          <w:lang w:val="en-NL" w:eastAsia="en-US"/>
        </w:rPr>
        <w:t xml:space="preserve">; Frank L. van de Veerdonk, MD, PhD </w:t>
      </w:r>
      <w:r w:rsidRPr="005168D0">
        <w:rPr>
          <w:rFonts w:asciiTheme="majorHAnsi" w:eastAsiaTheme="minorHAnsi" w:hAnsiTheme="majorHAnsi" w:cstheme="majorHAnsi"/>
          <w:color w:val="000000"/>
          <w:sz w:val="22"/>
          <w:szCs w:val="22"/>
          <w:vertAlign w:val="superscript"/>
          <w:lang w:val="en-NL" w:eastAsia="en-US"/>
        </w:rPr>
        <w:t>4</w:t>
      </w:r>
      <w:r w:rsidR="005168D0" w:rsidRPr="005168D0">
        <w:rPr>
          <w:rFonts w:asciiTheme="majorHAnsi" w:eastAsiaTheme="minorHAnsi" w:hAnsiTheme="majorHAnsi" w:cstheme="majorHAnsi"/>
          <w:color w:val="000000"/>
          <w:sz w:val="22"/>
          <w:szCs w:val="22"/>
          <w:vertAlign w:val="superscript"/>
          <w:lang w:val="en-US" w:eastAsia="en-US"/>
        </w:rPr>
        <w:t>1</w:t>
      </w:r>
      <w:r w:rsidRPr="009A7AE2">
        <w:rPr>
          <w:rFonts w:asciiTheme="majorHAnsi" w:eastAsiaTheme="minorHAnsi" w:hAnsiTheme="majorHAnsi" w:cstheme="majorHAnsi"/>
          <w:color w:val="000000"/>
          <w:sz w:val="22"/>
          <w:szCs w:val="22"/>
          <w:lang w:val="en-NL" w:eastAsia="en-US"/>
        </w:rPr>
        <w:t>.</w:t>
      </w:r>
    </w:p>
    <w:p w14:paraId="37238461" w14:textId="77777777" w:rsidR="009A7AE2" w:rsidRPr="009A7AE2" w:rsidRDefault="009A7AE2" w:rsidP="00352180">
      <w:pPr>
        <w:autoSpaceDE w:val="0"/>
        <w:autoSpaceDN w:val="0"/>
        <w:adjustRightInd w:val="0"/>
        <w:rPr>
          <w:rFonts w:asciiTheme="majorHAnsi" w:eastAsiaTheme="minorHAnsi" w:hAnsiTheme="majorHAnsi" w:cstheme="majorHAnsi"/>
          <w:color w:val="000000"/>
          <w:sz w:val="22"/>
          <w:szCs w:val="22"/>
          <w:lang w:val="en-NL" w:eastAsia="en-US"/>
        </w:rPr>
      </w:pPr>
    </w:p>
    <w:p w14:paraId="67FAC4C9" w14:textId="77777777" w:rsidR="00352180" w:rsidRDefault="009A7AE2" w:rsidP="00352180">
      <w:pPr>
        <w:pStyle w:val="ListParagraph"/>
        <w:numPr>
          <w:ilvl w:val="0"/>
          <w:numId w:val="15"/>
        </w:numPr>
        <w:autoSpaceDE w:val="0"/>
        <w:autoSpaceDN w:val="0"/>
        <w:adjustRightInd w:val="0"/>
        <w:spacing w:line="240" w:lineRule="auto"/>
        <w:rPr>
          <w:rFonts w:asciiTheme="majorHAnsi" w:eastAsiaTheme="minorHAnsi" w:hAnsiTheme="majorHAnsi" w:cstheme="majorHAnsi"/>
          <w:color w:val="000000"/>
          <w:szCs w:val="22"/>
          <w:lang w:eastAsia="en-US"/>
        </w:rPr>
      </w:pPr>
      <w:r w:rsidRPr="00352180">
        <w:rPr>
          <w:rFonts w:asciiTheme="majorHAnsi" w:eastAsiaTheme="minorHAnsi" w:hAnsiTheme="majorHAnsi" w:cstheme="majorHAnsi"/>
          <w:color w:val="000000"/>
          <w:szCs w:val="22"/>
          <w:lang w:eastAsia="en-US"/>
        </w:rPr>
        <w:t>University Medical Center Utrecht, Utrecht, The Netherlands</w:t>
      </w:r>
    </w:p>
    <w:p w14:paraId="322E4AA5" w14:textId="77777777" w:rsidR="00352180" w:rsidRDefault="009A7AE2" w:rsidP="00352180">
      <w:pPr>
        <w:pStyle w:val="ListParagraph"/>
        <w:numPr>
          <w:ilvl w:val="0"/>
          <w:numId w:val="15"/>
        </w:numPr>
        <w:autoSpaceDE w:val="0"/>
        <w:autoSpaceDN w:val="0"/>
        <w:adjustRightInd w:val="0"/>
        <w:spacing w:line="240" w:lineRule="auto"/>
        <w:rPr>
          <w:rFonts w:asciiTheme="majorHAnsi" w:eastAsiaTheme="minorHAnsi" w:hAnsiTheme="majorHAnsi" w:cstheme="majorHAnsi"/>
          <w:color w:val="000000"/>
          <w:szCs w:val="22"/>
          <w:lang w:eastAsia="en-US"/>
        </w:rPr>
      </w:pPr>
      <w:r w:rsidRPr="00352180">
        <w:rPr>
          <w:rFonts w:asciiTheme="majorHAnsi" w:eastAsiaTheme="minorHAnsi" w:hAnsiTheme="majorHAnsi" w:cstheme="majorHAnsi"/>
          <w:color w:val="000000"/>
          <w:szCs w:val="22"/>
          <w:lang w:eastAsia="en-US"/>
        </w:rPr>
        <w:t>Imperial College London, London, United Kingdom</w:t>
      </w:r>
    </w:p>
    <w:p w14:paraId="73404EDA" w14:textId="77777777" w:rsidR="00352180" w:rsidRDefault="009A7AE2" w:rsidP="00352180">
      <w:pPr>
        <w:pStyle w:val="ListParagraph"/>
        <w:numPr>
          <w:ilvl w:val="0"/>
          <w:numId w:val="15"/>
        </w:numPr>
        <w:autoSpaceDE w:val="0"/>
        <w:autoSpaceDN w:val="0"/>
        <w:adjustRightInd w:val="0"/>
        <w:spacing w:line="240" w:lineRule="auto"/>
        <w:rPr>
          <w:rFonts w:asciiTheme="majorHAnsi" w:eastAsiaTheme="minorHAnsi" w:hAnsiTheme="majorHAnsi" w:cstheme="majorHAnsi"/>
          <w:color w:val="000000"/>
          <w:szCs w:val="22"/>
          <w:lang w:eastAsia="en-US"/>
        </w:rPr>
      </w:pPr>
      <w:r w:rsidRPr="00352180">
        <w:rPr>
          <w:rFonts w:asciiTheme="majorHAnsi" w:eastAsiaTheme="minorHAnsi" w:hAnsiTheme="majorHAnsi" w:cstheme="majorHAnsi"/>
          <w:color w:val="000000"/>
          <w:szCs w:val="22"/>
          <w:lang w:eastAsia="en-US"/>
        </w:rPr>
        <w:t>Imperial College Healthcare NHS Trust, St. Mary's Hospital, London, United Kingdom</w:t>
      </w:r>
    </w:p>
    <w:p w14:paraId="61F4BCC2" w14:textId="77777777" w:rsidR="00352180" w:rsidRDefault="009A7AE2" w:rsidP="00352180">
      <w:pPr>
        <w:pStyle w:val="ListParagraph"/>
        <w:numPr>
          <w:ilvl w:val="0"/>
          <w:numId w:val="15"/>
        </w:numPr>
        <w:autoSpaceDE w:val="0"/>
        <w:autoSpaceDN w:val="0"/>
        <w:adjustRightInd w:val="0"/>
        <w:spacing w:line="240" w:lineRule="auto"/>
        <w:rPr>
          <w:rFonts w:asciiTheme="majorHAnsi" w:eastAsiaTheme="minorHAnsi" w:hAnsiTheme="majorHAnsi" w:cstheme="majorHAnsi"/>
          <w:color w:val="000000"/>
          <w:szCs w:val="22"/>
          <w:lang w:eastAsia="en-US"/>
        </w:rPr>
      </w:pPr>
      <w:r w:rsidRPr="00352180">
        <w:rPr>
          <w:rFonts w:asciiTheme="majorHAnsi" w:eastAsiaTheme="minorHAnsi" w:hAnsiTheme="majorHAnsi" w:cstheme="majorHAnsi"/>
          <w:color w:val="000000"/>
          <w:szCs w:val="22"/>
          <w:lang w:eastAsia="en-US"/>
        </w:rPr>
        <w:t>Intensive Care National Audit &amp; Research Centre (ICNARC), London, United Kingdom</w:t>
      </w:r>
    </w:p>
    <w:p w14:paraId="72DD6EB1" w14:textId="77777777" w:rsidR="00352180" w:rsidRPr="00352180" w:rsidRDefault="009A7AE2" w:rsidP="00352180">
      <w:pPr>
        <w:pStyle w:val="ListParagraph"/>
        <w:numPr>
          <w:ilvl w:val="0"/>
          <w:numId w:val="15"/>
        </w:numPr>
        <w:autoSpaceDE w:val="0"/>
        <w:autoSpaceDN w:val="0"/>
        <w:adjustRightInd w:val="0"/>
        <w:spacing w:line="240" w:lineRule="auto"/>
        <w:rPr>
          <w:rFonts w:asciiTheme="majorHAnsi" w:eastAsiaTheme="minorHAnsi" w:hAnsiTheme="majorHAnsi" w:cstheme="majorHAnsi"/>
          <w:color w:val="000000"/>
          <w:szCs w:val="22"/>
          <w:lang w:eastAsia="en-US"/>
        </w:rPr>
      </w:pPr>
      <w:r w:rsidRPr="00352180">
        <w:rPr>
          <w:rFonts w:asciiTheme="majorHAnsi" w:eastAsiaTheme="minorHAnsi" w:hAnsiTheme="majorHAnsi" w:cstheme="majorHAnsi"/>
          <w:color w:val="212121"/>
          <w:szCs w:val="22"/>
          <w:lang w:eastAsia="en-US"/>
        </w:rPr>
        <w:t>Monash University, Melbourne, Australia</w:t>
      </w:r>
    </w:p>
    <w:p w14:paraId="76F76A23" w14:textId="77777777" w:rsidR="00352180" w:rsidRDefault="009A7AE2" w:rsidP="00352180">
      <w:pPr>
        <w:pStyle w:val="ListParagraph"/>
        <w:numPr>
          <w:ilvl w:val="0"/>
          <w:numId w:val="15"/>
        </w:numPr>
        <w:autoSpaceDE w:val="0"/>
        <w:autoSpaceDN w:val="0"/>
        <w:adjustRightInd w:val="0"/>
        <w:spacing w:line="240" w:lineRule="auto"/>
        <w:rPr>
          <w:rFonts w:asciiTheme="majorHAnsi" w:eastAsiaTheme="minorHAnsi" w:hAnsiTheme="majorHAnsi" w:cstheme="majorHAnsi"/>
          <w:color w:val="000000"/>
          <w:szCs w:val="22"/>
          <w:lang w:eastAsia="en-US"/>
        </w:rPr>
      </w:pPr>
      <w:r w:rsidRPr="00352180">
        <w:rPr>
          <w:rFonts w:asciiTheme="majorHAnsi" w:eastAsiaTheme="minorHAnsi" w:hAnsiTheme="majorHAnsi" w:cstheme="majorHAnsi"/>
          <w:color w:val="000000"/>
          <w:szCs w:val="22"/>
          <w:lang w:eastAsia="en-US"/>
        </w:rPr>
        <w:t>University College Dublin, Dublin, Ireland</w:t>
      </w:r>
    </w:p>
    <w:p w14:paraId="49469F21" w14:textId="77777777" w:rsidR="00352180" w:rsidRDefault="009A7AE2" w:rsidP="00352180">
      <w:pPr>
        <w:pStyle w:val="ListParagraph"/>
        <w:numPr>
          <w:ilvl w:val="0"/>
          <w:numId w:val="15"/>
        </w:numPr>
        <w:autoSpaceDE w:val="0"/>
        <w:autoSpaceDN w:val="0"/>
        <w:adjustRightInd w:val="0"/>
        <w:spacing w:line="240" w:lineRule="auto"/>
        <w:rPr>
          <w:rFonts w:asciiTheme="majorHAnsi" w:eastAsiaTheme="minorHAnsi" w:hAnsiTheme="majorHAnsi" w:cstheme="majorHAnsi"/>
          <w:color w:val="000000"/>
          <w:szCs w:val="22"/>
          <w:lang w:eastAsia="en-US"/>
        </w:rPr>
      </w:pPr>
      <w:r w:rsidRPr="00352180">
        <w:rPr>
          <w:rFonts w:asciiTheme="majorHAnsi" w:eastAsiaTheme="minorHAnsi" w:hAnsiTheme="majorHAnsi" w:cstheme="majorHAnsi"/>
          <w:color w:val="000000"/>
          <w:szCs w:val="22"/>
          <w:lang w:eastAsia="en-US"/>
        </w:rPr>
        <w:t>Alfred Health, Melbourne, Australia</w:t>
      </w:r>
    </w:p>
    <w:p w14:paraId="53AEB2A2" w14:textId="77777777" w:rsidR="00352180" w:rsidRDefault="009A7AE2" w:rsidP="00352180">
      <w:pPr>
        <w:pStyle w:val="ListParagraph"/>
        <w:numPr>
          <w:ilvl w:val="0"/>
          <w:numId w:val="15"/>
        </w:numPr>
        <w:autoSpaceDE w:val="0"/>
        <w:autoSpaceDN w:val="0"/>
        <w:adjustRightInd w:val="0"/>
        <w:spacing w:line="240" w:lineRule="auto"/>
        <w:rPr>
          <w:rFonts w:asciiTheme="majorHAnsi" w:eastAsiaTheme="minorHAnsi" w:hAnsiTheme="majorHAnsi" w:cstheme="majorHAnsi"/>
          <w:color w:val="000000"/>
          <w:szCs w:val="22"/>
          <w:lang w:eastAsia="en-US"/>
        </w:rPr>
      </w:pPr>
      <w:r w:rsidRPr="00352180">
        <w:rPr>
          <w:rFonts w:asciiTheme="majorHAnsi" w:eastAsiaTheme="minorHAnsi" w:hAnsiTheme="majorHAnsi" w:cstheme="majorHAnsi"/>
          <w:color w:val="000000"/>
          <w:szCs w:val="22"/>
          <w:lang w:eastAsia="en-US"/>
        </w:rPr>
        <w:t>King Saud bin Abdulaziz University for Health Sciences and King Abdullah International</w:t>
      </w:r>
      <w:r w:rsidR="00352180">
        <w:rPr>
          <w:rFonts w:asciiTheme="majorHAnsi" w:eastAsiaTheme="minorHAnsi" w:hAnsiTheme="majorHAnsi" w:cstheme="majorHAnsi"/>
          <w:color w:val="000000"/>
          <w:szCs w:val="22"/>
          <w:lang w:eastAsia="en-US"/>
        </w:rPr>
        <w:t xml:space="preserve"> </w:t>
      </w:r>
      <w:r w:rsidRPr="00352180">
        <w:rPr>
          <w:rFonts w:asciiTheme="majorHAnsi" w:eastAsiaTheme="minorHAnsi" w:hAnsiTheme="majorHAnsi" w:cstheme="majorHAnsi"/>
          <w:color w:val="000000"/>
          <w:szCs w:val="22"/>
          <w:lang w:eastAsia="en-US"/>
        </w:rPr>
        <w:t>Medical Research Center, Riyadh, Kingdom of Saudi Arabia</w:t>
      </w:r>
    </w:p>
    <w:p w14:paraId="0750C205" w14:textId="58D16F84" w:rsidR="00352180" w:rsidRDefault="009A7AE2" w:rsidP="009A7AE2">
      <w:pPr>
        <w:pStyle w:val="ListParagraph"/>
        <w:numPr>
          <w:ilvl w:val="0"/>
          <w:numId w:val="15"/>
        </w:numPr>
        <w:autoSpaceDE w:val="0"/>
        <w:autoSpaceDN w:val="0"/>
        <w:adjustRightInd w:val="0"/>
        <w:spacing w:line="240" w:lineRule="auto"/>
        <w:rPr>
          <w:rFonts w:asciiTheme="majorHAnsi" w:eastAsiaTheme="minorHAnsi" w:hAnsiTheme="majorHAnsi" w:cstheme="majorHAnsi"/>
          <w:color w:val="000000"/>
          <w:szCs w:val="22"/>
          <w:lang w:eastAsia="en-US"/>
        </w:rPr>
      </w:pPr>
      <w:r w:rsidRPr="00352180">
        <w:rPr>
          <w:rFonts w:asciiTheme="majorHAnsi" w:eastAsiaTheme="minorHAnsi" w:hAnsiTheme="majorHAnsi" w:cstheme="majorHAnsi"/>
          <w:color w:val="000000"/>
          <w:szCs w:val="22"/>
          <w:lang w:eastAsia="en-US"/>
        </w:rPr>
        <w:t>Hospital Raymond Poincar</w:t>
      </w:r>
      <w:r w:rsidR="00352180">
        <w:rPr>
          <w:rFonts w:asciiTheme="majorHAnsi" w:eastAsiaTheme="minorHAnsi" w:hAnsiTheme="majorHAnsi" w:cstheme="majorHAnsi"/>
          <w:color w:val="000000"/>
          <w:szCs w:val="22"/>
          <w:lang w:eastAsia="en-US"/>
        </w:rPr>
        <w:t>é</w:t>
      </w:r>
      <w:r w:rsidRPr="00352180">
        <w:rPr>
          <w:rFonts w:asciiTheme="majorHAnsi" w:eastAsiaTheme="minorHAnsi" w:hAnsiTheme="majorHAnsi" w:cstheme="majorHAnsi"/>
          <w:color w:val="000000"/>
          <w:szCs w:val="22"/>
          <w:lang w:eastAsia="en-US"/>
        </w:rPr>
        <w:t xml:space="preserve"> (Assistance Publique H</w:t>
      </w:r>
      <w:r w:rsidR="00AC4F1C">
        <w:rPr>
          <w:rFonts w:asciiTheme="majorHAnsi" w:eastAsiaTheme="minorHAnsi" w:hAnsiTheme="majorHAnsi" w:cstheme="majorHAnsi"/>
          <w:color w:val="000000"/>
          <w:szCs w:val="22"/>
          <w:lang w:eastAsia="en-US"/>
        </w:rPr>
        <w:t>ó</w:t>
      </w:r>
      <w:r w:rsidRPr="00352180">
        <w:rPr>
          <w:rFonts w:asciiTheme="majorHAnsi" w:eastAsiaTheme="minorHAnsi" w:hAnsiTheme="majorHAnsi" w:cstheme="majorHAnsi"/>
          <w:color w:val="000000"/>
          <w:szCs w:val="22"/>
          <w:lang w:eastAsia="en-US"/>
        </w:rPr>
        <w:t>pitaux de Paris), Garches, France</w:t>
      </w:r>
    </w:p>
    <w:p w14:paraId="6E0C7E07" w14:textId="77777777" w:rsidR="00352180" w:rsidRDefault="00352180" w:rsidP="009A7AE2">
      <w:pPr>
        <w:pStyle w:val="ListParagraph"/>
        <w:numPr>
          <w:ilvl w:val="0"/>
          <w:numId w:val="15"/>
        </w:numPr>
        <w:autoSpaceDE w:val="0"/>
        <w:autoSpaceDN w:val="0"/>
        <w:adjustRightInd w:val="0"/>
        <w:spacing w:line="240" w:lineRule="auto"/>
        <w:rPr>
          <w:rFonts w:asciiTheme="majorHAnsi" w:eastAsiaTheme="minorHAnsi" w:hAnsiTheme="majorHAnsi" w:cstheme="majorHAnsi"/>
          <w:color w:val="000000"/>
          <w:szCs w:val="22"/>
          <w:lang w:eastAsia="en-US"/>
        </w:rPr>
      </w:pPr>
      <w:r w:rsidRPr="00352180">
        <w:rPr>
          <w:rFonts w:asciiTheme="majorHAnsi" w:eastAsiaTheme="minorHAnsi" w:hAnsiTheme="majorHAnsi" w:cstheme="majorHAnsi"/>
          <w:color w:val="000000"/>
          <w:szCs w:val="22"/>
          <w:lang w:eastAsia="en-US"/>
        </w:rPr>
        <w:t xml:space="preserve">Université </w:t>
      </w:r>
      <w:r w:rsidR="009A7AE2" w:rsidRPr="00352180">
        <w:rPr>
          <w:rFonts w:asciiTheme="majorHAnsi" w:eastAsiaTheme="minorHAnsi" w:hAnsiTheme="majorHAnsi" w:cstheme="majorHAnsi"/>
          <w:color w:val="000000"/>
          <w:szCs w:val="22"/>
          <w:lang w:eastAsia="en-US"/>
        </w:rPr>
        <w:t xml:space="preserve">Versailles SQY - </w:t>
      </w:r>
      <w:r w:rsidRPr="00352180">
        <w:rPr>
          <w:rFonts w:asciiTheme="majorHAnsi" w:eastAsiaTheme="minorHAnsi" w:hAnsiTheme="majorHAnsi" w:cstheme="majorHAnsi"/>
          <w:color w:val="000000"/>
          <w:szCs w:val="22"/>
          <w:lang w:eastAsia="en-US"/>
        </w:rPr>
        <w:t xml:space="preserve">Université </w:t>
      </w:r>
      <w:r w:rsidR="009A7AE2" w:rsidRPr="00352180">
        <w:rPr>
          <w:rFonts w:asciiTheme="majorHAnsi" w:eastAsiaTheme="minorHAnsi" w:hAnsiTheme="majorHAnsi" w:cstheme="majorHAnsi"/>
          <w:color w:val="000000"/>
          <w:szCs w:val="22"/>
          <w:lang w:eastAsia="en-US"/>
        </w:rPr>
        <w:t>Paris Saclay, Montigny-le-Bretonneux, France</w:t>
      </w:r>
    </w:p>
    <w:p w14:paraId="2AFB22FB" w14:textId="77777777" w:rsidR="00352180" w:rsidRDefault="00352180" w:rsidP="009A7AE2">
      <w:pPr>
        <w:pStyle w:val="ListParagraph"/>
        <w:numPr>
          <w:ilvl w:val="0"/>
          <w:numId w:val="15"/>
        </w:numPr>
        <w:autoSpaceDE w:val="0"/>
        <w:autoSpaceDN w:val="0"/>
        <w:adjustRightInd w:val="0"/>
        <w:spacing w:line="240" w:lineRule="auto"/>
        <w:rPr>
          <w:rFonts w:asciiTheme="majorHAnsi" w:eastAsiaTheme="minorHAnsi" w:hAnsiTheme="majorHAnsi" w:cstheme="majorHAnsi"/>
          <w:color w:val="000000"/>
          <w:szCs w:val="22"/>
          <w:lang w:eastAsia="en-US"/>
        </w:rPr>
      </w:pPr>
      <w:r w:rsidRPr="00352180">
        <w:rPr>
          <w:rFonts w:asciiTheme="majorHAnsi" w:eastAsiaTheme="minorHAnsi" w:hAnsiTheme="majorHAnsi" w:cstheme="majorHAnsi"/>
          <w:color w:val="000000"/>
          <w:szCs w:val="22"/>
          <w:lang w:eastAsia="en-US"/>
        </w:rPr>
        <w:t xml:space="preserve">Université </w:t>
      </w:r>
      <w:r w:rsidR="009A7AE2" w:rsidRPr="00352180">
        <w:rPr>
          <w:rFonts w:asciiTheme="majorHAnsi" w:eastAsiaTheme="minorHAnsi" w:hAnsiTheme="majorHAnsi" w:cstheme="majorHAnsi"/>
          <w:color w:val="000000"/>
          <w:szCs w:val="22"/>
          <w:lang w:eastAsia="en-US"/>
        </w:rPr>
        <w:t>Paris Saclay - UVSQ – INSERM, Garches, France</w:t>
      </w:r>
    </w:p>
    <w:p w14:paraId="2C730875" w14:textId="77777777" w:rsidR="00352180" w:rsidRDefault="009A7AE2" w:rsidP="00352180">
      <w:pPr>
        <w:pStyle w:val="ListParagraph"/>
        <w:numPr>
          <w:ilvl w:val="0"/>
          <w:numId w:val="15"/>
        </w:numPr>
        <w:autoSpaceDE w:val="0"/>
        <w:autoSpaceDN w:val="0"/>
        <w:adjustRightInd w:val="0"/>
        <w:spacing w:line="240" w:lineRule="auto"/>
        <w:rPr>
          <w:rFonts w:asciiTheme="majorHAnsi" w:eastAsiaTheme="minorHAnsi" w:hAnsiTheme="majorHAnsi" w:cstheme="majorHAnsi"/>
          <w:color w:val="000000"/>
          <w:szCs w:val="22"/>
          <w:lang w:eastAsia="en-US"/>
        </w:rPr>
      </w:pPr>
      <w:r w:rsidRPr="00352180">
        <w:rPr>
          <w:rFonts w:asciiTheme="majorHAnsi" w:eastAsiaTheme="minorHAnsi" w:hAnsiTheme="majorHAnsi" w:cstheme="majorHAnsi"/>
          <w:color w:val="000000"/>
          <w:szCs w:val="22"/>
          <w:lang w:eastAsia="en-US"/>
        </w:rPr>
        <w:t>University of Oxford, Oxford, United Kingdom</w:t>
      </w:r>
    </w:p>
    <w:p w14:paraId="4F169B17" w14:textId="77777777" w:rsidR="00352180" w:rsidRDefault="00352180" w:rsidP="009A7AE2">
      <w:pPr>
        <w:pStyle w:val="ListParagraph"/>
        <w:numPr>
          <w:ilvl w:val="0"/>
          <w:numId w:val="15"/>
        </w:numPr>
        <w:autoSpaceDE w:val="0"/>
        <w:autoSpaceDN w:val="0"/>
        <w:adjustRightInd w:val="0"/>
        <w:spacing w:line="240" w:lineRule="auto"/>
        <w:rPr>
          <w:rFonts w:asciiTheme="majorHAnsi" w:eastAsiaTheme="minorHAnsi" w:hAnsiTheme="majorHAnsi" w:cstheme="majorHAnsi"/>
          <w:color w:val="000000"/>
          <w:szCs w:val="22"/>
          <w:lang w:eastAsia="en-US"/>
        </w:rPr>
      </w:pPr>
      <w:r w:rsidRPr="00352180">
        <w:rPr>
          <w:rFonts w:asciiTheme="majorHAnsi" w:eastAsiaTheme="minorHAnsi" w:hAnsiTheme="majorHAnsi" w:cstheme="majorHAnsi"/>
          <w:color w:val="000000"/>
          <w:szCs w:val="22"/>
          <w:lang w:eastAsia="en-US"/>
        </w:rPr>
        <w:t>Medical Research Institute of New Zealand (MRINZ), Wellington, New Zealand</w:t>
      </w:r>
    </w:p>
    <w:p w14:paraId="0821C44D" w14:textId="77777777" w:rsidR="00352180" w:rsidRDefault="009A7AE2" w:rsidP="009A7AE2">
      <w:pPr>
        <w:pStyle w:val="ListParagraph"/>
        <w:numPr>
          <w:ilvl w:val="0"/>
          <w:numId w:val="15"/>
        </w:numPr>
        <w:autoSpaceDE w:val="0"/>
        <w:autoSpaceDN w:val="0"/>
        <w:adjustRightInd w:val="0"/>
        <w:spacing w:line="240" w:lineRule="auto"/>
        <w:rPr>
          <w:rFonts w:asciiTheme="majorHAnsi" w:eastAsiaTheme="minorHAnsi" w:hAnsiTheme="majorHAnsi" w:cstheme="majorHAnsi"/>
          <w:color w:val="000000"/>
          <w:szCs w:val="22"/>
          <w:lang w:eastAsia="en-US"/>
        </w:rPr>
      </w:pPr>
      <w:r w:rsidRPr="00352180">
        <w:rPr>
          <w:rFonts w:asciiTheme="majorHAnsi" w:eastAsiaTheme="minorHAnsi" w:hAnsiTheme="majorHAnsi" w:cstheme="majorHAnsi"/>
          <w:color w:val="000000"/>
          <w:szCs w:val="22"/>
          <w:lang w:eastAsia="en-US"/>
        </w:rPr>
        <w:t>St. Michael's Hospital Unity Health, Toronto, Canada</w:t>
      </w:r>
    </w:p>
    <w:p w14:paraId="695E497D" w14:textId="77777777" w:rsidR="00352180" w:rsidRPr="00352180" w:rsidRDefault="009A7AE2" w:rsidP="009A7AE2">
      <w:pPr>
        <w:pStyle w:val="ListParagraph"/>
        <w:numPr>
          <w:ilvl w:val="0"/>
          <w:numId w:val="15"/>
        </w:numPr>
        <w:autoSpaceDE w:val="0"/>
        <w:autoSpaceDN w:val="0"/>
        <w:adjustRightInd w:val="0"/>
        <w:spacing w:line="240" w:lineRule="auto"/>
        <w:rPr>
          <w:rFonts w:asciiTheme="majorHAnsi" w:eastAsiaTheme="minorHAnsi" w:hAnsiTheme="majorHAnsi" w:cstheme="majorHAnsi"/>
          <w:color w:val="000000"/>
          <w:szCs w:val="22"/>
          <w:lang w:eastAsia="en-US"/>
        </w:rPr>
      </w:pPr>
      <w:r w:rsidRPr="00352180">
        <w:rPr>
          <w:rFonts w:asciiTheme="majorHAnsi" w:eastAsiaTheme="minorHAnsi" w:hAnsiTheme="majorHAnsi" w:cstheme="majorHAnsi"/>
          <w:color w:val="000000"/>
          <w:szCs w:val="22"/>
          <w:lang w:eastAsia="en-US"/>
        </w:rPr>
        <w:t>University of Bristol, Bristol, United Kingdom</w:t>
      </w:r>
    </w:p>
    <w:p w14:paraId="18152E9A" w14:textId="77777777" w:rsidR="00352180" w:rsidRPr="00352180" w:rsidRDefault="009A7AE2" w:rsidP="00352180">
      <w:pPr>
        <w:pStyle w:val="ListParagraph"/>
        <w:numPr>
          <w:ilvl w:val="0"/>
          <w:numId w:val="15"/>
        </w:numPr>
        <w:autoSpaceDE w:val="0"/>
        <w:autoSpaceDN w:val="0"/>
        <w:adjustRightInd w:val="0"/>
        <w:spacing w:line="240" w:lineRule="auto"/>
        <w:rPr>
          <w:rFonts w:asciiTheme="majorHAnsi" w:eastAsiaTheme="minorHAnsi" w:hAnsiTheme="majorHAnsi" w:cstheme="majorHAnsi"/>
          <w:color w:val="000000"/>
          <w:szCs w:val="22"/>
          <w:lang w:eastAsia="en-US"/>
        </w:rPr>
      </w:pPr>
      <w:r w:rsidRPr="00352180">
        <w:rPr>
          <w:rFonts w:asciiTheme="majorHAnsi" w:eastAsiaTheme="minorHAnsi" w:hAnsiTheme="majorHAnsi" w:cstheme="majorHAnsi"/>
          <w:color w:val="000000"/>
          <w:szCs w:val="22"/>
          <w:lang w:eastAsia="en-US"/>
        </w:rPr>
        <w:t>Jena University Hospital, Jena, Germany</w:t>
      </w:r>
    </w:p>
    <w:p w14:paraId="1478D64A" w14:textId="77777777" w:rsidR="00352180" w:rsidRPr="00352180" w:rsidRDefault="00352180" w:rsidP="009A7AE2">
      <w:pPr>
        <w:pStyle w:val="ListParagraph"/>
        <w:numPr>
          <w:ilvl w:val="0"/>
          <w:numId w:val="15"/>
        </w:numPr>
        <w:autoSpaceDE w:val="0"/>
        <w:autoSpaceDN w:val="0"/>
        <w:adjustRightInd w:val="0"/>
        <w:spacing w:line="240" w:lineRule="auto"/>
        <w:rPr>
          <w:rFonts w:asciiTheme="majorHAnsi" w:eastAsiaTheme="minorHAnsi" w:hAnsiTheme="majorHAnsi" w:cstheme="majorHAnsi"/>
          <w:color w:val="000000"/>
          <w:szCs w:val="22"/>
          <w:lang w:eastAsia="en-US"/>
        </w:rPr>
      </w:pPr>
      <w:r w:rsidRPr="00352180">
        <w:rPr>
          <w:rFonts w:asciiTheme="majorHAnsi" w:eastAsiaTheme="minorHAnsi" w:hAnsiTheme="majorHAnsi" w:cstheme="majorHAnsi"/>
          <w:szCs w:val="22"/>
          <w:lang w:eastAsia="en-US"/>
        </w:rPr>
        <w:t>Global Coalition for Adaptive Research, San Francisco, California</w:t>
      </w:r>
    </w:p>
    <w:p w14:paraId="6858CC82" w14:textId="77777777" w:rsidR="00C855A2" w:rsidRPr="00C855A2" w:rsidRDefault="009A7AE2" w:rsidP="00C855A2">
      <w:pPr>
        <w:pStyle w:val="ListParagraph"/>
        <w:numPr>
          <w:ilvl w:val="0"/>
          <w:numId w:val="15"/>
        </w:numPr>
        <w:autoSpaceDE w:val="0"/>
        <w:autoSpaceDN w:val="0"/>
        <w:adjustRightInd w:val="0"/>
        <w:spacing w:line="240" w:lineRule="auto"/>
        <w:rPr>
          <w:rFonts w:asciiTheme="majorHAnsi" w:eastAsiaTheme="minorHAnsi" w:hAnsiTheme="majorHAnsi" w:cstheme="majorHAnsi"/>
          <w:color w:val="000000"/>
          <w:szCs w:val="22"/>
          <w:lang w:eastAsia="en-US"/>
        </w:rPr>
      </w:pPr>
      <w:r w:rsidRPr="00C855A2">
        <w:rPr>
          <w:rFonts w:asciiTheme="majorHAnsi" w:eastAsiaTheme="minorHAnsi" w:hAnsiTheme="majorHAnsi" w:cstheme="majorHAnsi"/>
          <w:color w:val="000000"/>
          <w:szCs w:val="22"/>
          <w:lang w:eastAsia="en-US"/>
        </w:rPr>
        <w:t>Alfred Health, Melbourne, Australia</w:t>
      </w:r>
    </w:p>
    <w:p w14:paraId="0CA3B124" w14:textId="1FD92478" w:rsidR="00C855A2" w:rsidRPr="00C855A2" w:rsidRDefault="00C855A2" w:rsidP="00C855A2">
      <w:pPr>
        <w:pStyle w:val="ListParagraph"/>
        <w:numPr>
          <w:ilvl w:val="0"/>
          <w:numId w:val="15"/>
        </w:numPr>
        <w:autoSpaceDE w:val="0"/>
        <w:autoSpaceDN w:val="0"/>
        <w:adjustRightInd w:val="0"/>
        <w:spacing w:line="240" w:lineRule="auto"/>
        <w:rPr>
          <w:rFonts w:asciiTheme="majorHAnsi" w:eastAsiaTheme="minorHAnsi" w:hAnsiTheme="majorHAnsi" w:cstheme="majorHAnsi"/>
          <w:color w:val="000000"/>
          <w:szCs w:val="22"/>
          <w:lang w:eastAsia="en-US"/>
        </w:rPr>
      </w:pPr>
      <w:r w:rsidRPr="00C855A2">
        <w:rPr>
          <w:rFonts w:asciiTheme="majorHAnsi" w:hAnsiTheme="majorHAnsi" w:cstheme="majorHAnsi"/>
          <w:color w:val="000000"/>
          <w:szCs w:val="22"/>
        </w:rPr>
        <w:t>National University of Singapore</w:t>
      </w:r>
    </w:p>
    <w:p w14:paraId="43844840" w14:textId="77777777" w:rsidR="00C855A2" w:rsidRDefault="00C855A2" w:rsidP="009A7AE2">
      <w:pPr>
        <w:pStyle w:val="ListParagraph"/>
        <w:numPr>
          <w:ilvl w:val="0"/>
          <w:numId w:val="15"/>
        </w:numPr>
        <w:autoSpaceDE w:val="0"/>
        <w:autoSpaceDN w:val="0"/>
        <w:adjustRightInd w:val="0"/>
        <w:spacing w:line="240" w:lineRule="auto"/>
        <w:rPr>
          <w:rFonts w:asciiTheme="majorHAnsi" w:eastAsiaTheme="minorHAnsi" w:hAnsiTheme="majorHAnsi" w:cstheme="majorHAnsi"/>
          <w:color w:val="000000"/>
          <w:szCs w:val="22"/>
          <w:lang w:eastAsia="en-US"/>
        </w:rPr>
      </w:pPr>
      <w:r w:rsidRPr="009A7AE2">
        <w:rPr>
          <w:rFonts w:asciiTheme="majorHAnsi" w:eastAsiaTheme="minorHAnsi" w:hAnsiTheme="majorHAnsi" w:cstheme="majorHAnsi"/>
          <w:color w:val="000000"/>
          <w:szCs w:val="22"/>
          <w:lang w:eastAsia="en-US"/>
        </w:rPr>
        <w:t>Berry Consultants, Austin, United States</w:t>
      </w:r>
    </w:p>
    <w:p w14:paraId="74CCC3F0" w14:textId="77777777" w:rsidR="00C855A2" w:rsidRDefault="009A7AE2" w:rsidP="009A7AE2">
      <w:pPr>
        <w:pStyle w:val="ListParagraph"/>
        <w:numPr>
          <w:ilvl w:val="0"/>
          <w:numId w:val="15"/>
        </w:numPr>
        <w:autoSpaceDE w:val="0"/>
        <w:autoSpaceDN w:val="0"/>
        <w:adjustRightInd w:val="0"/>
        <w:spacing w:line="240" w:lineRule="auto"/>
        <w:rPr>
          <w:rFonts w:asciiTheme="majorHAnsi" w:eastAsiaTheme="minorHAnsi" w:hAnsiTheme="majorHAnsi" w:cstheme="majorHAnsi"/>
          <w:color w:val="000000"/>
          <w:szCs w:val="22"/>
          <w:lang w:eastAsia="en-US"/>
        </w:rPr>
      </w:pPr>
      <w:r w:rsidRPr="00C855A2">
        <w:rPr>
          <w:rFonts w:asciiTheme="majorHAnsi" w:eastAsiaTheme="minorHAnsi" w:hAnsiTheme="majorHAnsi" w:cstheme="majorHAnsi"/>
          <w:color w:val="000000"/>
          <w:szCs w:val="22"/>
          <w:lang w:eastAsia="en-US"/>
        </w:rPr>
        <w:t>Auckland District Health Board, Auckland, New Zealand</w:t>
      </w:r>
    </w:p>
    <w:p w14:paraId="31456686" w14:textId="6E85C1A6" w:rsidR="009A7AE2" w:rsidRDefault="009A7AE2" w:rsidP="009A7AE2">
      <w:pPr>
        <w:pStyle w:val="ListParagraph"/>
        <w:numPr>
          <w:ilvl w:val="0"/>
          <w:numId w:val="15"/>
        </w:numPr>
        <w:autoSpaceDE w:val="0"/>
        <w:autoSpaceDN w:val="0"/>
        <w:adjustRightInd w:val="0"/>
        <w:spacing w:line="240" w:lineRule="auto"/>
        <w:rPr>
          <w:rFonts w:asciiTheme="majorHAnsi" w:eastAsiaTheme="minorHAnsi" w:hAnsiTheme="majorHAnsi" w:cstheme="majorHAnsi"/>
          <w:color w:val="000000"/>
          <w:szCs w:val="22"/>
          <w:lang w:eastAsia="en-US"/>
        </w:rPr>
      </w:pPr>
      <w:r w:rsidRPr="00C855A2">
        <w:rPr>
          <w:rFonts w:asciiTheme="majorHAnsi" w:eastAsiaTheme="minorHAnsi" w:hAnsiTheme="majorHAnsi" w:cstheme="majorHAnsi"/>
          <w:color w:val="000000"/>
          <w:szCs w:val="22"/>
          <w:lang w:eastAsia="en-US"/>
        </w:rPr>
        <w:t>NHS Blood and Transplant, Oxford, United Kingdom</w:t>
      </w:r>
    </w:p>
    <w:p w14:paraId="285BA80C" w14:textId="77777777" w:rsidR="00C855A2" w:rsidRDefault="00C855A2" w:rsidP="009A7AE2">
      <w:pPr>
        <w:pStyle w:val="ListParagraph"/>
        <w:numPr>
          <w:ilvl w:val="0"/>
          <w:numId w:val="15"/>
        </w:numPr>
        <w:autoSpaceDE w:val="0"/>
        <w:autoSpaceDN w:val="0"/>
        <w:adjustRightInd w:val="0"/>
        <w:spacing w:line="240" w:lineRule="auto"/>
        <w:rPr>
          <w:rFonts w:asciiTheme="majorHAnsi" w:eastAsiaTheme="minorHAnsi" w:hAnsiTheme="majorHAnsi" w:cstheme="majorHAnsi"/>
          <w:color w:val="000000"/>
          <w:szCs w:val="22"/>
          <w:lang w:eastAsia="en-US"/>
        </w:rPr>
      </w:pPr>
      <w:r>
        <w:rPr>
          <w:rFonts w:asciiTheme="majorHAnsi" w:eastAsiaTheme="minorHAnsi" w:hAnsiTheme="majorHAnsi" w:cstheme="majorHAnsi"/>
          <w:color w:val="000000"/>
          <w:szCs w:val="22"/>
          <w:lang w:eastAsia="en-US"/>
        </w:rPr>
        <w:t>University of Manchester, Manchester, United Kingdom</w:t>
      </w:r>
    </w:p>
    <w:p w14:paraId="50413F9B" w14:textId="77777777" w:rsidR="00C855A2" w:rsidRPr="00C855A2" w:rsidRDefault="009A7AE2" w:rsidP="009A7AE2">
      <w:pPr>
        <w:pStyle w:val="ListParagraph"/>
        <w:numPr>
          <w:ilvl w:val="0"/>
          <w:numId w:val="15"/>
        </w:numPr>
        <w:autoSpaceDE w:val="0"/>
        <w:autoSpaceDN w:val="0"/>
        <w:adjustRightInd w:val="0"/>
        <w:spacing w:line="240" w:lineRule="auto"/>
        <w:rPr>
          <w:rFonts w:asciiTheme="majorHAnsi" w:eastAsiaTheme="minorHAnsi" w:hAnsiTheme="majorHAnsi" w:cstheme="majorHAnsi"/>
          <w:color w:val="000000"/>
          <w:szCs w:val="22"/>
          <w:lang w:val="nl-NL" w:eastAsia="en-US"/>
        </w:rPr>
      </w:pPr>
      <w:r w:rsidRPr="00C855A2">
        <w:rPr>
          <w:rFonts w:asciiTheme="majorHAnsi" w:eastAsiaTheme="minorHAnsi" w:hAnsiTheme="majorHAnsi" w:cstheme="majorHAnsi"/>
          <w:color w:val="212121"/>
          <w:szCs w:val="22"/>
          <w:lang w:val="nl-NL" w:eastAsia="en-US"/>
        </w:rPr>
        <w:t>University of Antwerp, Wilrijk, Belgium</w:t>
      </w:r>
    </w:p>
    <w:p w14:paraId="1271AADA" w14:textId="77777777" w:rsidR="00C855A2" w:rsidRPr="00C855A2" w:rsidRDefault="009A7AE2" w:rsidP="00C855A2">
      <w:pPr>
        <w:pStyle w:val="ListParagraph"/>
        <w:numPr>
          <w:ilvl w:val="0"/>
          <w:numId w:val="15"/>
        </w:numPr>
        <w:autoSpaceDE w:val="0"/>
        <w:autoSpaceDN w:val="0"/>
        <w:adjustRightInd w:val="0"/>
        <w:spacing w:line="240" w:lineRule="auto"/>
        <w:rPr>
          <w:rFonts w:asciiTheme="majorHAnsi" w:eastAsiaTheme="minorHAnsi" w:hAnsiTheme="majorHAnsi" w:cstheme="majorHAnsi"/>
          <w:color w:val="000000"/>
          <w:szCs w:val="22"/>
          <w:lang w:eastAsia="en-US"/>
        </w:rPr>
      </w:pPr>
      <w:r w:rsidRPr="00C855A2">
        <w:rPr>
          <w:rFonts w:asciiTheme="majorHAnsi" w:eastAsiaTheme="minorHAnsi" w:hAnsiTheme="majorHAnsi" w:cstheme="majorHAnsi"/>
          <w:color w:val="212121"/>
          <w:szCs w:val="22"/>
          <w:lang w:eastAsia="en-US"/>
        </w:rPr>
        <w:lastRenderedPageBreak/>
        <w:t>University of Oxford, Bangkok, Thailand</w:t>
      </w:r>
    </w:p>
    <w:p w14:paraId="1BF3FD77" w14:textId="77777777" w:rsidR="00C855A2" w:rsidRPr="00C855A2" w:rsidRDefault="009A7AE2" w:rsidP="00C855A2">
      <w:pPr>
        <w:pStyle w:val="ListParagraph"/>
        <w:numPr>
          <w:ilvl w:val="0"/>
          <w:numId w:val="15"/>
        </w:numPr>
        <w:autoSpaceDE w:val="0"/>
        <w:autoSpaceDN w:val="0"/>
        <w:adjustRightInd w:val="0"/>
        <w:spacing w:line="240" w:lineRule="auto"/>
        <w:rPr>
          <w:rFonts w:asciiTheme="majorHAnsi" w:eastAsiaTheme="minorHAnsi" w:hAnsiTheme="majorHAnsi" w:cstheme="majorHAnsi"/>
          <w:color w:val="000000"/>
          <w:szCs w:val="22"/>
          <w:lang w:eastAsia="en-US"/>
        </w:rPr>
      </w:pPr>
      <w:r w:rsidRPr="00C855A2">
        <w:rPr>
          <w:rFonts w:asciiTheme="majorHAnsi" w:eastAsiaTheme="minorHAnsi" w:hAnsiTheme="majorHAnsi" w:cstheme="majorHAnsi"/>
          <w:color w:val="212121"/>
          <w:szCs w:val="22"/>
          <w:lang w:eastAsia="en-US"/>
        </w:rPr>
        <w:t>University College London Hospital, London, United Kingdom</w:t>
      </w:r>
    </w:p>
    <w:p w14:paraId="0292AB5B" w14:textId="77777777" w:rsidR="00C855A2" w:rsidRPr="00C855A2" w:rsidRDefault="009A7AE2" w:rsidP="00C855A2">
      <w:pPr>
        <w:pStyle w:val="ListParagraph"/>
        <w:numPr>
          <w:ilvl w:val="0"/>
          <w:numId w:val="15"/>
        </w:numPr>
        <w:autoSpaceDE w:val="0"/>
        <w:autoSpaceDN w:val="0"/>
        <w:adjustRightInd w:val="0"/>
        <w:spacing w:line="240" w:lineRule="auto"/>
        <w:rPr>
          <w:rFonts w:asciiTheme="majorHAnsi" w:eastAsiaTheme="minorHAnsi" w:hAnsiTheme="majorHAnsi" w:cstheme="majorHAnsi"/>
          <w:color w:val="000000"/>
          <w:szCs w:val="22"/>
          <w:lang w:eastAsia="en-US"/>
        </w:rPr>
      </w:pPr>
      <w:r w:rsidRPr="00C855A2">
        <w:rPr>
          <w:rFonts w:asciiTheme="majorHAnsi" w:eastAsiaTheme="minorHAnsi" w:hAnsiTheme="majorHAnsi" w:cstheme="majorHAnsi"/>
          <w:color w:val="212121"/>
          <w:szCs w:val="22"/>
          <w:lang w:eastAsia="en-US"/>
        </w:rPr>
        <w:t>National Intensive Care Surveillance (NICST), Colombo, Sri Lanka</w:t>
      </w:r>
    </w:p>
    <w:p w14:paraId="6104D48B" w14:textId="5E39A8D0" w:rsidR="009A7AE2" w:rsidRPr="00C855A2" w:rsidRDefault="009A7AE2" w:rsidP="00C855A2">
      <w:pPr>
        <w:pStyle w:val="ListParagraph"/>
        <w:numPr>
          <w:ilvl w:val="0"/>
          <w:numId w:val="15"/>
        </w:numPr>
        <w:autoSpaceDE w:val="0"/>
        <w:autoSpaceDN w:val="0"/>
        <w:adjustRightInd w:val="0"/>
        <w:spacing w:line="240" w:lineRule="auto"/>
        <w:rPr>
          <w:rFonts w:asciiTheme="majorHAnsi" w:eastAsiaTheme="minorHAnsi" w:hAnsiTheme="majorHAnsi" w:cstheme="majorHAnsi"/>
          <w:color w:val="000000"/>
          <w:szCs w:val="22"/>
          <w:lang w:eastAsia="en-US"/>
        </w:rPr>
      </w:pPr>
      <w:r w:rsidRPr="00C855A2">
        <w:rPr>
          <w:rFonts w:asciiTheme="majorHAnsi" w:eastAsiaTheme="minorHAnsi" w:hAnsiTheme="majorHAnsi" w:cstheme="majorHAnsi"/>
          <w:color w:val="000000"/>
          <w:szCs w:val="22"/>
          <w:lang w:eastAsia="en-US"/>
        </w:rPr>
        <w:t>Auckland City Hospital, Auckland, New Zealand</w:t>
      </w:r>
    </w:p>
    <w:p w14:paraId="7BE5DEB7" w14:textId="77777777" w:rsidR="00C855A2" w:rsidRPr="00C855A2" w:rsidRDefault="00C855A2" w:rsidP="00C855A2">
      <w:pPr>
        <w:pStyle w:val="ListParagraph"/>
        <w:numPr>
          <w:ilvl w:val="0"/>
          <w:numId w:val="15"/>
        </w:numPr>
        <w:spacing w:line="240" w:lineRule="auto"/>
        <w:rPr>
          <w:rFonts w:asciiTheme="majorHAnsi" w:hAnsiTheme="majorHAnsi" w:cstheme="majorHAnsi"/>
          <w:szCs w:val="22"/>
          <w:lang w:eastAsia="en-US"/>
        </w:rPr>
      </w:pPr>
      <w:r w:rsidRPr="00C855A2">
        <w:rPr>
          <w:rFonts w:asciiTheme="majorHAnsi" w:hAnsiTheme="majorHAnsi" w:cstheme="majorHAnsi"/>
          <w:color w:val="000000"/>
          <w:szCs w:val="22"/>
          <w:shd w:val="clear" w:color="auto" w:fill="FFFFFF"/>
        </w:rPr>
        <w:t>Graduate School of Medicine, The University of Tokyo</w:t>
      </w:r>
      <w:r>
        <w:rPr>
          <w:rFonts w:asciiTheme="majorHAnsi" w:hAnsiTheme="majorHAnsi" w:cstheme="majorHAnsi"/>
          <w:color w:val="000000"/>
          <w:szCs w:val="22"/>
          <w:shd w:val="clear" w:color="auto" w:fill="FFFFFF"/>
        </w:rPr>
        <w:t>, Tokyo, Japan</w:t>
      </w:r>
    </w:p>
    <w:p w14:paraId="038EE7BA" w14:textId="77777777" w:rsidR="00C855A2" w:rsidRPr="00C855A2" w:rsidRDefault="009A7AE2" w:rsidP="00C855A2">
      <w:pPr>
        <w:pStyle w:val="ListParagraph"/>
        <w:numPr>
          <w:ilvl w:val="0"/>
          <w:numId w:val="15"/>
        </w:numPr>
        <w:spacing w:line="240" w:lineRule="auto"/>
        <w:rPr>
          <w:rFonts w:asciiTheme="majorHAnsi" w:hAnsiTheme="majorHAnsi" w:cstheme="majorHAnsi"/>
          <w:szCs w:val="22"/>
          <w:lang w:eastAsia="en-US"/>
        </w:rPr>
      </w:pPr>
      <w:r w:rsidRPr="00C855A2">
        <w:rPr>
          <w:rFonts w:asciiTheme="majorHAnsi" w:eastAsiaTheme="minorHAnsi" w:hAnsiTheme="majorHAnsi" w:cstheme="majorHAnsi"/>
          <w:color w:val="000000"/>
          <w:szCs w:val="22"/>
          <w:lang w:eastAsia="en-US"/>
        </w:rPr>
        <w:t>Universit</w:t>
      </w:r>
      <w:r w:rsidR="00C855A2">
        <w:rPr>
          <w:rFonts w:asciiTheme="majorHAnsi" w:eastAsiaTheme="minorHAnsi" w:hAnsiTheme="majorHAnsi" w:cstheme="majorHAnsi"/>
          <w:color w:val="000000"/>
          <w:szCs w:val="22"/>
          <w:lang w:eastAsia="en-US"/>
        </w:rPr>
        <w:t>é</w:t>
      </w:r>
      <w:r w:rsidRPr="00C855A2">
        <w:rPr>
          <w:rFonts w:asciiTheme="majorHAnsi" w:eastAsiaTheme="minorHAnsi" w:hAnsiTheme="majorHAnsi" w:cstheme="majorHAnsi"/>
          <w:color w:val="000000"/>
          <w:szCs w:val="22"/>
          <w:lang w:eastAsia="en-US"/>
        </w:rPr>
        <w:t xml:space="preserve"> de Sherbrooke, Sherbrooke, Quebec, Canada</w:t>
      </w:r>
    </w:p>
    <w:p w14:paraId="3376BE30" w14:textId="77777777" w:rsidR="00C855A2" w:rsidRPr="00C855A2" w:rsidRDefault="009A7AE2" w:rsidP="00C855A2">
      <w:pPr>
        <w:pStyle w:val="ListParagraph"/>
        <w:numPr>
          <w:ilvl w:val="0"/>
          <w:numId w:val="15"/>
        </w:numPr>
        <w:spacing w:line="240" w:lineRule="auto"/>
        <w:rPr>
          <w:rFonts w:asciiTheme="majorHAnsi" w:hAnsiTheme="majorHAnsi" w:cstheme="majorHAnsi"/>
          <w:szCs w:val="22"/>
          <w:lang w:eastAsia="en-US"/>
        </w:rPr>
      </w:pPr>
      <w:r w:rsidRPr="00C855A2">
        <w:rPr>
          <w:rFonts w:asciiTheme="majorHAnsi" w:eastAsiaTheme="minorHAnsi" w:hAnsiTheme="majorHAnsi" w:cstheme="majorHAnsi"/>
          <w:color w:val="000000"/>
          <w:szCs w:val="22"/>
          <w:lang w:eastAsia="en-US"/>
        </w:rPr>
        <w:t>University Health Network, Toronto, Canada</w:t>
      </w:r>
    </w:p>
    <w:p w14:paraId="38DE265C" w14:textId="77777777" w:rsidR="00C855A2" w:rsidRPr="00C855A2" w:rsidRDefault="009A7AE2" w:rsidP="00C855A2">
      <w:pPr>
        <w:pStyle w:val="ListParagraph"/>
        <w:numPr>
          <w:ilvl w:val="0"/>
          <w:numId w:val="15"/>
        </w:numPr>
        <w:spacing w:line="240" w:lineRule="auto"/>
        <w:rPr>
          <w:rFonts w:asciiTheme="majorHAnsi" w:hAnsiTheme="majorHAnsi" w:cstheme="majorHAnsi"/>
          <w:szCs w:val="22"/>
          <w:lang w:eastAsia="en-US"/>
        </w:rPr>
      </w:pPr>
      <w:r w:rsidRPr="00C855A2">
        <w:rPr>
          <w:rFonts w:asciiTheme="majorHAnsi" w:eastAsiaTheme="minorHAnsi" w:hAnsiTheme="majorHAnsi" w:cstheme="majorHAnsi"/>
          <w:color w:val="000000"/>
          <w:szCs w:val="22"/>
          <w:lang w:eastAsia="en-US"/>
        </w:rPr>
        <w:t>University of Toronto, Toronto, Canada</w:t>
      </w:r>
    </w:p>
    <w:p w14:paraId="73EF59B8" w14:textId="77777777" w:rsidR="00C855A2" w:rsidRPr="00C855A2" w:rsidRDefault="009A7AE2" w:rsidP="00C855A2">
      <w:pPr>
        <w:pStyle w:val="ListParagraph"/>
        <w:numPr>
          <w:ilvl w:val="0"/>
          <w:numId w:val="15"/>
        </w:numPr>
        <w:spacing w:line="240" w:lineRule="auto"/>
        <w:rPr>
          <w:rFonts w:asciiTheme="majorHAnsi" w:hAnsiTheme="majorHAnsi" w:cstheme="majorHAnsi"/>
          <w:szCs w:val="22"/>
          <w:lang w:eastAsia="en-US"/>
        </w:rPr>
      </w:pPr>
      <w:r w:rsidRPr="00C855A2">
        <w:rPr>
          <w:rFonts w:asciiTheme="majorHAnsi" w:eastAsiaTheme="minorHAnsi" w:hAnsiTheme="majorHAnsi" w:cstheme="majorHAnsi"/>
          <w:color w:val="212121"/>
          <w:szCs w:val="22"/>
          <w:lang w:eastAsia="en-US"/>
        </w:rPr>
        <w:t>Harbor-UCLA Medical Center, Torrance, CA, United States</w:t>
      </w:r>
    </w:p>
    <w:p w14:paraId="72CFC357" w14:textId="77777777" w:rsidR="00C855A2" w:rsidRPr="00C855A2" w:rsidRDefault="009A7AE2" w:rsidP="00C855A2">
      <w:pPr>
        <w:pStyle w:val="ListParagraph"/>
        <w:numPr>
          <w:ilvl w:val="0"/>
          <w:numId w:val="15"/>
        </w:numPr>
        <w:spacing w:line="240" w:lineRule="auto"/>
        <w:rPr>
          <w:rFonts w:asciiTheme="majorHAnsi" w:hAnsiTheme="majorHAnsi" w:cstheme="majorHAnsi"/>
          <w:szCs w:val="22"/>
          <w:lang w:eastAsia="en-US"/>
        </w:rPr>
      </w:pPr>
      <w:r w:rsidRPr="00C855A2">
        <w:rPr>
          <w:rFonts w:asciiTheme="majorHAnsi" w:eastAsiaTheme="minorHAnsi" w:hAnsiTheme="majorHAnsi" w:cstheme="majorHAnsi"/>
          <w:color w:val="000000"/>
          <w:szCs w:val="22"/>
          <w:lang w:eastAsia="en-US"/>
        </w:rPr>
        <w:t>University of Pittsburgh, Pittsburgh, United States</w:t>
      </w:r>
    </w:p>
    <w:p w14:paraId="5365A8BB" w14:textId="77777777" w:rsidR="00C855A2" w:rsidRPr="00C855A2" w:rsidRDefault="009A7AE2" w:rsidP="00C855A2">
      <w:pPr>
        <w:pStyle w:val="ListParagraph"/>
        <w:numPr>
          <w:ilvl w:val="0"/>
          <w:numId w:val="15"/>
        </w:numPr>
        <w:spacing w:line="240" w:lineRule="auto"/>
        <w:rPr>
          <w:rFonts w:asciiTheme="majorHAnsi" w:hAnsiTheme="majorHAnsi" w:cstheme="majorHAnsi"/>
          <w:szCs w:val="22"/>
          <w:lang w:eastAsia="en-US"/>
        </w:rPr>
      </w:pPr>
      <w:r w:rsidRPr="00C855A2">
        <w:rPr>
          <w:rFonts w:asciiTheme="majorHAnsi" w:eastAsiaTheme="minorHAnsi" w:hAnsiTheme="majorHAnsi" w:cstheme="majorHAnsi"/>
          <w:color w:val="212121"/>
          <w:szCs w:val="22"/>
          <w:lang w:eastAsia="en-US"/>
        </w:rPr>
        <w:t>Fiona Stanley Hospital, Perth, Australia</w:t>
      </w:r>
    </w:p>
    <w:p w14:paraId="1997A2F0" w14:textId="77777777" w:rsidR="00C855A2" w:rsidRPr="00C855A2" w:rsidRDefault="009A7AE2" w:rsidP="00C855A2">
      <w:pPr>
        <w:pStyle w:val="ListParagraph"/>
        <w:numPr>
          <w:ilvl w:val="0"/>
          <w:numId w:val="15"/>
        </w:numPr>
        <w:spacing w:line="240" w:lineRule="auto"/>
        <w:rPr>
          <w:rFonts w:asciiTheme="majorHAnsi" w:hAnsiTheme="majorHAnsi" w:cstheme="majorHAnsi"/>
          <w:szCs w:val="22"/>
          <w:lang w:eastAsia="en-US"/>
        </w:rPr>
      </w:pPr>
      <w:r w:rsidRPr="00C855A2">
        <w:rPr>
          <w:rFonts w:asciiTheme="majorHAnsi" w:eastAsiaTheme="minorHAnsi" w:hAnsiTheme="majorHAnsi" w:cstheme="majorHAnsi"/>
          <w:color w:val="212121"/>
          <w:szCs w:val="22"/>
          <w:lang w:eastAsia="en-US"/>
        </w:rPr>
        <w:t>University of Western Australia, Perth, Australia</w:t>
      </w:r>
    </w:p>
    <w:p w14:paraId="260C2DFD" w14:textId="77777777" w:rsidR="00C855A2" w:rsidRPr="00C855A2" w:rsidRDefault="009A7AE2" w:rsidP="00C855A2">
      <w:pPr>
        <w:pStyle w:val="ListParagraph"/>
        <w:numPr>
          <w:ilvl w:val="0"/>
          <w:numId w:val="15"/>
        </w:numPr>
        <w:spacing w:line="240" w:lineRule="auto"/>
        <w:rPr>
          <w:rFonts w:asciiTheme="majorHAnsi" w:hAnsiTheme="majorHAnsi" w:cstheme="majorHAnsi"/>
          <w:szCs w:val="22"/>
          <w:lang w:eastAsia="en-US"/>
        </w:rPr>
      </w:pPr>
      <w:r w:rsidRPr="00C855A2">
        <w:rPr>
          <w:rFonts w:asciiTheme="majorHAnsi" w:eastAsiaTheme="minorHAnsi" w:hAnsiTheme="majorHAnsi" w:cstheme="majorHAnsi"/>
          <w:color w:val="212121"/>
          <w:szCs w:val="22"/>
          <w:lang w:eastAsia="en-US"/>
        </w:rPr>
        <w:t>Queen’s University Belfast, Belfast, Northern Ireland</w:t>
      </w:r>
    </w:p>
    <w:p w14:paraId="1C17F6B1" w14:textId="77777777" w:rsidR="000E5B64" w:rsidRPr="000E5B64" w:rsidRDefault="009A7AE2" w:rsidP="000E5B64">
      <w:pPr>
        <w:pStyle w:val="ListParagraph"/>
        <w:numPr>
          <w:ilvl w:val="0"/>
          <w:numId w:val="15"/>
        </w:numPr>
        <w:spacing w:line="240" w:lineRule="auto"/>
        <w:rPr>
          <w:rFonts w:asciiTheme="majorHAnsi" w:hAnsiTheme="majorHAnsi" w:cstheme="majorHAnsi"/>
          <w:szCs w:val="22"/>
          <w:lang w:eastAsia="en-US"/>
        </w:rPr>
      </w:pPr>
      <w:r w:rsidRPr="00C855A2">
        <w:rPr>
          <w:rFonts w:asciiTheme="majorHAnsi" w:eastAsiaTheme="minorHAnsi" w:hAnsiTheme="majorHAnsi" w:cstheme="majorHAnsi"/>
          <w:color w:val="212121"/>
          <w:szCs w:val="22"/>
          <w:lang w:eastAsia="en-US"/>
        </w:rPr>
        <w:t>Royal Victoria Hospital, Belfast, Northern Ireland</w:t>
      </w:r>
    </w:p>
    <w:p w14:paraId="280360D9" w14:textId="77777777" w:rsidR="000E5B64" w:rsidRPr="000E5B64" w:rsidRDefault="009A7AE2" w:rsidP="000E5B64">
      <w:pPr>
        <w:pStyle w:val="ListParagraph"/>
        <w:numPr>
          <w:ilvl w:val="0"/>
          <w:numId w:val="15"/>
        </w:numPr>
        <w:spacing w:line="240" w:lineRule="auto"/>
        <w:rPr>
          <w:rFonts w:asciiTheme="majorHAnsi" w:hAnsiTheme="majorHAnsi" w:cstheme="majorHAnsi"/>
          <w:szCs w:val="22"/>
          <w:lang w:eastAsia="en-US"/>
        </w:rPr>
      </w:pPr>
      <w:r w:rsidRPr="000E5B64">
        <w:rPr>
          <w:rFonts w:asciiTheme="majorHAnsi" w:eastAsiaTheme="minorHAnsi" w:hAnsiTheme="majorHAnsi" w:cstheme="majorHAnsi"/>
          <w:color w:val="212121"/>
          <w:szCs w:val="22"/>
          <w:lang w:eastAsia="en-US"/>
        </w:rPr>
        <w:t>Middlemore Hospital, Auckland, New Zealand</w:t>
      </w:r>
    </w:p>
    <w:p w14:paraId="6C3D21A3" w14:textId="471C4B43" w:rsidR="009A7AE2" w:rsidRPr="000E5B64" w:rsidRDefault="009A7AE2" w:rsidP="000E5B64">
      <w:pPr>
        <w:pStyle w:val="ListParagraph"/>
        <w:numPr>
          <w:ilvl w:val="0"/>
          <w:numId w:val="15"/>
        </w:numPr>
        <w:spacing w:line="240" w:lineRule="auto"/>
        <w:rPr>
          <w:rFonts w:asciiTheme="majorHAnsi" w:hAnsiTheme="majorHAnsi" w:cstheme="majorHAnsi"/>
          <w:szCs w:val="22"/>
          <w:lang w:eastAsia="en-US"/>
        </w:rPr>
      </w:pPr>
      <w:r w:rsidRPr="000E5B64">
        <w:rPr>
          <w:rFonts w:asciiTheme="majorHAnsi" w:eastAsiaTheme="minorHAnsi" w:hAnsiTheme="majorHAnsi" w:cstheme="majorHAnsi"/>
          <w:color w:val="000000"/>
          <w:szCs w:val="22"/>
          <w:lang w:eastAsia="en-US"/>
        </w:rPr>
        <w:t>University of British Columbia, Vancouver, Canada</w:t>
      </w:r>
    </w:p>
    <w:p w14:paraId="2D00A448" w14:textId="77777777" w:rsidR="00AD62C1" w:rsidRPr="00AD62C1" w:rsidRDefault="000E5B64" w:rsidP="00AD62C1">
      <w:pPr>
        <w:pStyle w:val="ListParagraph"/>
        <w:numPr>
          <w:ilvl w:val="0"/>
          <w:numId w:val="15"/>
        </w:numPr>
        <w:spacing w:line="240" w:lineRule="auto"/>
        <w:rPr>
          <w:rFonts w:asciiTheme="majorHAnsi" w:hAnsiTheme="majorHAnsi" w:cstheme="majorHAnsi"/>
          <w:szCs w:val="22"/>
          <w:lang w:eastAsia="en-US"/>
        </w:rPr>
      </w:pPr>
      <w:r w:rsidRPr="009A7AE2">
        <w:rPr>
          <w:rFonts w:asciiTheme="majorHAnsi" w:eastAsiaTheme="minorHAnsi" w:hAnsiTheme="majorHAnsi" w:cstheme="majorHAnsi"/>
          <w:color w:val="000000"/>
          <w:szCs w:val="22"/>
          <w:lang w:eastAsia="en-US"/>
        </w:rPr>
        <w:t>Radboudumc, Nijmegen, The Netherlands</w:t>
      </w:r>
    </w:p>
    <w:p w14:paraId="49F7F493" w14:textId="77777777" w:rsidR="00AD62C1" w:rsidRPr="00AD62C1" w:rsidRDefault="009A7AE2" w:rsidP="00AD62C1">
      <w:pPr>
        <w:pStyle w:val="ListParagraph"/>
        <w:numPr>
          <w:ilvl w:val="0"/>
          <w:numId w:val="15"/>
        </w:numPr>
        <w:spacing w:line="240" w:lineRule="auto"/>
        <w:rPr>
          <w:rFonts w:asciiTheme="majorHAnsi" w:hAnsiTheme="majorHAnsi" w:cstheme="majorHAnsi"/>
          <w:szCs w:val="22"/>
          <w:lang w:eastAsia="en-US"/>
        </w:rPr>
      </w:pPr>
      <w:r w:rsidRPr="00AD62C1">
        <w:rPr>
          <w:rFonts w:asciiTheme="majorHAnsi" w:eastAsiaTheme="minorHAnsi" w:hAnsiTheme="majorHAnsi" w:cstheme="majorHAnsi"/>
          <w:color w:val="000000"/>
          <w:szCs w:val="22"/>
          <w:lang w:eastAsia="en-US"/>
        </w:rPr>
        <w:t>Fiona Stanley Hospital, Perth, Australia</w:t>
      </w:r>
    </w:p>
    <w:p w14:paraId="1338447B" w14:textId="77777777" w:rsidR="00AD62C1" w:rsidRPr="00AD62C1" w:rsidRDefault="009A7AE2" w:rsidP="00AD62C1">
      <w:pPr>
        <w:pStyle w:val="ListParagraph"/>
        <w:numPr>
          <w:ilvl w:val="0"/>
          <w:numId w:val="15"/>
        </w:numPr>
        <w:spacing w:line="240" w:lineRule="auto"/>
        <w:rPr>
          <w:rFonts w:asciiTheme="majorHAnsi" w:hAnsiTheme="majorHAnsi" w:cstheme="majorHAnsi"/>
          <w:szCs w:val="22"/>
          <w:lang w:eastAsia="en-US"/>
        </w:rPr>
      </w:pPr>
      <w:r w:rsidRPr="00AD62C1">
        <w:rPr>
          <w:rFonts w:asciiTheme="majorHAnsi" w:eastAsiaTheme="minorHAnsi" w:hAnsiTheme="majorHAnsi" w:cstheme="majorHAnsi"/>
          <w:color w:val="212121"/>
          <w:szCs w:val="22"/>
          <w:lang w:eastAsia="en-US"/>
        </w:rPr>
        <w:t>University of Auckland, Auckland, New Zealand</w:t>
      </w:r>
    </w:p>
    <w:p w14:paraId="15EBADC9" w14:textId="77777777" w:rsidR="00AD62C1" w:rsidRPr="005168D0" w:rsidRDefault="009A7AE2" w:rsidP="00AD62C1">
      <w:pPr>
        <w:pStyle w:val="ListParagraph"/>
        <w:numPr>
          <w:ilvl w:val="0"/>
          <w:numId w:val="15"/>
        </w:numPr>
        <w:spacing w:line="240" w:lineRule="auto"/>
        <w:rPr>
          <w:rFonts w:asciiTheme="majorHAnsi" w:hAnsiTheme="majorHAnsi" w:cstheme="majorHAnsi"/>
          <w:szCs w:val="22"/>
          <w:lang w:eastAsia="en-US"/>
        </w:rPr>
      </w:pPr>
      <w:r w:rsidRPr="005168D0">
        <w:rPr>
          <w:rFonts w:asciiTheme="majorHAnsi" w:eastAsiaTheme="minorHAnsi" w:hAnsiTheme="majorHAnsi" w:cstheme="majorHAnsi"/>
          <w:color w:val="212121"/>
          <w:szCs w:val="22"/>
          <w:lang w:eastAsia="en-US"/>
        </w:rPr>
        <w:t>University of Sydney, Sydney, Australia</w:t>
      </w:r>
    </w:p>
    <w:p w14:paraId="53C7D836" w14:textId="77777777" w:rsidR="00AD62C1" w:rsidRPr="005168D0" w:rsidRDefault="009A7AE2" w:rsidP="00AD62C1">
      <w:pPr>
        <w:pStyle w:val="ListParagraph"/>
        <w:numPr>
          <w:ilvl w:val="0"/>
          <w:numId w:val="15"/>
        </w:numPr>
        <w:spacing w:line="240" w:lineRule="auto"/>
        <w:rPr>
          <w:rFonts w:asciiTheme="majorHAnsi" w:hAnsiTheme="majorHAnsi" w:cstheme="majorHAnsi"/>
          <w:szCs w:val="22"/>
          <w:lang w:eastAsia="en-US"/>
        </w:rPr>
      </w:pPr>
      <w:r w:rsidRPr="005168D0">
        <w:rPr>
          <w:rFonts w:asciiTheme="majorHAnsi" w:eastAsiaTheme="minorHAnsi" w:hAnsiTheme="majorHAnsi" w:cstheme="majorHAnsi"/>
          <w:color w:val="212121"/>
          <w:szCs w:val="22"/>
          <w:lang w:eastAsia="en-US"/>
        </w:rPr>
        <w:t>Royal Prince Alfred Hospital, Sydney, Australia</w:t>
      </w:r>
    </w:p>
    <w:p w14:paraId="36A212B6" w14:textId="77777777" w:rsidR="00AD62C1" w:rsidRPr="005168D0" w:rsidRDefault="009A7AE2" w:rsidP="00AD62C1">
      <w:pPr>
        <w:pStyle w:val="ListParagraph"/>
        <w:numPr>
          <w:ilvl w:val="0"/>
          <w:numId w:val="15"/>
        </w:numPr>
        <w:spacing w:line="240" w:lineRule="auto"/>
        <w:rPr>
          <w:rFonts w:asciiTheme="majorHAnsi" w:hAnsiTheme="majorHAnsi" w:cstheme="majorHAnsi"/>
          <w:szCs w:val="22"/>
          <w:lang w:eastAsia="en-US"/>
        </w:rPr>
      </w:pPr>
      <w:r w:rsidRPr="005168D0">
        <w:rPr>
          <w:rFonts w:asciiTheme="majorHAnsi" w:eastAsiaTheme="minorHAnsi" w:hAnsiTheme="majorHAnsi" w:cstheme="majorHAnsi"/>
          <w:color w:val="212121"/>
          <w:szCs w:val="22"/>
          <w:lang w:eastAsia="en-US"/>
        </w:rPr>
        <w:t>University of Helsinki and Helsinki University Hospital, Helsinki, Finland</w:t>
      </w:r>
    </w:p>
    <w:p w14:paraId="75C23C27" w14:textId="77777777" w:rsidR="00AD62C1" w:rsidRPr="005168D0" w:rsidRDefault="00AD62C1" w:rsidP="00AD62C1">
      <w:pPr>
        <w:pStyle w:val="ListParagraph"/>
        <w:numPr>
          <w:ilvl w:val="0"/>
          <w:numId w:val="15"/>
        </w:numPr>
        <w:spacing w:line="240" w:lineRule="auto"/>
        <w:rPr>
          <w:rFonts w:asciiTheme="majorHAnsi" w:hAnsiTheme="majorHAnsi" w:cstheme="majorHAnsi"/>
          <w:szCs w:val="22"/>
        </w:rPr>
      </w:pPr>
      <w:r w:rsidRPr="005168D0">
        <w:rPr>
          <w:rFonts w:asciiTheme="majorHAnsi" w:hAnsiTheme="majorHAnsi" w:cstheme="majorHAnsi"/>
          <w:szCs w:val="22"/>
        </w:rPr>
        <w:t>Universidad de La Sabana, Chia, Colombia</w:t>
      </w:r>
    </w:p>
    <w:p w14:paraId="168923DE" w14:textId="77777777" w:rsidR="005168D0" w:rsidRPr="005168D0" w:rsidRDefault="00AD62C1" w:rsidP="005168D0">
      <w:pPr>
        <w:pStyle w:val="ListParagraph"/>
        <w:numPr>
          <w:ilvl w:val="0"/>
          <w:numId w:val="15"/>
        </w:numPr>
        <w:spacing w:line="240" w:lineRule="auto"/>
        <w:rPr>
          <w:rFonts w:asciiTheme="majorHAnsi" w:hAnsiTheme="majorHAnsi" w:cstheme="majorHAnsi"/>
          <w:szCs w:val="22"/>
        </w:rPr>
      </w:pPr>
      <w:r w:rsidRPr="005168D0">
        <w:rPr>
          <w:rFonts w:asciiTheme="majorHAnsi" w:hAnsiTheme="majorHAnsi" w:cstheme="majorHAnsi"/>
          <w:szCs w:val="22"/>
        </w:rPr>
        <w:t>Clínica Universidad de La Sabana, Chia, Colombia</w:t>
      </w:r>
    </w:p>
    <w:p w14:paraId="54DDEA93" w14:textId="7D4BF41C" w:rsidR="005168D0" w:rsidRPr="005168D0" w:rsidRDefault="005168D0" w:rsidP="005168D0">
      <w:pPr>
        <w:pStyle w:val="ListParagraph"/>
        <w:numPr>
          <w:ilvl w:val="0"/>
          <w:numId w:val="15"/>
        </w:numPr>
        <w:spacing w:line="240" w:lineRule="auto"/>
        <w:rPr>
          <w:rFonts w:asciiTheme="majorHAnsi" w:hAnsiTheme="majorHAnsi" w:cstheme="majorHAnsi"/>
          <w:szCs w:val="22"/>
        </w:rPr>
      </w:pPr>
      <w:r w:rsidRPr="005168D0">
        <w:rPr>
          <w:rFonts w:asciiTheme="majorHAnsi" w:hAnsiTheme="majorHAnsi" w:cstheme="majorHAnsi"/>
          <w:color w:val="000000"/>
          <w:szCs w:val="22"/>
          <w:shd w:val="clear" w:color="auto" w:fill="FFFFFF"/>
        </w:rPr>
        <w:t>Yokohama City Seibu Hospital, Yokohama</w:t>
      </w:r>
    </w:p>
    <w:p w14:paraId="331738F5" w14:textId="77777777" w:rsidR="005168D0" w:rsidRPr="005168D0" w:rsidRDefault="005168D0" w:rsidP="005168D0">
      <w:pPr>
        <w:pStyle w:val="ListParagraph"/>
        <w:numPr>
          <w:ilvl w:val="0"/>
          <w:numId w:val="15"/>
        </w:numPr>
        <w:spacing w:line="240" w:lineRule="auto"/>
        <w:rPr>
          <w:rFonts w:asciiTheme="majorHAnsi" w:hAnsiTheme="majorHAnsi" w:cstheme="majorHAnsi"/>
          <w:szCs w:val="22"/>
        </w:rPr>
      </w:pPr>
      <w:r>
        <w:rPr>
          <w:rFonts w:asciiTheme="majorHAnsi" w:hAnsiTheme="majorHAnsi" w:cstheme="majorHAnsi"/>
          <w:color w:val="000000"/>
          <w:szCs w:val="22"/>
          <w:shd w:val="clear" w:color="auto" w:fill="FFFFFF"/>
        </w:rPr>
        <w:t>The George Institute for Global Health, Sydney, Australia</w:t>
      </w:r>
    </w:p>
    <w:p w14:paraId="66497055" w14:textId="77777777" w:rsidR="005168D0" w:rsidRPr="005168D0" w:rsidRDefault="009A7AE2" w:rsidP="005168D0">
      <w:pPr>
        <w:pStyle w:val="ListParagraph"/>
        <w:numPr>
          <w:ilvl w:val="0"/>
          <w:numId w:val="15"/>
        </w:numPr>
        <w:spacing w:line="240" w:lineRule="auto"/>
        <w:rPr>
          <w:rFonts w:asciiTheme="majorHAnsi" w:hAnsiTheme="majorHAnsi" w:cstheme="majorHAnsi"/>
          <w:szCs w:val="22"/>
        </w:rPr>
      </w:pPr>
      <w:r w:rsidRPr="005168D0">
        <w:rPr>
          <w:rFonts w:asciiTheme="majorHAnsi" w:eastAsiaTheme="minorHAnsi" w:hAnsiTheme="majorHAnsi" w:cstheme="majorHAnsi"/>
          <w:color w:val="000000"/>
          <w:szCs w:val="22"/>
          <w:lang w:eastAsia="en-US"/>
        </w:rPr>
        <w:t>King's College London, London, United Kingdom</w:t>
      </w:r>
    </w:p>
    <w:p w14:paraId="344731C5" w14:textId="77777777" w:rsidR="005168D0" w:rsidRPr="005168D0" w:rsidRDefault="009A7AE2" w:rsidP="005168D0">
      <w:pPr>
        <w:pStyle w:val="ListParagraph"/>
        <w:numPr>
          <w:ilvl w:val="0"/>
          <w:numId w:val="15"/>
        </w:numPr>
        <w:spacing w:line="240" w:lineRule="auto"/>
        <w:rPr>
          <w:rFonts w:asciiTheme="majorHAnsi" w:hAnsiTheme="majorHAnsi" w:cstheme="majorHAnsi"/>
          <w:szCs w:val="22"/>
        </w:rPr>
      </w:pPr>
      <w:r w:rsidRPr="005168D0">
        <w:rPr>
          <w:rFonts w:asciiTheme="majorHAnsi" w:eastAsiaTheme="minorHAnsi" w:hAnsiTheme="majorHAnsi" w:cstheme="majorHAnsi"/>
          <w:color w:val="000000"/>
          <w:szCs w:val="22"/>
          <w:lang w:eastAsia="en-US"/>
        </w:rPr>
        <w:t>Guy's and St Thomas' NHS Foundation Trust, London, United Kingdom</w:t>
      </w:r>
    </w:p>
    <w:p w14:paraId="1A0A4482" w14:textId="77777777" w:rsidR="005168D0" w:rsidRPr="005168D0" w:rsidRDefault="009A7AE2" w:rsidP="005168D0">
      <w:pPr>
        <w:pStyle w:val="ListParagraph"/>
        <w:numPr>
          <w:ilvl w:val="0"/>
          <w:numId w:val="15"/>
        </w:numPr>
        <w:spacing w:line="240" w:lineRule="auto"/>
        <w:rPr>
          <w:rFonts w:asciiTheme="majorHAnsi" w:hAnsiTheme="majorHAnsi" w:cstheme="majorHAnsi"/>
          <w:szCs w:val="22"/>
        </w:rPr>
      </w:pPr>
      <w:r w:rsidRPr="005168D0">
        <w:rPr>
          <w:rFonts w:asciiTheme="majorHAnsi" w:eastAsiaTheme="minorHAnsi" w:hAnsiTheme="majorHAnsi" w:cstheme="majorHAnsi"/>
          <w:color w:val="000000"/>
          <w:szCs w:val="22"/>
          <w:lang w:eastAsia="en-US"/>
        </w:rPr>
        <w:t>University of Alberta, Edmonton, Canada</w:t>
      </w:r>
    </w:p>
    <w:p w14:paraId="2675F705" w14:textId="3DCBA4A0" w:rsidR="009A7AE2" w:rsidRPr="005168D0" w:rsidRDefault="009A7AE2" w:rsidP="005168D0">
      <w:pPr>
        <w:pStyle w:val="ListParagraph"/>
        <w:numPr>
          <w:ilvl w:val="0"/>
          <w:numId w:val="15"/>
        </w:numPr>
        <w:spacing w:line="240" w:lineRule="auto"/>
        <w:rPr>
          <w:rFonts w:asciiTheme="majorHAnsi" w:hAnsiTheme="majorHAnsi" w:cstheme="majorHAnsi"/>
          <w:szCs w:val="22"/>
        </w:rPr>
      </w:pPr>
      <w:r w:rsidRPr="005168D0">
        <w:rPr>
          <w:rFonts w:asciiTheme="majorHAnsi" w:eastAsiaTheme="minorHAnsi" w:hAnsiTheme="majorHAnsi" w:cstheme="majorHAnsi"/>
          <w:color w:val="000000"/>
          <w:szCs w:val="22"/>
          <w:lang w:eastAsia="en-US"/>
        </w:rPr>
        <w:t>Universit</w:t>
      </w:r>
      <w:r w:rsidR="005168D0" w:rsidRPr="005168D0">
        <w:rPr>
          <w:rFonts w:asciiTheme="majorHAnsi" w:eastAsiaTheme="minorHAnsi" w:hAnsiTheme="majorHAnsi" w:cstheme="majorHAnsi"/>
          <w:color w:val="000000"/>
          <w:szCs w:val="22"/>
          <w:lang w:eastAsia="en-US"/>
        </w:rPr>
        <w:t>é</w:t>
      </w:r>
      <w:r w:rsidRPr="005168D0">
        <w:rPr>
          <w:rFonts w:asciiTheme="majorHAnsi" w:eastAsiaTheme="minorHAnsi" w:hAnsiTheme="majorHAnsi" w:cstheme="majorHAnsi"/>
          <w:color w:val="000000"/>
          <w:szCs w:val="22"/>
          <w:lang w:eastAsia="en-US"/>
        </w:rPr>
        <w:t xml:space="preserve"> Laval, Qu</w:t>
      </w:r>
      <w:r w:rsidR="005168D0" w:rsidRPr="005168D0">
        <w:rPr>
          <w:rFonts w:asciiTheme="majorHAnsi" w:eastAsiaTheme="minorHAnsi" w:hAnsiTheme="majorHAnsi" w:cstheme="majorHAnsi"/>
          <w:color w:val="000000"/>
          <w:szCs w:val="22"/>
          <w:lang w:eastAsia="en-US"/>
        </w:rPr>
        <w:t>é</w:t>
      </w:r>
      <w:r w:rsidRPr="005168D0">
        <w:rPr>
          <w:rFonts w:asciiTheme="majorHAnsi" w:eastAsiaTheme="minorHAnsi" w:hAnsiTheme="majorHAnsi" w:cstheme="majorHAnsi"/>
          <w:color w:val="000000"/>
          <w:szCs w:val="22"/>
          <w:lang w:eastAsia="en-US"/>
        </w:rPr>
        <w:t>bec City, Canada</w:t>
      </w:r>
    </w:p>
    <w:p w14:paraId="67CCC44A" w14:textId="77777777" w:rsidR="005168D0" w:rsidRPr="005168D0" w:rsidRDefault="005168D0" w:rsidP="005168D0">
      <w:pPr>
        <w:pStyle w:val="ListParagraph"/>
        <w:numPr>
          <w:ilvl w:val="0"/>
          <w:numId w:val="15"/>
        </w:numPr>
        <w:spacing w:line="240" w:lineRule="auto"/>
        <w:rPr>
          <w:rFonts w:asciiTheme="majorHAnsi" w:hAnsiTheme="majorHAnsi" w:cstheme="majorHAnsi"/>
          <w:szCs w:val="22"/>
          <w:lang w:eastAsia="en-US"/>
        </w:rPr>
      </w:pPr>
      <w:r w:rsidRPr="005168D0">
        <w:rPr>
          <w:rFonts w:asciiTheme="majorHAnsi" w:hAnsiTheme="majorHAnsi" w:cstheme="majorHAnsi"/>
          <w:color w:val="000000"/>
          <w:szCs w:val="22"/>
          <w:shd w:val="clear" w:color="auto" w:fill="FFFFFF"/>
        </w:rPr>
        <w:t>Peter Doherty Institute for Infection and Immunity</w:t>
      </w:r>
      <w:r>
        <w:rPr>
          <w:rFonts w:asciiTheme="majorHAnsi" w:hAnsiTheme="majorHAnsi" w:cstheme="majorHAnsi"/>
          <w:color w:val="000000"/>
          <w:szCs w:val="22"/>
          <w:shd w:val="clear" w:color="auto" w:fill="FFFFFF"/>
        </w:rPr>
        <w:t>, Melbourne, Australia</w:t>
      </w:r>
    </w:p>
    <w:p w14:paraId="36CC1FAF" w14:textId="77777777" w:rsidR="005168D0" w:rsidRPr="005168D0" w:rsidRDefault="009A7AE2" w:rsidP="005168D0">
      <w:pPr>
        <w:pStyle w:val="ListParagraph"/>
        <w:numPr>
          <w:ilvl w:val="0"/>
          <w:numId w:val="15"/>
        </w:numPr>
        <w:spacing w:line="240" w:lineRule="auto"/>
        <w:rPr>
          <w:rFonts w:asciiTheme="majorHAnsi" w:hAnsiTheme="majorHAnsi" w:cstheme="majorHAnsi"/>
          <w:szCs w:val="22"/>
          <w:lang w:eastAsia="en-US"/>
        </w:rPr>
      </w:pPr>
      <w:r w:rsidRPr="005168D0">
        <w:rPr>
          <w:rFonts w:asciiTheme="majorHAnsi" w:eastAsiaTheme="minorHAnsi" w:hAnsiTheme="majorHAnsi" w:cstheme="majorHAnsi"/>
          <w:color w:val="000000"/>
          <w:szCs w:val="22"/>
          <w:lang w:eastAsia="en-US"/>
        </w:rPr>
        <w:t>University of Manitoba, Winnipeg, Canada</w:t>
      </w:r>
    </w:p>
    <w:p w14:paraId="592F8309" w14:textId="07A1AEDA" w:rsidR="00352180" w:rsidRPr="009A58F8" w:rsidRDefault="009A7AE2" w:rsidP="009A58F8">
      <w:pPr>
        <w:pStyle w:val="ListParagraph"/>
        <w:numPr>
          <w:ilvl w:val="0"/>
          <w:numId w:val="15"/>
        </w:numPr>
        <w:spacing w:line="240" w:lineRule="auto"/>
        <w:rPr>
          <w:rFonts w:asciiTheme="majorHAnsi" w:hAnsiTheme="majorHAnsi" w:cstheme="majorHAnsi"/>
          <w:szCs w:val="22"/>
          <w:lang w:eastAsia="en-US"/>
        </w:rPr>
      </w:pPr>
      <w:r w:rsidRPr="005168D0">
        <w:rPr>
          <w:rFonts w:asciiTheme="majorHAnsi" w:eastAsiaTheme="minorHAnsi" w:hAnsiTheme="majorHAnsi" w:cstheme="majorHAnsi"/>
          <w:color w:val="000000"/>
          <w:szCs w:val="22"/>
          <w:lang w:eastAsia="en-US"/>
        </w:rPr>
        <w:t>St John of God Hospital, Subiaco, Australia</w:t>
      </w:r>
    </w:p>
    <w:p w14:paraId="6D016F70" w14:textId="7CFADE82" w:rsidR="00787A80" w:rsidRPr="00787A80" w:rsidRDefault="00787A80" w:rsidP="009F07E7">
      <w:pPr>
        <w:pStyle w:val="ADSCAP"/>
        <w:numPr>
          <w:ilvl w:val="1"/>
          <w:numId w:val="9"/>
        </w:numPr>
        <w:rPr>
          <w:rFonts w:eastAsia="Calibri"/>
          <w:lang w:eastAsia="en-US"/>
        </w:rPr>
      </w:pPr>
      <w:bookmarkStart w:id="5" w:name="_Toc74659149"/>
      <w:r>
        <w:rPr>
          <w:rFonts w:eastAsia="Calibri"/>
          <w:lang w:eastAsia="en-US"/>
        </w:rPr>
        <w:t xml:space="preserve">REMAP-CAP </w:t>
      </w:r>
      <w:r w:rsidRPr="00787A80">
        <w:rPr>
          <w:rFonts w:eastAsia="Calibri"/>
          <w:lang w:eastAsia="en-US"/>
        </w:rPr>
        <w:t>Trial Investigators and Collaborators</w:t>
      </w:r>
      <w:bookmarkStart w:id="6" w:name="_Toc73456843"/>
      <w:bookmarkEnd w:id="5"/>
    </w:p>
    <w:bookmarkEnd w:id="6"/>
    <w:p w14:paraId="64C6B450" w14:textId="77777777" w:rsidR="00353946" w:rsidRPr="00353946" w:rsidRDefault="00353946" w:rsidP="00353946">
      <w:pPr>
        <w:spacing w:line="259" w:lineRule="auto"/>
        <w:rPr>
          <w:rFonts w:asciiTheme="majorHAnsi" w:eastAsia="Calibri" w:hAnsiTheme="majorHAnsi" w:cstheme="majorHAnsi"/>
          <w:b/>
          <w:sz w:val="22"/>
          <w:szCs w:val="22"/>
          <w:lang w:val="en-AU" w:eastAsia="en-US"/>
        </w:rPr>
      </w:pPr>
      <w:r w:rsidRPr="00353946">
        <w:rPr>
          <w:rFonts w:asciiTheme="majorHAnsi" w:eastAsia="Calibri" w:hAnsiTheme="majorHAnsi" w:cstheme="majorHAnsi"/>
          <w:b/>
          <w:sz w:val="22"/>
          <w:szCs w:val="22"/>
          <w:u w:val="single"/>
          <w:lang w:val="en-AU" w:eastAsia="en-US"/>
        </w:rPr>
        <w:t>International Trial Steering Committee</w:t>
      </w:r>
      <w:r w:rsidRPr="00353946">
        <w:rPr>
          <w:rFonts w:asciiTheme="majorHAnsi" w:eastAsia="Calibri" w:hAnsiTheme="majorHAnsi" w:cstheme="majorHAnsi"/>
          <w:b/>
          <w:sz w:val="22"/>
          <w:szCs w:val="22"/>
          <w:lang w:val="en-AU" w:eastAsia="en-US"/>
        </w:rPr>
        <w:t>:</w:t>
      </w:r>
    </w:p>
    <w:p w14:paraId="3600555A" w14:textId="77777777" w:rsidR="00353946" w:rsidRPr="00353946" w:rsidRDefault="00353946" w:rsidP="00353946">
      <w:pPr>
        <w:spacing w:line="259" w:lineRule="auto"/>
        <w:rPr>
          <w:rFonts w:asciiTheme="majorHAnsi" w:eastAsia="Calibri" w:hAnsiTheme="majorHAnsi" w:cstheme="majorHAnsi"/>
          <w:sz w:val="22"/>
          <w:szCs w:val="22"/>
          <w:lang w:val="en-AU" w:eastAsia="en-US"/>
        </w:rPr>
      </w:pPr>
      <w:r w:rsidRPr="00353946">
        <w:rPr>
          <w:rFonts w:asciiTheme="majorHAnsi" w:eastAsia="Calibri" w:hAnsiTheme="majorHAnsi" w:cstheme="majorHAnsi"/>
          <w:sz w:val="22"/>
          <w:szCs w:val="22"/>
          <w:lang w:val="en-AU" w:eastAsia="en-US"/>
        </w:rPr>
        <w:t>Farah Al-Beidh, Derek Angus, Djillali Annane, Yaseen Arabi, Abi Beane, Wilma van Bentum-Puijk, Scott Berry, Zahra Bhimani, Marc Bonten, Charlotte Bradbury, Frank Brunkhorst, Meredith Buxton, Allen Cheng, Lennie Derde, Lise Estcourt, Herman Goossens, Anthony Gordon, Cameron Green, Rashan Haniffa, Francois Lamontagne, Patrick Lawler, Kelsey Linstrum, Edward Litton, John Marshall, Colin McArthur, Daniel McAuley, Shay McGuinness, Bryan McVerry, Stephanie Montgomery, Paul Mouncey, Srinivas Murthy, Alistair Nichol, Rachael Parke, Jane Parker, Kathryn Rowan, Marlene Santos, Christopher Seymour, Manu Shankar-Hari, Alexis Turgeon, Anne Turner, Frank van de Veerdonk, Steve Webb (Chair), Ryan Zarychanski</w:t>
      </w:r>
    </w:p>
    <w:p w14:paraId="45D733F0" w14:textId="77777777" w:rsidR="00353946" w:rsidRPr="00353946" w:rsidRDefault="00353946" w:rsidP="00353946">
      <w:pPr>
        <w:spacing w:line="259" w:lineRule="auto"/>
        <w:rPr>
          <w:rFonts w:asciiTheme="majorHAnsi" w:eastAsia="Calibri" w:hAnsiTheme="majorHAnsi" w:cstheme="majorHAnsi"/>
          <w:b/>
          <w:sz w:val="22"/>
          <w:szCs w:val="22"/>
          <w:lang w:val="en-AU" w:eastAsia="en-US"/>
        </w:rPr>
      </w:pPr>
    </w:p>
    <w:p w14:paraId="6BF05AA6" w14:textId="77777777" w:rsidR="00353946" w:rsidRPr="00353946" w:rsidRDefault="00353946" w:rsidP="00353946">
      <w:pPr>
        <w:spacing w:line="259" w:lineRule="auto"/>
        <w:rPr>
          <w:rFonts w:asciiTheme="majorHAnsi" w:eastAsia="Calibri" w:hAnsiTheme="majorHAnsi" w:cstheme="majorHAnsi"/>
          <w:b/>
          <w:sz w:val="22"/>
          <w:szCs w:val="22"/>
          <w:u w:val="single"/>
          <w:lang w:val="en-AU" w:eastAsia="en-US"/>
        </w:rPr>
      </w:pPr>
      <w:r w:rsidRPr="00353946">
        <w:rPr>
          <w:rFonts w:asciiTheme="majorHAnsi" w:eastAsia="Calibri" w:hAnsiTheme="majorHAnsi" w:cstheme="majorHAnsi"/>
          <w:b/>
          <w:sz w:val="22"/>
          <w:szCs w:val="22"/>
          <w:u w:val="single"/>
          <w:lang w:val="en-AU" w:eastAsia="en-US"/>
        </w:rPr>
        <w:t>Regional Management Committees</w:t>
      </w:r>
    </w:p>
    <w:p w14:paraId="7ED271AF" w14:textId="1F823E62" w:rsidR="00353946" w:rsidRPr="00353946" w:rsidRDefault="00353946" w:rsidP="00353946">
      <w:pPr>
        <w:spacing w:line="259" w:lineRule="auto"/>
        <w:rPr>
          <w:rFonts w:asciiTheme="majorHAnsi" w:eastAsia="Calibri" w:hAnsiTheme="majorHAnsi" w:cstheme="majorHAnsi"/>
          <w:b/>
          <w:i/>
          <w:sz w:val="22"/>
          <w:szCs w:val="22"/>
          <w:lang w:val="en-AU" w:eastAsia="en-US"/>
        </w:rPr>
      </w:pPr>
      <w:r w:rsidRPr="00353946">
        <w:rPr>
          <w:rFonts w:asciiTheme="majorHAnsi" w:eastAsia="Calibri" w:hAnsiTheme="majorHAnsi" w:cstheme="majorHAnsi"/>
          <w:b/>
          <w:i/>
          <w:sz w:val="22"/>
          <w:szCs w:val="22"/>
          <w:lang w:val="en-AU" w:eastAsia="en-US"/>
        </w:rPr>
        <w:t>Australia and New Zealand</w:t>
      </w:r>
      <w:r w:rsidR="00534797" w:rsidRPr="00534797">
        <w:rPr>
          <w:rFonts w:asciiTheme="majorHAnsi" w:eastAsia="Calibri" w:hAnsiTheme="majorHAnsi" w:cstheme="majorHAnsi"/>
          <w:b/>
          <w:bCs/>
          <w:i/>
          <w:iCs/>
          <w:sz w:val="22"/>
          <w:szCs w:val="22"/>
          <w:lang w:val="en-AU" w:eastAsia="en-US"/>
        </w:rPr>
        <w:t xml:space="preserve"> </w:t>
      </w:r>
      <w:r w:rsidR="00534797" w:rsidRPr="00353946">
        <w:rPr>
          <w:rFonts w:asciiTheme="majorHAnsi" w:eastAsia="Calibri" w:hAnsiTheme="majorHAnsi" w:cstheme="majorHAnsi"/>
          <w:b/>
          <w:bCs/>
          <w:i/>
          <w:iCs/>
          <w:sz w:val="22"/>
          <w:szCs w:val="22"/>
          <w:lang w:val="en-AU" w:eastAsia="en-US"/>
        </w:rPr>
        <w:t>Regional Management Committee</w:t>
      </w:r>
    </w:p>
    <w:p w14:paraId="6A604F9E" w14:textId="77777777" w:rsidR="00353946" w:rsidRPr="00353946" w:rsidRDefault="00353946" w:rsidP="00353946">
      <w:pPr>
        <w:spacing w:line="259" w:lineRule="auto"/>
        <w:rPr>
          <w:rFonts w:asciiTheme="majorHAnsi" w:eastAsia="Calibri" w:hAnsiTheme="majorHAnsi" w:cstheme="majorHAnsi"/>
          <w:sz w:val="22"/>
          <w:szCs w:val="22"/>
          <w:lang w:val="en-AU" w:eastAsia="en-US"/>
        </w:rPr>
      </w:pPr>
      <w:r w:rsidRPr="00353946">
        <w:rPr>
          <w:rFonts w:asciiTheme="majorHAnsi" w:eastAsia="Calibri" w:hAnsiTheme="majorHAnsi" w:cstheme="majorHAnsi"/>
          <w:sz w:val="22"/>
          <w:szCs w:val="22"/>
          <w:lang w:val="en-AU" w:eastAsia="en-US"/>
        </w:rPr>
        <w:t xml:space="preserve">Yaseen Arabi, Lewis Campbell, Allen Cheng, Lennie Derde, Andrew Forbes, David Gattas, Cameron Green, Stephane Heritier, Peter Kruger, Edward Litton, Colin McArthur (Deputy Executive Director), </w:t>
      </w:r>
      <w:r w:rsidRPr="00353946">
        <w:rPr>
          <w:rFonts w:asciiTheme="majorHAnsi" w:eastAsia="Calibri" w:hAnsiTheme="majorHAnsi" w:cstheme="majorHAnsi"/>
          <w:sz w:val="22"/>
          <w:szCs w:val="22"/>
          <w:lang w:val="en-AU" w:eastAsia="en-US"/>
        </w:rPr>
        <w:lastRenderedPageBreak/>
        <w:t>Shay McGuinness (Chair), Alistair Nichol, Rachael Parke, Jane Parker, Sandra Peake, Jeffrey Presneill, Ian Seppelt, Tony Trapani, Anne Turner, Steve Webb (Executive Director), Paul Young</w:t>
      </w:r>
    </w:p>
    <w:p w14:paraId="0BDB42C8" w14:textId="77777777" w:rsidR="00353946" w:rsidRPr="00353946" w:rsidRDefault="00353946" w:rsidP="00353946">
      <w:pPr>
        <w:spacing w:line="259" w:lineRule="auto"/>
        <w:rPr>
          <w:rFonts w:asciiTheme="majorHAnsi" w:eastAsia="Calibri" w:hAnsiTheme="majorHAnsi" w:cstheme="majorHAnsi"/>
          <w:sz w:val="22"/>
          <w:szCs w:val="22"/>
          <w:lang w:val="en-AU" w:eastAsia="en-US"/>
        </w:rPr>
      </w:pPr>
      <w:r w:rsidRPr="00353946">
        <w:rPr>
          <w:rFonts w:asciiTheme="majorHAnsi" w:eastAsia="Calibri" w:hAnsiTheme="majorHAnsi" w:cstheme="majorHAnsi"/>
          <w:sz w:val="22"/>
          <w:szCs w:val="22"/>
          <w:lang w:val="en-AU" w:eastAsia="en-US"/>
        </w:rPr>
        <w:t xml:space="preserve">  </w:t>
      </w:r>
    </w:p>
    <w:p w14:paraId="759DB916" w14:textId="77777777" w:rsidR="00353946" w:rsidRPr="00353946" w:rsidRDefault="00353946" w:rsidP="00353946">
      <w:pPr>
        <w:spacing w:line="259" w:lineRule="auto"/>
        <w:rPr>
          <w:rFonts w:asciiTheme="majorHAnsi" w:eastAsia="Calibri" w:hAnsiTheme="majorHAnsi" w:cstheme="majorHAnsi"/>
          <w:b/>
          <w:i/>
          <w:sz w:val="22"/>
          <w:szCs w:val="22"/>
          <w:lang w:val="en-AU" w:eastAsia="en-US"/>
        </w:rPr>
      </w:pPr>
      <w:r w:rsidRPr="00353946">
        <w:rPr>
          <w:rFonts w:asciiTheme="majorHAnsi" w:eastAsia="Calibri" w:hAnsiTheme="majorHAnsi" w:cstheme="majorHAnsi"/>
          <w:b/>
          <w:bCs/>
          <w:i/>
          <w:iCs/>
          <w:sz w:val="22"/>
          <w:szCs w:val="22"/>
          <w:lang w:val="en-AU" w:eastAsia="en-US"/>
        </w:rPr>
        <w:t>Canadian Regional Management Committee</w:t>
      </w:r>
    </w:p>
    <w:p w14:paraId="3ED2774E" w14:textId="77777777" w:rsidR="00353946" w:rsidRPr="00353946" w:rsidRDefault="00353946" w:rsidP="00353946">
      <w:pPr>
        <w:spacing w:line="259" w:lineRule="auto"/>
        <w:rPr>
          <w:rFonts w:asciiTheme="majorHAnsi" w:eastAsia="Calibri" w:hAnsiTheme="majorHAnsi" w:cstheme="majorHAnsi"/>
          <w:sz w:val="22"/>
          <w:szCs w:val="22"/>
          <w:lang w:val="en-AU" w:eastAsia="en-US"/>
        </w:rPr>
      </w:pPr>
      <w:r w:rsidRPr="00353946">
        <w:rPr>
          <w:rFonts w:asciiTheme="majorHAnsi" w:eastAsia="Calibri" w:hAnsiTheme="majorHAnsi" w:cstheme="majorHAnsi"/>
          <w:sz w:val="22"/>
          <w:szCs w:val="22"/>
          <w:lang w:val="en-AU" w:eastAsia="en-US"/>
        </w:rPr>
        <w:t xml:space="preserve">Zahra Bhimani, Brian Cuthbertson, Rob Fowler, Francois Lamontagne, John Marshall (Executive Director), Venika Manoharan, Srinivas Murthy (Deputy Executive Director), Marlene Santos, Alexis Turgeon, Ryan Zarychanski </w:t>
      </w:r>
    </w:p>
    <w:p w14:paraId="2B37BDFC" w14:textId="77777777" w:rsidR="00353946" w:rsidRPr="00353946" w:rsidRDefault="00353946" w:rsidP="00353946">
      <w:pPr>
        <w:spacing w:line="259" w:lineRule="auto"/>
        <w:rPr>
          <w:rFonts w:asciiTheme="majorHAnsi" w:eastAsia="Calibri" w:hAnsiTheme="majorHAnsi" w:cstheme="majorHAnsi"/>
          <w:sz w:val="22"/>
          <w:szCs w:val="22"/>
          <w:lang w:val="en-AU" w:eastAsia="en-US"/>
        </w:rPr>
      </w:pPr>
    </w:p>
    <w:p w14:paraId="14802D70" w14:textId="71BE0E13" w:rsidR="00353946" w:rsidRPr="00353946" w:rsidRDefault="00353946" w:rsidP="00353946">
      <w:pPr>
        <w:spacing w:line="259" w:lineRule="auto"/>
        <w:rPr>
          <w:rFonts w:asciiTheme="majorHAnsi" w:eastAsia="Calibri" w:hAnsiTheme="majorHAnsi" w:cstheme="majorHAnsi"/>
          <w:b/>
          <w:i/>
          <w:sz w:val="22"/>
          <w:szCs w:val="22"/>
          <w:lang w:val="en-AU" w:eastAsia="en-US"/>
        </w:rPr>
      </w:pPr>
      <w:r w:rsidRPr="00353946">
        <w:rPr>
          <w:rFonts w:asciiTheme="majorHAnsi" w:eastAsia="Calibri" w:hAnsiTheme="majorHAnsi" w:cstheme="majorHAnsi"/>
          <w:b/>
          <w:i/>
          <w:sz w:val="22"/>
          <w:szCs w:val="22"/>
          <w:lang w:val="en-AU" w:eastAsia="en-US"/>
        </w:rPr>
        <w:t>Critical Care Asia Regional Management Committee</w:t>
      </w:r>
    </w:p>
    <w:p w14:paraId="145BE0B5" w14:textId="77777777" w:rsidR="00353946" w:rsidRPr="00353946" w:rsidRDefault="00353946" w:rsidP="00353946">
      <w:pPr>
        <w:spacing w:line="259" w:lineRule="auto"/>
        <w:rPr>
          <w:rFonts w:asciiTheme="majorHAnsi" w:eastAsia="Calibri" w:hAnsiTheme="majorHAnsi" w:cstheme="majorHAnsi"/>
          <w:bCs/>
          <w:iCs/>
          <w:sz w:val="22"/>
          <w:szCs w:val="22"/>
          <w:lang w:val="en-AU" w:eastAsia="en-US"/>
        </w:rPr>
      </w:pPr>
      <w:r w:rsidRPr="00353946">
        <w:rPr>
          <w:rFonts w:asciiTheme="majorHAnsi" w:eastAsia="Calibri" w:hAnsiTheme="majorHAnsi" w:cstheme="majorHAnsi"/>
          <w:bCs/>
          <w:iCs/>
          <w:sz w:val="22"/>
          <w:szCs w:val="22"/>
          <w:lang w:val="en-AU" w:eastAsia="en-US"/>
        </w:rPr>
        <w:t>Diptesh Aryal, Abi Beane (Chair), Arjen M Dondrop, Cameron Green, Rashan Haniffa (Executive Director), Madiha Hashmi, Deva Jayakumar, John Marshall, Colin McArthur, Srinivas Murthy, Timo Tolppa, Vanessa Singh, Steve Webb</w:t>
      </w:r>
    </w:p>
    <w:p w14:paraId="23C82A04" w14:textId="77777777" w:rsidR="00353946" w:rsidRPr="00353946" w:rsidRDefault="00353946" w:rsidP="00353946">
      <w:pPr>
        <w:spacing w:line="259" w:lineRule="auto"/>
        <w:rPr>
          <w:rFonts w:asciiTheme="majorHAnsi" w:eastAsia="Calibri" w:hAnsiTheme="majorHAnsi" w:cstheme="majorHAnsi"/>
          <w:b/>
          <w:i/>
          <w:sz w:val="22"/>
          <w:szCs w:val="22"/>
          <w:lang w:val="en-AU" w:eastAsia="en-US"/>
        </w:rPr>
      </w:pPr>
    </w:p>
    <w:p w14:paraId="5100A003" w14:textId="77777777" w:rsidR="00353946" w:rsidRPr="00353946" w:rsidRDefault="00353946" w:rsidP="00353946">
      <w:pPr>
        <w:spacing w:line="259" w:lineRule="auto"/>
        <w:rPr>
          <w:rFonts w:asciiTheme="majorHAnsi" w:eastAsia="Calibri" w:hAnsiTheme="majorHAnsi" w:cstheme="majorHAnsi"/>
          <w:b/>
          <w:i/>
          <w:sz w:val="22"/>
          <w:szCs w:val="22"/>
          <w:lang w:val="en-AU" w:eastAsia="en-US"/>
        </w:rPr>
      </w:pPr>
      <w:r w:rsidRPr="00353946">
        <w:rPr>
          <w:rFonts w:asciiTheme="majorHAnsi" w:eastAsia="Calibri" w:hAnsiTheme="majorHAnsi" w:cstheme="majorHAnsi"/>
          <w:b/>
          <w:i/>
          <w:sz w:val="22"/>
          <w:szCs w:val="22"/>
          <w:lang w:val="en-AU" w:eastAsia="en-US"/>
        </w:rPr>
        <w:t>European Regional Management Committee</w:t>
      </w:r>
    </w:p>
    <w:p w14:paraId="200774A6" w14:textId="7FE74A84" w:rsidR="00353946" w:rsidRPr="00353946" w:rsidRDefault="00353946" w:rsidP="00353946">
      <w:pPr>
        <w:spacing w:line="259" w:lineRule="auto"/>
        <w:rPr>
          <w:rFonts w:asciiTheme="majorHAnsi" w:eastAsia="Calibri" w:hAnsiTheme="majorHAnsi" w:cstheme="majorHAnsi"/>
          <w:sz w:val="22"/>
          <w:szCs w:val="22"/>
          <w:lang w:val="en-AU" w:eastAsia="en-US"/>
        </w:rPr>
      </w:pPr>
      <w:r w:rsidRPr="00353946">
        <w:rPr>
          <w:rFonts w:asciiTheme="majorHAnsi" w:eastAsia="Calibri" w:hAnsiTheme="majorHAnsi" w:cstheme="majorHAnsi"/>
          <w:sz w:val="22"/>
          <w:szCs w:val="22"/>
          <w:lang w:val="en-AU" w:eastAsia="en-US"/>
        </w:rPr>
        <w:t>Farah Al-Beidh, Derek Angus, Djillali Annane, Wilma van Bentum-Puijk, Scott Berry, Marc Bonten (Executive Director), Nicole Brillinger, Frank Brunkhorst, Maurizio Cecconi, Lennie Derde (Chair), Stephan Ermann, Bruno Francois, Herman Goossens, Anthony Gordon, Cameron Green, Sebastiaan Hullegie, Rene Markgraff, Colin McArthur, Paul Mouncey, Alistair Nichol, Mathias Pletz, Pedro Povoa, Gernot Rohde, Kathryn Rowan, Lorraine Parker, Irma Scheepstra-Beukers, Steve Webb</w:t>
      </w:r>
    </w:p>
    <w:p w14:paraId="5912CAD0" w14:textId="77777777" w:rsidR="00353946" w:rsidRPr="00353946" w:rsidRDefault="00353946" w:rsidP="00353946">
      <w:pPr>
        <w:spacing w:line="259" w:lineRule="auto"/>
        <w:rPr>
          <w:rFonts w:asciiTheme="majorHAnsi" w:eastAsia="Calibri" w:hAnsiTheme="majorHAnsi" w:cstheme="majorHAnsi"/>
          <w:b/>
          <w:i/>
          <w:sz w:val="22"/>
          <w:szCs w:val="22"/>
          <w:lang w:val="en-AU" w:eastAsia="en-US"/>
        </w:rPr>
      </w:pPr>
    </w:p>
    <w:p w14:paraId="40FB647B" w14:textId="77777777" w:rsidR="00353946" w:rsidRPr="00353946" w:rsidRDefault="00353946" w:rsidP="00353946">
      <w:pPr>
        <w:spacing w:line="259" w:lineRule="auto"/>
        <w:rPr>
          <w:rFonts w:asciiTheme="majorHAnsi" w:eastAsia="Calibri" w:hAnsiTheme="majorHAnsi" w:cstheme="majorHAnsi"/>
          <w:b/>
          <w:i/>
          <w:sz w:val="22"/>
          <w:szCs w:val="22"/>
          <w:lang w:val="en-AU" w:eastAsia="en-US"/>
        </w:rPr>
      </w:pPr>
      <w:r w:rsidRPr="00353946">
        <w:rPr>
          <w:rFonts w:asciiTheme="majorHAnsi" w:eastAsia="Calibri" w:hAnsiTheme="majorHAnsi" w:cstheme="majorHAnsi"/>
          <w:b/>
          <w:bCs/>
          <w:i/>
          <w:iCs/>
          <w:sz w:val="22"/>
          <w:szCs w:val="22"/>
          <w:lang w:val="en-AU" w:eastAsia="en-US"/>
        </w:rPr>
        <w:t>United States Regional Management Committee</w:t>
      </w:r>
    </w:p>
    <w:p w14:paraId="074A9123" w14:textId="77777777" w:rsidR="00353946" w:rsidRPr="00353946" w:rsidRDefault="00353946" w:rsidP="00353946">
      <w:pPr>
        <w:spacing w:line="259" w:lineRule="auto"/>
        <w:rPr>
          <w:rFonts w:asciiTheme="majorHAnsi" w:eastAsia="Calibri" w:hAnsiTheme="majorHAnsi" w:cstheme="majorHAnsi"/>
          <w:sz w:val="22"/>
          <w:szCs w:val="22"/>
          <w:lang w:val="en-AU" w:eastAsia="en-US"/>
        </w:rPr>
      </w:pPr>
      <w:r w:rsidRPr="00353946">
        <w:rPr>
          <w:rFonts w:asciiTheme="majorHAnsi" w:eastAsia="Calibri" w:hAnsiTheme="majorHAnsi" w:cstheme="majorHAnsi"/>
          <w:sz w:val="22"/>
          <w:szCs w:val="22"/>
          <w:lang w:val="en-AU" w:eastAsia="en-US"/>
        </w:rPr>
        <w:t>Brian Alexander, Derek Angus (Executive Director), Kim Basile, Meredith Buxton (Chair), Timothy Girard, Christopher Horvat, David Huang, Kelsey Linstrum, Florian Mayr, Bryan McVerry, Stephanie Montgomery, Christopher Seymour</w:t>
      </w:r>
    </w:p>
    <w:p w14:paraId="52AEA602" w14:textId="77777777" w:rsidR="00353946" w:rsidRPr="00353946" w:rsidRDefault="00353946" w:rsidP="00353946">
      <w:pPr>
        <w:spacing w:line="259" w:lineRule="auto"/>
        <w:rPr>
          <w:rFonts w:asciiTheme="majorHAnsi" w:eastAsia="Calibri" w:hAnsiTheme="majorHAnsi" w:cstheme="majorHAnsi"/>
          <w:b/>
          <w:sz w:val="22"/>
          <w:szCs w:val="22"/>
          <w:lang w:val="en-AU" w:eastAsia="en-US"/>
        </w:rPr>
      </w:pPr>
    </w:p>
    <w:p w14:paraId="112380B5" w14:textId="77777777" w:rsidR="00353946" w:rsidRPr="00353946" w:rsidRDefault="00353946" w:rsidP="00353946">
      <w:pPr>
        <w:spacing w:line="259" w:lineRule="auto"/>
        <w:rPr>
          <w:rFonts w:asciiTheme="majorHAnsi" w:eastAsia="Calibri" w:hAnsiTheme="majorHAnsi" w:cstheme="majorHAnsi"/>
          <w:b/>
          <w:sz w:val="22"/>
          <w:szCs w:val="22"/>
          <w:u w:val="single"/>
          <w:lang w:val="en-AU" w:eastAsia="en-US"/>
        </w:rPr>
      </w:pPr>
      <w:r w:rsidRPr="00353946">
        <w:rPr>
          <w:rFonts w:asciiTheme="majorHAnsi" w:eastAsia="Calibri" w:hAnsiTheme="majorHAnsi" w:cstheme="majorHAnsi"/>
          <w:b/>
          <w:sz w:val="22"/>
          <w:szCs w:val="22"/>
          <w:u w:val="single"/>
          <w:lang w:val="en-AU" w:eastAsia="en-US"/>
        </w:rPr>
        <w:t>Regional Coordinating Centers</w:t>
      </w:r>
    </w:p>
    <w:p w14:paraId="1A0D5B66" w14:textId="77777777" w:rsidR="00353946" w:rsidRPr="00353946" w:rsidRDefault="00353946" w:rsidP="00353946">
      <w:pPr>
        <w:spacing w:line="259" w:lineRule="auto"/>
        <w:rPr>
          <w:rFonts w:asciiTheme="majorHAnsi" w:eastAsia="Calibri" w:hAnsiTheme="majorHAnsi" w:cstheme="majorHAnsi"/>
          <w:bCs/>
          <w:sz w:val="22"/>
          <w:szCs w:val="22"/>
          <w:lang w:val="en-AU" w:eastAsia="en-US"/>
        </w:rPr>
      </w:pPr>
      <w:r w:rsidRPr="00353946">
        <w:rPr>
          <w:rFonts w:asciiTheme="majorHAnsi" w:eastAsia="Calibri" w:hAnsiTheme="majorHAnsi" w:cstheme="majorHAnsi"/>
          <w:b/>
          <w:i/>
          <w:sz w:val="22"/>
          <w:szCs w:val="22"/>
          <w:lang w:val="en-AU" w:eastAsia="en-US"/>
        </w:rPr>
        <w:t>Australia, CCA region, and Saudi Arabia:</w:t>
      </w:r>
      <w:r w:rsidRPr="00353946">
        <w:rPr>
          <w:rFonts w:asciiTheme="majorHAnsi" w:eastAsia="Calibri" w:hAnsiTheme="majorHAnsi" w:cstheme="majorHAnsi"/>
          <w:b/>
          <w:sz w:val="22"/>
          <w:szCs w:val="22"/>
          <w:lang w:val="en-AU" w:eastAsia="en-US"/>
        </w:rPr>
        <w:t xml:space="preserve"> </w:t>
      </w:r>
      <w:r w:rsidRPr="00353946">
        <w:rPr>
          <w:rFonts w:asciiTheme="majorHAnsi" w:eastAsia="Calibri" w:hAnsiTheme="majorHAnsi" w:cstheme="majorHAnsi"/>
          <w:bCs/>
          <w:sz w:val="22"/>
          <w:szCs w:val="22"/>
          <w:lang w:val="en-AU" w:eastAsia="en-US"/>
        </w:rPr>
        <w:t>The Australia and New Zealand Intensive Care Research</w:t>
      </w:r>
      <w:r w:rsidRPr="00353946">
        <w:rPr>
          <w:rFonts w:asciiTheme="majorHAnsi" w:eastAsia="Calibri" w:hAnsiTheme="majorHAnsi" w:cstheme="majorHAnsi"/>
          <w:b/>
          <w:sz w:val="22"/>
          <w:szCs w:val="22"/>
          <w:lang w:val="en-AU" w:eastAsia="en-US"/>
        </w:rPr>
        <w:t xml:space="preserve"> </w:t>
      </w:r>
      <w:r w:rsidRPr="00353946">
        <w:rPr>
          <w:rFonts w:asciiTheme="majorHAnsi" w:eastAsia="Calibri" w:hAnsiTheme="majorHAnsi" w:cstheme="majorHAnsi"/>
          <w:bCs/>
          <w:sz w:val="22"/>
          <w:szCs w:val="22"/>
          <w:lang w:val="en-AU" w:eastAsia="en-US"/>
        </w:rPr>
        <w:t>Centre (ANZIC-RC), Monash University</w:t>
      </w:r>
    </w:p>
    <w:p w14:paraId="0D782203" w14:textId="77777777" w:rsidR="00353946" w:rsidRPr="00353946" w:rsidRDefault="00353946" w:rsidP="00353946">
      <w:pPr>
        <w:spacing w:line="259" w:lineRule="auto"/>
        <w:rPr>
          <w:rFonts w:asciiTheme="majorHAnsi" w:eastAsia="Calibri" w:hAnsiTheme="majorHAnsi" w:cstheme="majorHAnsi"/>
          <w:b/>
          <w:sz w:val="22"/>
          <w:szCs w:val="22"/>
          <w:lang w:val="en-AU" w:eastAsia="en-US"/>
        </w:rPr>
      </w:pPr>
      <w:r w:rsidRPr="00353946">
        <w:rPr>
          <w:rFonts w:asciiTheme="majorHAnsi" w:eastAsia="Calibri" w:hAnsiTheme="majorHAnsi" w:cstheme="majorHAnsi"/>
          <w:b/>
          <w:i/>
          <w:sz w:val="22"/>
          <w:szCs w:val="22"/>
          <w:lang w:val="en-AU" w:eastAsia="en-US"/>
        </w:rPr>
        <w:t>Canada:</w:t>
      </w:r>
      <w:r w:rsidRPr="00353946">
        <w:rPr>
          <w:rFonts w:asciiTheme="majorHAnsi" w:eastAsia="Calibri" w:hAnsiTheme="majorHAnsi" w:cstheme="majorHAnsi"/>
          <w:b/>
          <w:sz w:val="22"/>
          <w:szCs w:val="22"/>
          <w:lang w:val="en-AU" w:eastAsia="en-US"/>
        </w:rPr>
        <w:t xml:space="preserve"> </w:t>
      </w:r>
      <w:r w:rsidRPr="00353946">
        <w:rPr>
          <w:rFonts w:asciiTheme="majorHAnsi" w:eastAsia="Calibri" w:hAnsiTheme="majorHAnsi" w:cstheme="majorHAnsi"/>
          <w:bCs/>
          <w:sz w:val="22"/>
          <w:szCs w:val="22"/>
          <w:lang w:val="en-AU" w:eastAsia="en-US"/>
        </w:rPr>
        <w:t>St. Michael’s Hospital, Unity Health Toronto</w:t>
      </w:r>
    </w:p>
    <w:p w14:paraId="54BD8B48" w14:textId="77777777" w:rsidR="00353946" w:rsidRPr="00353946" w:rsidRDefault="00353946" w:rsidP="00353946">
      <w:pPr>
        <w:spacing w:line="259" w:lineRule="auto"/>
        <w:rPr>
          <w:rFonts w:asciiTheme="majorHAnsi" w:eastAsia="Calibri" w:hAnsiTheme="majorHAnsi" w:cstheme="majorHAnsi"/>
          <w:b/>
          <w:sz w:val="22"/>
          <w:szCs w:val="22"/>
          <w:lang w:val="en-AU" w:eastAsia="en-US"/>
        </w:rPr>
      </w:pPr>
      <w:r w:rsidRPr="00353946">
        <w:rPr>
          <w:rFonts w:asciiTheme="majorHAnsi" w:eastAsia="Calibri" w:hAnsiTheme="majorHAnsi" w:cstheme="majorHAnsi"/>
          <w:b/>
          <w:i/>
          <w:sz w:val="22"/>
          <w:szCs w:val="22"/>
          <w:lang w:val="en-AU" w:eastAsia="en-US"/>
        </w:rPr>
        <w:t xml:space="preserve">Europe: </w:t>
      </w:r>
      <w:r w:rsidRPr="00353946">
        <w:rPr>
          <w:rFonts w:asciiTheme="majorHAnsi" w:eastAsia="Calibri" w:hAnsiTheme="majorHAnsi" w:cstheme="majorHAnsi"/>
          <w:b/>
          <w:sz w:val="22"/>
          <w:szCs w:val="22"/>
          <w:lang w:val="en-AU" w:eastAsia="en-US"/>
        </w:rPr>
        <w:t xml:space="preserve"> </w:t>
      </w:r>
      <w:r w:rsidRPr="00353946">
        <w:rPr>
          <w:rFonts w:asciiTheme="majorHAnsi" w:eastAsia="Calibri" w:hAnsiTheme="majorHAnsi" w:cstheme="majorHAnsi"/>
          <w:bCs/>
          <w:sz w:val="22"/>
          <w:szCs w:val="22"/>
          <w:lang w:val="en-AU" w:eastAsia="en-US"/>
        </w:rPr>
        <w:t>University Medical Center Utrecht (UMCU)</w:t>
      </w:r>
    </w:p>
    <w:p w14:paraId="069519DC" w14:textId="77777777" w:rsidR="00353946" w:rsidRPr="00353946" w:rsidRDefault="00353946" w:rsidP="00353946">
      <w:pPr>
        <w:spacing w:line="259" w:lineRule="auto"/>
        <w:rPr>
          <w:rFonts w:asciiTheme="majorHAnsi" w:eastAsia="Calibri" w:hAnsiTheme="majorHAnsi" w:cstheme="majorHAnsi"/>
          <w:sz w:val="22"/>
          <w:szCs w:val="22"/>
          <w:lang w:val="en-AU" w:eastAsia="en-US"/>
        </w:rPr>
      </w:pPr>
      <w:r w:rsidRPr="00353946">
        <w:rPr>
          <w:rFonts w:asciiTheme="majorHAnsi" w:eastAsia="Calibri" w:hAnsiTheme="majorHAnsi" w:cstheme="majorHAnsi"/>
          <w:b/>
          <w:i/>
          <w:sz w:val="22"/>
          <w:szCs w:val="22"/>
          <w:lang w:val="en-AU" w:eastAsia="en-US"/>
        </w:rPr>
        <w:t>New Zealand:</w:t>
      </w:r>
      <w:r w:rsidRPr="00353946">
        <w:rPr>
          <w:rFonts w:asciiTheme="majorHAnsi" w:eastAsia="Calibri" w:hAnsiTheme="majorHAnsi" w:cstheme="majorHAnsi"/>
          <w:sz w:val="22"/>
          <w:szCs w:val="22"/>
          <w:lang w:val="en-AU" w:eastAsia="en-US"/>
        </w:rPr>
        <w:t xml:space="preserve"> The Medical Research Institute of New Zealand (MRINZ)</w:t>
      </w:r>
    </w:p>
    <w:p w14:paraId="210DB217" w14:textId="77777777" w:rsidR="00353946" w:rsidRPr="00353946" w:rsidRDefault="00353946" w:rsidP="00353946">
      <w:pPr>
        <w:spacing w:line="259" w:lineRule="auto"/>
        <w:rPr>
          <w:rFonts w:asciiTheme="majorHAnsi" w:eastAsia="Calibri" w:hAnsiTheme="majorHAnsi" w:cstheme="majorHAnsi"/>
          <w:sz w:val="22"/>
          <w:szCs w:val="22"/>
          <w:lang w:val="en-AU" w:eastAsia="en-US"/>
        </w:rPr>
      </w:pPr>
      <w:r w:rsidRPr="00353946">
        <w:rPr>
          <w:rFonts w:asciiTheme="majorHAnsi" w:eastAsia="Calibri" w:hAnsiTheme="majorHAnsi" w:cstheme="majorHAnsi"/>
          <w:b/>
          <w:i/>
          <w:sz w:val="22"/>
          <w:szCs w:val="22"/>
          <w:lang w:val="en-AU" w:eastAsia="en-US"/>
        </w:rPr>
        <w:t>United States:</w:t>
      </w:r>
      <w:r w:rsidRPr="00353946">
        <w:rPr>
          <w:rFonts w:asciiTheme="majorHAnsi" w:eastAsia="Calibri" w:hAnsiTheme="majorHAnsi" w:cstheme="majorHAnsi"/>
          <w:sz w:val="22"/>
          <w:szCs w:val="22"/>
          <w:lang w:val="en-AU" w:eastAsia="en-US"/>
        </w:rPr>
        <w:t xml:space="preserve"> Global Coalition for Adaptive Research (GCAR), and University of Pittsburgh Medical Center</w:t>
      </w:r>
    </w:p>
    <w:p w14:paraId="2575D36E" w14:textId="56BD7E46" w:rsidR="00353946" w:rsidRPr="00353946" w:rsidRDefault="00353946" w:rsidP="00353946">
      <w:pPr>
        <w:spacing w:line="259" w:lineRule="auto"/>
        <w:rPr>
          <w:rFonts w:asciiTheme="majorHAnsi" w:eastAsia="Calibri" w:hAnsiTheme="majorHAnsi" w:cstheme="majorHAnsi"/>
          <w:i/>
          <w:sz w:val="22"/>
          <w:szCs w:val="22"/>
          <w:lang w:val="en-AU" w:eastAsia="en-US"/>
        </w:rPr>
      </w:pPr>
      <w:r w:rsidRPr="00353946">
        <w:rPr>
          <w:rFonts w:asciiTheme="majorHAnsi" w:eastAsia="Calibri" w:hAnsiTheme="majorHAnsi" w:cstheme="majorHAnsi"/>
          <w:b/>
          <w:bCs/>
          <w:i/>
          <w:iCs/>
          <w:sz w:val="22"/>
          <w:szCs w:val="22"/>
          <w:lang w:val="en-AU" w:eastAsia="en-US"/>
        </w:rPr>
        <w:t>Critical Care Asia:</w:t>
      </w:r>
      <w:r w:rsidRPr="00353946">
        <w:rPr>
          <w:rFonts w:asciiTheme="majorHAnsi" w:eastAsia="Calibri" w:hAnsiTheme="majorHAnsi" w:cstheme="majorHAnsi"/>
          <w:sz w:val="22"/>
          <w:szCs w:val="22"/>
          <w:lang w:val="en-AU" w:eastAsia="en-US"/>
        </w:rPr>
        <w:t xml:space="preserve"> NICS MORU. </w:t>
      </w:r>
    </w:p>
    <w:p w14:paraId="343CE9D8" w14:textId="77777777" w:rsidR="00353946" w:rsidRPr="00353946" w:rsidRDefault="00353946" w:rsidP="00353946">
      <w:pPr>
        <w:spacing w:line="259" w:lineRule="auto"/>
        <w:rPr>
          <w:rFonts w:asciiTheme="majorHAnsi" w:eastAsia="Calibri" w:hAnsiTheme="majorHAnsi" w:cstheme="majorHAnsi"/>
          <w:b/>
          <w:sz w:val="22"/>
          <w:szCs w:val="22"/>
          <w:u w:val="single"/>
          <w:lang w:val="en-AU" w:eastAsia="en-US"/>
        </w:rPr>
      </w:pPr>
    </w:p>
    <w:p w14:paraId="1FE3D6DE" w14:textId="77777777" w:rsidR="00353946" w:rsidRPr="00353946" w:rsidRDefault="00353946" w:rsidP="00353946">
      <w:pPr>
        <w:spacing w:line="259" w:lineRule="auto"/>
        <w:rPr>
          <w:rFonts w:asciiTheme="majorHAnsi" w:eastAsia="Calibri" w:hAnsiTheme="majorHAnsi" w:cstheme="majorHAnsi"/>
          <w:b/>
          <w:sz w:val="22"/>
          <w:szCs w:val="22"/>
          <w:u w:val="single"/>
          <w:lang w:val="en-AU" w:eastAsia="en-US"/>
        </w:rPr>
      </w:pPr>
      <w:r w:rsidRPr="00353946">
        <w:rPr>
          <w:rFonts w:asciiTheme="majorHAnsi" w:eastAsia="Calibri" w:hAnsiTheme="majorHAnsi" w:cstheme="majorHAnsi"/>
          <w:b/>
          <w:sz w:val="22"/>
          <w:szCs w:val="22"/>
          <w:u w:val="single"/>
          <w:lang w:val="en-AU" w:eastAsia="en-US"/>
        </w:rPr>
        <w:t>Domain-Specific Working Groups</w:t>
      </w:r>
    </w:p>
    <w:p w14:paraId="02B6BC7F" w14:textId="77777777" w:rsidR="00353946" w:rsidRPr="00353946" w:rsidRDefault="00353946" w:rsidP="00353946">
      <w:pPr>
        <w:spacing w:line="259" w:lineRule="auto"/>
        <w:rPr>
          <w:rFonts w:asciiTheme="majorHAnsi" w:eastAsia="Calibri" w:hAnsiTheme="majorHAnsi" w:cstheme="majorHAnsi"/>
          <w:b/>
          <w:i/>
          <w:sz w:val="22"/>
          <w:szCs w:val="22"/>
          <w:lang w:val="en-AU" w:eastAsia="en-US"/>
        </w:rPr>
      </w:pPr>
      <w:r w:rsidRPr="00353946">
        <w:rPr>
          <w:rFonts w:asciiTheme="majorHAnsi" w:eastAsia="Calibri" w:hAnsiTheme="majorHAnsi" w:cstheme="majorHAnsi"/>
          <w:b/>
          <w:i/>
          <w:sz w:val="22"/>
          <w:szCs w:val="22"/>
          <w:lang w:val="en-AU" w:eastAsia="en-US"/>
        </w:rPr>
        <w:t>Antibiotic and Macrolide Duration Domain-Specific Working Group</w:t>
      </w:r>
    </w:p>
    <w:p w14:paraId="376A104E" w14:textId="77777777" w:rsidR="00353946" w:rsidRPr="00353946" w:rsidRDefault="00353946" w:rsidP="00353946">
      <w:pPr>
        <w:spacing w:line="259" w:lineRule="auto"/>
        <w:rPr>
          <w:rFonts w:asciiTheme="majorHAnsi" w:eastAsia="Calibri" w:hAnsiTheme="majorHAnsi" w:cstheme="majorHAnsi"/>
          <w:sz w:val="22"/>
          <w:szCs w:val="22"/>
          <w:lang w:val="en-AU" w:eastAsia="en-US"/>
        </w:rPr>
      </w:pPr>
      <w:r w:rsidRPr="00353946">
        <w:rPr>
          <w:rFonts w:asciiTheme="majorHAnsi" w:eastAsia="Calibri" w:hAnsiTheme="majorHAnsi" w:cstheme="majorHAnsi"/>
          <w:sz w:val="22"/>
          <w:szCs w:val="22"/>
          <w:lang w:val="en-AU" w:eastAsia="en-US"/>
        </w:rPr>
        <w:t>Richard Beasley, Marc Bonten, Allen Cheng (Chair), Nick Daneman, Lennie Derde, Robert Fowler, David Gattas, Anthony Gordon, Cameron Green, Peter Kruger, Colin McArthur, Steve McGloughlin, Susan Morpeth, Srinivas Murthy, Alistair Nichol, Mathias Pletz, David Paterson, Gernot Rohde, Steve Webb</w:t>
      </w:r>
    </w:p>
    <w:p w14:paraId="7B0054B4" w14:textId="77777777" w:rsidR="00353946" w:rsidRPr="00353946" w:rsidRDefault="00353946" w:rsidP="00353946">
      <w:pPr>
        <w:spacing w:line="259" w:lineRule="auto"/>
        <w:rPr>
          <w:rFonts w:asciiTheme="majorHAnsi" w:eastAsia="Calibri" w:hAnsiTheme="majorHAnsi" w:cstheme="majorHAnsi"/>
          <w:b/>
          <w:i/>
          <w:sz w:val="22"/>
          <w:szCs w:val="22"/>
          <w:lang w:val="en-AU" w:eastAsia="en-US"/>
        </w:rPr>
      </w:pPr>
    </w:p>
    <w:p w14:paraId="56BE8276" w14:textId="77777777" w:rsidR="00353946" w:rsidRPr="00353946" w:rsidRDefault="00353946" w:rsidP="00353946">
      <w:pPr>
        <w:spacing w:line="259" w:lineRule="auto"/>
        <w:rPr>
          <w:rFonts w:asciiTheme="majorHAnsi" w:eastAsia="Calibri" w:hAnsiTheme="majorHAnsi" w:cstheme="majorHAnsi"/>
          <w:b/>
          <w:i/>
          <w:sz w:val="22"/>
          <w:szCs w:val="22"/>
          <w:lang w:val="en-AU" w:eastAsia="en-US"/>
        </w:rPr>
      </w:pPr>
      <w:r w:rsidRPr="00353946">
        <w:rPr>
          <w:rFonts w:asciiTheme="majorHAnsi" w:eastAsia="Calibri" w:hAnsiTheme="majorHAnsi" w:cstheme="majorHAnsi"/>
          <w:b/>
          <w:i/>
          <w:sz w:val="22"/>
          <w:szCs w:val="22"/>
          <w:lang w:val="en-AU" w:eastAsia="en-US"/>
        </w:rPr>
        <w:t>Corticosteroid Domain-Specific Working Group</w:t>
      </w:r>
    </w:p>
    <w:p w14:paraId="659FD97C" w14:textId="3928E47B" w:rsidR="00353946" w:rsidRPr="00353946" w:rsidRDefault="00353946" w:rsidP="00353946">
      <w:pPr>
        <w:spacing w:line="259" w:lineRule="auto"/>
        <w:rPr>
          <w:rFonts w:asciiTheme="majorHAnsi" w:eastAsia="Calibri" w:hAnsiTheme="majorHAnsi" w:cstheme="majorHAnsi"/>
          <w:sz w:val="22"/>
          <w:szCs w:val="22"/>
          <w:lang w:val="en-AU" w:eastAsia="en-US"/>
        </w:rPr>
      </w:pPr>
      <w:r w:rsidRPr="00353946">
        <w:rPr>
          <w:rFonts w:asciiTheme="majorHAnsi" w:eastAsia="Calibri" w:hAnsiTheme="majorHAnsi" w:cstheme="majorHAnsi"/>
          <w:sz w:val="22"/>
          <w:szCs w:val="22"/>
          <w:lang w:val="en-AU" w:eastAsia="en-US"/>
        </w:rPr>
        <w:t>Derek Angus (Chair), Wilma van Bentum-Puijk, Lennie Derde, Anthony Gordon, Sebastiaan Hullegie, Peter Kruger, Edward Litton, John Marshall, Colin McArthur, Srinivas Murthy, Alistair Nichol</w:t>
      </w:r>
      <w:r w:rsidR="00534797">
        <w:rPr>
          <w:rFonts w:asciiTheme="majorHAnsi" w:eastAsia="Calibri" w:hAnsiTheme="majorHAnsi" w:cstheme="majorHAnsi"/>
          <w:sz w:val="22"/>
          <w:szCs w:val="22"/>
          <w:lang w:val="en-AU" w:eastAsia="en-US"/>
        </w:rPr>
        <w:t>, Ba</w:t>
      </w:r>
      <w:r w:rsidRPr="00353946">
        <w:rPr>
          <w:rFonts w:asciiTheme="majorHAnsi" w:eastAsia="Calibri" w:hAnsiTheme="majorHAnsi" w:cstheme="majorHAnsi"/>
          <w:sz w:val="22"/>
          <w:szCs w:val="22"/>
          <w:lang w:val="en-AU" w:eastAsia="en-US"/>
        </w:rPr>
        <w:t>la Venkatesh, Steve Webb</w:t>
      </w:r>
    </w:p>
    <w:p w14:paraId="4067441C" w14:textId="77777777" w:rsidR="00353946" w:rsidRPr="00353946" w:rsidRDefault="00353946" w:rsidP="00353946">
      <w:pPr>
        <w:spacing w:line="259" w:lineRule="auto"/>
        <w:rPr>
          <w:rFonts w:asciiTheme="majorHAnsi" w:eastAsia="Calibri" w:hAnsiTheme="majorHAnsi" w:cstheme="majorHAnsi"/>
          <w:b/>
          <w:i/>
          <w:sz w:val="22"/>
          <w:szCs w:val="22"/>
          <w:lang w:val="en-AU" w:eastAsia="en-US"/>
        </w:rPr>
      </w:pPr>
    </w:p>
    <w:p w14:paraId="54ACCCBF" w14:textId="77777777" w:rsidR="00353946" w:rsidRPr="00353946" w:rsidRDefault="00353946" w:rsidP="00353946">
      <w:pPr>
        <w:spacing w:line="259" w:lineRule="auto"/>
        <w:rPr>
          <w:rFonts w:asciiTheme="majorHAnsi" w:eastAsia="Calibri" w:hAnsiTheme="majorHAnsi" w:cstheme="majorHAnsi"/>
          <w:b/>
          <w:i/>
          <w:sz w:val="22"/>
          <w:szCs w:val="22"/>
          <w:lang w:val="en-AU" w:eastAsia="en-US"/>
        </w:rPr>
      </w:pPr>
      <w:r w:rsidRPr="00353946">
        <w:rPr>
          <w:rFonts w:asciiTheme="majorHAnsi" w:eastAsia="Calibri" w:hAnsiTheme="majorHAnsi" w:cstheme="majorHAnsi"/>
          <w:b/>
          <w:i/>
          <w:sz w:val="22"/>
          <w:szCs w:val="22"/>
          <w:lang w:val="en-AU" w:eastAsia="en-US"/>
        </w:rPr>
        <w:t>Influenza Antiviral Domain-Specific Working Group</w:t>
      </w:r>
    </w:p>
    <w:p w14:paraId="0437AEC8" w14:textId="77777777" w:rsidR="00353946" w:rsidRPr="00353946" w:rsidRDefault="00353946" w:rsidP="00353946">
      <w:pPr>
        <w:spacing w:line="259" w:lineRule="auto"/>
        <w:rPr>
          <w:rFonts w:asciiTheme="majorHAnsi" w:eastAsia="Calibri" w:hAnsiTheme="majorHAnsi" w:cstheme="majorHAnsi"/>
          <w:sz w:val="22"/>
          <w:szCs w:val="22"/>
          <w:lang w:val="en-AU" w:eastAsia="en-US"/>
        </w:rPr>
      </w:pPr>
      <w:r w:rsidRPr="00353946">
        <w:rPr>
          <w:rFonts w:asciiTheme="majorHAnsi" w:eastAsia="Calibri" w:hAnsiTheme="majorHAnsi" w:cstheme="majorHAnsi"/>
          <w:sz w:val="22"/>
          <w:szCs w:val="22"/>
          <w:lang w:val="en-AU" w:eastAsia="en-US"/>
        </w:rPr>
        <w:lastRenderedPageBreak/>
        <w:t>Derek Angus, Scott Berry, Marc Bonten, Allen Cheng, Lennie Derde, Herman Goossens, Sebastiaan Hullegie, Menno de Jong, John Marshall, Colin McArthur, Srinivas Murthy (Chair), Tim Uyeki, Steve Webb</w:t>
      </w:r>
    </w:p>
    <w:p w14:paraId="6738D7A4" w14:textId="77777777" w:rsidR="00353946" w:rsidRPr="00353946" w:rsidRDefault="00353946" w:rsidP="00353946">
      <w:pPr>
        <w:spacing w:line="259" w:lineRule="auto"/>
        <w:rPr>
          <w:rFonts w:asciiTheme="majorHAnsi" w:eastAsia="Calibri" w:hAnsiTheme="majorHAnsi" w:cstheme="majorHAnsi"/>
          <w:b/>
          <w:i/>
          <w:sz w:val="22"/>
          <w:szCs w:val="22"/>
          <w:lang w:val="en-AU" w:eastAsia="en-US"/>
        </w:rPr>
      </w:pPr>
    </w:p>
    <w:p w14:paraId="0AB59622" w14:textId="77777777" w:rsidR="00353946" w:rsidRPr="00353946" w:rsidRDefault="00353946" w:rsidP="00353946">
      <w:pPr>
        <w:spacing w:line="259" w:lineRule="auto"/>
        <w:rPr>
          <w:rFonts w:asciiTheme="majorHAnsi" w:eastAsia="Calibri" w:hAnsiTheme="majorHAnsi" w:cstheme="majorHAnsi"/>
          <w:b/>
          <w:i/>
          <w:sz w:val="22"/>
          <w:szCs w:val="22"/>
          <w:lang w:val="en-AU" w:eastAsia="en-US"/>
        </w:rPr>
      </w:pPr>
      <w:r w:rsidRPr="00353946">
        <w:rPr>
          <w:rFonts w:asciiTheme="majorHAnsi" w:eastAsia="Calibri" w:hAnsiTheme="majorHAnsi" w:cstheme="majorHAnsi"/>
          <w:b/>
          <w:i/>
          <w:sz w:val="22"/>
          <w:szCs w:val="22"/>
          <w:lang w:val="en-AU" w:eastAsia="en-US"/>
        </w:rPr>
        <w:t>COVID-19 Antiviral Domain-Specific Working Group</w:t>
      </w:r>
    </w:p>
    <w:p w14:paraId="734D4AE0" w14:textId="6DD135F3" w:rsidR="00353946" w:rsidRPr="00353946" w:rsidRDefault="00353946" w:rsidP="00353946">
      <w:pPr>
        <w:spacing w:line="259" w:lineRule="auto"/>
        <w:rPr>
          <w:rFonts w:asciiTheme="majorHAnsi" w:eastAsia="Calibri" w:hAnsiTheme="majorHAnsi" w:cstheme="majorHAnsi"/>
          <w:sz w:val="22"/>
          <w:szCs w:val="22"/>
          <w:lang w:val="en-AU" w:eastAsia="en-US"/>
        </w:rPr>
      </w:pPr>
      <w:r w:rsidRPr="00353946">
        <w:rPr>
          <w:rFonts w:asciiTheme="majorHAnsi" w:eastAsia="Calibri" w:hAnsiTheme="majorHAnsi" w:cstheme="majorHAnsi"/>
          <w:sz w:val="22"/>
          <w:szCs w:val="22"/>
          <w:lang w:val="en-AU" w:eastAsia="en-US"/>
        </w:rPr>
        <w:t>Derek Angus, Yaseen Arabi (Chair), Kenneth Baillie, Richard Beasley, Scott Berry, Marc Bonten, Allen Cheng, Menno de Jong, Lennie Derde, Eamon Duffy, Rob Fowler, Herman Goossens, Anthony Gordon, Cameron Green, Thomas Hills, Colin McArthur, Susan Morpeth, Srinivas Murthy, Alistair Nichol, Katrina Orr, Rachael Parke, Jane Parker, Asad Patanwala, Kathryn Rowan, Steve</w:t>
      </w:r>
      <w:r w:rsidR="00B45DB5">
        <w:rPr>
          <w:rFonts w:asciiTheme="majorHAnsi" w:eastAsia="Calibri" w:hAnsiTheme="majorHAnsi" w:cstheme="majorHAnsi"/>
          <w:sz w:val="22"/>
          <w:szCs w:val="22"/>
          <w:lang w:val="en-AU" w:eastAsia="en-US"/>
        </w:rPr>
        <w:t>n</w:t>
      </w:r>
      <w:r w:rsidRPr="00353946">
        <w:rPr>
          <w:rFonts w:asciiTheme="majorHAnsi" w:eastAsia="Calibri" w:hAnsiTheme="majorHAnsi" w:cstheme="majorHAnsi"/>
          <w:sz w:val="22"/>
          <w:szCs w:val="22"/>
          <w:lang w:val="en-AU" w:eastAsia="en-US"/>
        </w:rPr>
        <w:t xml:space="preserve"> Tong, Tim Uyeki, Frank van de Veerdonk, Steve Webb</w:t>
      </w:r>
    </w:p>
    <w:p w14:paraId="773E59E0" w14:textId="77777777" w:rsidR="00353946" w:rsidRPr="00353946" w:rsidRDefault="00353946" w:rsidP="00353946">
      <w:pPr>
        <w:spacing w:line="259" w:lineRule="auto"/>
        <w:rPr>
          <w:rFonts w:asciiTheme="majorHAnsi" w:eastAsia="Calibri" w:hAnsiTheme="majorHAnsi" w:cstheme="majorHAnsi"/>
          <w:sz w:val="22"/>
          <w:szCs w:val="22"/>
          <w:lang w:val="en-AU" w:eastAsia="en-US"/>
        </w:rPr>
      </w:pPr>
    </w:p>
    <w:p w14:paraId="2E0AD2CC" w14:textId="77777777" w:rsidR="00353946" w:rsidRPr="00534797" w:rsidRDefault="00353946" w:rsidP="00353946">
      <w:pPr>
        <w:spacing w:line="259" w:lineRule="auto"/>
        <w:rPr>
          <w:rFonts w:asciiTheme="majorHAnsi" w:eastAsia="Calibri" w:hAnsiTheme="majorHAnsi" w:cstheme="majorHAnsi"/>
          <w:b/>
          <w:i/>
          <w:sz w:val="22"/>
          <w:szCs w:val="22"/>
          <w:lang w:val="en-AU" w:eastAsia="en-US"/>
        </w:rPr>
      </w:pPr>
      <w:r w:rsidRPr="00534797">
        <w:rPr>
          <w:rFonts w:asciiTheme="majorHAnsi" w:eastAsia="Calibri" w:hAnsiTheme="majorHAnsi" w:cstheme="majorHAnsi"/>
          <w:b/>
          <w:i/>
          <w:sz w:val="22"/>
          <w:szCs w:val="22"/>
          <w:lang w:val="en-AU" w:eastAsia="en-US"/>
        </w:rPr>
        <w:t>COVID-19 Immune Modulation Domain-Specific Working Group</w:t>
      </w:r>
    </w:p>
    <w:p w14:paraId="7045AFA7" w14:textId="0D2A9FBD" w:rsidR="00353946" w:rsidRPr="00353946" w:rsidRDefault="00353946" w:rsidP="00353946">
      <w:pPr>
        <w:spacing w:line="259" w:lineRule="auto"/>
        <w:rPr>
          <w:rFonts w:asciiTheme="majorHAnsi" w:eastAsia="Calibri" w:hAnsiTheme="majorHAnsi" w:cstheme="majorHAnsi"/>
          <w:bCs/>
          <w:iCs/>
          <w:sz w:val="22"/>
          <w:szCs w:val="22"/>
          <w:lang w:val="en-AU" w:eastAsia="en-US"/>
        </w:rPr>
      </w:pPr>
      <w:r w:rsidRPr="00353946">
        <w:rPr>
          <w:rFonts w:asciiTheme="majorHAnsi" w:eastAsia="Calibri" w:hAnsiTheme="majorHAnsi" w:cstheme="majorHAnsi"/>
          <w:bCs/>
          <w:iCs/>
          <w:sz w:val="22"/>
          <w:szCs w:val="22"/>
          <w:lang w:val="en-AU" w:eastAsia="en-US"/>
        </w:rPr>
        <w:t xml:space="preserve">Derek Angus, Yaseen Arabi, Kenneth Baillie, Richard Beasley, Scott Berry, Marc Bonten, Frank Brunkhorst, Allen Cheng, Nichola Cooper, Olaf Cremer, Menno de Jong, Lennie Derde (Chair), Eamon Duffy, James Galea, Herman Goossens, Anthony Gordon, Cameron Green, Thomas Hills, Andrew King, Helen Leavis, John Marshall, Florian Mayr, Colin McArthur, Bryan McVerry, Susan Morpeth, Srinivas Murthy, Mihai Netea, Alistair Nichol, Kayode Ogungbenro, Katrina Orr, Jane Parker, Asad Patawala, Ville Pettilä (Deputy Chair), </w:t>
      </w:r>
      <w:r w:rsidRPr="00353946">
        <w:rPr>
          <w:rFonts w:asciiTheme="majorHAnsi" w:eastAsia="Calibri" w:hAnsiTheme="majorHAnsi" w:cstheme="majorHAnsi"/>
          <w:sz w:val="22"/>
          <w:szCs w:val="22"/>
          <w:lang w:val="en-AU" w:eastAsia="en-US"/>
        </w:rPr>
        <w:t>Kathryn</w:t>
      </w:r>
      <w:r w:rsidRPr="00353946">
        <w:rPr>
          <w:rFonts w:asciiTheme="majorHAnsi" w:eastAsia="Calibri" w:hAnsiTheme="majorHAnsi" w:cstheme="majorHAnsi"/>
          <w:bCs/>
          <w:iCs/>
          <w:sz w:val="22"/>
          <w:szCs w:val="22"/>
          <w:lang w:val="en-AU" w:eastAsia="en-US"/>
        </w:rPr>
        <w:t xml:space="preserve"> Rowan, Manoj Saxena, Christopher Seymour, </w:t>
      </w:r>
      <w:r w:rsidRPr="00353946">
        <w:rPr>
          <w:rFonts w:asciiTheme="majorHAnsi" w:eastAsia="Calibri" w:hAnsiTheme="majorHAnsi" w:cstheme="majorHAnsi"/>
          <w:bCs/>
          <w:iCs/>
          <w:sz w:val="22"/>
          <w:szCs w:val="22"/>
          <w:lang w:val="en-US" w:eastAsia="en-US"/>
        </w:rPr>
        <w:t>Wendy Sligl</w:t>
      </w:r>
      <w:r w:rsidRPr="00353946">
        <w:rPr>
          <w:rFonts w:asciiTheme="majorHAnsi" w:eastAsia="Calibri" w:hAnsiTheme="majorHAnsi" w:cstheme="majorHAnsi"/>
          <w:bCs/>
          <w:iCs/>
          <w:sz w:val="22"/>
          <w:szCs w:val="22"/>
          <w:lang w:val="en-AU" w:eastAsia="en-US"/>
        </w:rPr>
        <w:t xml:space="preserve">, </w:t>
      </w:r>
      <w:r w:rsidRPr="00353946">
        <w:rPr>
          <w:rFonts w:asciiTheme="majorHAnsi" w:eastAsia="Calibri" w:hAnsiTheme="majorHAnsi" w:cstheme="majorHAnsi"/>
          <w:bCs/>
          <w:iCs/>
          <w:sz w:val="22"/>
          <w:szCs w:val="22"/>
          <w:lang w:val="en-US" w:eastAsia="en-US"/>
        </w:rPr>
        <w:t>Steven Tong</w:t>
      </w:r>
      <w:r w:rsidRPr="00353946">
        <w:rPr>
          <w:rFonts w:asciiTheme="majorHAnsi" w:eastAsia="Calibri" w:hAnsiTheme="majorHAnsi" w:cstheme="majorHAnsi"/>
          <w:bCs/>
          <w:iCs/>
          <w:sz w:val="22"/>
          <w:szCs w:val="22"/>
          <w:lang w:val="en-AU" w:eastAsia="en-US"/>
        </w:rPr>
        <w:t xml:space="preserve">, </w:t>
      </w:r>
      <w:r w:rsidRPr="00353946">
        <w:rPr>
          <w:rFonts w:asciiTheme="majorHAnsi" w:eastAsia="Calibri" w:hAnsiTheme="majorHAnsi" w:cstheme="majorHAnsi"/>
          <w:bCs/>
          <w:iCs/>
          <w:sz w:val="22"/>
          <w:szCs w:val="22"/>
          <w:lang w:val="en-US" w:eastAsia="en-US"/>
        </w:rPr>
        <w:t>Tim Uyeki</w:t>
      </w:r>
      <w:r w:rsidRPr="00353946">
        <w:rPr>
          <w:rFonts w:asciiTheme="majorHAnsi" w:eastAsia="Calibri" w:hAnsiTheme="majorHAnsi" w:cstheme="majorHAnsi"/>
          <w:bCs/>
          <w:iCs/>
          <w:sz w:val="22"/>
          <w:szCs w:val="22"/>
          <w:lang w:val="en-AU" w:eastAsia="en-US"/>
        </w:rPr>
        <w:t xml:space="preserve">, </w:t>
      </w:r>
      <w:r>
        <w:rPr>
          <w:rFonts w:asciiTheme="majorHAnsi" w:eastAsia="Calibri" w:hAnsiTheme="majorHAnsi" w:cstheme="majorHAnsi"/>
          <w:bCs/>
          <w:iCs/>
          <w:sz w:val="22"/>
          <w:szCs w:val="22"/>
          <w:lang w:val="en-AU" w:eastAsia="en-US"/>
        </w:rPr>
        <w:t xml:space="preserve">Suvi Vaara, </w:t>
      </w:r>
      <w:r w:rsidRPr="00353946">
        <w:rPr>
          <w:rFonts w:asciiTheme="majorHAnsi" w:eastAsia="Calibri" w:hAnsiTheme="majorHAnsi" w:cstheme="majorHAnsi"/>
          <w:bCs/>
          <w:iCs/>
          <w:sz w:val="22"/>
          <w:szCs w:val="22"/>
          <w:lang w:val="en-US" w:eastAsia="en-US"/>
        </w:rPr>
        <w:t xml:space="preserve">Frank van de Veerdonk, </w:t>
      </w:r>
      <w:r w:rsidRPr="00353946">
        <w:rPr>
          <w:rFonts w:asciiTheme="majorHAnsi" w:eastAsia="Calibri" w:hAnsiTheme="majorHAnsi" w:cstheme="majorHAnsi"/>
          <w:bCs/>
          <w:iCs/>
          <w:sz w:val="22"/>
          <w:szCs w:val="22"/>
          <w:lang w:val="en-AU" w:eastAsia="en-US"/>
        </w:rPr>
        <w:t>Steve Webb, Taryn Youngstein</w:t>
      </w:r>
    </w:p>
    <w:p w14:paraId="3C7087D0" w14:textId="77777777" w:rsidR="00353946" w:rsidRPr="00353946" w:rsidRDefault="00353946" w:rsidP="00353946">
      <w:pPr>
        <w:spacing w:line="259" w:lineRule="auto"/>
        <w:rPr>
          <w:rFonts w:asciiTheme="majorHAnsi" w:eastAsia="Calibri" w:hAnsiTheme="majorHAnsi" w:cstheme="majorHAnsi"/>
          <w:iCs/>
          <w:sz w:val="22"/>
          <w:szCs w:val="22"/>
          <w:lang w:val="en-AU" w:eastAsia="en-US"/>
        </w:rPr>
      </w:pPr>
    </w:p>
    <w:p w14:paraId="44171100" w14:textId="24A3E05C" w:rsidR="00353946" w:rsidRPr="00534797" w:rsidRDefault="00353946" w:rsidP="00353946">
      <w:pPr>
        <w:spacing w:line="259" w:lineRule="auto"/>
        <w:rPr>
          <w:rFonts w:asciiTheme="majorHAnsi" w:eastAsia="Calibri" w:hAnsiTheme="majorHAnsi" w:cstheme="majorHAnsi"/>
          <w:i/>
          <w:iCs/>
          <w:sz w:val="22"/>
          <w:szCs w:val="22"/>
          <w:lang w:val="en-AU" w:eastAsia="en-US"/>
        </w:rPr>
      </w:pPr>
      <w:r w:rsidRPr="00534797">
        <w:rPr>
          <w:rFonts w:asciiTheme="majorHAnsi" w:eastAsia="Calibri" w:hAnsiTheme="majorHAnsi" w:cstheme="majorHAnsi"/>
          <w:b/>
          <w:bCs/>
          <w:i/>
          <w:iCs/>
          <w:sz w:val="22"/>
          <w:szCs w:val="22"/>
          <w:lang w:val="en-AU" w:eastAsia="en-US"/>
        </w:rPr>
        <w:t>COVID-19 Immune Modulation-2 Domain-Specific Working Group</w:t>
      </w:r>
    </w:p>
    <w:p w14:paraId="43F4100E" w14:textId="77777777" w:rsidR="00353946" w:rsidRPr="00353946" w:rsidRDefault="00353946" w:rsidP="00353946">
      <w:pPr>
        <w:spacing w:line="259" w:lineRule="auto"/>
        <w:rPr>
          <w:rFonts w:asciiTheme="majorHAnsi" w:eastAsia="Calibri" w:hAnsiTheme="majorHAnsi" w:cstheme="majorHAnsi"/>
          <w:sz w:val="22"/>
          <w:szCs w:val="22"/>
          <w:lang w:val="en-AU" w:eastAsia="en-US"/>
        </w:rPr>
      </w:pPr>
      <w:r w:rsidRPr="00353946">
        <w:rPr>
          <w:rFonts w:asciiTheme="majorHAnsi" w:eastAsia="Calibri" w:hAnsiTheme="majorHAnsi" w:cstheme="majorHAnsi"/>
          <w:sz w:val="22"/>
          <w:szCs w:val="22"/>
          <w:lang w:val="en-AU" w:eastAsia="en-US"/>
        </w:rPr>
        <w:t>Derek Angus, Scott Berry, Lennie Derde, Cameron Green, David Huang, Florian Mayr, Bryan McVerry, Stephanie Montgomery, Christopher W. Seymour (Chair), Steve Webb</w:t>
      </w:r>
    </w:p>
    <w:p w14:paraId="0518C7E0" w14:textId="77777777" w:rsidR="00353946" w:rsidRPr="00353946" w:rsidRDefault="00353946" w:rsidP="00353946">
      <w:pPr>
        <w:spacing w:line="259" w:lineRule="auto"/>
        <w:rPr>
          <w:rFonts w:asciiTheme="majorHAnsi" w:eastAsia="Calibri" w:hAnsiTheme="majorHAnsi" w:cstheme="majorHAnsi"/>
          <w:b/>
          <w:sz w:val="22"/>
          <w:szCs w:val="22"/>
          <w:lang w:val="en-AU" w:eastAsia="en-US"/>
        </w:rPr>
      </w:pPr>
    </w:p>
    <w:p w14:paraId="22B8873C" w14:textId="77777777" w:rsidR="00353946" w:rsidRPr="00353946" w:rsidRDefault="00353946" w:rsidP="00353946">
      <w:pPr>
        <w:spacing w:line="259" w:lineRule="auto"/>
        <w:rPr>
          <w:rFonts w:asciiTheme="majorHAnsi" w:eastAsia="Calibri" w:hAnsiTheme="majorHAnsi" w:cstheme="majorHAnsi"/>
          <w:b/>
          <w:i/>
          <w:sz w:val="22"/>
          <w:szCs w:val="22"/>
          <w:lang w:val="en-AU" w:eastAsia="en-US"/>
        </w:rPr>
      </w:pPr>
      <w:r w:rsidRPr="00353946">
        <w:rPr>
          <w:rFonts w:asciiTheme="majorHAnsi" w:eastAsia="Calibri" w:hAnsiTheme="majorHAnsi" w:cstheme="majorHAnsi"/>
          <w:b/>
          <w:i/>
          <w:sz w:val="22"/>
          <w:szCs w:val="22"/>
          <w:lang w:val="en-AU" w:eastAsia="en-US"/>
        </w:rPr>
        <w:t>Therapeutic Anticoagulation Domain-Specific Working Group</w:t>
      </w:r>
    </w:p>
    <w:p w14:paraId="1C28DEBE" w14:textId="171E3F99" w:rsidR="00353946" w:rsidRPr="00353946" w:rsidRDefault="00353946" w:rsidP="00353946">
      <w:pPr>
        <w:rPr>
          <w:rFonts w:asciiTheme="majorHAnsi" w:eastAsia="Calibri" w:hAnsiTheme="majorHAnsi" w:cstheme="majorHAnsi"/>
          <w:sz w:val="22"/>
          <w:szCs w:val="22"/>
          <w:lang w:val="en-AU" w:eastAsia="en-US"/>
        </w:rPr>
      </w:pPr>
      <w:r w:rsidRPr="00353946">
        <w:rPr>
          <w:rFonts w:asciiTheme="majorHAnsi" w:eastAsia="Calibri" w:hAnsiTheme="majorHAnsi" w:cstheme="majorHAnsi"/>
          <w:sz w:val="22"/>
          <w:szCs w:val="22"/>
          <w:lang w:val="en-AU" w:eastAsia="en-US"/>
        </w:rPr>
        <w:t>Derek Angus</w:t>
      </w:r>
      <w:r w:rsidR="009449C0">
        <w:rPr>
          <w:rFonts w:asciiTheme="majorHAnsi" w:eastAsia="Calibri" w:hAnsiTheme="majorHAnsi" w:cstheme="majorHAnsi"/>
          <w:sz w:val="22"/>
          <w:szCs w:val="22"/>
          <w:lang w:val="en-AU" w:eastAsia="en-US"/>
        </w:rPr>
        <w:t>, Dip</w:t>
      </w:r>
      <w:r w:rsidRPr="00353946">
        <w:rPr>
          <w:rFonts w:asciiTheme="majorHAnsi" w:eastAsia="Calibri" w:hAnsiTheme="majorHAnsi" w:cstheme="majorHAnsi"/>
          <w:sz w:val="22"/>
          <w:szCs w:val="22"/>
          <w:lang w:val="en-AU" w:eastAsia="en-US"/>
        </w:rPr>
        <w:t xml:space="preserve">tesh Aryal, Scott Berry, Shailesh Bihari, Charlotte Bradbury, Marc Carrier, Dean Fergusson, Robert Fowler, Ewan Goligher (Deputy Chair), Anthony Gordon, Christopher Horvat, David Huang, Beverley Hunt, </w:t>
      </w:r>
      <w:r w:rsidRPr="00353946">
        <w:rPr>
          <w:rFonts w:asciiTheme="majorHAnsi" w:hAnsiTheme="majorHAnsi" w:cstheme="majorHAnsi"/>
          <w:color w:val="000000"/>
          <w:sz w:val="22"/>
          <w:szCs w:val="22"/>
        </w:rPr>
        <w:t>Devachandran</w:t>
      </w:r>
      <w:r w:rsidRPr="00353946">
        <w:rPr>
          <w:rFonts w:asciiTheme="majorHAnsi" w:eastAsia="Calibri" w:hAnsiTheme="majorHAnsi" w:cstheme="majorHAnsi"/>
          <w:sz w:val="22"/>
          <w:szCs w:val="22"/>
          <w:lang w:val="en-AU" w:eastAsia="en-US"/>
        </w:rPr>
        <w:t xml:space="preserve"> Jayakumar, Anand Kumar, Mike Laffan, Patrick Lawler, Sylvain Lother, Colin McArthur, Bryan McVerry, John Marshall, Saskia Middeldorp, Zoe McQuilten, Matthew Neal, Alistair Nichol, Christopher Seymour, Roger Schutgens, Simon Stanworth, Alexis Turgeon, Steve Webb, Ryan Zarychanski (Chair)</w:t>
      </w:r>
    </w:p>
    <w:p w14:paraId="66F5DF9C" w14:textId="77777777" w:rsidR="00353946" w:rsidRPr="00353946" w:rsidRDefault="00353946" w:rsidP="00353946">
      <w:pPr>
        <w:spacing w:line="259" w:lineRule="auto"/>
        <w:rPr>
          <w:rFonts w:asciiTheme="majorHAnsi" w:eastAsia="Calibri" w:hAnsiTheme="majorHAnsi" w:cstheme="majorHAnsi"/>
          <w:b/>
          <w:i/>
          <w:sz w:val="22"/>
          <w:szCs w:val="22"/>
          <w:lang w:val="en-AU" w:eastAsia="en-US"/>
        </w:rPr>
      </w:pPr>
    </w:p>
    <w:p w14:paraId="0190538B" w14:textId="77777777" w:rsidR="00353946" w:rsidRPr="00353946" w:rsidRDefault="00353946" w:rsidP="00353946">
      <w:pPr>
        <w:spacing w:line="259" w:lineRule="auto"/>
        <w:rPr>
          <w:rFonts w:asciiTheme="majorHAnsi" w:eastAsia="Calibri" w:hAnsiTheme="majorHAnsi" w:cstheme="majorHAnsi"/>
          <w:b/>
          <w:i/>
          <w:sz w:val="22"/>
          <w:szCs w:val="22"/>
          <w:lang w:val="en-AU" w:eastAsia="en-US"/>
        </w:rPr>
      </w:pPr>
      <w:r w:rsidRPr="00353946">
        <w:rPr>
          <w:rFonts w:asciiTheme="majorHAnsi" w:eastAsia="Calibri" w:hAnsiTheme="majorHAnsi" w:cstheme="majorHAnsi"/>
          <w:b/>
          <w:i/>
          <w:sz w:val="22"/>
          <w:szCs w:val="22"/>
          <w:lang w:val="en-AU" w:eastAsia="en-US"/>
        </w:rPr>
        <w:t>Vitamin C Domain-Specific Working Group</w:t>
      </w:r>
    </w:p>
    <w:p w14:paraId="18E1B63E" w14:textId="77777777" w:rsidR="00353946" w:rsidRPr="00353946" w:rsidRDefault="00353946" w:rsidP="00353946">
      <w:pPr>
        <w:spacing w:line="259" w:lineRule="auto"/>
        <w:rPr>
          <w:rFonts w:asciiTheme="majorHAnsi" w:eastAsia="Calibri" w:hAnsiTheme="majorHAnsi" w:cstheme="majorHAnsi"/>
          <w:sz w:val="22"/>
          <w:szCs w:val="22"/>
          <w:lang w:val="en-AU" w:eastAsia="en-US"/>
        </w:rPr>
      </w:pPr>
      <w:r w:rsidRPr="00353946">
        <w:rPr>
          <w:rFonts w:asciiTheme="majorHAnsi" w:eastAsia="Calibri" w:hAnsiTheme="majorHAnsi" w:cstheme="majorHAnsi"/>
          <w:sz w:val="22"/>
          <w:szCs w:val="22"/>
          <w:lang w:val="en-AU" w:eastAsia="en-US"/>
        </w:rPr>
        <w:t>Neill Adhikari (Chair), Derek Angus, Djillali Annane, Matthew Anstey, Yaseen Arabi, Scott Berry, Emily Brant, Angelique de Man, Lennie Derde, Anthony Gordon, Cameron Green, David Huang, Francois Lamonagne (Chair), Edward Litton, John Marshall, Marie-Helene Masse, Colin McArthur, Shay McGuinness, Paul Mouncey, Srinivas Murthy, Rachael Parke, Alistair Nichol, Tony Trapani, Andrew Udy, Steve Webb</w:t>
      </w:r>
    </w:p>
    <w:p w14:paraId="26192B96" w14:textId="77777777" w:rsidR="00353946" w:rsidRPr="00353946" w:rsidRDefault="00353946" w:rsidP="00353946">
      <w:pPr>
        <w:spacing w:line="259" w:lineRule="auto"/>
        <w:rPr>
          <w:rFonts w:asciiTheme="majorHAnsi" w:eastAsia="Calibri" w:hAnsiTheme="majorHAnsi" w:cstheme="majorHAnsi"/>
          <w:b/>
          <w:i/>
          <w:sz w:val="22"/>
          <w:szCs w:val="22"/>
          <w:lang w:val="en-AU" w:eastAsia="en-US"/>
        </w:rPr>
      </w:pPr>
    </w:p>
    <w:p w14:paraId="2EA9EE46" w14:textId="77777777" w:rsidR="00353946" w:rsidRPr="00353946" w:rsidRDefault="00353946" w:rsidP="00353946">
      <w:pPr>
        <w:spacing w:line="259" w:lineRule="auto"/>
        <w:rPr>
          <w:rFonts w:asciiTheme="majorHAnsi" w:eastAsia="Calibri" w:hAnsiTheme="majorHAnsi" w:cstheme="majorHAnsi"/>
          <w:b/>
          <w:i/>
          <w:sz w:val="22"/>
          <w:szCs w:val="22"/>
          <w:lang w:val="en-AU" w:eastAsia="en-US"/>
        </w:rPr>
      </w:pPr>
      <w:r w:rsidRPr="00353946">
        <w:rPr>
          <w:rFonts w:asciiTheme="majorHAnsi" w:eastAsia="Calibri" w:hAnsiTheme="majorHAnsi" w:cstheme="majorHAnsi"/>
          <w:b/>
          <w:i/>
          <w:sz w:val="22"/>
          <w:szCs w:val="22"/>
          <w:lang w:val="en-AU" w:eastAsia="en-US"/>
        </w:rPr>
        <w:t>COVID-19 Immunoglobulin Domain-Specific Working Group</w:t>
      </w:r>
    </w:p>
    <w:p w14:paraId="4826CE48" w14:textId="77777777" w:rsidR="00353946" w:rsidRPr="00353946" w:rsidRDefault="00353946" w:rsidP="00353946">
      <w:pPr>
        <w:spacing w:line="259" w:lineRule="auto"/>
        <w:rPr>
          <w:rFonts w:asciiTheme="majorHAnsi" w:eastAsia="Calibri" w:hAnsiTheme="majorHAnsi" w:cstheme="majorHAnsi"/>
          <w:sz w:val="22"/>
          <w:szCs w:val="22"/>
          <w:lang w:val="en-AU" w:eastAsia="en-US"/>
        </w:rPr>
      </w:pPr>
      <w:r w:rsidRPr="00353946">
        <w:rPr>
          <w:rFonts w:asciiTheme="majorHAnsi" w:eastAsia="Calibri" w:hAnsiTheme="majorHAnsi" w:cstheme="majorHAnsi"/>
          <w:sz w:val="22"/>
          <w:szCs w:val="22"/>
          <w:lang w:val="en-AU" w:eastAsia="en-US"/>
        </w:rPr>
        <w:t xml:space="preserve">Derek Angus, Donald Arnold, Phillipe Begin, Scott Berry, Richard Charlewood, Michael Chasse, Mark Coyne, Jamie Cooper, James Daly, Lise Estcourt (Chair, UK lead), Dean Fergusson, Anthony Gordon, Iain Gosbell, Heli Harvala-Simmonds, Tom Hills (New Zealand lead), Christopher Horvat, David Huang, Sheila MacLennan, John Marshall, Colin McArthur (New Zealand lead), Bryan McVerry (USA lead), David Menon, Susan Morpeth, Paul Mouncey, Srinivas Murthy, John McDyer, Zoe McQuilten (Australia lead), Alistair Nichol (Ireland lead), Nicole Pridee, David Roberts, Kathryn Rowan, Christopher Seymour, Manu Shankar-Hari (UK lead), Helen Thomas, Alan Tinmouth, Darrell Triulzi, Alexis Turgeon (Canada lead), Tim Walsh, Steve Webb, Erica Wood, Ryan Zarychanski (Canada lead) </w:t>
      </w:r>
    </w:p>
    <w:p w14:paraId="13C46FFF" w14:textId="77777777" w:rsidR="00353946" w:rsidRPr="00353946" w:rsidRDefault="00353946" w:rsidP="00353946">
      <w:pPr>
        <w:spacing w:line="259" w:lineRule="auto"/>
        <w:rPr>
          <w:rFonts w:asciiTheme="majorHAnsi" w:eastAsia="Calibri" w:hAnsiTheme="majorHAnsi" w:cstheme="majorHAnsi"/>
          <w:sz w:val="22"/>
          <w:szCs w:val="22"/>
          <w:lang w:val="en-AU" w:eastAsia="en-US"/>
        </w:rPr>
      </w:pPr>
    </w:p>
    <w:p w14:paraId="72093E89" w14:textId="77777777" w:rsidR="00353946" w:rsidRPr="00353946" w:rsidRDefault="00353946" w:rsidP="00353946">
      <w:pPr>
        <w:spacing w:line="259" w:lineRule="auto"/>
        <w:rPr>
          <w:rFonts w:asciiTheme="majorHAnsi" w:eastAsia="Calibri" w:hAnsiTheme="majorHAnsi" w:cstheme="majorHAnsi"/>
          <w:b/>
          <w:bCs/>
          <w:i/>
          <w:iCs/>
          <w:sz w:val="22"/>
          <w:szCs w:val="22"/>
          <w:lang w:val="en-AU" w:eastAsia="en-US"/>
        </w:rPr>
      </w:pPr>
      <w:r w:rsidRPr="00353946">
        <w:rPr>
          <w:rFonts w:asciiTheme="majorHAnsi" w:eastAsia="Calibri" w:hAnsiTheme="majorHAnsi" w:cstheme="majorHAnsi"/>
          <w:b/>
          <w:bCs/>
          <w:i/>
          <w:iCs/>
          <w:sz w:val="22"/>
          <w:szCs w:val="22"/>
          <w:lang w:val="en-AU" w:eastAsia="en-US"/>
        </w:rPr>
        <w:t>Simvastatin Domain-Specific Working Group</w:t>
      </w:r>
    </w:p>
    <w:p w14:paraId="67B0F0BF" w14:textId="77777777" w:rsidR="00353946" w:rsidRPr="00353946" w:rsidRDefault="00353946" w:rsidP="00353946">
      <w:pPr>
        <w:spacing w:line="259" w:lineRule="auto"/>
        <w:rPr>
          <w:rFonts w:asciiTheme="majorHAnsi" w:eastAsia="Calibri" w:hAnsiTheme="majorHAnsi" w:cstheme="majorHAnsi"/>
          <w:sz w:val="22"/>
          <w:szCs w:val="22"/>
          <w:lang w:val="en-AU" w:eastAsia="en-US"/>
        </w:rPr>
      </w:pPr>
      <w:r w:rsidRPr="00353946">
        <w:rPr>
          <w:rFonts w:asciiTheme="majorHAnsi" w:eastAsia="Calibri" w:hAnsiTheme="majorHAnsi" w:cstheme="majorHAnsi"/>
          <w:sz w:val="22"/>
          <w:szCs w:val="22"/>
          <w:lang w:val="en-AU" w:eastAsia="en-US"/>
        </w:rPr>
        <w:t>Derek Angus, Yaseen Arabi, Abi Beane, Carolyn Calfee, Anthony Gordon, Cameron Green, Rashan Haniffa, Deva Jayakumar, Peter Kruger, Patrick Lawler, Edward Litton, Colin McArthur, Daniel McAuley (Chair), Bryan McVerry, Matthew Neal, Alistair Nichol, Cecilia O’Kane, Murali Shyamsundar, Pratik Sinha, Taylor Thompson, Steve Webb, Ian Young</w:t>
      </w:r>
    </w:p>
    <w:p w14:paraId="0A10CDA5" w14:textId="77777777" w:rsidR="00353946" w:rsidRPr="00353946" w:rsidRDefault="00353946" w:rsidP="00353946">
      <w:pPr>
        <w:spacing w:line="259" w:lineRule="auto"/>
        <w:rPr>
          <w:rFonts w:asciiTheme="majorHAnsi" w:eastAsia="Calibri" w:hAnsiTheme="majorHAnsi" w:cstheme="majorHAnsi"/>
          <w:b/>
          <w:i/>
          <w:sz w:val="22"/>
          <w:szCs w:val="22"/>
          <w:lang w:val="en-AU" w:eastAsia="en-US"/>
        </w:rPr>
      </w:pPr>
    </w:p>
    <w:p w14:paraId="41ADE8E4" w14:textId="77777777" w:rsidR="00353946" w:rsidRPr="00353946" w:rsidRDefault="00353946" w:rsidP="00353946">
      <w:pPr>
        <w:spacing w:line="259" w:lineRule="auto"/>
        <w:rPr>
          <w:rFonts w:asciiTheme="majorHAnsi" w:eastAsia="Calibri" w:hAnsiTheme="majorHAnsi" w:cstheme="majorHAnsi"/>
          <w:b/>
          <w:i/>
          <w:sz w:val="22"/>
          <w:szCs w:val="22"/>
          <w:lang w:val="en-AU" w:eastAsia="en-US"/>
        </w:rPr>
      </w:pPr>
      <w:r w:rsidRPr="00353946">
        <w:rPr>
          <w:rFonts w:asciiTheme="majorHAnsi" w:eastAsia="Calibri" w:hAnsiTheme="majorHAnsi" w:cstheme="majorHAnsi"/>
          <w:b/>
          <w:i/>
          <w:sz w:val="22"/>
          <w:szCs w:val="22"/>
          <w:lang w:val="en-AU" w:eastAsia="en-US"/>
        </w:rPr>
        <w:t>Antiplatelet Domain-Specific Working Group</w:t>
      </w:r>
    </w:p>
    <w:p w14:paraId="47CC4446" w14:textId="77777777" w:rsidR="00353946" w:rsidRPr="00353946" w:rsidRDefault="00353946" w:rsidP="00353946">
      <w:pPr>
        <w:spacing w:line="259" w:lineRule="auto"/>
        <w:rPr>
          <w:rFonts w:asciiTheme="majorHAnsi" w:eastAsia="Calibri" w:hAnsiTheme="majorHAnsi" w:cstheme="majorHAnsi"/>
          <w:sz w:val="22"/>
          <w:szCs w:val="22"/>
          <w:lang w:val="en-AU" w:eastAsia="en-US"/>
        </w:rPr>
      </w:pPr>
      <w:r w:rsidRPr="00353946">
        <w:rPr>
          <w:rFonts w:asciiTheme="majorHAnsi" w:eastAsia="Calibri" w:hAnsiTheme="majorHAnsi" w:cstheme="majorHAnsi"/>
          <w:sz w:val="22"/>
          <w:szCs w:val="22"/>
          <w:lang w:val="en-AU" w:eastAsia="en-US"/>
        </w:rPr>
        <w:t>Derek Angus, Scott Berry, Shailesh Bihari, Charlotte Bradbury (Chair), Marc Carrier, Timothy Girard, Ewan Goligher, Anthony Gordon, Ghady Haidar, Christopher Horvat, David Huang, Beverley Hunt, Anand Kumar, Patrick Lawler, Patrick Lawless, Colin McArthur, Bryan McVerry, John Marshall, Zoe McQuilten, Matthew Neal, Alistair Nichol, Christopher Seymour, Simon Stanworth, Steve Webb, Alexandra Weissman, Ryan Zarychanski</w:t>
      </w:r>
    </w:p>
    <w:p w14:paraId="02641C48" w14:textId="77777777" w:rsidR="00353946" w:rsidRPr="00353946" w:rsidRDefault="00353946" w:rsidP="00353946">
      <w:pPr>
        <w:spacing w:line="259" w:lineRule="auto"/>
        <w:rPr>
          <w:rFonts w:asciiTheme="majorHAnsi" w:eastAsia="Calibri" w:hAnsiTheme="majorHAnsi" w:cstheme="majorHAnsi"/>
          <w:sz w:val="22"/>
          <w:szCs w:val="22"/>
          <w:lang w:val="en-AU" w:eastAsia="en-US"/>
        </w:rPr>
      </w:pPr>
    </w:p>
    <w:p w14:paraId="559DAA61" w14:textId="77777777" w:rsidR="00353946" w:rsidRPr="00353946" w:rsidRDefault="00353946" w:rsidP="00353946">
      <w:pPr>
        <w:spacing w:line="259" w:lineRule="auto"/>
        <w:rPr>
          <w:rFonts w:asciiTheme="majorHAnsi" w:eastAsia="Calibri" w:hAnsiTheme="majorHAnsi" w:cstheme="majorHAnsi"/>
          <w:b/>
          <w:i/>
          <w:sz w:val="22"/>
          <w:szCs w:val="22"/>
          <w:lang w:val="en-AU" w:eastAsia="en-US"/>
        </w:rPr>
      </w:pPr>
      <w:r w:rsidRPr="00353946">
        <w:rPr>
          <w:rFonts w:asciiTheme="majorHAnsi" w:eastAsia="Calibri" w:hAnsiTheme="majorHAnsi" w:cstheme="majorHAnsi"/>
          <w:b/>
          <w:bCs/>
          <w:i/>
          <w:iCs/>
          <w:sz w:val="22"/>
          <w:szCs w:val="22"/>
          <w:lang w:val="en-AU" w:eastAsia="en-US"/>
        </w:rPr>
        <w:t>Mechanical Ventilation Domain</w:t>
      </w:r>
    </w:p>
    <w:p w14:paraId="1C9E3C3C" w14:textId="77777777" w:rsidR="00353946" w:rsidRPr="00353946" w:rsidRDefault="00353946" w:rsidP="00353946">
      <w:pPr>
        <w:spacing w:line="259" w:lineRule="auto"/>
        <w:rPr>
          <w:rFonts w:asciiTheme="majorHAnsi" w:eastAsia="Calibri" w:hAnsiTheme="majorHAnsi" w:cstheme="majorHAnsi"/>
          <w:sz w:val="22"/>
          <w:szCs w:val="22"/>
          <w:lang w:val="en-AU" w:eastAsia="en-US"/>
        </w:rPr>
      </w:pPr>
      <w:r w:rsidRPr="00353946">
        <w:rPr>
          <w:rFonts w:asciiTheme="majorHAnsi" w:eastAsia="Calibri" w:hAnsiTheme="majorHAnsi" w:cstheme="majorHAnsi"/>
          <w:sz w:val="22"/>
          <w:szCs w:val="22"/>
          <w:lang w:val="en-AU" w:eastAsia="en-US"/>
        </w:rPr>
        <w:t xml:space="preserve">Derek Angus, Wilma van Bentum-Puijk, Lewis Campbell, Lennie Derde, Niall Ferguson, Timothy Girard, Ewan Goligher, Anthony Gordon, Cameron Green, Carol Hodgson, Peter Kruger, John Laffey, Edward Litton, John Marshall, Colin McArthur, Daniel McAuley, Shay McGuinness, Alistair Nichol (Chair) Neil Orford, Kathryn Rowan, Ary Neto, Steve Webb </w:t>
      </w:r>
    </w:p>
    <w:p w14:paraId="7D7990FA" w14:textId="77777777" w:rsidR="00353946" w:rsidRPr="00353946" w:rsidRDefault="00353946" w:rsidP="00353946">
      <w:pPr>
        <w:spacing w:line="259" w:lineRule="auto"/>
        <w:rPr>
          <w:rFonts w:asciiTheme="majorHAnsi" w:eastAsia="Calibri" w:hAnsiTheme="majorHAnsi" w:cstheme="majorHAnsi"/>
          <w:sz w:val="22"/>
          <w:szCs w:val="22"/>
          <w:lang w:val="en-AU" w:eastAsia="en-US"/>
        </w:rPr>
      </w:pPr>
    </w:p>
    <w:p w14:paraId="3BBBB617" w14:textId="3DE2E118" w:rsidR="00353946" w:rsidRPr="00353946" w:rsidRDefault="00353946" w:rsidP="00353946">
      <w:pPr>
        <w:spacing w:line="259" w:lineRule="auto"/>
        <w:rPr>
          <w:rFonts w:asciiTheme="majorHAnsi" w:eastAsia="Calibri" w:hAnsiTheme="majorHAnsi" w:cstheme="majorHAnsi"/>
          <w:b/>
          <w:i/>
          <w:sz w:val="22"/>
          <w:szCs w:val="22"/>
          <w:lang w:val="en-AU" w:eastAsia="en-US"/>
        </w:rPr>
      </w:pPr>
      <w:r w:rsidRPr="00353946">
        <w:rPr>
          <w:rFonts w:asciiTheme="majorHAnsi" w:eastAsia="Calibri" w:hAnsiTheme="majorHAnsi" w:cstheme="majorHAnsi"/>
          <w:b/>
          <w:i/>
          <w:sz w:val="22"/>
          <w:szCs w:val="22"/>
          <w:lang w:val="en-AU" w:eastAsia="en-US"/>
        </w:rPr>
        <w:t>ACE-2 RAS Domain</w:t>
      </w:r>
    </w:p>
    <w:p w14:paraId="2B456028" w14:textId="77777777" w:rsidR="00353946" w:rsidRPr="00353946" w:rsidRDefault="00353946" w:rsidP="00353946">
      <w:pPr>
        <w:spacing w:line="259" w:lineRule="auto"/>
        <w:rPr>
          <w:rFonts w:asciiTheme="majorHAnsi" w:eastAsia="Calibri" w:hAnsiTheme="majorHAnsi" w:cstheme="majorHAnsi"/>
          <w:bCs/>
          <w:iCs/>
          <w:sz w:val="22"/>
          <w:szCs w:val="22"/>
          <w:lang w:val="en-AU" w:eastAsia="en-US"/>
        </w:rPr>
      </w:pPr>
      <w:r w:rsidRPr="00353946">
        <w:rPr>
          <w:rFonts w:asciiTheme="majorHAnsi" w:eastAsia="Calibri" w:hAnsiTheme="majorHAnsi" w:cstheme="majorHAnsi"/>
          <w:bCs/>
          <w:iCs/>
          <w:sz w:val="22"/>
          <w:szCs w:val="22"/>
          <w:lang w:val="en-AU" w:eastAsia="en-US"/>
        </w:rPr>
        <w:t>Rebecca Baron, Lennie Derde, Slava Epelman, Claudia Frankfurter, David Gattas, Frank Gommans, Anthony Gordon, Rashan Haniffa, David Huang, Edy Kim, Francois Lamontagne, Patrick Lawler (Chair), David Leaf, John Marshall, Colin McArthur, Bryan McVerry, Daniel McAuley, Muthiah Vaduganathan, Roland van Kimmenade, Frank van de Veerdonk, Steve Webb</w:t>
      </w:r>
    </w:p>
    <w:p w14:paraId="1F86A32B" w14:textId="77777777" w:rsidR="00353946" w:rsidRPr="00353946" w:rsidRDefault="00353946" w:rsidP="00353946">
      <w:pPr>
        <w:spacing w:line="259" w:lineRule="auto"/>
        <w:rPr>
          <w:rFonts w:asciiTheme="majorHAnsi" w:eastAsia="Calibri" w:hAnsiTheme="majorHAnsi" w:cstheme="majorHAnsi"/>
          <w:b/>
          <w:sz w:val="22"/>
          <w:szCs w:val="22"/>
          <w:lang w:val="en-AU" w:eastAsia="en-US"/>
        </w:rPr>
      </w:pPr>
    </w:p>
    <w:p w14:paraId="0B2E6AC9" w14:textId="77777777" w:rsidR="00353946" w:rsidRPr="00353946" w:rsidRDefault="00353946" w:rsidP="00353946">
      <w:pPr>
        <w:spacing w:line="259" w:lineRule="auto"/>
        <w:rPr>
          <w:rFonts w:asciiTheme="majorHAnsi" w:eastAsia="Calibri" w:hAnsiTheme="majorHAnsi" w:cstheme="majorHAnsi"/>
          <w:b/>
          <w:sz w:val="22"/>
          <w:szCs w:val="22"/>
          <w:u w:val="single"/>
          <w:lang w:val="en-AU" w:eastAsia="en-US"/>
        </w:rPr>
      </w:pPr>
      <w:r w:rsidRPr="00353946">
        <w:rPr>
          <w:rFonts w:asciiTheme="majorHAnsi" w:eastAsia="Calibri" w:hAnsiTheme="majorHAnsi" w:cstheme="majorHAnsi"/>
          <w:b/>
          <w:sz w:val="22"/>
          <w:szCs w:val="22"/>
          <w:u w:val="single"/>
          <w:lang w:val="en-AU" w:eastAsia="en-US"/>
        </w:rPr>
        <w:t>Statistical Analysis Committee</w:t>
      </w:r>
    </w:p>
    <w:p w14:paraId="0EC36369" w14:textId="77777777" w:rsidR="00353946" w:rsidRPr="00353946" w:rsidRDefault="00353946" w:rsidP="00353946">
      <w:pPr>
        <w:spacing w:line="259" w:lineRule="auto"/>
        <w:rPr>
          <w:rFonts w:asciiTheme="majorHAnsi" w:eastAsia="Calibri" w:hAnsiTheme="majorHAnsi" w:cstheme="majorHAnsi"/>
          <w:sz w:val="22"/>
          <w:szCs w:val="22"/>
          <w:lang w:val="en-AU" w:eastAsia="en-US"/>
        </w:rPr>
      </w:pPr>
      <w:r w:rsidRPr="00353946">
        <w:rPr>
          <w:rFonts w:asciiTheme="majorHAnsi" w:eastAsia="Calibri" w:hAnsiTheme="majorHAnsi" w:cstheme="majorHAnsi"/>
          <w:sz w:val="22"/>
          <w:szCs w:val="22"/>
          <w:lang w:val="en-AU" w:eastAsia="en-US"/>
        </w:rPr>
        <w:t>Michelle Detry, Mark Fitzgerald, Roger Lewis (Chair), Anna McGlothlin, Ashish Sanil, Christina Saunders</w:t>
      </w:r>
    </w:p>
    <w:p w14:paraId="78C96412" w14:textId="77777777" w:rsidR="00353946" w:rsidRPr="00353946" w:rsidRDefault="00353946" w:rsidP="00353946">
      <w:pPr>
        <w:spacing w:line="259" w:lineRule="auto"/>
        <w:rPr>
          <w:rFonts w:asciiTheme="majorHAnsi" w:eastAsia="Calibri" w:hAnsiTheme="majorHAnsi" w:cstheme="majorHAnsi"/>
          <w:b/>
          <w:sz w:val="22"/>
          <w:szCs w:val="22"/>
          <w:lang w:val="en-AU" w:eastAsia="en-US"/>
        </w:rPr>
      </w:pPr>
    </w:p>
    <w:p w14:paraId="6110F7D4" w14:textId="77777777" w:rsidR="00353946" w:rsidRPr="00353946" w:rsidRDefault="00353946" w:rsidP="00353946">
      <w:pPr>
        <w:spacing w:line="259" w:lineRule="auto"/>
        <w:rPr>
          <w:rFonts w:asciiTheme="majorHAnsi" w:eastAsia="Calibri" w:hAnsiTheme="majorHAnsi" w:cstheme="majorHAnsi"/>
          <w:b/>
          <w:sz w:val="22"/>
          <w:szCs w:val="22"/>
          <w:u w:val="single"/>
          <w:lang w:val="en-AU" w:eastAsia="en-US"/>
        </w:rPr>
      </w:pPr>
      <w:r w:rsidRPr="00353946">
        <w:rPr>
          <w:rFonts w:asciiTheme="majorHAnsi" w:eastAsia="Calibri" w:hAnsiTheme="majorHAnsi" w:cstheme="majorHAnsi"/>
          <w:b/>
          <w:sz w:val="22"/>
          <w:szCs w:val="22"/>
          <w:u w:val="single"/>
          <w:lang w:val="en-AU" w:eastAsia="en-US"/>
        </w:rPr>
        <w:t>Statistical Design Team</w:t>
      </w:r>
    </w:p>
    <w:p w14:paraId="6300726E" w14:textId="77777777" w:rsidR="00353946" w:rsidRPr="00353946" w:rsidRDefault="00353946" w:rsidP="00353946">
      <w:pPr>
        <w:spacing w:line="259" w:lineRule="auto"/>
        <w:rPr>
          <w:rFonts w:asciiTheme="majorHAnsi" w:eastAsia="Calibri" w:hAnsiTheme="majorHAnsi" w:cstheme="majorHAnsi"/>
          <w:sz w:val="22"/>
          <w:szCs w:val="22"/>
          <w:lang w:val="en-AU" w:eastAsia="en-US"/>
        </w:rPr>
      </w:pPr>
      <w:r w:rsidRPr="00353946">
        <w:rPr>
          <w:rFonts w:asciiTheme="majorHAnsi" w:eastAsia="Calibri" w:hAnsiTheme="majorHAnsi" w:cstheme="majorHAnsi"/>
          <w:sz w:val="22"/>
          <w:szCs w:val="22"/>
          <w:lang w:val="en-AU" w:eastAsia="en-US"/>
        </w:rPr>
        <w:t>Lindsay Berry, Scott Berry, Elizabeth Lorenzi</w:t>
      </w:r>
    </w:p>
    <w:p w14:paraId="2332CDD0" w14:textId="77777777" w:rsidR="00353946" w:rsidRPr="00353946" w:rsidRDefault="00353946" w:rsidP="00353946">
      <w:pPr>
        <w:spacing w:line="259" w:lineRule="auto"/>
        <w:rPr>
          <w:rFonts w:asciiTheme="majorHAnsi" w:eastAsia="Calibri" w:hAnsiTheme="majorHAnsi" w:cstheme="majorHAnsi"/>
          <w:b/>
          <w:sz w:val="22"/>
          <w:szCs w:val="22"/>
          <w:lang w:val="en-AU" w:eastAsia="en-US"/>
        </w:rPr>
      </w:pPr>
    </w:p>
    <w:p w14:paraId="6F0E74F5" w14:textId="77777777" w:rsidR="00353946" w:rsidRPr="00353946" w:rsidRDefault="00353946" w:rsidP="00353946">
      <w:pPr>
        <w:spacing w:line="259" w:lineRule="auto"/>
        <w:rPr>
          <w:rFonts w:asciiTheme="majorHAnsi" w:eastAsia="Calibri" w:hAnsiTheme="majorHAnsi" w:cstheme="majorHAnsi"/>
          <w:b/>
          <w:sz w:val="22"/>
          <w:szCs w:val="22"/>
          <w:u w:val="single"/>
          <w:lang w:val="en-AU" w:eastAsia="en-US"/>
        </w:rPr>
      </w:pPr>
      <w:r w:rsidRPr="00353946">
        <w:rPr>
          <w:rFonts w:asciiTheme="majorHAnsi" w:eastAsia="Calibri" w:hAnsiTheme="majorHAnsi" w:cstheme="majorHAnsi"/>
          <w:b/>
          <w:sz w:val="22"/>
          <w:szCs w:val="22"/>
          <w:u w:val="single"/>
          <w:lang w:val="en-AU" w:eastAsia="en-US"/>
        </w:rPr>
        <w:t>Data Coordinating Team</w:t>
      </w:r>
    </w:p>
    <w:p w14:paraId="18A9D763" w14:textId="77777777" w:rsidR="00353946" w:rsidRPr="00353946" w:rsidRDefault="00353946" w:rsidP="00353946">
      <w:pPr>
        <w:spacing w:line="259" w:lineRule="auto"/>
        <w:rPr>
          <w:rFonts w:asciiTheme="majorHAnsi" w:eastAsia="Calibri" w:hAnsiTheme="majorHAnsi" w:cstheme="majorHAnsi"/>
          <w:bCs/>
          <w:sz w:val="22"/>
          <w:szCs w:val="22"/>
          <w:lang w:val="en-AU" w:eastAsia="en-US"/>
        </w:rPr>
      </w:pPr>
      <w:r w:rsidRPr="00353946">
        <w:rPr>
          <w:rFonts w:asciiTheme="majorHAnsi" w:eastAsia="Calibri" w:hAnsiTheme="majorHAnsi" w:cstheme="majorHAnsi"/>
          <w:bCs/>
          <w:sz w:val="22"/>
          <w:szCs w:val="22"/>
          <w:lang w:val="en-AU" w:eastAsia="en-US"/>
        </w:rPr>
        <w:t>Adrian Buzgau, Cameron Green, Alisa Higgins</w:t>
      </w:r>
    </w:p>
    <w:p w14:paraId="46B8B885" w14:textId="77777777" w:rsidR="00353946" w:rsidRPr="00353946" w:rsidRDefault="00353946" w:rsidP="00353946">
      <w:pPr>
        <w:spacing w:line="259" w:lineRule="auto"/>
        <w:rPr>
          <w:rFonts w:asciiTheme="majorHAnsi" w:eastAsia="Calibri" w:hAnsiTheme="majorHAnsi" w:cstheme="majorHAnsi"/>
          <w:b/>
          <w:sz w:val="22"/>
          <w:szCs w:val="22"/>
          <w:u w:val="single"/>
          <w:lang w:val="en-AU" w:eastAsia="en-US"/>
        </w:rPr>
      </w:pPr>
    </w:p>
    <w:p w14:paraId="378BB210" w14:textId="77777777" w:rsidR="00353946" w:rsidRPr="00353946" w:rsidRDefault="00353946" w:rsidP="00353946">
      <w:pPr>
        <w:spacing w:line="259" w:lineRule="auto"/>
        <w:rPr>
          <w:rFonts w:asciiTheme="majorHAnsi" w:eastAsia="Calibri" w:hAnsiTheme="majorHAnsi" w:cstheme="majorHAnsi"/>
          <w:b/>
          <w:sz w:val="22"/>
          <w:szCs w:val="22"/>
          <w:u w:val="single"/>
          <w:lang w:val="en-AU" w:eastAsia="en-US"/>
        </w:rPr>
      </w:pPr>
      <w:r w:rsidRPr="00353946">
        <w:rPr>
          <w:rFonts w:asciiTheme="majorHAnsi" w:eastAsia="Calibri" w:hAnsiTheme="majorHAnsi" w:cstheme="majorHAnsi"/>
          <w:b/>
          <w:sz w:val="22"/>
          <w:szCs w:val="22"/>
          <w:u w:val="single"/>
          <w:lang w:val="en-AU" w:eastAsia="en-US"/>
        </w:rPr>
        <w:t>Project Management</w:t>
      </w:r>
    </w:p>
    <w:p w14:paraId="053AF14C" w14:textId="77777777" w:rsidR="00353946" w:rsidRPr="00353946" w:rsidRDefault="00353946" w:rsidP="00353946">
      <w:pPr>
        <w:spacing w:line="259" w:lineRule="auto"/>
        <w:rPr>
          <w:rFonts w:asciiTheme="majorHAnsi" w:eastAsia="Calibri" w:hAnsiTheme="majorHAnsi" w:cstheme="majorHAnsi"/>
          <w:sz w:val="22"/>
          <w:szCs w:val="22"/>
          <w:lang w:val="en-AU" w:eastAsia="en-US"/>
        </w:rPr>
      </w:pPr>
      <w:r w:rsidRPr="00353946">
        <w:rPr>
          <w:rFonts w:asciiTheme="majorHAnsi" w:eastAsia="Calibri" w:hAnsiTheme="majorHAnsi" w:cstheme="majorHAnsi"/>
          <w:b/>
          <w:i/>
          <w:sz w:val="22"/>
          <w:szCs w:val="22"/>
          <w:lang w:val="en-AU" w:eastAsia="en-US"/>
        </w:rPr>
        <w:t>Australia and Saudi Arabia:</w:t>
      </w:r>
      <w:r w:rsidRPr="00353946">
        <w:rPr>
          <w:rFonts w:asciiTheme="majorHAnsi" w:eastAsia="Calibri" w:hAnsiTheme="majorHAnsi" w:cstheme="majorHAnsi"/>
          <w:sz w:val="22"/>
          <w:szCs w:val="22"/>
          <w:lang w:val="en-AU" w:eastAsia="en-US"/>
        </w:rPr>
        <w:t xml:space="preserve"> Jane Parker, Vanessa Singh, Claire Zammit</w:t>
      </w:r>
    </w:p>
    <w:p w14:paraId="4147B026" w14:textId="77777777" w:rsidR="00353946" w:rsidRPr="00353946" w:rsidRDefault="00353946" w:rsidP="00353946">
      <w:pPr>
        <w:spacing w:line="259" w:lineRule="auto"/>
        <w:rPr>
          <w:rFonts w:asciiTheme="majorHAnsi" w:eastAsia="Calibri" w:hAnsiTheme="majorHAnsi" w:cstheme="majorHAnsi"/>
          <w:sz w:val="22"/>
          <w:szCs w:val="22"/>
          <w:lang w:val="pt-BR" w:eastAsia="en-US"/>
        </w:rPr>
      </w:pPr>
      <w:r w:rsidRPr="00353946">
        <w:rPr>
          <w:rFonts w:asciiTheme="majorHAnsi" w:eastAsia="Calibri" w:hAnsiTheme="majorHAnsi" w:cstheme="majorHAnsi"/>
          <w:b/>
          <w:i/>
          <w:sz w:val="22"/>
          <w:szCs w:val="22"/>
          <w:lang w:val="pt-BR" w:eastAsia="en-US"/>
        </w:rPr>
        <w:t>Canada:</w:t>
      </w:r>
      <w:r w:rsidRPr="00353946">
        <w:rPr>
          <w:rFonts w:asciiTheme="majorHAnsi" w:eastAsia="Calibri" w:hAnsiTheme="majorHAnsi" w:cstheme="majorHAnsi"/>
          <w:sz w:val="22"/>
          <w:szCs w:val="22"/>
          <w:lang w:val="pt-BR" w:eastAsia="en-US"/>
        </w:rPr>
        <w:t xml:space="preserve"> Zahra Bhimani, Marlene Santos </w:t>
      </w:r>
    </w:p>
    <w:p w14:paraId="763D7CD7" w14:textId="77777777" w:rsidR="00353946" w:rsidRPr="00353946" w:rsidRDefault="00353946" w:rsidP="00353946">
      <w:pPr>
        <w:rPr>
          <w:rFonts w:asciiTheme="majorHAnsi" w:hAnsiTheme="majorHAnsi" w:cstheme="majorHAnsi"/>
          <w:sz w:val="22"/>
          <w:szCs w:val="22"/>
          <w:lang w:val="pt-BR"/>
        </w:rPr>
      </w:pPr>
      <w:r w:rsidRPr="00353946">
        <w:rPr>
          <w:rFonts w:asciiTheme="majorHAnsi" w:hAnsiTheme="majorHAnsi" w:cstheme="majorHAnsi"/>
          <w:b/>
          <w:bCs/>
          <w:i/>
          <w:iCs/>
          <w:color w:val="000000"/>
          <w:sz w:val="22"/>
          <w:szCs w:val="22"/>
          <w:lang w:val="pt-BR"/>
        </w:rPr>
        <w:t xml:space="preserve">CCA: </w:t>
      </w:r>
      <w:r w:rsidRPr="00353946">
        <w:rPr>
          <w:rFonts w:asciiTheme="majorHAnsi" w:hAnsiTheme="majorHAnsi" w:cstheme="majorHAnsi"/>
          <w:color w:val="000000"/>
          <w:sz w:val="22"/>
          <w:szCs w:val="22"/>
          <w:lang w:val="pt-BR"/>
        </w:rPr>
        <w:t>Abi Beane, Rashan Haniffa, Timo Tolppa</w:t>
      </w:r>
    </w:p>
    <w:p w14:paraId="2FEB388C" w14:textId="77777777" w:rsidR="00353946" w:rsidRPr="00353946" w:rsidRDefault="00353946" w:rsidP="00353946">
      <w:pPr>
        <w:spacing w:line="259" w:lineRule="auto"/>
        <w:rPr>
          <w:rFonts w:asciiTheme="majorHAnsi" w:eastAsia="Calibri" w:hAnsiTheme="majorHAnsi" w:cstheme="majorHAnsi"/>
          <w:sz w:val="22"/>
          <w:szCs w:val="22"/>
          <w:lang w:val="pt-BR" w:eastAsia="en-US"/>
        </w:rPr>
      </w:pPr>
      <w:r w:rsidRPr="00353946">
        <w:rPr>
          <w:rFonts w:asciiTheme="majorHAnsi" w:eastAsia="Calibri" w:hAnsiTheme="majorHAnsi" w:cstheme="majorHAnsi"/>
          <w:b/>
          <w:i/>
          <w:sz w:val="22"/>
          <w:szCs w:val="22"/>
          <w:lang w:val="pt-BR" w:eastAsia="en-US"/>
        </w:rPr>
        <w:t>Europe:</w:t>
      </w:r>
      <w:r w:rsidRPr="00353946">
        <w:rPr>
          <w:rFonts w:asciiTheme="majorHAnsi" w:eastAsia="Calibri" w:hAnsiTheme="majorHAnsi" w:cstheme="majorHAnsi"/>
          <w:sz w:val="22"/>
          <w:szCs w:val="22"/>
          <w:lang w:val="pt-BR" w:eastAsia="en-US"/>
        </w:rPr>
        <w:t xml:space="preserve"> Wilma van Bentum-Puijk, Lorraine Parker, Irma Scheepstra-Beukers, Erika Groeneveld, Svenja Peters, Clementina Okundaye, Denise van Hout, Albertine Smit, Linda Rikkert, Sara Bari, Kik Raymakers, Marion Kwakkenbos-Craanen, Sophie Post, Gerwin Schreuder.</w:t>
      </w:r>
    </w:p>
    <w:p w14:paraId="6DE510D3" w14:textId="77777777" w:rsidR="00353946" w:rsidRPr="00353946" w:rsidRDefault="00353946" w:rsidP="00353946">
      <w:pPr>
        <w:spacing w:line="259" w:lineRule="auto"/>
        <w:rPr>
          <w:rFonts w:asciiTheme="majorHAnsi" w:eastAsia="Calibri" w:hAnsiTheme="majorHAnsi" w:cstheme="majorHAnsi"/>
          <w:sz w:val="22"/>
          <w:szCs w:val="22"/>
          <w:lang w:val="en-AU" w:eastAsia="en-US"/>
        </w:rPr>
      </w:pPr>
      <w:r w:rsidRPr="00353946">
        <w:rPr>
          <w:rFonts w:asciiTheme="majorHAnsi" w:eastAsia="Calibri" w:hAnsiTheme="majorHAnsi" w:cstheme="majorHAnsi"/>
          <w:b/>
          <w:i/>
          <w:sz w:val="22"/>
          <w:szCs w:val="22"/>
          <w:lang w:val="en-AU" w:eastAsia="en-US"/>
        </w:rPr>
        <w:t>Germany:</w:t>
      </w:r>
      <w:r w:rsidRPr="00353946">
        <w:rPr>
          <w:rFonts w:asciiTheme="majorHAnsi" w:eastAsia="Calibri" w:hAnsiTheme="majorHAnsi" w:cstheme="majorHAnsi"/>
          <w:sz w:val="22"/>
          <w:szCs w:val="22"/>
          <w:lang w:val="en-AU" w:eastAsia="en-US"/>
        </w:rPr>
        <w:t xml:space="preserve"> Nicole Brillinger, Rene Markgraf</w:t>
      </w:r>
    </w:p>
    <w:p w14:paraId="07C350D0" w14:textId="77777777" w:rsidR="00353946" w:rsidRPr="00353946" w:rsidRDefault="00353946" w:rsidP="00353946">
      <w:pPr>
        <w:spacing w:line="259" w:lineRule="auto"/>
        <w:rPr>
          <w:rFonts w:asciiTheme="majorHAnsi" w:eastAsia="Calibri" w:hAnsiTheme="majorHAnsi" w:cstheme="majorHAnsi"/>
          <w:sz w:val="22"/>
          <w:szCs w:val="22"/>
          <w:lang w:val="en-AU" w:eastAsia="en-US"/>
        </w:rPr>
      </w:pPr>
      <w:r w:rsidRPr="00353946">
        <w:rPr>
          <w:rFonts w:asciiTheme="majorHAnsi" w:eastAsia="Calibri" w:hAnsiTheme="majorHAnsi" w:cstheme="majorHAnsi"/>
          <w:b/>
          <w:i/>
          <w:sz w:val="22"/>
          <w:szCs w:val="22"/>
          <w:lang w:val="en-AU" w:eastAsia="en-US"/>
        </w:rPr>
        <w:t>Global:</w:t>
      </w:r>
      <w:r w:rsidRPr="00353946">
        <w:rPr>
          <w:rFonts w:asciiTheme="majorHAnsi" w:eastAsia="Calibri" w:hAnsiTheme="majorHAnsi" w:cstheme="majorHAnsi"/>
          <w:sz w:val="22"/>
          <w:szCs w:val="22"/>
          <w:lang w:val="en-AU" w:eastAsia="en-US"/>
        </w:rPr>
        <w:t xml:space="preserve"> Cameron Green</w:t>
      </w:r>
    </w:p>
    <w:p w14:paraId="6AFFED3D" w14:textId="69DA6572" w:rsidR="00353946" w:rsidRPr="00353946" w:rsidRDefault="00353946" w:rsidP="00353946">
      <w:pPr>
        <w:spacing w:line="259" w:lineRule="auto"/>
        <w:rPr>
          <w:rFonts w:asciiTheme="majorHAnsi" w:eastAsia="Calibri" w:hAnsiTheme="majorHAnsi" w:cstheme="majorHAnsi"/>
          <w:sz w:val="22"/>
          <w:szCs w:val="22"/>
          <w:lang w:val="en-AU" w:eastAsia="en-US"/>
        </w:rPr>
      </w:pPr>
      <w:r w:rsidRPr="00353946">
        <w:rPr>
          <w:rFonts w:asciiTheme="majorHAnsi" w:eastAsia="Calibri" w:hAnsiTheme="majorHAnsi" w:cstheme="majorHAnsi"/>
          <w:b/>
          <w:i/>
          <w:sz w:val="22"/>
          <w:szCs w:val="22"/>
          <w:lang w:val="en-AU" w:eastAsia="en-US"/>
        </w:rPr>
        <w:t>Ireland:</w:t>
      </w:r>
      <w:r w:rsidRPr="00353946">
        <w:rPr>
          <w:rFonts w:asciiTheme="majorHAnsi" w:eastAsia="Calibri" w:hAnsiTheme="majorHAnsi" w:cstheme="majorHAnsi"/>
          <w:sz w:val="22"/>
          <w:szCs w:val="22"/>
          <w:lang w:val="en-AU" w:eastAsia="en-US"/>
        </w:rPr>
        <w:t xml:space="preserve"> Kate Ainscough, Kathy Brickell, Peter Doran</w:t>
      </w:r>
      <w:r w:rsidR="00534797">
        <w:rPr>
          <w:rFonts w:asciiTheme="majorHAnsi" w:eastAsia="Calibri" w:hAnsiTheme="majorHAnsi" w:cstheme="majorHAnsi"/>
          <w:sz w:val="22"/>
          <w:szCs w:val="22"/>
          <w:lang w:val="en-AU" w:eastAsia="en-US"/>
        </w:rPr>
        <w:t xml:space="preserve">, </w:t>
      </w:r>
      <w:r w:rsidR="00534797" w:rsidRPr="00534797">
        <w:rPr>
          <w:rFonts w:asciiTheme="majorHAnsi" w:eastAsia="Calibri" w:hAnsiTheme="majorHAnsi" w:cstheme="majorHAnsi"/>
          <w:sz w:val="22"/>
          <w:szCs w:val="22"/>
          <w:lang w:val="en-AU" w:eastAsia="en-US"/>
        </w:rPr>
        <w:t>Patrick Murray</w:t>
      </w:r>
    </w:p>
    <w:p w14:paraId="773D2768" w14:textId="77777777" w:rsidR="00353946" w:rsidRPr="00353946" w:rsidRDefault="00353946" w:rsidP="00353946">
      <w:pPr>
        <w:spacing w:line="259" w:lineRule="auto"/>
        <w:rPr>
          <w:rFonts w:asciiTheme="majorHAnsi" w:eastAsia="Calibri" w:hAnsiTheme="majorHAnsi" w:cstheme="majorHAnsi"/>
          <w:sz w:val="22"/>
          <w:szCs w:val="22"/>
          <w:lang w:val="en-AU" w:eastAsia="en-US"/>
        </w:rPr>
      </w:pPr>
      <w:r w:rsidRPr="00353946">
        <w:rPr>
          <w:rFonts w:asciiTheme="majorHAnsi" w:eastAsia="Calibri" w:hAnsiTheme="majorHAnsi" w:cstheme="majorHAnsi"/>
          <w:b/>
          <w:i/>
          <w:sz w:val="22"/>
          <w:szCs w:val="22"/>
          <w:lang w:val="en-AU" w:eastAsia="en-US"/>
        </w:rPr>
        <w:t>New Zealand:</w:t>
      </w:r>
      <w:r w:rsidRPr="00353946">
        <w:rPr>
          <w:rFonts w:asciiTheme="majorHAnsi" w:eastAsia="Calibri" w:hAnsiTheme="majorHAnsi" w:cstheme="majorHAnsi"/>
          <w:sz w:val="22"/>
          <w:szCs w:val="22"/>
          <w:lang w:val="en-AU" w:eastAsia="en-US"/>
        </w:rPr>
        <w:t xml:space="preserve"> Anne Turner</w:t>
      </w:r>
    </w:p>
    <w:p w14:paraId="001DB081" w14:textId="77777777" w:rsidR="00353946" w:rsidRPr="00353946" w:rsidRDefault="00353946" w:rsidP="00353946">
      <w:pPr>
        <w:spacing w:line="259" w:lineRule="auto"/>
        <w:rPr>
          <w:rFonts w:asciiTheme="majorHAnsi" w:eastAsia="Calibri" w:hAnsiTheme="majorHAnsi" w:cstheme="majorHAnsi"/>
          <w:sz w:val="22"/>
          <w:szCs w:val="22"/>
          <w:lang w:val="en-AU" w:eastAsia="en-US"/>
        </w:rPr>
      </w:pPr>
      <w:r w:rsidRPr="00353946">
        <w:rPr>
          <w:rFonts w:asciiTheme="majorHAnsi" w:eastAsia="Calibri" w:hAnsiTheme="majorHAnsi" w:cstheme="majorHAnsi"/>
          <w:b/>
          <w:i/>
          <w:sz w:val="22"/>
          <w:szCs w:val="22"/>
          <w:lang w:val="en-AU" w:eastAsia="en-US"/>
        </w:rPr>
        <w:lastRenderedPageBreak/>
        <w:t>United Kingdom:</w:t>
      </w:r>
      <w:r w:rsidRPr="00353946">
        <w:rPr>
          <w:rFonts w:asciiTheme="majorHAnsi" w:eastAsia="Calibri" w:hAnsiTheme="majorHAnsi" w:cstheme="majorHAnsi"/>
          <w:sz w:val="22"/>
          <w:szCs w:val="22"/>
          <w:lang w:val="en-AU" w:eastAsia="en-US"/>
        </w:rPr>
        <w:t xml:space="preserve"> Farah Al-Beidh, Aisha Anjum, Janis-Best Lane, Elizabeth Fagbodun, Lorna Miller, Paul Mouncey, Karen Parry-Billings, Sam Peters, Alvin Richards-Belle, Michelle Saull, Stefan Sprinckmoller, Daisy Wiley</w:t>
      </w:r>
    </w:p>
    <w:p w14:paraId="0E08F1C0" w14:textId="77777777" w:rsidR="00353946" w:rsidRPr="00353946" w:rsidRDefault="00353946" w:rsidP="00353946">
      <w:pPr>
        <w:spacing w:line="259" w:lineRule="auto"/>
        <w:rPr>
          <w:rFonts w:asciiTheme="majorHAnsi" w:eastAsia="Calibri" w:hAnsiTheme="majorHAnsi" w:cstheme="majorHAnsi"/>
          <w:sz w:val="22"/>
          <w:szCs w:val="22"/>
          <w:lang w:val="en-AU" w:eastAsia="en-US"/>
        </w:rPr>
      </w:pPr>
      <w:r w:rsidRPr="00353946">
        <w:rPr>
          <w:rFonts w:asciiTheme="majorHAnsi" w:eastAsia="Calibri" w:hAnsiTheme="majorHAnsi" w:cstheme="majorHAnsi"/>
          <w:b/>
          <w:i/>
          <w:sz w:val="22"/>
          <w:szCs w:val="22"/>
          <w:lang w:val="en-AU" w:eastAsia="en-US"/>
        </w:rPr>
        <w:t>United States of America:</w:t>
      </w:r>
      <w:r w:rsidRPr="00353946">
        <w:rPr>
          <w:rFonts w:asciiTheme="majorHAnsi" w:eastAsia="Calibri" w:hAnsiTheme="majorHAnsi" w:cstheme="majorHAnsi"/>
          <w:sz w:val="22"/>
          <w:szCs w:val="22"/>
          <w:lang w:val="en-AU" w:eastAsia="en-US"/>
        </w:rPr>
        <w:t xml:space="preserve"> Kim Basile, Meredith Buxton, Kelsey Linstrum, Stephanie Montgomery, Renee Wunderley</w:t>
      </w:r>
    </w:p>
    <w:p w14:paraId="082EFEAA" w14:textId="77777777" w:rsidR="00353946" w:rsidRPr="00353946" w:rsidRDefault="00353946" w:rsidP="00353946">
      <w:pPr>
        <w:spacing w:line="259" w:lineRule="auto"/>
        <w:rPr>
          <w:rFonts w:asciiTheme="majorHAnsi" w:eastAsia="Calibri" w:hAnsiTheme="majorHAnsi" w:cstheme="majorHAnsi"/>
          <w:b/>
          <w:sz w:val="22"/>
          <w:szCs w:val="22"/>
          <w:lang w:val="en-AU" w:eastAsia="en-US"/>
        </w:rPr>
      </w:pPr>
    </w:p>
    <w:p w14:paraId="0DEC6C2D" w14:textId="77777777" w:rsidR="00353946" w:rsidRPr="00353946" w:rsidRDefault="00353946" w:rsidP="00353946">
      <w:pPr>
        <w:spacing w:line="259" w:lineRule="auto"/>
        <w:rPr>
          <w:rFonts w:asciiTheme="majorHAnsi" w:eastAsia="Calibri" w:hAnsiTheme="majorHAnsi" w:cstheme="majorHAnsi"/>
          <w:b/>
          <w:sz w:val="22"/>
          <w:szCs w:val="22"/>
          <w:u w:val="single"/>
          <w:lang w:val="en-AU" w:eastAsia="en-US"/>
        </w:rPr>
      </w:pPr>
      <w:r w:rsidRPr="00353946">
        <w:rPr>
          <w:rFonts w:asciiTheme="majorHAnsi" w:eastAsia="Calibri" w:hAnsiTheme="majorHAnsi" w:cstheme="majorHAnsi"/>
          <w:b/>
          <w:sz w:val="22"/>
          <w:szCs w:val="22"/>
          <w:u w:val="single"/>
          <w:lang w:val="en-AU" w:eastAsia="en-US"/>
        </w:rPr>
        <w:t>Database Providers</w:t>
      </w:r>
    </w:p>
    <w:p w14:paraId="41FEAAA8" w14:textId="77777777" w:rsidR="00353946" w:rsidRPr="00353946" w:rsidRDefault="00353946" w:rsidP="00353946">
      <w:pPr>
        <w:spacing w:line="259" w:lineRule="auto"/>
        <w:rPr>
          <w:rFonts w:asciiTheme="majorHAnsi" w:eastAsia="Calibri" w:hAnsiTheme="majorHAnsi" w:cstheme="majorHAnsi"/>
          <w:sz w:val="22"/>
          <w:szCs w:val="22"/>
          <w:lang w:val="en-AU" w:eastAsia="en-US"/>
        </w:rPr>
      </w:pPr>
      <w:r w:rsidRPr="00353946">
        <w:rPr>
          <w:rFonts w:asciiTheme="majorHAnsi" w:eastAsia="Calibri" w:hAnsiTheme="majorHAnsi" w:cstheme="majorHAnsi"/>
          <w:b/>
          <w:i/>
          <w:sz w:val="22"/>
          <w:szCs w:val="22"/>
          <w:lang w:val="en-AU" w:eastAsia="en-US"/>
        </w:rPr>
        <w:t>Research Online:</w:t>
      </w:r>
      <w:r w:rsidRPr="00353946">
        <w:rPr>
          <w:rFonts w:asciiTheme="majorHAnsi" w:eastAsia="Calibri" w:hAnsiTheme="majorHAnsi" w:cstheme="majorHAnsi"/>
          <w:sz w:val="22"/>
          <w:szCs w:val="22"/>
          <w:lang w:val="en-AU" w:eastAsia="en-US"/>
        </w:rPr>
        <w:t xml:space="preserve">  Marloes van Beurden, Evelien Effelaar, Joost Schotsman, </w:t>
      </w:r>
    </w:p>
    <w:p w14:paraId="61E5D6C9" w14:textId="77777777" w:rsidR="00353946" w:rsidRPr="00353946" w:rsidRDefault="00353946" w:rsidP="00353946">
      <w:pPr>
        <w:spacing w:line="259" w:lineRule="auto"/>
        <w:rPr>
          <w:rFonts w:asciiTheme="majorHAnsi" w:eastAsia="Calibri" w:hAnsiTheme="majorHAnsi" w:cstheme="majorHAnsi"/>
          <w:sz w:val="22"/>
          <w:szCs w:val="22"/>
          <w:lang w:val="en-AU" w:eastAsia="en-US"/>
        </w:rPr>
      </w:pPr>
      <w:r w:rsidRPr="00353946">
        <w:rPr>
          <w:rFonts w:asciiTheme="majorHAnsi" w:eastAsia="Calibri" w:hAnsiTheme="majorHAnsi" w:cstheme="majorHAnsi"/>
          <w:b/>
          <w:i/>
          <w:sz w:val="22"/>
          <w:szCs w:val="22"/>
          <w:lang w:val="en-AU" w:eastAsia="en-US"/>
        </w:rPr>
        <w:t>Spinnaker Software:</w:t>
      </w:r>
      <w:r w:rsidRPr="00353946">
        <w:rPr>
          <w:rFonts w:asciiTheme="majorHAnsi" w:eastAsia="Calibri" w:hAnsiTheme="majorHAnsi" w:cstheme="majorHAnsi"/>
          <w:sz w:val="22"/>
          <w:szCs w:val="22"/>
          <w:lang w:val="en-AU" w:eastAsia="en-US"/>
        </w:rPr>
        <w:t xml:space="preserve">  Craig Boyd, Cain Harland, Audrey Shearer, Jess Wren</w:t>
      </w:r>
    </w:p>
    <w:p w14:paraId="496DD4AE" w14:textId="77777777" w:rsidR="00353946" w:rsidRPr="00353946" w:rsidRDefault="00353946" w:rsidP="00353946">
      <w:pPr>
        <w:spacing w:line="259" w:lineRule="auto"/>
        <w:rPr>
          <w:rFonts w:asciiTheme="majorHAnsi" w:eastAsia="Calibri" w:hAnsiTheme="majorHAnsi" w:cstheme="majorHAnsi"/>
          <w:sz w:val="22"/>
          <w:szCs w:val="22"/>
          <w:lang w:val="en-AU" w:eastAsia="en-US"/>
        </w:rPr>
      </w:pPr>
      <w:r w:rsidRPr="00353946">
        <w:rPr>
          <w:rFonts w:asciiTheme="majorHAnsi" w:eastAsia="Calibri" w:hAnsiTheme="majorHAnsi" w:cstheme="majorHAnsi"/>
          <w:b/>
          <w:i/>
          <w:sz w:val="22"/>
          <w:szCs w:val="22"/>
          <w:lang w:val="en-AU" w:eastAsia="en-US"/>
        </w:rPr>
        <w:t xml:space="preserve">University of Pittsburgh Medical Center: </w:t>
      </w:r>
      <w:r w:rsidRPr="00353946">
        <w:rPr>
          <w:rFonts w:asciiTheme="majorHAnsi" w:eastAsia="Calibri" w:hAnsiTheme="majorHAnsi" w:cstheme="majorHAnsi"/>
          <w:sz w:val="22"/>
          <w:szCs w:val="22"/>
          <w:lang w:val="en-AU" w:eastAsia="en-US"/>
        </w:rPr>
        <w:t>Giles Clermont, William Garrard, Christopher Horvat, Kyle Kalchthaler, Andrew King, Daniel Ricketts, Salim Malakoutis, Oscar Marroquin, Edvin Music, Kevin Quinn</w:t>
      </w:r>
    </w:p>
    <w:p w14:paraId="1584F420" w14:textId="43E22DFC" w:rsidR="00353946" w:rsidRPr="00353946" w:rsidRDefault="00353946" w:rsidP="00353946">
      <w:pPr>
        <w:spacing w:line="259" w:lineRule="auto"/>
        <w:rPr>
          <w:rFonts w:asciiTheme="majorHAnsi" w:eastAsia="Calibri" w:hAnsiTheme="majorHAnsi" w:cstheme="majorHAnsi"/>
          <w:sz w:val="22"/>
          <w:szCs w:val="22"/>
          <w:lang w:eastAsia="en-US"/>
        </w:rPr>
      </w:pPr>
      <w:r w:rsidRPr="00353946">
        <w:rPr>
          <w:rFonts w:asciiTheme="majorHAnsi" w:eastAsia="Calibri" w:hAnsiTheme="majorHAnsi" w:cstheme="majorHAnsi"/>
          <w:b/>
          <w:i/>
          <w:iCs/>
          <w:sz w:val="22"/>
          <w:szCs w:val="22"/>
          <w:lang w:val="en-AU" w:eastAsia="en-US"/>
        </w:rPr>
        <w:t xml:space="preserve">NICS MORU: </w:t>
      </w:r>
      <w:r w:rsidRPr="00353946">
        <w:rPr>
          <w:rFonts w:asciiTheme="majorHAnsi" w:eastAsia="Calibri" w:hAnsiTheme="majorHAnsi" w:cstheme="majorHAnsi"/>
          <w:sz w:val="22"/>
          <w:szCs w:val="22"/>
          <w:lang w:eastAsia="en-US"/>
        </w:rPr>
        <w:t>Udara Attanayaka, Abi Beane, Sri Darshana, Rashan Haniffa, Pramodya Ishani, Issrah Jawad, Upulee Pabasara, Timo Tolppa, Ishara Udayanga.</w:t>
      </w:r>
    </w:p>
    <w:p w14:paraId="28962C18" w14:textId="77777777" w:rsidR="00353946" w:rsidRPr="00353946" w:rsidRDefault="00353946" w:rsidP="00353946">
      <w:pPr>
        <w:spacing w:line="259" w:lineRule="auto"/>
        <w:rPr>
          <w:rFonts w:asciiTheme="majorHAnsi" w:eastAsia="Calibri" w:hAnsiTheme="majorHAnsi" w:cstheme="majorHAnsi"/>
          <w:b/>
          <w:sz w:val="22"/>
          <w:szCs w:val="22"/>
          <w:lang w:val="en-AU" w:eastAsia="en-US"/>
        </w:rPr>
      </w:pPr>
    </w:p>
    <w:p w14:paraId="24265E9A" w14:textId="77777777" w:rsidR="00353946" w:rsidRPr="00353946" w:rsidRDefault="00353946" w:rsidP="00353946">
      <w:pPr>
        <w:spacing w:line="259" w:lineRule="auto"/>
        <w:ind w:left="720" w:hanging="720"/>
        <w:rPr>
          <w:rFonts w:asciiTheme="majorHAnsi" w:eastAsia="Calibri" w:hAnsiTheme="majorHAnsi" w:cstheme="majorHAnsi"/>
          <w:b/>
          <w:sz w:val="22"/>
          <w:szCs w:val="22"/>
          <w:u w:val="single"/>
          <w:lang w:val="en-AU" w:eastAsia="en-US"/>
        </w:rPr>
      </w:pPr>
      <w:r w:rsidRPr="00353946">
        <w:rPr>
          <w:rFonts w:asciiTheme="majorHAnsi" w:eastAsia="Calibri" w:hAnsiTheme="majorHAnsi" w:cstheme="majorHAnsi"/>
          <w:b/>
          <w:sz w:val="22"/>
          <w:szCs w:val="22"/>
          <w:u w:val="single"/>
          <w:lang w:val="en-AU" w:eastAsia="en-US"/>
        </w:rPr>
        <w:t>Clinical Trials Groups</w:t>
      </w:r>
    </w:p>
    <w:p w14:paraId="6F07F12A" w14:textId="6CD049D0" w:rsidR="00353946" w:rsidRPr="00353946" w:rsidRDefault="00353946" w:rsidP="00353946">
      <w:pPr>
        <w:spacing w:line="259" w:lineRule="auto"/>
        <w:rPr>
          <w:rFonts w:asciiTheme="majorHAnsi" w:eastAsia="Calibri" w:hAnsiTheme="majorHAnsi" w:cstheme="majorHAnsi"/>
          <w:sz w:val="22"/>
          <w:szCs w:val="22"/>
          <w:lang w:val="en-AU" w:eastAsia="en-US"/>
        </w:rPr>
      </w:pPr>
      <w:r w:rsidRPr="00353946">
        <w:rPr>
          <w:rFonts w:asciiTheme="majorHAnsi" w:eastAsia="Calibri" w:hAnsiTheme="majorHAnsi" w:cstheme="majorHAnsi"/>
          <w:sz w:val="22"/>
          <w:szCs w:val="22"/>
          <w:lang w:val="en-AU" w:eastAsia="en-US"/>
        </w:rPr>
        <w:t>The REMAP-CAP platform is supported by the Australian and New Zealand Intensive Care Society Clinical Trials Group, the Canadian Critical Care Clinical Trials Group, the UK Critical Care Research Group and the International Forum of Acute Care Trialists.</w:t>
      </w:r>
    </w:p>
    <w:p w14:paraId="1EBBD371" w14:textId="77777777" w:rsidR="00353946" w:rsidRPr="00353946" w:rsidRDefault="00353946" w:rsidP="00353946">
      <w:pPr>
        <w:spacing w:line="259" w:lineRule="auto"/>
        <w:rPr>
          <w:rFonts w:asciiTheme="majorHAnsi" w:eastAsia="Calibri" w:hAnsiTheme="majorHAnsi" w:cstheme="majorHAnsi"/>
          <w:sz w:val="22"/>
          <w:szCs w:val="22"/>
          <w:lang w:val="en-AU" w:eastAsia="en-US"/>
        </w:rPr>
      </w:pPr>
    </w:p>
    <w:p w14:paraId="26AB6135" w14:textId="77777777" w:rsidR="00353946" w:rsidRPr="00353946" w:rsidRDefault="00353946" w:rsidP="00353946">
      <w:pPr>
        <w:spacing w:line="259" w:lineRule="auto"/>
        <w:rPr>
          <w:rFonts w:asciiTheme="majorHAnsi" w:hAnsiTheme="majorHAnsi" w:cstheme="majorHAnsi"/>
          <w:sz w:val="22"/>
          <w:szCs w:val="22"/>
          <w:lang w:val="en-AU" w:eastAsia="en-US"/>
        </w:rPr>
      </w:pPr>
      <w:r w:rsidRPr="00353946">
        <w:rPr>
          <w:rFonts w:asciiTheme="majorHAnsi" w:hAnsiTheme="majorHAnsi" w:cstheme="majorHAnsi"/>
          <w:sz w:val="22"/>
          <w:szCs w:val="22"/>
          <w:lang w:val="en-AU" w:eastAsia="en-US"/>
        </w:rPr>
        <w:t>REMAP-CAP was supported in the UK by the NIHR Clinical Research Network and we acknowledge the contribution of Kate Gilmour, Karen Pearson, Chris Siewerski, Sally-Anne Hurford, Emma Marsh, Debbie Campbell, Penny Williams, Kim Shirley, Meg Logan, Jane Hanson, Anne Oliver, Mihaela Sutu, Sheenagh Murphy, Latha Aravindan,  Joanne Collins, Holly Monaghan, Adam Unsworth, Seonaid Beddows, Laura Ann Dawson, Sarah Dyas, Adeeba Asghar, Kate Donaldson, Tabitha Skinner, Nhlanhla Mguni, Natasha Muzengi, Ji Luo, Joanna O’Reilly, Chris Levett, Alison Potter, David Porter, Teresa Lockett, Jazz Bartholomew, Clare Rook,  Hannah Williams, Alistair S Hall, Hilary Campbell, Holly Speight, Sandra Halden, Susan Harrison, Mobeena Naz, Charles Rounds, Kaatje Lomme, Johnathan Sheffield, William Van’t Hoff, James D Williamson, Catherine Birch, Morwenna Brend, Emma Chambers, Sarah Crawshaw, Chelsea Drake, Heather Harper, Stephen Lock, Eleanor OKell, Amber Hayes, Susan Walker, Jayne Goodwin, Helen Hodgson, Yvette Ellis, Dawn Williamson, Madeleine Bayne, Shane Jackson, Rahim Byrne, Sonia McKenna, Alison Clinton, NIHR Urgent Public Health Group: https://www.nihr.ac.uk/documents/urgent-public-health-group-members/24638#Members</w:t>
      </w:r>
    </w:p>
    <w:p w14:paraId="17BCE8DA" w14:textId="56BE8A16" w:rsidR="00353946" w:rsidRDefault="00353946" w:rsidP="00353946">
      <w:pPr>
        <w:spacing w:line="259" w:lineRule="auto"/>
        <w:rPr>
          <w:rFonts w:asciiTheme="majorHAnsi" w:eastAsia="Calibri" w:hAnsiTheme="majorHAnsi" w:cstheme="majorHAnsi"/>
          <w:b/>
          <w:sz w:val="22"/>
          <w:szCs w:val="22"/>
          <w:u w:val="single"/>
          <w:lang w:val="en-AU" w:eastAsia="en-US"/>
        </w:rPr>
      </w:pPr>
    </w:p>
    <w:p w14:paraId="66C44894" w14:textId="3842EB0A" w:rsidR="0013269E" w:rsidRPr="00353946" w:rsidRDefault="0013269E" w:rsidP="00353946">
      <w:pPr>
        <w:spacing w:line="259" w:lineRule="auto"/>
        <w:rPr>
          <w:rFonts w:asciiTheme="majorHAnsi" w:eastAsia="Calibri" w:hAnsiTheme="majorHAnsi" w:cstheme="majorHAnsi"/>
          <w:b/>
          <w:sz w:val="22"/>
          <w:szCs w:val="22"/>
          <w:u w:val="single"/>
          <w:lang w:val="en-AU" w:eastAsia="en-US"/>
        </w:rPr>
      </w:pPr>
      <w:r>
        <w:rPr>
          <w:rFonts w:asciiTheme="majorHAnsi" w:eastAsia="Calibri" w:hAnsiTheme="majorHAnsi" w:cstheme="majorHAnsi"/>
          <w:b/>
          <w:sz w:val="22"/>
          <w:szCs w:val="22"/>
          <w:u w:val="single"/>
          <w:lang w:val="en-AU" w:eastAsia="en-US"/>
        </w:rPr>
        <w:t>Other supporting networks</w:t>
      </w:r>
    </w:p>
    <w:p w14:paraId="453DA852" w14:textId="77777777" w:rsidR="00353946" w:rsidRPr="00353946" w:rsidRDefault="00353946" w:rsidP="00353946">
      <w:pPr>
        <w:spacing w:line="259" w:lineRule="auto"/>
        <w:rPr>
          <w:rFonts w:asciiTheme="majorHAnsi" w:eastAsia="Calibri" w:hAnsiTheme="majorHAnsi" w:cstheme="majorHAnsi"/>
          <w:bCs/>
          <w:sz w:val="22"/>
          <w:szCs w:val="22"/>
          <w:lang w:val="en-AU" w:eastAsia="en-US"/>
        </w:rPr>
      </w:pPr>
      <w:r w:rsidRPr="00353946">
        <w:rPr>
          <w:rFonts w:asciiTheme="majorHAnsi" w:eastAsia="Calibri" w:hAnsiTheme="majorHAnsi" w:cstheme="majorHAnsi"/>
          <w:bCs/>
          <w:sz w:val="22"/>
          <w:szCs w:val="22"/>
          <w:lang w:val="en-AU" w:eastAsia="en-US"/>
        </w:rPr>
        <w:t>REMAP-CAP was supported in France by the CRICS-TRIGGERSEP network</w:t>
      </w:r>
    </w:p>
    <w:p w14:paraId="696F234F" w14:textId="77777777" w:rsidR="00353946" w:rsidRPr="00353946" w:rsidRDefault="00353946" w:rsidP="00353946">
      <w:pPr>
        <w:spacing w:line="259" w:lineRule="auto"/>
        <w:rPr>
          <w:rFonts w:asciiTheme="majorHAnsi" w:eastAsia="Calibri" w:hAnsiTheme="majorHAnsi" w:cstheme="majorHAnsi"/>
          <w:bCs/>
          <w:sz w:val="22"/>
          <w:szCs w:val="22"/>
          <w:lang w:val="en-AU" w:eastAsia="en-US"/>
        </w:rPr>
      </w:pPr>
    </w:p>
    <w:p w14:paraId="67AA7F83" w14:textId="02C8CF95" w:rsidR="00353946" w:rsidRPr="00353946" w:rsidRDefault="00353946" w:rsidP="00353946">
      <w:pPr>
        <w:spacing w:line="259" w:lineRule="auto"/>
        <w:rPr>
          <w:rFonts w:asciiTheme="majorHAnsi" w:eastAsia="Calibri" w:hAnsiTheme="majorHAnsi" w:cstheme="majorHAnsi"/>
          <w:bCs/>
          <w:sz w:val="22"/>
          <w:szCs w:val="22"/>
          <w:lang w:eastAsia="en-US"/>
        </w:rPr>
      </w:pPr>
      <w:r w:rsidRPr="00353946">
        <w:rPr>
          <w:rFonts w:asciiTheme="majorHAnsi" w:eastAsia="Calibri" w:hAnsiTheme="majorHAnsi" w:cstheme="majorHAnsi"/>
          <w:bCs/>
          <w:sz w:val="22"/>
          <w:szCs w:val="22"/>
          <w:lang w:val="en-AU" w:eastAsia="en-US"/>
        </w:rPr>
        <w:t xml:space="preserve">REMAP-CAP was supported in Ireland by the Irish Critical Care Clinical Trials </w:t>
      </w:r>
      <w:r w:rsidR="0013269E">
        <w:rPr>
          <w:rFonts w:asciiTheme="majorHAnsi" w:eastAsia="Calibri" w:hAnsiTheme="majorHAnsi" w:cstheme="majorHAnsi"/>
          <w:bCs/>
          <w:sz w:val="22"/>
          <w:szCs w:val="22"/>
          <w:lang w:val="en-AU" w:eastAsia="en-US"/>
        </w:rPr>
        <w:t>Group</w:t>
      </w:r>
      <w:r w:rsidRPr="00353946">
        <w:rPr>
          <w:rFonts w:asciiTheme="majorHAnsi" w:eastAsia="Calibri" w:hAnsiTheme="majorHAnsi" w:cstheme="majorHAnsi"/>
          <w:bCs/>
          <w:sz w:val="22"/>
          <w:szCs w:val="22"/>
          <w:lang w:val="en-AU" w:eastAsia="en-US"/>
        </w:rPr>
        <w:t xml:space="preserve"> and we acknowledge the contribution of </w:t>
      </w:r>
      <w:r w:rsidRPr="00353946">
        <w:rPr>
          <w:rFonts w:asciiTheme="majorHAnsi" w:eastAsia="Calibri" w:hAnsiTheme="majorHAnsi" w:cstheme="majorHAnsi"/>
          <w:bCs/>
          <w:sz w:val="22"/>
          <w:szCs w:val="22"/>
          <w:lang w:eastAsia="en-US"/>
        </w:rPr>
        <w:t>Kate Ainscough, Kathy Brickell and Peter Doran.</w:t>
      </w:r>
    </w:p>
    <w:p w14:paraId="12EAC16C" w14:textId="77777777" w:rsidR="00353946" w:rsidRPr="00353946" w:rsidRDefault="00353946" w:rsidP="00353946">
      <w:pPr>
        <w:spacing w:line="259" w:lineRule="auto"/>
        <w:rPr>
          <w:rFonts w:asciiTheme="majorHAnsi" w:eastAsia="Calibri" w:hAnsiTheme="majorHAnsi" w:cstheme="majorHAnsi"/>
          <w:bCs/>
          <w:sz w:val="22"/>
          <w:szCs w:val="22"/>
          <w:lang w:eastAsia="en-US"/>
        </w:rPr>
      </w:pPr>
    </w:p>
    <w:p w14:paraId="530B173D" w14:textId="77777777" w:rsidR="00353946" w:rsidRPr="00353946" w:rsidRDefault="00353946" w:rsidP="00353946">
      <w:pPr>
        <w:spacing w:line="259" w:lineRule="auto"/>
        <w:rPr>
          <w:rFonts w:asciiTheme="majorHAnsi" w:eastAsia="Calibri" w:hAnsiTheme="majorHAnsi" w:cstheme="majorHAnsi"/>
          <w:bCs/>
          <w:sz w:val="22"/>
          <w:szCs w:val="22"/>
          <w:lang w:eastAsia="en-US"/>
        </w:rPr>
      </w:pPr>
      <w:r w:rsidRPr="00353946">
        <w:rPr>
          <w:rFonts w:asciiTheme="majorHAnsi" w:eastAsia="Calibri" w:hAnsiTheme="majorHAnsi" w:cstheme="majorHAnsi"/>
          <w:bCs/>
          <w:sz w:val="22"/>
          <w:szCs w:val="22"/>
          <w:lang w:eastAsia="en-US"/>
        </w:rPr>
        <w:t>REMAP-CAP was supported in the Netherlands by the Research Collaboration Critical Care the Netherlands (RCC-Net).</w:t>
      </w:r>
    </w:p>
    <w:p w14:paraId="6B87522E" w14:textId="77777777" w:rsidR="00353946" w:rsidRPr="00353946" w:rsidRDefault="00353946" w:rsidP="00353946">
      <w:pPr>
        <w:spacing w:line="259" w:lineRule="auto"/>
        <w:rPr>
          <w:rFonts w:asciiTheme="majorHAnsi" w:eastAsia="Calibri" w:hAnsiTheme="majorHAnsi" w:cstheme="majorHAnsi"/>
          <w:bCs/>
          <w:sz w:val="22"/>
          <w:szCs w:val="22"/>
          <w:lang w:val="en-AU" w:eastAsia="en-US"/>
        </w:rPr>
      </w:pPr>
    </w:p>
    <w:p w14:paraId="41689271" w14:textId="5B10133C" w:rsidR="00353946" w:rsidRPr="00353946" w:rsidRDefault="00353946" w:rsidP="00353946">
      <w:pPr>
        <w:spacing w:line="259" w:lineRule="auto"/>
        <w:rPr>
          <w:rFonts w:asciiTheme="majorHAnsi" w:eastAsia="Calibri" w:hAnsiTheme="majorHAnsi" w:cstheme="majorHAnsi"/>
          <w:bCs/>
          <w:sz w:val="22"/>
          <w:szCs w:val="22"/>
          <w:lang w:val="en-AU" w:eastAsia="en-US"/>
        </w:rPr>
      </w:pPr>
      <w:r w:rsidRPr="00353946">
        <w:rPr>
          <w:rFonts w:asciiTheme="majorHAnsi" w:eastAsia="Calibri" w:hAnsiTheme="majorHAnsi" w:cstheme="majorHAnsi"/>
          <w:bCs/>
          <w:sz w:val="22"/>
          <w:szCs w:val="22"/>
          <w:lang w:val="en-AU" w:eastAsia="en-US"/>
        </w:rPr>
        <w:t>REMAP-CAP was supported in Canada but the Canadian Institutes of Health Research</w:t>
      </w:r>
      <w:r w:rsidR="0013269E">
        <w:rPr>
          <w:rFonts w:asciiTheme="majorHAnsi" w:eastAsia="Calibri" w:hAnsiTheme="majorHAnsi" w:cstheme="majorHAnsi"/>
          <w:bCs/>
          <w:sz w:val="22"/>
          <w:szCs w:val="22"/>
          <w:lang w:val="en-AU" w:eastAsia="en-US"/>
        </w:rPr>
        <w:t xml:space="preserve"> and </w:t>
      </w:r>
      <w:r w:rsidRPr="00353946">
        <w:rPr>
          <w:rFonts w:asciiTheme="majorHAnsi" w:eastAsia="Calibri" w:hAnsiTheme="majorHAnsi" w:cstheme="majorHAnsi"/>
          <w:bCs/>
          <w:sz w:val="22"/>
          <w:szCs w:val="22"/>
          <w:lang w:val="en-AU" w:eastAsia="en-US"/>
        </w:rPr>
        <w:t>St. Michael’s Unity Health</w:t>
      </w:r>
    </w:p>
    <w:p w14:paraId="63C6C9E6" w14:textId="77777777" w:rsidR="00353946" w:rsidRPr="00353946" w:rsidRDefault="00353946" w:rsidP="00353946">
      <w:pPr>
        <w:spacing w:line="259" w:lineRule="auto"/>
        <w:rPr>
          <w:rFonts w:asciiTheme="majorHAnsi" w:eastAsia="Calibri" w:hAnsiTheme="majorHAnsi" w:cstheme="majorHAnsi"/>
          <w:bCs/>
          <w:sz w:val="22"/>
          <w:szCs w:val="22"/>
          <w:lang w:val="en-AU" w:eastAsia="en-US"/>
        </w:rPr>
      </w:pPr>
    </w:p>
    <w:p w14:paraId="3ADC6F68" w14:textId="77777777" w:rsidR="00252CAB" w:rsidRPr="00353946" w:rsidRDefault="00252CAB" w:rsidP="009C2A20">
      <w:pPr>
        <w:spacing w:line="360" w:lineRule="auto"/>
        <w:rPr>
          <w:rFonts w:asciiTheme="majorHAnsi" w:eastAsia="Calibri" w:hAnsiTheme="majorHAnsi" w:cstheme="majorHAnsi"/>
          <w:bCs/>
          <w:sz w:val="22"/>
          <w:szCs w:val="22"/>
          <w:lang w:val="en-AU" w:eastAsia="en-US"/>
        </w:rPr>
      </w:pPr>
    </w:p>
    <w:p w14:paraId="35AAC086" w14:textId="77777777" w:rsidR="00252CAB" w:rsidRPr="00252CAB" w:rsidRDefault="00252CAB" w:rsidP="009C2A20">
      <w:pPr>
        <w:spacing w:line="360" w:lineRule="auto"/>
        <w:rPr>
          <w:rFonts w:asciiTheme="majorHAnsi" w:eastAsia="Calibri" w:hAnsiTheme="majorHAnsi" w:cstheme="majorHAnsi"/>
          <w:b/>
          <w:sz w:val="22"/>
          <w:szCs w:val="22"/>
          <w:lang w:val="en-AU" w:eastAsia="en-US"/>
        </w:rPr>
      </w:pPr>
      <w:bookmarkStart w:id="7" w:name="_Toc73456852"/>
      <w:r w:rsidRPr="00252CAB">
        <w:rPr>
          <w:rFonts w:asciiTheme="majorHAnsi" w:eastAsia="Calibri" w:hAnsiTheme="majorHAnsi" w:cstheme="majorHAnsi"/>
          <w:b/>
          <w:sz w:val="22"/>
          <w:szCs w:val="22"/>
          <w:lang w:val="en-AU" w:eastAsia="en-US"/>
        </w:rPr>
        <w:lastRenderedPageBreak/>
        <w:t>Site Investigators and Research Coordinators</w:t>
      </w:r>
      <w:bookmarkEnd w:id="7"/>
    </w:p>
    <w:p w14:paraId="72A8A30D" w14:textId="77777777" w:rsidR="00252CAB" w:rsidRPr="00252CAB" w:rsidRDefault="00252CAB" w:rsidP="009C2A20">
      <w:pPr>
        <w:spacing w:line="360" w:lineRule="auto"/>
        <w:rPr>
          <w:rFonts w:asciiTheme="majorHAnsi" w:eastAsia="Calibri" w:hAnsiTheme="majorHAnsi" w:cstheme="majorHAnsi"/>
          <w:b/>
          <w:i/>
          <w:iCs/>
          <w:sz w:val="22"/>
          <w:szCs w:val="22"/>
          <w:lang w:val="en-AU" w:eastAsia="en-US"/>
        </w:rPr>
      </w:pPr>
      <w:r w:rsidRPr="00252CAB">
        <w:rPr>
          <w:rFonts w:asciiTheme="majorHAnsi" w:eastAsia="Calibri" w:hAnsiTheme="majorHAnsi" w:cstheme="majorHAnsi"/>
          <w:b/>
          <w:i/>
          <w:iCs/>
          <w:sz w:val="22"/>
          <w:szCs w:val="22"/>
          <w:lang w:val="en-AU" w:eastAsia="en-US"/>
        </w:rPr>
        <w:t xml:space="preserve">Australia: </w:t>
      </w:r>
    </w:p>
    <w:p w14:paraId="4A8429C6"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The Alfred Hospital</w:t>
      </w:r>
      <w:r w:rsidRPr="00252CAB">
        <w:rPr>
          <w:rFonts w:asciiTheme="majorHAnsi" w:eastAsia="Calibri" w:hAnsiTheme="majorHAnsi" w:cstheme="majorHAnsi"/>
          <w:bCs/>
          <w:iCs/>
          <w:sz w:val="22"/>
          <w:szCs w:val="22"/>
          <w:lang w:val="en-AU" w:eastAsia="en-US"/>
        </w:rPr>
        <w:t xml:space="preserve">: Andrew Udy, Phoebe McCracken, Meredith Young, Jasmin Board, Emma Martin; </w:t>
      </w:r>
    </w:p>
    <w:p w14:paraId="4B437B1A"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Ballarat Health Services</w:t>
      </w:r>
      <w:r w:rsidRPr="00252CAB">
        <w:rPr>
          <w:rFonts w:asciiTheme="majorHAnsi" w:eastAsia="Calibri" w:hAnsiTheme="majorHAnsi" w:cstheme="majorHAnsi"/>
          <w:bCs/>
          <w:iCs/>
          <w:sz w:val="22"/>
          <w:szCs w:val="22"/>
          <w:lang w:val="en-AU" w:eastAsia="en-US"/>
        </w:rPr>
        <w:t>: Khaled El-Khawas, Angus Richardson, Dianne Hill, Robert J Commons, Hussam Abdelkharim;</w:t>
      </w:r>
    </w:p>
    <w:p w14:paraId="76D67D0B"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Bendigo Hospital</w:t>
      </w:r>
      <w:r w:rsidRPr="00252CAB">
        <w:rPr>
          <w:rFonts w:asciiTheme="majorHAnsi" w:eastAsia="Calibri" w:hAnsiTheme="majorHAnsi" w:cstheme="majorHAnsi"/>
          <w:bCs/>
          <w:iCs/>
          <w:sz w:val="22"/>
          <w:szCs w:val="22"/>
          <w:lang w:val="en-AU" w:eastAsia="en-US"/>
        </w:rPr>
        <w:t>: Cameron Knott, Julie Smith, Catherine Boschert;</w:t>
      </w:r>
    </w:p>
    <w:p w14:paraId="1D87FEB7"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Caboolture Hospital</w:t>
      </w:r>
      <w:r w:rsidRPr="00252CAB">
        <w:rPr>
          <w:rFonts w:asciiTheme="majorHAnsi" w:eastAsia="Calibri" w:hAnsiTheme="majorHAnsi" w:cstheme="majorHAnsi"/>
          <w:bCs/>
          <w:iCs/>
          <w:sz w:val="22"/>
          <w:szCs w:val="22"/>
          <w:lang w:val="en-AU" w:eastAsia="en-US"/>
        </w:rPr>
        <w:t>: Julia Affleck, Yogesh Apte, Umesh Subbanna, Roland Bartholdy, Thuy Frakking;</w:t>
      </w:r>
    </w:p>
    <w:p w14:paraId="054385BB"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Campbelltown Hospital</w:t>
      </w:r>
      <w:r w:rsidRPr="00252CAB">
        <w:rPr>
          <w:rFonts w:asciiTheme="majorHAnsi" w:eastAsia="Calibri" w:hAnsiTheme="majorHAnsi" w:cstheme="majorHAnsi"/>
          <w:bCs/>
          <w:iCs/>
          <w:sz w:val="22"/>
          <w:szCs w:val="22"/>
          <w:lang w:val="en-AU" w:eastAsia="en-US"/>
        </w:rPr>
        <w:t>: Karuna Keat, Deepak Bhonagiri, Ritesh Sanghavi, Jodie Nema, Megan Ford;</w:t>
      </w:r>
    </w:p>
    <w:p w14:paraId="0A6E02D8"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Canberra Hospital</w:t>
      </w:r>
      <w:r w:rsidRPr="00252CAB">
        <w:rPr>
          <w:rFonts w:asciiTheme="majorHAnsi" w:eastAsia="Calibri" w:hAnsiTheme="majorHAnsi" w:cstheme="majorHAnsi"/>
          <w:bCs/>
          <w:iCs/>
          <w:sz w:val="22"/>
          <w:szCs w:val="22"/>
          <w:lang w:val="en-AU" w:eastAsia="en-US"/>
        </w:rPr>
        <w:t>: Harshel G. Parikh, Bronwyn Avard, Mary Nourse;</w:t>
      </w:r>
    </w:p>
    <w:p w14:paraId="396FDCE1"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Concord Repatriation General Hospital</w:t>
      </w:r>
      <w:r w:rsidRPr="00252CAB">
        <w:rPr>
          <w:rFonts w:asciiTheme="majorHAnsi" w:eastAsia="Calibri" w:hAnsiTheme="majorHAnsi" w:cstheme="majorHAnsi"/>
          <w:bCs/>
          <w:iCs/>
          <w:sz w:val="22"/>
          <w:szCs w:val="22"/>
          <w:lang w:val="en-AU" w:eastAsia="en-US"/>
        </w:rPr>
        <w:t xml:space="preserve">: Winston Cheung, Mark Kol, Helen Wong, Asim Shah, Atul Wagh; </w:t>
      </w:r>
    </w:p>
    <w:p w14:paraId="1379775C"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Eastern Health (Box Hill, Maroondah &amp; Angliss Hospitals)</w:t>
      </w:r>
      <w:r w:rsidRPr="00252CAB">
        <w:rPr>
          <w:rFonts w:asciiTheme="majorHAnsi" w:eastAsia="Calibri" w:hAnsiTheme="majorHAnsi" w:cstheme="majorHAnsi"/>
          <w:bCs/>
          <w:iCs/>
          <w:sz w:val="22"/>
          <w:szCs w:val="22"/>
          <w:lang w:val="en-AU" w:eastAsia="en-US"/>
        </w:rPr>
        <w:t>: Joanna Simpson, Graeme Duke, Peter Chan, Brittney Carter, Stephanie Hunter;</w:t>
      </w:r>
    </w:p>
    <w:p w14:paraId="35E4D32C"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Flinders Medical Centre</w:t>
      </w:r>
      <w:r w:rsidRPr="00252CAB">
        <w:rPr>
          <w:rFonts w:asciiTheme="majorHAnsi" w:eastAsia="Calibri" w:hAnsiTheme="majorHAnsi" w:cstheme="majorHAnsi"/>
          <w:bCs/>
          <w:iCs/>
          <w:sz w:val="22"/>
          <w:szCs w:val="22"/>
          <w:lang w:val="en-AU" w:eastAsia="en-US"/>
        </w:rPr>
        <w:t>: Shailesh Bihari, Russell D Laver, Tapaswi Shrestha, Xia Jin;</w:t>
      </w:r>
    </w:p>
    <w:p w14:paraId="26861527"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Fiona Stanley Hospital</w:t>
      </w:r>
      <w:r w:rsidRPr="00252CAB">
        <w:rPr>
          <w:rFonts w:asciiTheme="majorHAnsi" w:eastAsia="Calibri" w:hAnsiTheme="majorHAnsi" w:cstheme="majorHAnsi"/>
          <w:bCs/>
          <w:iCs/>
          <w:sz w:val="22"/>
          <w:szCs w:val="22"/>
          <w:lang w:val="en-AU" w:eastAsia="en-US"/>
        </w:rPr>
        <w:t>: Edward Litton, Adrian Regli, Susan Pellicano, Annamaria Palermo, Ege Eroglu;</w:t>
      </w:r>
    </w:p>
    <w:p w14:paraId="00E64EAA"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Footscray Hospital</w:t>
      </w:r>
      <w:r w:rsidRPr="00252CAB">
        <w:rPr>
          <w:rFonts w:asciiTheme="majorHAnsi" w:eastAsia="Calibri" w:hAnsiTheme="majorHAnsi" w:cstheme="majorHAnsi"/>
          <w:bCs/>
          <w:iCs/>
          <w:sz w:val="22"/>
          <w:szCs w:val="22"/>
          <w:lang w:val="en-AU" w:eastAsia="en-US"/>
        </w:rPr>
        <w:t>: Craig French, Samantha Bates, Miriam Towns, Yang Yang, Forbes McGain;</w:t>
      </w:r>
    </w:p>
    <w:p w14:paraId="1E648CE7"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Gold Coast University Hospital</w:t>
      </w:r>
      <w:r w:rsidRPr="00252CAB">
        <w:rPr>
          <w:rFonts w:asciiTheme="majorHAnsi" w:eastAsia="Calibri" w:hAnsiTheme="majorHAnsi" w:cstheme="majorHAnsi"/>
          <w:bCs/>
          <w:iCs/>
          <w:sz w:val="22"/>
          <w:szCs w:val="22"/>
          <w:lang w:val="en-AU" w:eastAsia="en-US"/>
        </w:rPr>
        <w:t>: James McCullough, Mandy Tallott;</w:t>
      </w:r>
    </w:p>
    <w:p w14:paraId="127E35CA"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John Hunter Hospital</w:t>
      </w:r>
      <w:r w:rsidRPr="00252CAB">
        <w:rPr>
          <w:rFonts w:asciiTheme="majorHAnsi" w:eastAsia="Calibri" w:hAnsiTheme="majorHAnsi" w:cstheme="majorHAnsi"/>
          <w:bCs/>
          <w:iCs/>
          <w:sz w:val="22"/>
          <w:szCs w:val="22"/>
          <w:lang w:val="en-AU" w:eastAsia="en-US"/>
        </w:rPr>
        <w:t xml:space="preserve">: Nikhil Kumar, Rakshit Panwar, Gail Brinkerhoff, Cassandra Koppen, Federica Cazzola; </w:t>
      </w:r>
    </w:p>
    <w:p w14:paraId="0EE24A62" w14:textId="77777777" w:rsidR="00252CAB" w:rsidRPr="00252CAB" w:rsidRDefault="00252CAB" w:rsidP="009C2A20">
      <w:pPr>
        <w:spacing w:line="360" w:lineRule="auto"/>
        <w:rPr>
          <w:rFonts w:asciiTheme="majorHAnsi" w:eastAsia="Calibri" w:hAnsiTheme="majorHAnsi" w:cstheme="majorHAnsi"/>
          <w:bCs/>
          <w:sz w:val="22"/>
          <w:szCs w:val="22"/>
          <w:lang w:eastAsia="en-US"/>
        </w:rPr>
      </w:pPr>
      <w:r w:rsidRPr="00252CAB">
        <w:rPr>
          <w:rFonts w:asciiTheme="majorHAnsi" w:eastAsia="Calibri" w:hAnsiTheme="majorHAnsi" w:cstheme="majorHAnsi"/>
          <w:bCs/>
          <w:i/>
          <w:sz w:val="22"/>
          <w:szCs w:val="22"/>
          <w:lang w:val="en-AU" w:eastAsia="en-US"/>
        </w:rPr>
        <w:t>Launceston General Hospital</w:t>
      </w:r>
      <w:r w:rsidRPr="00252CAB">
        <w:rPr>
          <w:rFonts w:asciiTheme="majorHAnsi" w:eastAsia="Calibri" w:hAnsiTheme="majorHAnsi" w:cstheme="majorHAnsi"/>
          <w:bCs/>
          <w:iCs/>
          <w:sz w:val="22"/>
          <w:szCs w:val="22"/>
          <w:lang w:val="en-AU" w:eastAsia="en-US"/>
        </w:rPr>
        <w:t xml:space="preserve">: Matthew Brain; </w:t>
      </w:r>
      <w:r w:rsidRPr="00252CAB">
        <w:rPr>
          <w:rFonts w:asciiTheme="majorHAnsi" w:eastAsia="Calibri" w:hAnsiTheme="majorHAnsi" w:cstheme="majorHAnsi"/>
          <w:bCs/>
          <w:sz w:val="22"/>
          <w:szCs w:val="22"/>
          <w:lang w:eastAsia="en-US"/>
        </w:rPr>
        <w:t>Sarah Mineall;</w:t>
      </w:r>
    </w:p>
    <w:p w14:paraId="1A4C5214"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Lyell McEwin Hospital</w:t>
      </w:r>
      <w:r w:rsidRPr="00252CAB">
        <w:rPr>
          <w:rFonts w:asciiTheme="majorHAnsi" w:eastAsia="Calibri" w:hAnsiTheme="majorHAnsi" w:cstheme="majorHAnsi"/>
          <w:bCs/>
          <w:iCs/>
          <w:sz w:val="22"/>
          <w:szCs w:val="22"/>
          <w:lang w:val="en-AU" w:eastAsia="en-US"/>
        </w:rPr>
        <w:t>: Roy Fischer, Vishwanath Biradar, Natalie Soar;</w:t>
      </w:r>
    </w:p>
    <w:p w14:paraId="7CF59B7F"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Logan Hospital</w:t>
      </w:r>
      <w:r w:rsidRPr="00252CAB">
        <w:rPr>
          <w:rFonts w:asciiTheme="majorHAnsi" w:eastAsia="Calibri" w:hAnsiTheme="majorHAnsi" w:cstheme="majorHAnsi"/>
          <w:bCs/>
          <w:iCs/>
          <w:sz w:val="22"/>
          <w:szCs w:val="22"/>
          <w:lang w:val="en-AU" w:eastAsia="en-US"/>
        </w:rPr>
        <w:t>: Hayden White, Kristen Estensen, Lynette Morrison, Joanne Sutton, Melanie Cooper;</w:t>
      </w:r>
    </w:p>
    <w:p w14:paraId="755B519B"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Monash Health (Monash Medical Centre, Dandenong Hospital &amp; Casey Hospital):</w:t>
      </w:r>
      <w:r w:rsidRPr="00252CAB">
        <w:rPr>
          <w:rFonts w:asciiTheme="majorHAnsi" w:eastAsia="Calibri" w:hAnsiTheme="majorHAnsi" w:cstheme="majorHAnsi"/>
          <w:bCs/>
          <w:iCs/>
          <w:sz w:val="22"/>
          <w:szCs w:val="22"/>
          <w:lang w:val="en-AU" w:eastAsia="en-US"/>
        </w:rPr>
        <w:t xml:space="preserve"> Yahya Shehabi, Wisam Al-Bassam, Amanda Hulley; Umesh Kadam, Kushaharan Sathianathan;</w:t>
      </w:r>
    </w:p>
    <w:p w14:paraId="4B569048"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Nepean Hospital</w:t>
      </w:r>
      <w:r w:rsidRPr="00252CAB">
        <w:rPr>
          <w:rFonts w:asciiTheme="majorHAnsi" w:eastAsia="Calibri" w:hAnsiTheme="majorHAnsi" w:cstheme="majorHAnsi"/>
          <w:bCs/>
          <w:iCs/>
          <w:sz w:val="22"/>
          <w:szCs w:val="22"/>
          <w:lang w:val="en-AU" w:eastAsia="en-US"/>
        </w:rPr>
        <w:t>: Ian Seppelt, Christina Whitehead, Julie Lowrey, Rebecca Gresham, Kristy Masters;</w:t>
      </w:r>
    </w:p>
    <w:p w14:paraId="52EA066D"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Princess Alexandra Hospital</w:t>
      </w:r>
      <w:r w:rsidRPr="00252CAB">
        <w:rPr>
          <w:rFonts w:asciiTheme="majorHAnsi" w:eastAsia="Calibri" w:hAnsiTheme="majorHAnsi" w:cstheme="majorHAnsi"/>
          <w:bCs/>
          <w:iCs/>
          <w:sz w:val="22"/>
          <w:szCs w:val="22"/>
          <w:lang w:val="en-AU" w:eastAsia="en-US"/>
        </w:rPr>
        <w:t>: Peter Kruger, James Walsham, Mr Jason Meyer, Meg Harward, Ellen Venz;</w:t>
      </w:r>
    </w:p>
    <w:p w14:paraId="77056F7E"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The Prince Charles Hospital</w:t>
      </w:r>
      <w:r w:rsidRPr="00252CAB">
        <w:rPr>
          <w:rFonts w:asciiTheme="majorHAnsi" w:eastAsia="Calibri" w:hAnsiTheme="majorHAnsi" w:cstheme="majorHAnsi"/>
          <w:bCs/>
          <w:iCs/>
          <w:sz w:val="22"/>
          <w:szCs w:val="22"/>
          <w:lang w:val="en-AU" w:eastAsia="en-US"/>
        </w:rPr>
        <w:t>: Kara Brady, Cassandra Vale, Kiran Shekar, Jayshree Lavana, Dinesh Parmar;</w:t>
      </w:r>
    </w:p>
    <w:p w14:paraId="26932432"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The Queen Elizabeth Hospital</w:t>
      </w:r>
      <w:r w:rsidRPr="00252CAB">
        <w:rPr>
          <w:rFonts w:asciiTheme="majorHAnsi" w:eastAsia="Calibri" w:hAnsiTheme="majorHAnsi" w:cstheme="majorHAnsi"/>
          <w:bCs/>
          <w:iCs/>
          <w:sz w:val="22"/>
          <w:szCs w:val="22"/>
          <w:lang w:val="en-AU" w:eastAsia="en-US"/>
        </w:rPr>
        <w:t>: Sandra Peake, Patricia Williams, Catherine Kurenda;</w:t>
      </w:r>
    </w:p>
    <w:p w14:paraId="75E04988"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Rockhampton Hospital</w:t>
      </w:r>
      <w:r w:rsidRPr="00252CAB">
        <w:rPr>
          <w:rFonts w:asciiTheme="majorHAnsi" w:eastAsia="Calibri" w:hAnsiTheme="majorHAnsi" w:cstheme="majorHAnsi"/>
          <w:bCs/>
          <w:iCs/>
          <w:sz w:val="22"/>
          <w:szCs w:val="22"/>
          <w:lang w:val="en-AU" w:eastAsia="en-US"/>
        </w:rPr>
        <w:t>: Helen Miles, Antony Attokaran;</w:t>
      </w:r>
    </w:p>
    <w:p w14:paraId="3871EF87"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Royal Adelaide Hospital</w:t>
      </w:r>
      <w:r w:rsidRPr="00252CAB">
        <w:rPr>
          <w:rFonts w:asciiTheme="majorHAnsi" w:eastAsia="Calibri" w:hAnsiTheme="majorHAnsi" w:cstheme="majorHAnsi"/>
          <w:bCs/>
          <w:iCs/>
          <w:sz w:val="22"/>
          <w:szCs w:val="22"/>
          <w:lang w:val="en-AU" w:eastAsia="en-US"/>
        </w:rPr>
        <w:t>: Samuel Gluck, Stephanie O’Connor, Marianne Chapman, Kathleen Glasby;</w:t>
      </w:r>
    </w:p>
    <w:p w14:paraId="05FED11C"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Royal Darwin Hospital</w:t>
      </w:r>
      <w:r w:rsidRPr="00252CAB">
        <w:rPr>
          <w:rFonts w:asciiTheme="majorHAnsi" w:eastAsia="Calibri" w:hAnsiTheme="majorHAnsi" w:cstheme="majorHAnsi"/>
          <w:bCs/>
          <w:iCs/>
          <w:sz w:val="22"/>
          <w:szCs w:val="22"/>
          <w:lang w:val="en-AU" w:eastAsia="en-US"/>
        </w:rPr>
        <w:t>: Lewis Campbell, Kirsty Smyth, Margaret Phillips;</w:t>
      </w:r>
    </w:p>
    <w:p w14:paraId="1BA8C217"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lastRenderedPageBreak/>
        <w:t>Royal Melbourne Hospital</w:t>
      </w:r>
      <w:r w:rsidRPr="00252CAB">
        <w:rPr>
          <w:rFonts w:asciiTheme="majorHAnsi" w:eastAsia="Calibri" w:hAnsiTheme="majorHAnsi" w:cstheme="majorHAnsi"/>
          <w:bCs/>
          <w:iCs/>
          <w:sz w:val="22"/>
          <w:szCs w:val="22"/>
          <w:lang w:val="en-AU" w:eastAsia="en-US"/>
        </w:rPr>
        <w:t>: Jeffrey Presneill, Deborah Barge, Kathleen Byrne, Alana Driscoll, Louise Fortune;</w:t>
      </w:r>
    </w:p>
    <w:p w14:paraId="342AB88F"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Royal North Shore Hospital</w:t>
      </w:r>
      <w:r w:rsidRPr="00252CAB">
        <w:rPr>
          <w:rFonts w:asciiTheme="majorHAnsi" w:eastAsia="Calibri" w:hAnsiTheme="majorHAnsi" w:cstheme="majorHAnsi"/>
          <w:bCs/>
          <w:iCs/>
          <w:sz w:val="22"/>
          <w:szCs w:val="22"/>
          <w:lang w:val="en-AU" w:eastAsia="en-US"/>
        </w:rPr>
        <w:t>: Pierre Janin, Elizabeth Yarad, Frances Bass, Naomi Hammond, Anne O’Connor;</w:t>
      </w:r>
    </w:p>
    <w:p w14:paraId="65F7155F"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Royal Perth Hospital</w:t>
      </w:r>
      <w:r w:rsidRPr="00252CAB">
        <w:rPr>
          <w:rFonts w:asciiTheme="majorHAnsi" w:eastAsia="Calibri" w:hAnsiTheme="majorHAnsi" w:cstheme="majorHAnsi"/>
          <w:bCs/>
          <w:iCs/>
          <w:sz w:val="22"/>
          <w:szCs w:val="22"/>
          <w:lang w:val="en-AU" w:eastAsia="en-US"/>
        </w:rPr>
        <w:t>: Sharon Waterson, Steve Webb, Robert McNamara;</w:t>
      </w:r>
    </w:p>
    <w:p w14:paraId="52FBCC08"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Royal Prince Alfred Hospital</w:t>
      </w:r>
      <w:r w:rsidRPr="00252CAB">
        <w:rPr>
          <w:rFonts w:asciiTheme="majorHAnsi" w:eastAsia="Calibri" w:hAnsiTheme="majorHAnsi" w:cstheme="majorHAnsi"/>
          <w:bCs/>
          <w:iCs/>
          <w:sz w:val="22"/>
          <w:szCs w:val="22"/>
          <w:lang w:val="en-AU" w:eastAsia="en-US"/>
        </w:rPr>
        <w:t xml:space="preserve">: David Gattas, Heidi Buhr, Jennifer Coles; </w:t>
      </w:r>
    </w:p>
    <w:p w14:paraId="20CF25AD"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Sir Charles Gardiner Hospital</w:t>
      </w:r>
      <w:r w:rsidRPr="00252CAB">
        <w:rPr>
          <w:rFonts w:asciiTheme="majorHAnsi" w:eastAsia="Calibri" w:hAnsiTheme="majorHAnsi" w:cstheme="majorHAnsi"/>
          <w:bCs/>
          <w:iCs/>
          <w:sz w:val="22"/>
          <w:szCs w:val="22"/>
          <w:lang w:val="en-AU" w:eastAsia="en-US"/>
        </w:rPr>
        <w:t>: Sacha Schweikert, Bradley Wibrow, Matthew Anstey, Rashmi Rauniyar;</w:t>
      </w:r>
    </w:p>
    <w:p w14:paraId="45E51E5C"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St George Hospital</w:t>
      </w:r>
      <w:r w:rsidRPr="00252CAB">
        <w:rPr>
          <w:rFonts w:asciiTheme="majorHAnsi" w:eastAsia="Calibri" w:hAnsiTheme="majorHAnsi" w:cstheme="majorHAnsi"/>
          <w:bCs/>
          <w:iCs/>
          <w:sz w:val="22"/>
          <w:szCs w:val="22"/>
          <w:lang w:val="en-AU" w:eastAsia="en-US"/>
        </w:rPr>
        <w:t>: Kush Deshpande, Pam Konecny, Jennene Miller, Adeline Kintono, Raymond Tung</w:t>
      </w:r>
    </w:p>
    <w:p w14:paraId="01CA9853"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St. John of God Midland Public and Private Hospitals</w:t>
      </w:r>
      <w:r w:rsidRPr="00252CAB">
        <w:rPr>
          <w:rFonts w:asciiTheme="majorHAnsi" w:eastAsia="Calibri" w:hAnsiTheme="majorHAnsi" w:cstheme="majorHAnsi"/>
          <w:bCs/>
          <w:iCs/>
          <w:sz w:val="22"/>
          <w:szCs w:val="22"/>
          <w:lang w:val="en-AU" w:eastAsia="en-US"/>
        </w:rPr>
        <w:t>: Ed Fysh, Ashlish Dawda, Bhaumik Mevavala;</w:t>
      </w:r>
    </w:p>
    <w:p w14:paraId="54426704"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St. John of God Hospital, Murdoch</w:t>
      </w:r>
      <w:r w:rsidRPr="00252CAB">
        <w:rPr>
          <w:rFonts w:asciiTheme="majorHAnsi" w:eastAsia="Calibri" w:hAnsiTheme="majorHAnsi" w:cstheme="majorHAnsi"/>
          <w:bCs/>
          <w:iCs/>
          <w:sz w:val="22"/>
          <w:szCs w:val="22"/>
          <w:lang w:val="en-AU" w:eastAsia="en-US"/>
        </w:rPr>
        <w:t>: Annamaria Palermo, Adrian Regli, Bart De Keulenaer;</w:t>
      </w:r>
    </w:p>
    <w:p w14:paraId="1276ED82"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St. John of God Hospital, Subiaco</w:t>
      </w:r>
      <w:r w:rsidRPr="00252CAB">
        <w:rPr>
          <w:rFonts w:asciiTheme="majorHAnsi" w:eastAsia="Calibri" w:hAnsiTheme="majorHAnsi" w:cstheme="majorHAnsi"/>
          <w:bCs/>
          <w:iCs/>
          <w:sz w:val="22"/>
          <w:szCs w:val="22"/>
          <w:lang w:val="en-AU" w:eastAsia="en-US"/>
        </w:rPr>
        <w:t>: Ed Litton, Janet Ferrier;</w:t>
      </w:r>
    </w:p>
    <w:p w14:paraId="778251AA"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St. Vincent’s Hospital (NSW)</w:t>
      </w:r>
      <w:r w:rsidRPr="00252CAB">
        <w:rPr>
          <w:rFonts w:asciiTheme="majorHAnsi" w:eastAsia="Calibri" w:hAnsiTheme="majorHAnsi" w:cstheme="majorHAnsi"/>
          <w:bCs/>
          <w:iCs/>
          <w:sz w:val="22"/>
          <w:szCs w:val="22"/>
          <w:lang w:val="en-AU" w:eastAsia="en-US"/>
        </w:rPr>
        <w:t>: Priya Nair, Hergen Buscher, Claire Reynolds, Sally Newman;</w:t>
      </w:r>
    </w:p>
    <w:p w14:paraId="5D83E4DC"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St. Vincent’s Hospital (VIC)</w:t>
      </w:r>
      <w:r w:rsidRPr="00252CAB">
        <w:rPr>
          <w:rFonts w:asciiTheme="majorHAnsi" w:eastAsia="Calibri" w:hAnsiTheme="majorHAnsi" w:cstheme="majorHAnsi"/>
          <w:bCs/>
          <w:iCs/>
          <w:sz w:val="22"/>
          <w:szCs w:val="22"/>
          <w:lang w:val="en-AU" w:eastAsia="en-US"/>
        </w:rPr>
        <w:t>: John Santamaria, Leanne Barbazza, Jennifer Homes, Roger Smith;</w:t>
      </w:r>
    </w:p>
    <w:p w14:paraId="27EFC0BD"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Sunshine Coast University Hospital</w:t>
      </w:r>
      <w:r w:rsidRPr="00252CAB">
        <w:rPr>
          <w:rFonts w:asciiTheme="majorHAnsi" w:eastAsia="Calibri" w:hAnsiTheme="majorHAnsi" w:cstheme="majorHAnsi"/>
          <w:bCs/>
          <w:iCs/>
          <w:sz w:val="22"/>
          <w:szCs w:val="22"/>
          <w:lang w:val="en-AU" w:eastAsia="en-US"/>
        </w:rPr>
        <w:t>: Peter Garrett, Lauren Murray, Jane Brailsford, Loretta Forbes, Teena Maguire;</w:t>
      </w:r>
    </w:p>
    <w:p w14:paraId="33C1CCF5"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Sunshine Hospital</w:t>
      </w:r>
      <w:r w:rsidRPr="00252CAB">
        <w:rPr>
          <w:rFonts w:asciiTheme="majorHAnsi" w:eastAsia="Calibri" w:hAnsiTheme="majorHAnsi" w:cstheme="majorHAnsi"/>
          <w:bCs/>
          <w:iCs/>
          <w:sz w:val="22"/>
          <w:szCs w:val="22"/>
          <w:lang w:val="en-AU" w:eastAsia="en-US"/>
        </w:rPr>
        <w:t>: Craig French, Gerard Fennessy, John Mulder, Rebecca Morgan, Rebecca McEldrew;</w:t>
      </w:r>
    </w:p>
    <w:p w14:paraId="2CE0929F"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The Sutherland Hospital</w:t>
      </w:r>
      <w:r w:rsidRPr="00252CAB">
        <w:rPr>
          <w:rFonts w:asciiTheme="majorHAnsi" w:eastAsia="Calibri" w:hAnsiTheme="majorHAnsi" w:cstheme="majorHAnsi"/>
          <w:bCs/>
          <w:iCs/>
          <w:sz w:val="22"/>
          <w:szCs w:val="22"/>
          <w:lang w:val="en-AU" w:eastAsia="en-US"/>
        </w:rPr>
        <w:t>: Anas Naeem, Laura Fagan, Emily Ryan;</w:t>
      </w:r>
    </w:p>
    <w:p w14:paraId="3E659968"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Toowoomba Hospital</w:t>
      </w:r>
      <w:r w:rsidRPr="00252CAB">
        <w:rPr>
          <w:rFonts w:asciiTheme="majorHAnsi" w:eastAsia="Calibri" w:hAnsiTheme="majorHAnsi" w:cstheme="majorHAnsi"/>
          <w:bCs/>
          <w:iCs/>
          <w:sz w:val="22"/>
          <w:szCs w:val="22"/>
          <w:lang w:val="en-AU" w:eastAsia="en-US"/>
        </w:rPr>
        <w:t>: Vasanth Mariappa, Judith Smith;</w:t>
      </w:r>
    </w:p>
    <w:p w14:paraId="5ABAF4BC"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University Hospital Geelong</w:t>
      </w:r>
      <w:r w:rsidRPr="00252CAB">
        <w:rPr>
          <w:rFonts w:asciiTheme="majorHAnsi" w:eastAsia="Calibri" w:hAnsiTheme="majorHAnsi" w:cstheme="majorHAnsi"/>
          <w:bCs/>
          <w:iCs/>
          <w:sz w:val="22"/>
          <w:szCs w:val="22"/>
          <w:lang w:val="en-AU" w:eastAsia="en-US"/>
        </w:rPr>
        <w:t>: Scott Simpson, Matthew Maiden, Allison Bone, Michelle Horton, Tania Salerno;</w:t>
      </w:r>
    </w:p>
    <w:p w14:paraId="514BB4DA"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Wollongong Hospital</w:t>
      </w:r>
      <w:r w:rsidRPr="00252CAB">
        <w:rPr>
          <w:rFonts w:asciiTheme="majorHAnsi" w:eastAsia="Calibri" w:hAnsiTheme="majorHAnsi" w:cstheme="majorHAnsi"/>
          <w:bCs/>
          <w:iCs/>
          <w:sz w:val="22"/>
          <w:szCs w:val="22"/>
          <w:lang w:val="en-AU" w:eastAsia="en-US"/>
        </w:rPr>
        <w:t xml:space="preserve">: Martin Sterba, Wenli Geng; </w:t>
      </w:r>
    </w:p>
    <w:p w14:paraId="6065DFE4" w14:textId="77777777" w:rsidR="00252CAB" w:rsidRPr="00252CAB" w:rsidRDefault="00252CAB" w:rsidP="009C2A20">
      <w:pPr>
        <w:spacing w:line="360" w:lineRule="auto"/>
        <w:rPr>
          <w:rFonts w:asciiTheme="majorHAnsi" w:eastAsia="Calibri" w:hAnsiTheme="majorHAnsi" w:cstheme="majorHAnsi"/>
          <w:bCs/>
          <w:sz w:val="22"/>
          <w:szCs w:val="22"/>
          <w:lang w:val="en-AU" w:eastAsia="en-US"/>
        </w:rPr>
      </w:pPr>
    </w:p>
    <w:p w14:paraId="3F4B1FB8" w14:textId="77777777" w:rsidR="00252CAB" w:rsidRPr="00252CAB" w:rsidRDefault="00252CAB" w:rsidP="009C2A20">
      <w:pPr>
        <w:spacing w:line="360" w:lineRule="auto"/>
        <w:rPr>
          <w:rFonts w:asciiTheme="majorHAnsi" w:eastAsia="Calibri" w:hAnsiTheme="majorHAnsi" w:cstheme="majorHAnsi"/>
          <w:b/>
          <w:i/>
          <w:sz w:val="22"/>
          <w:szCs w:val="22"/>
          <w:lang w:val="nl-NL" w:eastAsia="en-US"/>
        </w:rPr>
      </w:pPr>
      <w:r w:rsidRPr="00252CAB">
        <w:rPr>
          <w:rFonts w:asciiTheme="majorHAnsi" w:eastAsia="Calibri" w:hAnsiTheme="majorHAnsi" w:cstheme="majorHAnsi"/>
          <w:b/>
          <w:i/>
          <w:sz w:val="22"/>
          <w:szCs w:val="22"/>
          <w:lang w:val="nl-NL" w:eastAsia="en-US"/>
        </w:rPr>
        <w:t>Belgium:</w:t>
      </w:r>
    </w:p>
    <w:p w14:paraId="400CB348" w14:textId="77777777" w:rsidR="00252CAB" w:rsidRPr="00252CAB" w:rsidRDefault="00252CAB" w:rsidP="009C2A20">
      <w:pPr>
        <w:spacing w:line="360" w:lineRule="auto"/>
        <w:rPr>
          <w:rFonts w:asciiTheme="majorHAnsi" w:eastAsia="Calibri" w:hAnsiTheme="majorHAnsi" w:cstheme="majorHAnsi"/>
          <w:bCs/>
          <w:iCs/>
          <w:sz w:val="22"/>
          <w:szCs w:val="22"/>
          <w:lang w:val="nl-NL" w:eastAsia="en-US"/>
        </w:rPr>
      </w:pPr>
      <w:r w:rsidRPr="00252CAB">
        <w:rPr>
          <w:rFonts w:asciiTheme="majorHAnsi" w:eastAsia="Calibri" w:hAnsiTheme="majorHAnsi" w:cstheme="majorHAnsi"/>
          <w:bCs/>
          <w:i/>
          <w:sz w:val="22"/>
          <w:szCs w:val="22"/>
          <w:lang w:val="nl-NL" w:eastAsia="en-US"/>
        </w:rPr>
        <w:t>Ghent University Hospital</w:t>
      </w:r>
      <w:r w:rsidRPr="00252CAB">
        <w:rPr>
          <w:rFonts w:asciiTheme="majorHAnsi" w:eastAsia="Calibri" w:hAnsiTheme="majorHAnsi" w:cstheme="majorHAnsi"/>
          <w:bCs/>
          <w:iCs/>
          <w:sz w:val="22"/>
          <w:szCs w:val="22"/>
          <w:lang w:val="nl-NL" w:eastAsia="en-US"/>
        </w:rPr>
        <w:t>: Pieter Depuydt, Jan De Waele, Liesbet De Bus, Jan Fierens, Stephanie Bracke, Joris Vermassen, Daisy Vermeiren;</w:t>
      </w:r>
    </w:p>
    <w:p w14:paraId="4246980A" w14:textId="77777777" w:rsidR="00252CAB" w:rsidRPr="00252CAB" w:rsidRDefault="00252CAB" w:rsidP="009C2A20">
      <w:pPr>
        <w:spacing w:line="360" w:lineRule="auto"/>
        <w:rPr>
          <w:rFonts w:asciiTheme="majorHAnsi" w:eastAsia="Calibri" w:hAnsiTheme="majorHAnsi" w:cstheme="majorHAnsi"/>
          <w:bCs/>
          <w:sz w:val="22"/>
          <w:szCs w:val="22"/>
          <w:lang w:val="nl-NL" w:eastAsia="en-US"/>
        </w:rPr>
      </w:pPr>
    </w:p>
    <w:p w14:paraId="29438B08" w14:textId="77777777" w:rsidR="00252CAB" w:rsidRPr="00252CAB" w:rsidRDefault="00252CAB" w:rsidP="009C2A20">
      <w:pPr>
        <w:spacing w:line="360" w:lineRule="auto"/>
        <w:rPr>
          <w:rFonts w:asciiTheme="majorHAnsi" w:eastAsia="Calibri" w:hAnsiTheme="majorHAnsi" w:cstheme="majorHAnsi"/>
          <w:b/>
          <w:sz w:val="22"/>
          <w:szCs w:val="22"/>
          <w:lang w:val="fr-FR" w:eastAsia="en-US"/>
        </w:rPr>
      </w:pPr>
      <w:r w:rsidRPr="00252CAB">
        <w:rPr>
          <w:rFonts w:asciiTheme="majorHAnsi" w:eastAsia="Calibri" w:hAnsiTheme="majorHAnsi" w:cstheme="majorHAnsi"/>
          <w:b/>
          <w:i/>
          <w:iCs/>
          <w:sz w:val="22"/>
          <w:szCs w:val="22"/>
          <w:lang w:val="fr-FR" w:eastAsia="en-US"/>
        </w:rPr>
        <w:t>Canada</w:t>
      </w:r>
      <w:r w:rsidRPr="00252CAB">
        <w:rPr>
          <w:rFonts w:asciiTheme="majorHAnsi" w:eastAsia="Calibri" w:hAnsiTheme="majorHAnsi" w:cstheme="majorHAnsi"/>
          <w:b/>
          <w:sz w:val="22"/>
          <w:szCs w:val="22"/>
          <w:lang w:val="fr-FR" w:eastAsia="en-US"/>
        </w:rPr>
        <w:t>:</w:t>
      </w:r>
    </w:p>
    <w:p w14:paraId="1F396BC1" w14:textId="77777777" w:rsidR="00252CAB" w:rsidRPr="00252CAB" w:rsidRDefault="00252CAB" w:rsidP="009C2A20">
      <w:pPr>
        <w:spacing w:line="360" w:lineRule="auto"/>
        <w:rPr>
          <w:rFonts w:asciiTheme="majorHAnsi" w:eastAsia="Calibri" w:hAnsiTheme="majorHAnsi" w:cstheme="majorHAnsi"/>
          <w:bCs/>
          <w:sz w:val="22"/>
          <w:szCs w:val="22"/>
          <w:lang w:val="fr-FR" w:eastAsia="en-US"/>
        </w:rPr>
      </w:pPr>
      <w:r w:rsidRPr="00252CAB">
        <w:rPr>
          <w:rFonts w:asciiTheme="majorHAnsi" w:eastAsia="Calibri" w:hAnsiTheme="majorHAnsi" w:cstheme="majorHAnsi"/>
          <w:bCs/>
          <w:i/>
          <w:iCs/>
          <w:sz w:val="22"/>
          <w:szCs w:val="22"/>
          <w:lang w:val="fr-FR" w:eastAsia="en-US"/>
        </w:rPr>
        <w:t xml:space="preserve">Brantford General Hospital: </w:t>
      </w:r>
      <w:r w:rsidRPr="00252CAB">
        <w:rPr>
          <w:rFonts w:asciiTheme="majorHAnsi" w:eastAsia="Calibri" w:hAnsiTheme="majorHAnsi" w:cstheme="majorHAnsi"/>
          <w:bCs/>
          <w:sz w:val="22"/>
          <w:szCs w:val="22"/>
          <w:lang w:val="fr-FR" w:eastAsia="en-US"/>
        </w:rPr>
        <w:t>Brenda Reeve, William Dechert;</w:t>
      </w:r>
    </w:p>
    <w:p w14:paraId="78E78747" w14:textId="77777777" w:rsidR="00252CAB" w:rsidRPr="00252CAB" w:rsidRDefault="00252CAB" w:rsidP="009C2A20">
      <w:pPr>
        <w:spacing w:line="360" w:lineRule="auto"/>
        <w:rPr>
          <w:rFonts w:asciiTheme="majorHAnsi" w:eastAsia="Calibri" w:hAnsiTheme="majorHAnsi" w:cstheme="majorHAnsi"/>
          <w:bCs/>
          <w:sz w:val="22"/>
          <w:szCs w:val="22"/>
          <w:lang w:val="fr-BE" w:eastAsia="en-US"/>
        </w:rPr>
      </w:pPr>
      <w:r w:rsidRPr="00252CAB">
        <w:rPr>
          <w:rFonts w:asciiTheme="majorHAnsi" w:eastAsia="Calibri" w:hAnsiTheme="majorHAnsi" w:cstheme="majorHAnsi"/>
          <w:bCs/>
          <w:sz w:val="22"/>
          <w:szCs w:val="22"/>
          <w:lang w:val="fr-BE" w:eastAsia="en-US"/>
        </w:rPr>
        <w:t>Institut universitaire de cardiologie et de pneumologie de Québec: Francois Lellouche, Patricia Lizotte</w:t>
      </w:r>
    </w:p>
    <w:p w14:paraId="653DA986" w14:textId="77777777" w:rsidR="00252CAB" w:rsidRPr="00252CAB" w:rsidRDefault="00252CAB" w:rsidP="009C2A20">
      <w:pPr>
        <w:spacing w:line="360" w:lineRule="auto"/>
        <w:rPr>
          <w:rFonts w:asciiTheme="majorHAnsi" w:eastAsia="Calibri" w:hAnsiTheme="majorHAnsi" w:cstheme="majorHAnsi"/>
          <w:bCs/>
          <w:sz w:val="22"/>
          <w:szCs w:val="22"/>
          <w:lang w:val="fr-BE" w:eastAsia="en-US"/>
        </w:rPr>
      </w:pPr>
      <w:r w:rsidRPr="00252CAB">
        <w:rPr>
          <w:rFonts w:asciiTheme="majorHAnsi" w:eastAsia="Calibri" w:hAnsiTheme="majorHAnsi" w:cstheme="majorHAnsi"/>
          <w:bCs/>
          <w:i/>
          <w:iCs/>
          <w:sz w:val="22"/>
          <w:szCs w:val="22"/>
          <w:lang w:val="fr-BE" w:eastAsia="en-US"/>
        </w:rPr>
        <w:t>Centre Hospitalier de l’Universite de Montreal:</w:t>
      </w:r>
      <w:r w:rsidRPr="00252CAB">
        <w:rPr>
          <w:rFonts w:asciiTheme="majorHAnsi" w:eastAsia="Calibri" w:hAnsiTheme="majorHAnsi" w:cstheme="majorHAnsi"/>
          <w:bCs/>
          <w:sz w:val="22"/>
          <w:szCs w:val="22"/>
          <w:lang w:val="fr-BE" w:eastAsia="en-US"/>
        </w:rPr>
        <w:t xml:space="preserve"> Michaël Chassé, François Martin Carrier, Dounia Boumahni, Fatna Benettaib, Ali Ghamraoui;</w:t>
      </w:r>
    </w:p>
    <w:p w14:paraId="099D67E7" w14:textId="77777777" w:rsidR="00252CAB" w:rsidRPr="00252CAB" w:rsidRDefault="00252CAB" w:rsidP="009C2A20">
      <w:pPr>
        <w:spacing w:line="360" w:lineRule="auto"/>
        <w:rPr>
          <w:rFonts w:asciiTheme="majorHAnsi" w:eastAsia="Calibri" w:hAnsiTheme="majorHAnsi" w:cstheme="majorHAnsi"/>
          <w:bCs/>
          <w:sz w:val="22"/>
          <w:szCs w:val="22"/>
          <w:lang w:val="fr-BE" w:eastAsia="en-US"/>
        </w:rPr>
      </w:pPr>
      <w:r w:rsidRPr="00252CAB">
        <w:rPr>
          <w:rFonts w:asciiTheme="majorHAnsi" w:eastAsia="Calibri" w:hAnsiTheme="majorHAnsi" w:cstheme="majorHAnsi"/>
          <w:bCs/>
          <w:i/>
          <w:iCs/>
          <w:sz w:val="22"/>
          <w:szCs w:val="22"/>
          <w:lang w:val="fr-CA" w:eastAsia="en-US"/>
        </w:rPr>
        <w:t>CHU de Québec – Université Laval</w:t>
      </w:r>
      <w:r w:rsidRPr="00252CAB">
        <w:rPr>
          <w:rFonts w:asciiTheme="majorHAnsi" w:eastAsia="Calibri" w:hAnsiTheme="majorHAnsi" w:cstheme="majorHAnsi"/>
          <w:bCs/>
          <w:sz w:val="22"/>
          <w:szCs w:val="22"/>
          <w:lang w:val="fr-CA" w:eastAsia="en-US"/>
        </w:rPr>
        <w:t xml:space="preserve">: </w:t>
      </w:r>
      <w:r w:rsidRPr="00252CAB">
        <w:rPr>
          <w:rFonts w:asciiTheme="majorHAnsi" w:eastAsia="Calibri" w:hAnsiTheme="majorHAnsi" w:cstheme="majorHAnsi"/>
          <w:bCs/>
          <w:sz w:val="22"/>
          <w:szCs w:val="22"/>
          <w:lang w:val="fr-BE" w:eastAsia="en-US"/>
        </w:rPr>
        <w:t>Alexis Turgeon, David Bellemare, Marie-Claude Boulanger, Ève Cloutier, Olivier Costerousse, Rana Daher, François Lauzier, Charles Francoeur;</w:t>
      </w:r>
    </w:p>
    <w:p w14:paraId="76A7C3CF" w14:textId="77777777" w:rsidR="00252CAB" w:rsidRPr="00252CAB" w:rsidRDefault="00252CAB" w:rsidP="009C2A20">
      <w:pPr>
        <w:spacing w:line="360" w:lineRule="auto"/>
        <w:rPr>
          <w:rFonts w:asciiTheme="majorHAnsi" w:eastAsia="Calibri" w:hAnsiTheme="majorHAnsi" w:cstheme="majorHAnsi"/>
          <w:bCs/>
          <w:sz w:val="22"/>
          <w:szCs w:val="22"/>
          <w:lang w:val="fr-BE" w:eastAsia="en-US"/>
        </w:rPr>
      </w:pPr>
      <w:r w:rsidRPr="00252CAB">
        <w:rPr>
          <w:rFonts w:asciiTheme="majorHAnsi" w:eastAsia="Calibri" w:hAnsiTheme="majorHAnsi" w:cstheme="majorHAnsi"/>
          <w:bCs/>
          <w:i/>
          <w:iCs/>
          <w:sz w:val="22"/>
          <w:szCs w:val="22"/>
          <w:lang w:val="fr-BE" w:eastAsia="en-US"/>
        </w:rPr>
        <w:lastRenderedPageBreak/>
        <w:t xml:space="preserve">Centre Hospitalier Universitaire de Sherbrooke: </w:t>
      </w:r>
      <w:r w:rsidRPr="00252CAB">
        <w:rPr>
          <w:rFonts w:asciiTheme="majorHAnsi" w:eastAsia="Calibri" w:hAnsiTheme="majorHAnsi" w:cstheme="majorHAnsi"/>
          <w:bCs/>
          <w:sz w:val="22"/>
          <w:szCs w:val="22"/>
          <w:lang w:val="fr-BE" w:eastAsia="en-US"/>
        </w:rPr>
        <w:t>François Lamontagne, Frédérick D’Aragon, Elaine Carbonneau, Julie Leblond;</w:t>
      </w:r>
    </w:p>
    <w:p w14:paraId="1D0FD390" w14:textId="77777777" w:rsidR="00252CAB" w:rsidRPr="00252CAB" w:rsidRDefault="00252CAB" w:rsidP="009C2A20">
      <w:pPr>
        <w:spacing w:line="360" w:lineRule="auto"/>
        <w:rPr>
          <w:rFonts w:asciiTheme="majorHAnsi" w:eastAsia="Calibri" w:hAnsiTheme="majorHAnsi" w:cstheme="majorHAnsi"/>
          <w:bCs/>
          <w:sz w:val="22"/>
          <w:szCs w:val="22"/>
          <w:lang w:val="fr-BE" w:eastAsia="en-US"/>
        </w:rPr>
      </w:pPr>
      <w:r w:rsidRPr="00252CAB">
        <w:rPr>
          <w:rFonts w:asciiTheme="majorHAnsi" w:eastAsia="Calibri" w:hAnsiTheme="majorHAnsi" w:cstheme="majorHAnsi"/>
          <w:bCs/>
          <w:sz w:val="22"/>
          <w:szCs w:val="22"/>
          <w:lang w:val="fr-BE" w:eastAsia="en-US"/>
        </w:rPr>
        <w:t>Grace Hospital: Gloria Vazquez-Grande, Nicole Marten</w:t>
      </w:r>
    </w:p>
    <w:p w14:paraId="0333FC6E" w14:textId="77777777" w:rsidR="00252CAB" w:rsidRPr="00252CAB" w:rsidRDefault="00252CAB" w:rsidP="009C2A20">
      <w:pPr>
        <w:spacing w:line="360" w:lineRule="auto"/>
        <w:rPr>
          <w:rFonts w:asciiTheme="majorHAnsi" w:eastAsia="Calibri" w:hAnsiTheme="majorHAnsi" w:cstheme="majorHAnsi"/>
          <w:bCs/>
          <w:sz w:val="22"/>
          <w:szCs w:val="22"/>
          <w:lang w:val="fr-BE" w:eastAsia="en-US"/>
        </w:rPr>
      </w:pPr>
      <w:r w:rsidRPr="00252CAB">
        <w:rPr>
          <w:rFonts w:asciiTheme="majorHAnsi" w:eastAsia="Calibri" w:hAnsiTheme="majorHAnsi" w:cstheme="majorHAnsi"/>
          <w:bCs/>
          <w:sz w:val="22"/>
          <w:szCs w:val="22"/>
          <w:lang w:val="fr-BE" w:eastAsia="en-US"/>
        </w:rPr>
        <w:t>Grand River Hospital (Kitchener): Theresa Liu, Atif Siddiqui</w:t>
      </w:r>
    </w:p>
    <w:p w14:paraId="7C67B584" w14:textId="77777777" w:rsidR="00252CAB" w:rsidRPr="00252CAB" w:rsidRDefault="00252CAB" w:rsidP="009C2A20">
      <w:pPr>
        <w:spacing w:line="360" w:lineRule="auto"/>
        <w:rPr>
          <w:rFonts w:asciiTheme="majorHAnsi" w:eastAsia="Calibri" w:hAnsiTheme="majorHAnsi" w:cstheme="majorHAnsi"/>
          <w:bCs/>
          <w:sz w:val="22"/>
          <w:szCs w:val="22"/>
          <w:lang w:val="fr-BE" w:eastAsia="en-US"/>
        </w:rPr>
      </w:pPr>
      <w:r w:rsidRPr="00252CAB">
        <w:rPr>
          <w:rFonts w:asciiTheme="majorHAnsi" w:eastAsia="Calibri" w:hAnsiTheme="majorHAnsi" w:cstheme="majorHAnsi"/>
          <w:bCs/>
          <w:i/>
          <w:iCs/>
          <w:sz w:val="22"/>
          <w:szCs w:val="22"/>
          <w:lang w:val="fr-BE" w:eastAsia="en-US"/>
        </w:rPr>
        <w:t>Health Sciences Centre, Winnipeg:</w:t>
      </w:r>
      <w:r w:rsidRPr="00252CAB">
        <w:rPr>
          <w:rFonts w:asciiTheme="majorHAnsi" w:eastAsia="Calibri" w:hAnsiTheme="majorHAnsi" w:cstheme="majorHAnsi"/>
          <w:bCs/>
          <w:sz w:val="22"/>
          <w:szCs w:val="22"/>
          <w:lang w:val="fr-BE" w:eastAsia="en-US"/>
        </w:rPr>
        <w:t xml:space="preserve"> Ryan Zarychanski, Gloria Vazquez-Grande, Nicole Marten, RN, Maggie Wilson;</w:t>
      </w:r>
    </w:p>
    <w:p w14:paraId="31AB7394" w14:textId="77777777" w:rsidR="00252CAB" w:rsidRPr="00252CAB" w:rsidRDefault="00252CAB" w:rsidP="009C2A20">
      <w:pPr>
        <w:spacing w:line="360" w:lineRule="auto"/>
        <w:rPr>
          <w:rFonts w:asciiTheme="majorHAnsi" w:eastAsia="Calibri" w:hAnsiTheme="majorHAnsi" w:cstheme="majorHAnsi"/>
          <w:bCs/>
          <w:sz w:val="22"/>
          <w:szCs w:val="22"/>
          <w:lang w:val="fr-BE" w:eastAsia="en-US"/>
        </w:rPr>
      </w:pPr>
      <w:r w:rsidRPr="00252CAB">
        <w:rPr>
          <w:rFonts w:asciiTheme="majorHAnsi" w:eastAsia="Calibri" w:hAnsiTheme="majorHAnsi" w:cstheme="majorHAnsi"/>
          <w:bCs/>
          <w:i/>
          <w:iCs/>
          <w:sz w:val="22"/>
          <w:szCs w:val="22"/>
          <w:lang w:val="fr-CA" w:eastAsia="en-US"/>
        </w:rPr>
        <w:t>Hôpital du Sacré Coeur de Montréal:</w:t>
      </w:r>
      <w:r w:rsidRPr="00252CAB">
        <w:rPr>
          <w:rFonts w:asciiTheme="majorHAnsi" w:eastAsia="Calibri" w:hAnsiTheme="majorHAnsi" w:cstheme="majorHAnsi"/>
          <w:bCs/>
          <w:sz w:val="22"/>
          <w:szCs w:val="22"/>
          <w:lang w:val="fr-CA" w:eastAsia="en-US"/>
        </w:rPr>
        <w:t xml:space="preserve"> </w:t>
      </w:r>
      <w:r w:rsidRPr="00252CAB">
        <w:rPr>
          <w:rFonts w:asciiTheme="majorHAnsi" w:eastAsia="Calibri" w:hAnsiTheme="majorHAnsi" w:cstheme="majorHAnsi"/>
          <w:bCs/>
          <w:sz w:val="22"/>
          <w:szCs w:val="22"/>
          <w:lang w:val="fr-BE" w:eastAsia="en-US"/>
        </w:rPr>
        <w:t>Martin Albert, Karim Serri, Alexandros Cavayas, Mathilde Duplaix, Virginie Williams;</w:t>
      </w:r>
    </w:p>
    <w:p w14:paraId="197DD174" w14:textId="77777777" w:rsidR="00252CAB" w:rsidRPr="00252CAB" w:rsidRDefault="00252CAB" w:rsidP="009C2A20">
      <w:pPr>
        <w:spacing w:line="360" w:lineRule="auto"/>
        <w:rPr>
          <w:rFonts w:asciiTheme="majorHAnsi" w:eastAsia="Calibri" w:hAnsiTheme="majorHAnsi" w:cstheme="majorHAnsi"/>
          <w:bCs/>
          <w:sz w:val="22"/>
          <w:szCs w:val="22"/>
          <w:lang w:val="en-AU" w:eastAsia="en-US"/>
        </w:rPr>
      </w:pPr>
      <w:r w:rsidRPr="00252CAB">
        <w:rPr>
          <w:rFonts w:asciiTheme="majorHAnsi" w:eastAsia="Calibri" w:hAnsiTheme="majorHAnsi" w:cstheme="majorHAnsi"/>
          <w:bCs/>
          <w:i/>
          <w:iCs/>
          <w:sz w:val="22"/>
          <w:szCs w:val="22"/>
          <w:lang w:val="en-AU" w:eastAsia="en-US"/>
        </w:rPr>
        <w:t xml:space="preserve">Juravinski Hospital: </w:t>
      </w:r>
      <w:r w:rsidRPr="00252CAB">
        <w:rPr>
          <w:rFonts w:asciiTheme="majorHAnsi" w:eastAsia="Calibri" w:hAnsiTheme="majorHAnsi" w:cstheme="majorHAnsi"/>
          <w:bCs/>
          <w:sz w:val="22"/>
          <w:szCs w:val="22"/>
          <w:lang w:val="en-AU" w:eastAsia="en-US"/>
        </w:rPr>
        <w:t>Bram Rochwerg, Tim Karachi, Simon Oczkowski, John Centofanti, Tina Millen</w:t>
      </w:r>
    </w:p>
    <w:p w14:paraId="0AD91D12" w14:textId="77777777" w:rsidR="00252CAB" w:rsidRPr="00252CAB" w:rsidRDefault="00252CAB" w:rsidP="009C2A20">
      <w:pPr>
        <w:spacing w:line="360" w:lineRule="auto"/>
        <w:rPr>
          <w:rFonts w:asciiTheme="majorHAnsi" w:eastAsia="Calibri" w:hAnsiTheme="majorHAnsi" w:cstheme="majorHAnsi"/>
          <w:bCs/>
          <w:sz w:val="22"/>
          <w:szCs w:val="22"/>
          <w:lang w:val="en-AU" w:eastAsia="en-US"/>
        </w:rPr>
      </w:pPr>
      <w:r w:rsidRPr="00252CAB">
        <w:rPr>
          <w:rFonts w:asciiTheme="majorHAnsi" w:eastAsia="Calibri" w:hAnsiTheme="majorHAnsi" w:cstheme="majorHAnsi"/>
          <w:bCs/>
          <w:sz w:val="22"/>
          <w:szCs w:val="22"/>
          <w:lang w:val="en-AU" w:eastAsia="en-US"/>
        </w:rPr>
        <w:t xml:space="preserve">McGill University Health Centre: Josie Campisi, Kosar Khwaja, </w:t>
      </w:r>
    </w:p>
    <w:p w14:paraId="463CEB6B" w14:textId="77777777" w:rsidR="00252CAB" w:rsidRPr="00252CAB" w:rsidRDefault="00252CAB" w:rsidP="009C2A20">
      <w:pPr>
        <w:spacing w:line="360" w:lineRule="auto"/>
        <w:rPr>
          <w:rFonts w:asciiTheme="majorHAnsi" w:eastAsia="Calibri" w:hAnsiTheme="majorHAnsi" w:cstheme="majorHAnsi"/>
          <w:bCs/>
          <w:sz w:val="22"/>
          <w:szCs w:val="22"/>
          <w:lang w:val="en-AU" w:eastAsia="en-US"/>
        </w:rPr>
      </w:pPr>
      <w:r w:rsidRPr="00252CAB">
        <w:rPr>
          <w:rFonts w:asciiTheme="majorHAnsi" w:eastAsia="Calibri" w:hAnsiTheme="majorHAnsi" w:cstheme="majorHAnsi"/>
          <w:bCs/>
          <w:i/>
          <w:iCs/>
          <w:sz w:val="22"/>
          <w:szCs w:val="22"/>
          <w:lang w:val="en-AU" w:eastAsia="en-US"/>
        </w:rPr>
        <w:t>Niagara Health (St. Catherine’s Hospital):</w:t>
      </w:r>
      <w:r w:rsidRPr="00252CAB">
        <w:rPr>
          <w:rFonts w:asciiTheme="majorHAnsi" w:eastAsia="Calibri" w:hAnsiTheme="majorHAnsi" w:cstheme="majorHAnsi"/>
          <w:bCs/>
          <w:sz w:val="22"/>
          <w:szCs w:val="22"/>
          <w:lang w:val="en-AU" w:eastAsia="en-US"/>
        </w:rPr>
        <w:t xml:space="preserve"> Erick Duan, Jennifer Tsang, Lisa Patterson;</w:t>
      </w:r>
    </w:p>
    <w:p w14:paraId="2A204456" w14:textId="6172DD20" w:rsidR="00252CAB" w:rsidRPr="00252CAB" w:rsidRDefault="00252CAB" w:rsidP="009C2A20">
      <w:pPr>
        <w:spacing w:line="360" w:lineRule="auto"/>
        <w:rPr>
          <w:rFonts w:asciiTheme="majorHAnsi" w:eastAsia="Calibri" w:hAnsiTheme="majorHAnsi" w:cstheme="majorHAnsi"/>
          <w:bCs/>
          <w:sz w:val="22"/>
          <w:szCs w:val="22"/>
          <w:lang w:val="en-AU" w:eastAsia="en-US"/>
        </w:rPr>
      </w:pPr>
      <w:r w:rsidRPr="00252CAB">
        <w:rPr>
          <w:rFonts w:asciiTheme="majorHAnsi" w:eastAsia="Calibri" w:hAnsiTheme="majorHAnsi" w:cstheme="majorHAnsi"/>
          <w:bCs/>
          <w:i/>
          <w:iCs/>
          <w:sz w:val="22"/>
          <w:szCs w:val="22"/>
          <w:lang w:val="en-AU" w:eastAsia="en-US"/>
        </w:rPr>
        <w:t>Regina General Hospital</w:t>
      </w:r>
      <w:r w:rsidRPr="00252CAB">
        <w:rPr>
          <w:rFonts w:asciiTheme="majorHAnsi" w:eastAsia="Calibri" w:hAnsiTheme="majorHAnsi" w:cstheme="majorHAnsi"/>
          <w:bCs/>
          <w:sz w:val="22"/>
          <w:szCs w:val="22"/>
          <w:lang w:val="en-AU" w:eastAsia="en-US"/>
        </w:rPr>
        <w:t>: Eric Sy, Chiraag Gupta, Sandy Kassir</w:t>
      </w:r>
      <w:r w:rsidR="00CC20EC">
        <w:rPr>
          <w:rFonts w:asciiTheme="majorHAnsi" w:hAnsiTheme="majorHAnsi" w:cstheme="majorHAnsi"/>
          <w:sz w:val="22"/>
          <w:szCs w:val="22"/>
          <w:lang w:val="en-AU"/>
        </w:rPr>
        <w:t xml:space="preserve">, </w:t>
      </w:r>
      <w:r w:rsidR="00CC20EC" w:rsidRPr="00245674">
        <w:rPr>
          <w:rFonts w:asciiTheme="majorHAnsi" w:hAnsiTheme="majorHAnsi" w:cstheme="majorHAnsi"/>
          <w:sz w:val="22"/>
          <w:szCs w:val="22"/>
        </w:rPr>
        <w:t>Jonathan Mailman</w:t>
      </w:r>
      <w:r w:rsidR="00CC20EC">
        <w:rPr>
          <w:rFonts w:asciiTheme="majorHAnsi" w:hAnsiTheme="majorHAnsi" w:cstheme="majorHAnsi"/>
          <w:sz w:val="22"/>
          <w:szCs w:val="22"/>
        </w:rPr>
        <w:t xml:space="preserve">, </w:t>
      </w:r>
      <w:r w:rsidR="00CC20EC" w:rsidRPr="00245674">
        <w:rPr>
          <w:rFonts w:asciiTheme="majorHAnsi" w:hAnsiTheme="majorHAnsi" w:cstheme="majorHAnsi"/>
          <w:sz w:val="22"/>
          <w:szCs w:val="22"/>
        </w:rPr>
        <w:t xml:space="preserve">Stephen Lee; </w:t>
      </w:r>
    </w:p>
    <w:p w14:paraId="32EA5044" w14:textId="77777777" w:rsidR="00252CAB" w:rsidRPr="00252CAB" w:rsidRDefault="00252CAB" w:rsidP="009C2A20">
      <w:pPr>
        <w:spacing w:line="360" w:lineRule="auto"/>
        <w:rPr>
          <w:rFonts w:asciiTheme="majorHAnsi" w:eastAsia="Calibri" w:hAnsiTheme="majorHAnsi" w:cstheme="majorHAnsi"/>
          <w:bCs/>
          <w:sz w:val="22"/>
          <w:szCs w:val="22"/>
          <w:lang w:val="en-AU" w:eastAsia="en-US"/>
        </w:rPr>
      </w:pPr>
      <w:r w:rsidRPr="00252CAB">
        <w:rPr>
          <w:rFonts w:asciiTheme="majorHAnsi" w:eastAsia="Calibri" w:hAnsiTheme="majorHAnsi" w:cstheme="majorHAnsi"/>
          <w:bCs/>
          <w:i/>
          <w:iCs/>
          <w:sz w:val="22"/>
          <w:szCs w:val="22"/>
          <w:lang w:val="en-AU" w:eastAsia="en-US"/>
        </w:rPr>
        <w:t>Royal Alexandra Hospital</w:t>
      </w:r>
      <w:r w:rsidRPr="00252CAB">
        <w:rPr>
          <w:rFonts w:asciiTheme="majorHAnsi" w:eastAsia="Calibri" w:hAnsiTheme="majorHAnsi" w:cstheme="majorHAnsi"/>
          <w:bCs/>
          <w:sz w:val="22"/>
          <w:szCs w:val="22"/>
          <w:lang w:val="en-AU" w:eastAsia="en-US"/>
        </w:rPr>
        <w:t>: Demetrios Kutsogiannis, Patricia Thompson</w:t>
      </w:r>
    </w:p>
    <w:p w14:paraId="6215FCF2" w14:textId="77777777" w:rsidR="00252CAB" w:rsidRPr="00252CAB" w:rsidRDefault="00252CAB" w:rsidP="009C2A20">
      <w:pPr>
        <w:spacing w:line="360" w:lineRule="auto"/>
        <w:rPr>
          <w:rFonts w:asciiTheme="majorHAnsi" w:eastAsia="Calibri" w:hAnsiTheme="majorHAnsi" w:cstheme="majorHAnsi"/>
          <w:bCs/>
          <w:sz w:val="22"/>
          <w:szCs w:val="22"/>
          <w:lang w:val="en-AU" w:eastAsia="en-US"/>
        </w:rPr>
      </w:pPr>
      <w:r w:rsidRPr="00252CAB">
        <w:rPr>
          <w:rFonts w:asciiTheme="majorHAnsi" w:eastAsia="Calibri" w:hAnsiTheme="majorHAnsi" w:cstheme="majorHAnsi"/>
          <w:bCs/>
          <w:i/>
          <w:iCs/>
          <w:sz w:val="22"/>
          <w:szCs w:val="22"/>
          <w:lang w:val="en-AU" w:eastAsia="en-US"/>
        </w:rPr>
        <w:t>Sunnybrook Health Sciences Centre</w:t>
      </w:r>
      <w:r w:rsidRPr="00252CAB">
        <w:rPr>
          <w:rFonts w:asciiTheme="majorHAnsi" w:eastAsia="Calibri" w:hAnsiTheme="majorHAnsi" w:cstheme="majorHAnsi"/>
          <w:bCs/>
          <w:sz w:val="22"/>
          <w:szCs w:val="22"/>
          <w:lang w:val="en-AU" w:eastAsia="en-US"/>
        </w:rPr>
        <w:t>: Rob Fowler, Neill Adhikari, Maneesha Kamra, Nicole Marinoff</w:t>
      </w:r>
    </w:p>
    <w:p w14:paraId="0095AB41" w14:textId="77777777" w:rsidR="00252CAB" w:rsidRPr="00252CAB" w:rsidRDefault="00252CAB" w:rsidP="009C2A20">
      <w:pPr>
        <w:spacing w:line="360" w:lineRule="auto"/>
        <w:rPr>
          <w:rFonts w:asciiTheme="majorHAnsi" w:eastAsia="Calibri" w:hAnsiTheme="majorHAnsi" w:cstheme="majorHAnsi"/>
          <w:bCs/>
          <w:sz w:val="22"/>
          <w:szCs w:val="22"/>
          <w:lang w:val="en-AU" w:eastAsia="en-US"/>
        </w:rPr>
      </w:pPr>
      <w:r w:rsidRPr="00252CAB">
        <w:rPr>
          <w:rFonts w:asciiTheme="majorHAnsi" w:eastAsia="Calibri" w:hAnsiTheme="majorHAnsi" w:cstheme="majorHAnsi"/>
          <w:bCs/>
          <w:i/>
          <w:iCs/>
          <w:sz w:val="22"/>
          <w:szCs w:val="22"/>
          <w:lang w:val="en-AU" w:eastAsia="en-US"/>
        </w:rPr>
        <w:t>St. Boniface General Hospital</w:t>
      </w:r>
      <w:r w:rsidRPr="00252CAB">
        <w:rPr>
          <w:rFonts w:asciiTheme="majorHAnsi" w:eastAsia="Calibri" w:hAnsiTheme="majorHAnsi" w:cstheme="majorHAnsi"/>
          <w:bCs/>
          <w:sz w:val="22"/>
          <w:szCs w:val="22"/>
          <w:lang w:val="en-AU" w:eastAsia="en-US"/>
        </w:rPr>
        <w:t>: Ryan Zarychanski, Nicole Marten</w:t>
      </w:r>
    </w:p>
    <w:p w14:paraId="08D7A034" w14:textId="77777777" w:rsidR="00252CAB" w:rsidRPr="00252CAB" w:rsidRDefault="00252CAB" w:rsidP="009C2A20">
      <w:pPr>
        <w:spacing w:line="360" w:lineRule="auto"/>
        <w:rPr>
          <w:rFonts w:asciiTheme="majorHAnsi" w:eastAsia="Calibri" w:hAnsiTheme="majorHAnsi" w:cstheme="majorHAnsi"/>
          <w:bCs/>
          <w:sz w:val="22"/>
          <w:szCs w:val="22"/>
          <w:lang w:val="en-AU" w:eastAsia="en-US"/>
        </w:rPr>
      </w:pPr>
      <w:r w:rsidRPr="00252CAB">
        <w:rPr>
          <w:rFonts w:asciiTheme="majorHAnsi" w:eastAsia="Calibri" w:hAnsiTheme="majorHAnsi" w:cstheme="majorHAnsi"/>
          <w:bCs/>
          <w:i/>
          <w:iCs/>
          <w:sz w:val="22"/>
          <w:szCs w:val="22"/>
          <w:lang w:val="en-AU" w:eastAsia="en-US"/>
        </w:rPr>
        <w:t>St. Joseph’s Healthcare Hamilton</w:t>
      </w:r>
      <w:r w:rsidRPr="00252CAB">
        <w:rPr>
          <w:rFonts w:asciiTheme="majorHAnsi" w:eastAsia="Calibri" w:hAnsiTheme="majorHAnsi" w:cstheme="majorHAnsi"/>
          <w:bCs/>
          <w:sz w:val="22"/>
          <w:szCs w:val="22"/>
          <w:lang w:val="en-AU" w:eastAsia="en-US"/>
        </w:rPr>
        <w:t>: Deborah Cook, Frances Clarke</w:t>
      </w:r>
    </w:p>
    <w:p w14:paraId="53299839" w14:textId="77777777" w:rsidR="00252CAB" w:rsidRPr="00252CAB" w:rsidRDefault="00252CAB" w:rsidP="009C2A20">
      <w:pPr>
        <w:spacing w:line="360" w:lineRule="auto"/>
        <w:rPr>
          <w:rFonts w:asciiTheme="majorHAnsi" w:eastAsia="Calibri" w:hAnsiTheme="majorHAnsi" w:cstheme="majorHAnsi"/>
          <w:bCs/>
          <w:sz w:val="22"/>
          <w:szCs w:val="22"/>
          <w:lang w:val="en-AU" w:eastAsia="en-US"/>
        </w:rPr>
      </w:pPr>
      <w:r w:rsidRPr="00252CAB">
        <w:rPr>
          <w:rFonts w:asciiTheme="majorHAnsi" w:eastAsia="Calibri" w:hAnsiTheme="majorHAnsi" w:cstheme="majorHAnsi"/>
          <w:bCs/>
          <w:i/>
          <w:iCs/>
          <w:sz w:val="22"/>
          <w:szCs w:val="22"/>
          <w:lang w:val="en-AU" w:eastAsia="en-US"/>
        </w:rPr>
        <w:t>St. Mary's General Hospital (Kitchener)</w:t>
      </w:r>
      <w:r w:rsidRPr="00252CAB">
        <w:rPr>
          <w:rFonts w:asciiTheme="majorHAnsi" w:eastAsia="Calibri" w:hAnsiTheme="majorHAnsi" w:cstheme="majorHAnsi"/>
          <w:bCs/>
          <w:sz w:val="22"/>
          <w:szCs w:val="22"/>
          <w:lang w:val="en-AU" w:eastAsia="en-US"/>
        </w:rPr>
        <w:t>: Rebecca Kruisselbrink, Atif Siddiqui</w:t>
      </w:r>
    </w:p>
    <w:p w14:paraId="7DC1A3EC" w14:textId="77777777" w:rsidR="00252CAB" w:rsidRPr="00252CAB" w:rsidRDefault="00252CAB" w:rsidP="009C2A20">
      <w:pPr>
        <w:spacing w:line="360" w:lineRule="auto"/>
        <w:rPr>
          <w:rFonts w:asciiTheme="majorHAnsi" w:eastAsia="Calibri" w:hAnsiTheme="majorHAnsi" w:cstheme="majorHAnsi"/>
          <w:bCs/>
          <w:sz w:val="22"/>
          <w:szCs w:val="22"/>
          <w:lang w:val="en-AU" w:eastAsia="en-US"/>
        </w:rPr>
      </w:pPr>
      <w:r w:rsidRPr="00252CAB">
        <w:rPr>
          <w:rFonts w:asciiTheme="majorHAnsi" w:eastAsia="Calibri" w:hAnsiTheme="majorHAnsi" w:cstheme="majorHAnsi"/>
          <w:bCs/>
          <w:i/>
          <w:iCs/>
          <w:sz w:val="22"/>
          <w:szCs w:val="22"/>
          <w:lang w:val="en-AU" w:eastAsia="en-US"/>
        </w:rPr>
        <w:t>St. Michael’s Hospital</w:t>
      </w:r>
      <w:r w:rsidRPr="00252CAB">
        <w:rPr>
          <w:rFonts w:asciiTheme="majorHAnsi" w:eastAsia="Calibri" w:hAnsiTheme="majorHAnsi" w:cstheme="majorHAnsi"/>
          <w:bCs/>
          <w:sz w:val="22"/>
          <w:szCs w:val="22"/>
          <w:lang w:val="en-AU" w:eastAsia="en-US"/>
        </w:rPr>
        <w:t>: John Marshall, Laurent Brochard, MD, Karen Burns, MD, Gyan Sandhu, Imrana Khalid;</w:t>
      </w:r>
    </w:p>
    <w:p w14:paraId="08BA9BC2" w14:textId="77777777" w:rsidR="00252CAB" w:rsidRPr="00252CAB" w:rsidRDefault="00252CAB" w:rsidP="009C2A20">
      <w:pPr>
        <w:spacing w:line="360" w:lineRule="auto"/>
        <w:rPr>
          <w:rFonts w:asciiTheme="majorHAnsi" w:eastAsia="Calibri" w:hAnsiTheme="majorHAnsi" w:cstheme="majorHAnsi"/>
          <w:bCs/>
          <w:sz w:val="22"/>
          <w:szCs w:val="22"/>
          <w:lang w:val="en-AU" w:eastAsia="en-US"/>
        </w:rPr>
      </w:pPr>
      <w:r w:rsidRPr="00252CAB">
        <w:rPr>
          <w:rFonts w:asciiTheme="majorHAnsi" w:eastAsia="Calibri" w:hAnsiTheme="majorHAnsi" w:cstheme="majorHAnsi"/>
          <w:bCs/>
          <w:i/>
          <w:iCs/>
          <w:sz w:val="22"/>
          <w:szCs w:val="22"/>
          <w:lang w:val="en-AU" w:eastAsia="en-US"/>
        </w:rPr>
        <w:t xml:space="preserve">The Ottawa Hospital: </w:t>
      </w:r>
      <w:r w:rsidRPr="00252CAB">
        <w:rPr>
          <w:rFonts w:asciiTheme="majorHAnsi" w:eastAsia="Calibri" w:hAnsiTheme="majorHAnsi" w:cstheme="majorHAnsi"/>
          <w:bCs/>
          <w:sz w:val="22"/>
          <w:szCs w:val="22"/>
          <w:lang w:val="en-AU" w:eastAsia="en-US"/>
        </w:rPr>
        <w:t>Shane English, Irene Watpool, Rebecca Porteous, Sydney Miezitis, Lauralyn McIntyre;</w:t>
      </w:r>
    </w:p>
    <w:p w14:paraId="79F6213D" w14:textId="77777777" w:rsidR="00252CAB" w:rsidRPr="00252CAB" w:rsidRDefault="00252CAB" w:rsidP="009C2A20">
      <w:pPr>
        <w:spacing w:line="360" w:lineRule="auto"/>
        <w:rPr>
          <w:rFonts w:asciiTheme="majorHAnsi" w:eastAsia="Calibri" w:hAnsiTheme="majorHAnsi" w:cstheme="majorHAnsi"/>
          <w:bCs/>
          <w:sz w:val="22"/>
          <w:szCs w:val="22"/>
          <w:lang w:val="en-AU" w:eastAsia="en-US"/>
        </w:rPr>
      </w:pPr>
      <w:r w:rsidRPr="00252CAB">
        <w:rPr>
          <w:rFonts w:asciiTheme="majorHAnsi" w:eastAsia="Calibri" w:hAnsiTheme="majorHAnsi" w:cstheme="majorHAnsi"/>
          <w:bCs/>
          <w:i/>
          <w:iCs/>
          <w:sz w:val="22"/>
          <w:szCs w:val="22"/>
          <w:lang w:val="en-AU" w:eastAsia="en-US"/>
        </w:rPr>
        <w:t>University Health Network:</w:t>
      </w:r>
      <w:r w:rsidRPr="00252CAB">
        <w:rPr>
          <w:rFonts w:asciiTheme="majorHAnsi" w:eastAsia="Calibri" w:hAnsiTheme="majorHAnsi" w:cstheme="majorHAnsi"/>
          <w:bCs/>
          <w:sz w:val="22"/>
          <w:szCs w:val="22"/>
          <w:lang w:val="en-AU" w:eastAsia="en-US"/>
        </w:rPr>
        <w:t xml:space="preserve"> Elizabeth Wilcox, Lorenzo del Sorbo, Hesham Abdelhady, Tina Romagnuolo</w:t>
      </w:r>
    </w:p>
    <w:p w14:paraId="7266111A" w14:textId="7F80977E" w:rsidR="00252CAB" w:rsidRPr="00252CAB" w:rsidRDefault="00252CAB" w:rsidP="009C2A20">
      <w:pPr>
        <w:spacing w:line="360" w:lineRule="auto"/>
        <w:rPr>
          <w:rFonts w:asciiTheme="majorHAnsi" w:eastAsia="Calibri" w:hAnsiTheme="majorHAnsi" w:cstheme="majorHAnsi"/>
          <w:bCs/>
          <w:sz w:val="22"/>
          <w:szCs w:val="22"/>
          <w:lang w:val="en-AU" w:eastAsia="en-US"/>
        </w:rPr>
      </w:pPr>
      <w:r w:rsidRPr="00252CAB">
        <w:rPr>
          <w:rFonts w:asciiTheme="majorHAnsi" w:eastAsia="Calibri" w:hAnsiTheme="majorHAnsi" w:cstheme="majorHAnsi"/>
          <w:bCs/>
          <w:i/>
          <w:iCs/>
          <w:sz w:val="22"/>
          <w:szCs w:val="22"/>
          <w:lang w:val="en-AU" w:eastAsia="en-US"/>
        </w:rPr>
        <w:t>University of Alberta:</w:t>
      </w:r>
      <w:r w:rsidRPr="00252CAB">
        <w:rPr>
          <w:rFonts w:asciiTheme="majorHAnsi" w:eastAsia="Calibri" w:hAnsiTheme="majorHAnsi" w:cstheme="majorHAnsi"/>
          <w:bCs/>
          <w:sz w:val="22"/>
          <w:szCs w:val="22"/>
          <w:lang w:val="en-AU" w:eastAsia="en-US"/>
        </w:rPr>
        <w:t xml:space="preserve"> Wendy Sligl, Nadia Baig</w:t>
      </w:r>
      <w:r w:rsidR="00CC20EC">
        <w:rPr>
          <w:rFonts w:asciiTheme="majorHAnsi" w:eastAsia="Calibri" w:hAnsiTheme="majorHAnsi" w:cstheme="majorHAnsi"/>
          <w:bCs/>
          <w:sz w:val="22"/>
          <w:szCs w:val="22"/>
          <w:lang w:val="en-AU" w:eastAsia="en-US"/>
        </w:rPr>
        <w:t xml:space="preserve">, </w:t>
      </w:r>
      <w:r w:rsidR="00CC20EC" w:rsidRPr="00CC20EC">
        <w:rPr>
          <w:rFonts w:asciiTheme="majorHAnsi" w:eastAsia="Calibri" w:hAnsiTheme="majorHAnsi" w:cstheme="majorHAnsi"/>
          <w:bCs/>
          <w:sz w:val="22"/>
          <w:szCs w:val="22"/>
          <w:lang w:val="en-AU" w:eastAsia="en-US"/>
        </w:rPr>
        <w:t>Oleksa Rewa</w:t>
      </w:r>
      <w:r w:rsidR="00CC20EC">
        <w:rPr>
          <w:rFonts w:asciiTheme="majorHAnsi" w:eastAsia="Calibri" w:hAnsiTheme="majorHAnsi" w:cstheme="majorHAnsi"/>
          <w:bCs/>
          <w:sz w:val="22"/>
          <w:szCs w:val="22"/>
          <w:lang w:val="en-AU" w:eastAsia="en-US"/>
        </w:rPr>
        <w:t xml:space="preserve">, </w:t>
      </w:r>
      <w:r w:rsidR="00CC20EC" w:rsidRPr="00CC20EC">
        <w:rPr>
          <w:rFonts w:asciiTheme="majorHAnsi" w:eastAsia="Calibri" w:hAnsiTheme="majorHAnsi" w:cstheme="majorHAnsi"/>
          <w:bCs/>
          <w:sz w:val="22"/>
          <w:szCs w:val="22"/>
          <w:lang w:val="en-AU" w:eastAsia="en-US"/>
        </w:rPr>
        <w:t>Sean Bagshaw</w:t>
      </w:r>
      <w:r w:rsidR="00CC20EC">
        <w:rPr>
          <w:rFonts w:asciiTheme="majorHAnsi" w:eastAsia="Calibri" w:hAnsiTheme="majorHAnsi" w:cstheme="majorHAnsi"/>
          <w:bCs/>
          <w:sz w:val="22"/>
          <w:szCs w:val="22"/>
          <w:lang w:val="en-AU" w:eastAsia="en-US"/>
        </w:rPr>
        <w:t>;</w:t>
      </w:r>
    </w:p>
    <w:p w14:paraId="50AAFAAB" w14:textId="7129A7B9" w:rsidR="00252CAB" w:rsidRPr="00252CAB" w:rsidRDefault="00252CAB" w:rsidP="009C2A20">
      <w:pPr>
        <w:spacing w:line="360" w:lineRule="auto"/>
        <w:rPr>
          <w:rFonts w:asciiTheme="majorHAnsi" w:eastAsia="Calibri" w:hAnsiTheme="majorHAnsi" w:cstheme="majorHAnsi"/>
          <w:bCs/>
          <w:sz w:val="22"/>
          <w:szCs w:val="22"/>
          <w:lang w:val="en-AU" w:eastAsia="en-US"/>
        </w:rPr>
      </w:pPr>
      <w:r w:rsidRPr="00252CAB">
        <w:rPr>
          <w:rFonts w:asciiTheme="majorHAnsi" w:eastAsia="Calibri" w:hAnsiTheme="majorHAnsi" w:cstheme="majorHAnsi"/>
          <w:bCs/>
          <w:i/>
          <w:iCs/>
          <w:sz w:val="22"/>
          <w:szCs w:val="22"/>
          <w:lang w:val="en-AU" w:eastAsia="en-US"/>
        </w:rPr>
        <w:t>William Osler Health System:</w:t>
      </w:r>
      <w:r w:rsidRPr="00252CAB">
        <w:rPr>
          <w:rFonts w:asciiTheme="majorHAnsi" w:eastAsia="Calibri" w:hAnsiTheme="majorHAnsi" w:cstheme="majorHAnsi"/>
          <w:bCs/>
          <w:sz w:val="22"/>
          <w:szCs w:val="22"/>
          <w:lang w:val="en-AU" w:eastAsia="en-US"/>
        </w:rPr>
        <w:t xml:space="preserve"> Alexandra Binnie, Elizabeth Powell, Alexandra McMillan, Tracy Luk, Noah Aref</w:t>
      </w:r>
      <w:r w:rsidR="008D13CE">
        <w:rPr>
          <w:rFonts w:asciiTheme="majorHAnsi" w:eastAsia="Calibri" w:hAnsiTheme="majorHAnsi" w:cstheme="majorHAnsi"/>
          <w:bCs/>
          <w:sz w:val="22"/>
          <w:szCs w:val="22"/>
          <w:lang w:val="en-AU" w:eastAsia="en-US"/>
        </w:rPr>
        <w:t>;</w:t>
      </w:r>
    </w:p>
    <w:p w14:paraId="6E4B7AD8" w14:textId="77777777" w:rsidR="00252CAB" w:rsidRPr="00252CAB" w:rsidRDefault="00252CAB" w:rsidP="009C2A20">
      <w:pPr>
        <w:spacing w:line="360" w:lineRule="auto"/>
        <w:rPr>
          <w:rFonts w:asciiTheme="majorHAnsi" w:eastAsia="Calibri" w:hAnsiTheme="majorHAnsi" w:cstheme="majorHAnsi"/>
          <w:bCs/>
          <w:sz w:val="22"/>
          <w:szCs w:val="22"/>
          <w:lang w:val="en-AU" w:eastAsia="en-US"/>
        </w:rPr>
      </w:pPr>
    </w:p>
    <w:p w14:paraId="60B49997" w14:textId="77777777" w:rsidR="00252CAB" w:rsidRPr="00252CAB" w:rsidRDefault="00252CAB" w:rsidP="009C2A20">
      <w:pPr>
        <w:spacing w:line="360" w:lineRule="auto"/>
        <w:rPr>
          <w:rFonts w:asciiTheme="majorHAnsi" w:eastAsia="Calibri" w:hAnsiTheme="majorHAnsi" w:cstheme="majorHAnsi"/>
          <w:b/>
          <w:i/>
          <w:sz w:val="22"/>
          <w:szCs w:val="22"/>
          <w:lang w:val="en-AU" w:eastAsia="en-US"/>
        </w:rPr>
      </w:pPr>
      <w:r w:rsidRPr="00252CAB">
        <w:rPr>
          <w:rFonts w:asciiTheme="majorHAnsi" w:eastAsia="Calibri" w:hAnsiTheme="majorHAnsi" w:cstheme="majorHAnsi"/>
          <w:b/>
          <w:i/>
          <w:sz w:val="22"/>
          <w:szCs w:val="22"/>
          <w:lang w:val="en-AU" w:eastAsia="en-US"/>
        </w:rPr>
        <w:t>Croatia:</w:t>
      </w:r>
    </w:p>
    <w:p w14:paraId="0B753011" w14:textId="77777777" w:rsidR="00252CAB" w:rsidRPr="00252CAB" w:rsidRDefault="00252CAB" w:rsidP="009C2A20">
      <w:pPr>
        <w:spacing w:line="360" w:lineRule="auto"/>
        <w:rPr>
          <w:rFonts w:asciiTheme="majorHAnsi" w:eastAsia="Calibri" w:hAnsiTheme="majorHAnsi" w:cstheme="majorHAnsi"/>
          <w:bCs/>
          <w:i/>
          <w:sz w:val="22"/>
          <w:szCs w:val="22"/>
          <w:lang w:val="en-AU" w:eastAsia="en-US"/>
        </w:rPr>
      </w:pPr>
      <w:r w:rsidRPr="00252CAB">
        <w:rPr>
          <w:rFonts w:asciiTheme="majorHAnsi" w:eastAsia="Calibri" w:hAnsiTheme="majorHAnsi" w:cstheme="majorHAnsi"/>
          <w:bCs/>
          <w:i/>
          <w:sz w:val="22"/>
          <w:szCs w:val="22"/>
          <w:lang w:val="en-AU" w:eastAsia="en-US"/>
        </w:rPr>
        <w:t>General Hospital Pozega</w:t>
      </w:r>
      <w:r w:rsidRPr="00252CAB">
        <w:rPr>
          <w:rFonts w:asciiTheme="majorHAnsi" w:eastAsia="Calibri" w:hAnsiTheme="majorHAnsi" w:cstheme="majorHAnsi"/>
          <w:bCs/>
          <w:iCs/>
          <w:sz w:val="22"/>
          <w:szCs w:val="22"/>
          <w:lang w:val="en-AU" w:eastAsia="en-US"/>
        </w:rPr>
        <w:t xml:space="preserve">: Zdravko Andric, Sabina Cviljevic, </w:t>
      </w:r>
      <w:r w:rsidRPr="00252CAB">
        <w:rPr>
          <w:rFonts w:asciiTheme="majorHAnsi" w:eastAsia="Calibri" w:hAnsiTheme="majorHAnsi" w:cstheme="majorHAnsi"/>
          <w:bCs/>
          <w:iCs/>
          <w:sz w:val="22"/>
          <w:szCs w:val="22"/>
          <w:lang w:val="en-US" w:eastAsia="en-US"/>
        </w:rPr>
        <w:t xml:space="preserve">Renata Đimoti, </w:t>
      </w:r>
      <w:r w:rsidRPr="00252CAB">
        <w:rPr>
          <w:rFonts w:asciiTheme="majorHAnsi" w:eastAsia="Calibri" w:hAnsiTheme="majorHAnsi" w:cstheme="majorHAnsi"/>
          <w:bCs/>
          <w:iCs/>
          <w:sz w:val="22"/>
          <w:szCs w:val="22"/>
          <w:lang w:val="en-AU" w:eastAsia="en-US"/>
        </w:rPr>
        <w:t xml:space="preserve">Marija Zapalac, Gordan </w:t>
      </w:r>
      <w:r w:rsidRPr="00252CAB">
        <w:rPr>
          <w:rFonts w:asciiTheme="majorHAnsi" w:eastAsia="Calibri" w:hAnsiTheme="majorHAnsi" w:cstheme="majorHAnsi"/>
          <w:bCs/>
          <w:i/>
          <w:sz w:val="22"/>
          <w:szCs w:val="22"/>
          <w:lang w:val="en-AU" w:eastAsia="en-US"/>
        </w:rPr>
        <w:t xml:space="preserve">Mirković; </w:t>
      </w:r>
    </w:p>
    <w:p w14:paraId="29C1B978" w14:textId="77777777" w:rsidR="00252CAB" w:rsidRPr="00252CAB" w:rsidRDefault="00252CAB" w:rsidP="009C2A20">
      <w:pPr>
        <w:spacing w:line="360" w:lineRule="auto"/>
        <w:rPr>
          <w:rFonts w:asciiTheme="majorHAnsi" w:eastAsia="Calibri" w:hAnsiTheme="majorHAnsi" w:cstheme="majorHAnsi"/>
          <w:bCs/>
          <w:sz w:val="22"/>
          <w:szCs w:val="22"/>
          <w:lang w:eastAsia="en-US"/>
        </w:rPr>
      </w:pPr>
      <w:r w:rsidRPr="00252CAB">
        <w:rPr>
          <w:rFonts w:asciiTheme="majorHAnsi" w:eastAsia="Calibri" w:hAnsiTheme="majorHAnsi" w:cstheme="majorHAnsi"/>
          <w:bCs/>
          <w:i/>
          <w:sz w:val="22"/>
          <w:szCs w:val="22"/>
          <w:lang w:val="en-AU" w:eastAsia="en-US"/>
        </w:rPr>
        <w:t>University Hospital of Infectious Diseases “Dr Fran Milhajevid”</w:t>
      </w:r>
      <w:r w:rsidRPr="00252CAB">
        <w:rPr>
          <w:rFonts w:asciiTheme="majorHAnsi" w:eastAsia="Calibri" w:hAnsiTheme="majorHAnsi" w:cstheme="majorHAnsi"/>
          <w:bCs/>
          <w:iCs/>
          <w:sz w:val="22"/>
          <w:szCs w:val="22"/>
          <w:lang w:val="en-AU" w:eastAsia="en-US"/>
        </w:rPr>
        <w:t xml:space="preserve">: </w:t>
      </w:r>
      <w:r w:rsidRPr="00252CAB">
        <w:rPr>
          <w:rFonts w:asciiTheme="majorHAnsi" w:eastAsia="Calibri" w:hAnsiTheme="majorHAnsi" w:cstheme="majorHAnsi"/>
          <w:bCs/>
          <w:sz w:val="22"/>
          <w:szCs w:val="22"/>
          <w:lang w:eastAsia="en-US"/>
        </w:rPr>
        <w:t>Vladimir Krajinovic,</w:t>
      </w:r>
    </w:p>
    <w:p w14:paraId="07F4FA67"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Cs/>
          <w:sz w:val="22"/>
          <w:szCs w:val="22"/>
          <w:lang w:val="en-AU" w:eastAsia="en-US"/>
        </w:rPr>
        <w:t xml:space="preserve">Marko Kutleša, </w:t>
      </w:r>
      <w:r w:rsidRPr="00252CAB">
        <w:rPr>
          <w:rFonts w:asciiTheme="majorHAnsi" w:eastAsia="Calibri" w:hAnsiTheme="majorHAnsi" w:cstheme="majorHAnsi"/>
          <w:bCs/>
          <w:iCs/>
          <w:sz w:val="22"/>
          <w:szCs w:val="22"/>
          <w:lang w:val="en-US" w:eastAsia="en-US"/>
        </w:rPr>
        <w:t>Viktor Kotarski;</w:t>
      </w:r>
    </w:p>
    <w:p w14:paraId="5C36F1AC" w14:textId="77777777"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University Hospital of Zagreb</w:t>
      </w:r>
      <w:r w:rsidRPr="00252CAB">
        <w:rPr>
          <w:rFonts w:asciiTheme="majorHAnsi" w:eastAsia="Calibri" w:hAnsiTheme="majorHAnsi" w:cstheme="majorHAnsi"/>
          <w:bCs/>
          <w:iCs/>
          <w:sz w:val="22"/>
          <w:szCs w:val="22"/>
          <w:lang w:val="en-AU" w:eastAsia="en-US"/>
        </w:rPr>
        <w:t xml:space="preserve">: Ana Vujaklija Brajković, </w:t>
      </w:r>
      <w:r w:rsidRPr="00252CAB">
        <w:rPr>
          <w:rFonts w:asciiTheme="majorHAnsi" w:eastAsia="Calibri" w:hAnsiTheme="majorHAnsi" w:cstheme="majorHAnsi"/>
          <w:bCs/>
          <w:iCs/>
          <w:sz w:val="22"/>
          <w:szCs w:val="22"/>
          <w:lang w:val="en-US" w:eastAsia="en-US"/>
        </w:rPr>
        <w:t xml:space="preserve">Jakša Babel, Helena Sever, </w:t>
      </w:r>
      <w:r w:rsidRPr="00252CAB">
        <w:rPr>
          <w:rFonts w:asciiTheme="majorHAnsi" w:eastAsia="Calibri" w:hAnsiTheme="majorHAnsi" w:cstheme="majorHAnsi"/>
          <w:bCs/>
          <w:iCs/>
          <w:sz w:val="22"/>
          <w:szCs w:val="22"/>
          <w:lang w:val="en-AU" w:eastAsia="en-US"/>
        </w:rPr>
        <w:t>Lidija Dragija, Ira Kušan;</w:t>
      </w:r>
    </w:p>
    <w:p w14:paraId="42E22C6D" w14:textId="77777777" w:rsidR="00252CAB" w:rsidRPr="00252CAB" w:rsidRDefault="00252CAB" w:rsidP="009C2A20">
      <w:pPr>
        <w:spacing w:line="360" w:lineRule="auto"/>
        <w:rPr>
          <w:rFonts w:asciiTheme="majorHAnsi" w:eastAsia="Calibri" w:hAnsiTheme="majorHAnsi" w:cstheme="majorHAnsi"/>
          <w:bCs/>
          <w:i/>
          <w:sz w:val="22"/>
          <w:szCs w:val="22"/>
          <w:lang w:val="en-AU" w:eastAsia="en-US"/>
        </w:rPr>
      </w:pPr>
    </w:p>
    <w:p w14:paraId="79CF1C5F" w14:textId="77777777" w:rsidR="00252CAB" w:rsidRPr="00252CAB" w:rsidRDefault="00252CAB" w:rsidP="009C2A20">
      <w:pPr>
        <w:spacing w:line="360" w:lineRule="auto"/>
        <w:rPr>
          <w:rFonts w:asciiTheme="majorHAnsi" w:eastAsia="Calibri" w:hAnsiTheme="majorHAnsi" w:cstheme="majorHAnsi"/>
          <w:b/>
          <w:i/>
          <w:sz w:val="22"/>
          <w:szCs w:val="22"/>
          <w:lang w:val="en-AU" w:eastAsia="en-US"/>
        </w:rPr>
      </w:pPr>
      <w:r w:rsidRPr="00252CAB">
        <w:rPr>
          <w:rFonts w:asciiTheme="majorHAnsi" w:eastAsia="Calibri" w:hAnsiTheme="majorHAnsi" w:cstheme="majorHAnsi"/>
          <w:b/>
          <w:i/>
          <w:sz w:val="22"/>
          <w:szCs w:val="22"/>
          <w:lang w:val="en-AU" w:eastAsia="en-US"/>
        </w:rPr>
        <w:t>Finland:</w:t>
      </w:r>
    </w:p>
    <w:p w14:paraId="1980735B" w14:textId="476CEB49" w:rsidR="00252CAB" w:rsidRPr="00252CAB" w:rsidRDefault="00252CAB" w:rsidP="009C2A20">
      <w:pPr>
        <w:spacing w:line="360" w:lineRule="auto"/>
        <w:rPr>
          <w:rFonts w:asciiTheme="majorHAnsi" w:eastAsia="Calibri" w:hAnsiTheme="majorHAnsi" w:cstheme="majorHAnsi"/>
          <w:bCs/>
          <w:iCs/>
          <w:sz w:val="22"/>
          <w:szCs w:val="22"/>
          <w:lang w:val="en-AU" w:eastAsia="en-US"/>
        </w:rPr>
      </w:pPr>
      <w:r w:rsidRPr="00252CAB">
        <w:rPr>
          <w:rFonts w:asciiTheme="majorHAnsi" w:eastAsia="Calibri" w:hAnsiTheme="majorHAnsi" w:cstheme="majorHAnsi"/>
          <w:bCs/>
          <w:i/>
          <w:sz w:val="22"/>
          <w:szCs w:val="22"/>
          <w:lang w:val="en-AU" w:eastAsia="en-US"/>
        </w:rPr>
        <w:t>Helsinki University Hospital</w:t>
      </w:r>
      <w:r w:rsidRPr="00252CAB">
        <w:rPr>
          <w:rFonts w:asciiTheme="majorHAnsi" w:eastAsia="Calibri" w:hAnsiTheme="majorHAnsi" w:cstheme="majorHAnsi"/>
          <w:bCs/>
          <w:iCs/>
          <w:sz w:val="22"/>
          <w:szCs w:val="22"/>
          <w:lang w:val="en-AU" w:eastAsia="en-US"/>
        </w:rPr>
        <w:t xml:space="preserve">: Suvi Vaara, </w:t>
      </w:r>
      <w:r w:rsidR="00534797" w:rsidRPr="00534797">
        <w:rPr>
          <w:rFonts w:asciiTheme="majorHAnsi" w:eastAsia="Calibri" w:hAnsiTheme="majorHAnsi" w:cstheme="majorHAnsi"/>
          <w:bCs/>
          <w:iCs/>
          <w:sz w:val="22"/>
          <w:szCs w:val="22"/>
          <w:lang w:val="en-AU" w:eastAsia="en-US"/>
        </w:rPr>
        <w:t>Tero Varpula, Tuomas Oksanen</w:t>
      </w:r>
      <w:r w:rsidR="00534797">
        <w:rPr>
          <w:rFonts w:asciiTheme="majorHAnsi" w:eastAsia="Calibri" w:hAnsiTheme="majorHAnsi" w:cstheme="majorHAnsi"/>
          <w:bCs/>
          <w:iCs/>
          <w:sz w:val="22"/>
          <w:szCs w:val="22"/>
          <w:lang w:val="en-AU" w:eastAsia="en-US"/>
        </w:rPr>
        <w:t>,</w:t>
      </w:r>
      <w:r w:rsidR="00534797" w:rsidRPr="00534797">
        <w:rPr>
          <w:rFonts w:asciiTheme="majorHAnsi" w:eastAsia="Calibri" w:hAnsiTheme="majorHAnsi" w:cstheme="majorHAnsi"/>
          <w:bCs/>
          <w:iCs/>
          <w:sz w:val="22"/>
          <w:szCs w:val="22"/>
          <w:lang w:val="en-AU" w:eastAsia="en-US"/>
        </w:rPr>
        <w:t xml:space="preserve"> </w:t>
      </w:r>
      <w:r w:rsidRPr="00252CAB">
        <w:rPr>
          <w:rFonts w:asciiTheme="majorHAnsi" w:eastAsia="Calibri" w:hAnsiTheme="majorHAnsi" w:cstheme="majorHAnsi"/>
          <w:bCs/>
          <w:iCs/>
          <w:sz w:val="22"/>
          <w:szCs w:val="22"/>
          <w:lang w:val="en-AU" w:eastAsia="en-US"/>
        </w:rPr>
        <w:t>Leena Pettilä, Jonna Heinonen, Ville Pettilä;</w:t>
      </w:r>
    </w:p>
    <w:p w14:paraId="6FD633DC" w14:textId="77777777" w:rsidR="00252CAB" w:rsidRPr="00252CAB" w:rsidRDefault="00252CAB" w:rsidP="009C2A20">
      <w:pPr>
        <w:spacing w:line="360" w:lineRule="auto"/>
        <w:rPr>
          <w:rFonts w:asciiTheme="majorHAnsi" w:eastAsia="Calibri" w:hAnsiTheme="majorHAnsi" w:cstheme="majorHAnsi"/>
          <w:bCs/>
          <w:i/>
          <w:sz w:val="22"/>
          <w:szCs w:val="22"/>
          <w:lang w:val="en-AU" w:eastAsia="en-US"/>
        </w:rPr>
      </w:pPr>
      <w:r w:rsidRPr="00534797">
        <w:rPr>
          <w:rFonts w:asciiTheme="majorHAnsi" w:eastAsia="Calibri" w:hAnsiTheme="majorHAnsi" w:cstheme="majorHAnsi"/>
          <w:bCs/>
          <w:i/>
          <w:sz w:val="22"/>
          <w:szCs w:val="22"/>
          <w:lang w:val="en-AU" w:eastAsia="en-US"/>
        </w:rPr>
        <w:t>Tampere University Hospital:</w:t>
      </w:r>
      <w:r w:rsidRPr="00252CAB">
        <w:rPr>
          <w:rFonts w:asciiTheme="majorHAnsi" w:eastAsia="Calibri" w:hAnsiTheme="majorHAnsi" w:cstheme="majorHAnsi"/>
          <w:bCs/>
          <w:iCs/>
          <w:sz w:val="22"/>
          <w:szCs w:val="22"/>
          <w:lang w:val="en-AU" w:eastAsia="en-US"/>
        </w:rPr>
        <w:t xml:space="preserve"> Anne Kuitunen, </w:t>
      </w:r>
      <w:r w:rsidRPr="00252CAB">
        <w:rPr>
          <w:rFonts w:asciiTheme="majorHAnsi" w:eastAsia="Calibri" w:hAnsiTheme="majorHAnsi" w:cstheme="majorHAnsi"/>
          <w:bCs/>
          <w:iCs/>
          <w:sz w:val="22"/>
          <w:szCs w:val="22"/>
          <w:lang w:val="fi-FI" w:eastAsia="en-US"/>
        </w:rPr>
        <w:t>Sari Karlsson, Annukka Vahtera,</w:t>
      </w:r>
      <w:r w:rsidRPr="00252CAB">
        <w:rPr>
          <w:rFonts w:asciiTheme="majorHAnsi" w:eastAsia="Calibri" w:hAnsiTheme="majorHAnsi" w:cstheme="majorHAnsi"/>
          <w:bCs/>
          <w:iCs/>
          <w:sz w:val="22"/>
          <w:szCs w:val="22"/>
          <w:lang w:val="en-AU" w:eastAsia="en-US"/>
        </w:rPr>
        <w:t xml:space="preserve"> </w:t>
      </w:r>
      <w:r w:rsidRPr="00252CAB">
        <w:rPr>
          <w:rFonts w:asciiTheme="majorHAnsi" w:eastAsia="Calibri" w:hAnsiTheme="majorHAnsi" w:cstheme="majorHAnsi"/>
          <w:bCs/>
          <w:iCs/>
          <w:sz w:val="22"/>
          <w:szCs w:val="22"/>
          <w:lang w:val="fi-FI" w:eastAsia="en-US"/>
        </w:rPr>
        <w:t>Heikki Kiiski, Sanna Ristimäki</w:t>
      </w:r>
      <w:r w:rsidRPr="00252CAB">
        <w:rPr>
          <w:rFonts w:asciiTheme="majorHAnsi" w:eastAsia="Calibri" w:hAnsiTheme="majorHAnsi" w:cstheme="majorHAnsi"/>
          <w:bCs/>
          <w:i/>
          <w:sz w:val="22"/>
          <w:szCs w:val="22"/>
          <w:lang w:val="fi-FI" w:eastAsia="en-US"/>
        </w:rPr>
        <w:t>;</w:t>
      </w:r>
    </w:p>
    <w:p w14:paraId="07907BE8" w14:textId="77777777" w:rsidR="00252CAB" w:rsidRPr="00252CAB" w:rsidRDefault="00252CAB" w:rsidP="009C2A20">
      <w:pPr>
        <w:spacing w:line="360" w:lineRule="auto"/>
        <w:rPr>
          <w:rFonts w:asciiTheme="majorHAnsi" w:eastAsia="Calibri" w:hAnsiTheme="majorHAnsi" w:cstheme="majorHAnsi"/>
          <w:bCs/>
          <w:i/>
          <w:sz w:val="22"/>
          <w:szCs w:val="22"/>
          <w:lang w:val="en-AU" w:eastAsia="en-US"/>
        </w:rPr>
      </w:pPr>
    </w:p>
    <w:p w14:paraId="4CEE25DB" w14:textId="77777777" w:rsidR="00252CAB" w:rsidRPr="00252CAB" w:rsidRDefault="00252CAB" w:rsidP="009C2A20">
      <w:pPr>
        <w:spacing w:line="360" w:lineRule="auto"/>
        <w:rPr>
          <w:rFonts w:asciiTheme="majorHAnsi" w:eastAsia="Calibri" w:hAnsiTheme="majorHAnsi" w:cstheme="majorHAnsi"/>
          <w:b/>
          <w:i/>
          <w:sz w:val="22"/>
          <w:szCs w:val="22"/>
          <w:lang w:val="fr-FR" w:eastAsia="en-US"/>
        </w:rPr>
      </w:pPr>
      <w:r w:rsidRPr="00252CAB">
        <w:rPr>
          <w:rFonts w:asciiTheme="majorHAnsi" w:eastAsia="Calibri" w:hAnsiTheme="majorHAnsi" w:cstheme="majorHAnsi"/>
          <w:b/>
          <w:i/>
          <w:sz w:val="22"/>
          <w:szCs w:val="22"/>
          <w:lang w:val="fr-FR" w:eastAsia="en-US"/>
        </w:rPr>
        <w:t>France:</w:t>
      </w:r>
    </w:p>
    <w:p w14:paraId="672F33B3" w14:textId="77777777" w:rsidR="00252CAB" w:rsidRPr="00252CAB" w:rsidRDefault="00252CAB" w:rsidP="009C2A20">
      <w:pPr>
        <w:spacing w:line="360" w:lineRule="auto"/>
        <w:rPr>
          <w:rFonts w:asciiTheme="majorHAnsi" w:eastAsia="Calibri" w:hAnsiTheme="majorHAnsi" w:cstheme="majorHAnsi"/>
          <w:bCs/>
          <w:iCs/>
          <w:sz w:val="22"/>
          <w:szCs w:val="22"/>
          <w:lang w:val="fr-FR" w:eastAsia="en-US"/>
        </w:rPr>
      </w:pPr>
      <w:r w:rsidRPr="00252CAB">
        <w:rPr>
          <w:rFonts w:asciiTheme="majorHAnsi" w:eastAsia="Calibri" w:hAnsiTheme="majorHAnsi" w:cstheme="majorHAnsi"/>
          <w:bCs/>
          <w:i/>
          <w:sz w:val="22"/>
          <w:szCs w:val="22"/>
          <w:lang w:val="fr-FR" w:eastAsia="en-US"/>
        </w:rPr>
        <w:t>Ambroise Pare Hospital</w:t>
      </w:r>
      <w:r w:rsidRPr="00252CAB">
        <w:rPr>
          <w:rFonts w:asciiTheme="majorHAnsi" w:eastAsia="Calibri" w:hAnsiTheme="majorHAnsi" w:cstheme="majorHAnsi"/>
          <w:bCs/>
          <w:iCs/>
          <w:sz w:val="22"/>
          <w:szCs w:val="22"/>
          <w:lang w:val="fr-FR" w:eastAsia="en-US"/>
        </w:rPr>
        <w:t>: Amine Azaiz, Cyril Charron, Mathieu Godement, Guillaume Geri, Antoine Vieillard-Baron;</w:t>
      </w:r>
    </w:p>
    <w:p w14:paraId="18DF3E82" w14:textId="77777777" w:rsidR="00252CAB" w:rsidRPr="00252CAB" w:rsidRDefault="00252CAB" w:rsidP="009C2A20">
      <w:pPr>
        <w:spacing w:line="360" w:lineRule="auto"/>
        <w:rPr>
          <w:rFonts w:asciiTheme="majorHAnsi" w:eastAsia="Calibri" w:hAnsiTheme="majorHAnsi" w:cstheme="majorHAnsi"/>
          <w:bCs/>
          <w:iCs/>
          <w:sz w:val="22"/>
          <w:szCs w:val="22"/>
          <w:lang w:val="fr-FR" w:eastAsia="en-US"/>
        </w:rPr>
      </w:pPr>
      <w:r w:rsidRPr="00252CAB">
        <w:rPr>
          <w:rFonts w:asciiTheme="majorHAnsi" w:eastAsia="Calibri" w:hAnsiTheme="majorHAnsi" w:cstheme="majorHAnsi"/>
          <w:bCs/>
          <w:i/>
          <w:sz w:val="22"/>
          <w:szCs w:val="22"/>
          <w:lang w:val="fr-FR" w:eastAsia="en-US"/>
        </w:rPr>
        <w:t>Centre Hospitalier de Melun</w:t>
      </w:r>
      <w:r w:rsidRPr="00252CAB">
        <w:rPr>
          <w:rFonts w:asciiTheme="majorHAnsi" w:eastAsia="Calibri" w:hAnsiTheme="majorHAnsi" w:cstheme="majorHAnsi"/>
          <w:bCs/>
          <w:iCs/>
          <w:sz w:val="22"/>
          <w:szCs w:val="22"/>
          <w:lang w:val="fr-FR" w:eastAsia="en-US"/>
        </w:rPr>
        <w:t>: Franck Pourcine, Mehran Monchi;</w:t>
      </w:r>
    </w:p>
    <w:p w14:paraId="476DCAF5" w14:textId="77777777" w:rsidR="00252CAB" w:rsidRPr="00252CAB" w:rsidRDefault="00252CAB" w:rsidP="009C2A20">
      <w:pPr>
        <w:spacing w:line="360" w:lineRule="auto"/>
        <w:rPr>
          <w:rFonts w:asciiTheme="majorHAnsi" w:eastAsia="Calibri" w:hAnsiTheme="majorHAnsi" w:cstheme="majorHAnsi"/>
          <w:bCs/>
          <w:iCs/>
          <w:sz w:val="22"/>
          <w:szCs w:val="22"/>
          <w:lang w:val="fr-FR" w:eastAsia="en-US"/>
        </w:rPr>
      </w:pPr>
      <w:r w:rsidRPr="00252CAB">
        <w:rPr>
          <w:rFonts w:asciiTheme="majorHAnsi" w:eastAsia="Calibri" w:hAnsiTheme="majorHAnsi" w:cstheme="majorHAnsi"/>
          <w:bCs/>
          <w:i/>
          <w:sz w:val="22"/>
          <w:szCs w:val="22"/>
          <w:lang w:val="fr-FR" w:eastAsia="en-US"/>
        </w:rPr>
        <w:t>Centre Hospitalier Simone Veil, Beauvais</w:t>
      </w:r>
      <w:r w:rsidRPr="00252CAB">
        <w:rPr>
          <w:rFonts w:asciiTheme="majorHAnsi" w:eastAsia="Calibri" w:hAnsiTheme="majorHAnsi" w:cstheme="majorHAnsi"/>
          <w:bCs/>
          <w:iCs/>
          <w:sz w:val="22"/>
          <w:szCs w:val="22"/>
          <w:lang w:val="fr-FR" w:eastAsia="en-US"/>
        </w:rPr>
        <w:t>: David Luis, Romain Mercier, Anne Sagnier, Nathalie Verrier, Cecile Caplin, Jack Richecoeu, Daniele Combaux;</w:t>
      </w:r>
    </w:p>
    <w:p w14:paraId="5A0FE8A7" w14:textId="77777777" w:rsidR="00252CAB" w:rsidRPr="00252CAB" w:rsidRDefault="00252CAB" w:rsidP="009C2A20">
      <w:pPr>
        <w:spacing w:line="360" w:lineRule="auto"/>
        <w:rPr>
          <w:rFonts w:asciiTheme="majorHAnsi" w:eastAsia="Calibri" w:hAnsiTheme="majorHAnsi" w:cstheme="majorHAnsi"/>
          <w:bCs/>
          <w:iCs/>
          <w:sz w:val="22"/>
          <w:szCs w:val="22"/>
          <w:lang w:val="fr-FR" w:eastAsia="en-US"/>
        </w:rPr>
      </w:pPr>
      <w:r w:rsidRPr="00252CAB">
        <w:rPr>
          <w:rFonts w:asciiTheme="majorHAnsi" w:eastAsia="Calibri" w:hAnsiTheme="majorHAnsi" w:cstheme="majorHAnsi"/>
          <w:bCs/>
          <w:i/>
          <w:sz w:val="22"/>
          <w:szCs w:val="22"/>
          <w:lang w:val="fr-FR" w:eastAsia="en-US"/>
        </w:rPr>
        <w:t>Centre Hospitalier Sud Essonne</w:t>
      </w:r>
      <w:r w:rsidRPr="00252CAB">
        <w:rPr>
          <w:rFonts w:asciiTheme="majorHAnsi" w:eastAsia="Calibri" w:hAnsiTheme="majorHAnsi" w:cstheme="majorHAnsi"/>
          <w:bCs/>
          <w:iCs/>
          <w:sz w:val="22"/>
          <w:szCs w:val="22"/>
          <w:lang w:val="fr-FR" w:eastAsia="en-US"/>
        </w:rPr>
        <w:t xml:space="preserve">: Shidasp Siami, Christelle Aparicio, Sarah Vautier, Asma Jeblaoui, Delphine Lemaire-Brunel;    </w:t>
      </w:r>
    </w:p>
    <w:p w14:paraId="2F5D2BBB" w14:textId="77777777" w:rsidR="00252CAB" w:rsidRPr="00252CAB" w:rsidRDefault="00252CAB" w:rsidP="009C2A20">
      <w:pPr>
        <w:spacing w:line="360" w:lineRule="auto"/>
        <w:rPr>
          <w:rFonts w:asciiTheme="majorHAnsi" w:eastAsia="Calibri" w:hAnsiTheme="majorHAnsi" w:cstheme="majorHAnsi"/>
          <w:bCs/>
          <w:iCs/>
          <w:sz w:val="22"/>
          <w:szCs w:val="22"/>
          <w:lang w:val="fr-FR" w:eastAsia="en-US"/>
        </w:rPr>
      </w:pPr>
      <w:r w:rsidRPr="00252CAB">
        <w:rPr>
          <w:rFonts w:asciiTheme="majorHAnsi" w:eastAsia="Calibri" w:hAnsiTheme="majorHAnsi" w:cstheme="majorHAnsi"/>
          <w:bCs/>
          <w:i/>
          <w:sz w:val="22"/>
          <w:szCs w:val="22"/>
          <w:lang w:val="fr-FR" w:eastAsia="en-US"/>
        </w:rPr>
        <w:t>Centre Hospitalier Tenon</w:t>
      </w:r>
      <w:r w:rsidRPr="00252CAB">
        <w:rPr>
          <w:rFonts w:asciiTheme="majorHAnsi" w:eastAsia="Calibri" w:hAnsiTheme="majorHAnsi" w:cstheme="majorHAnsi"/>
          <w:bCs/>
          <w:iCs/>
          <w:sz w:val="22"/>
          <w:szCs w:val="22"/>
          <w:lang w:val="fr-FR" w:eastAsia="en-US"/>
        </w:rPr>
        <w:t>: Muriel Fartoukh, Laura Courtin, Vincent Labbe, Guillaume Voiriot, Sara Nesrine Salhi;</w:t>
      </w:r>
    </w:p>
    <w:p w14:paraId="24636F57" w14:textId="77777777" w:rsidR="00252CAB" w:rsidRPr="00252CAB" w:rsidRDefault="00252CAB" w:rsidP="009C2A20">
      <w:pPr>
        <w:spacing w:line="360" w:lineRule="auto"/>
        <w:rPr>
          <w:rFonts w:asciiTheme="majorHAnsi" w:eastAsia="Calibri" w:hAnsiTheme="majorHAnsi" w:cstheme="majorHAnsi"/>
          <w:bCs/>
          <w:iCs/>
          <w:sz w:val="22"/>
          <w:szCs w:val="22"/>
          <w:lang w:val="fr-FR" w:eastAsia="en-US"/>
        </w:rPr>
      </w:pPr>
      <w:r w:rsidRPr="00252CAB">
        <w:rPr>
          <w:rFonts w:asciiTheme="majorHAnsi" w:eastAsia="Calibri" w:hAnsiTheme="majorHAnsi" w:cstheme="majorHAnsi"/>
          <w:bCs/>
          <w:i/>
          <w:sz w:val="22"/>
          <w:szCs w:val="22"/>
          <w:lang w:val="fr-FR" w:eastAsia="en-US"/>
        </w:rPr>
        <w:t>Centre Hospitalier Victor Dupouy</w:t>
      </w:r>
      <w:r w:rsidRPr="00252CAB">
        <w:rPr>
          <w:rFonts w:asciiTheme="majorHAnsi" w:eastAsia="Calibri" w:hAnsiTheme="majorHAnsi" w:cstheme="majorHAnsi"/>
          <w:bCs/>
          <w:iCs/>
          <w:sz w:val="22"/>
          <w:szCs w:val="22"/>
          <w:lang w:val="fr-FR" w:eastAsia="en-US"/>
        </w:rPr>
        <w:t>: Gaetan Plantefeve, Cécile Leparco, Damien Contou;</w:t>
      </w:r>
    </w:p>
    <w:p w14:paraId="15B31E3F" w14:textId="77777777" w:rsidR="00252CAB" w:rsidRPr="00252CAB" w:rsidRDefault="00252CAB" w:rsidP="009C2A20">
      <w:pPr>
        <w:spacing w:line="360" w:lineRule="auto"/>
        <w:rPr>
          <w:rFonts w:asciiTheme="majorHAnsi" w:eastAsia="Calibri" w:hAnsiTheme="majorHAnsi" w:cstheme="majorHAnsi"/>
          <w:bCs/>
          <w:sz w:val="22"/>
          <w:szCs w:val="22"/>
          <w:lang w:val="fr-FR" w:eastAsia="en-US"/>
        </w:rPr>
      </w:pPr>
      <w:r w:rsidRPr="00252CAB">
        <w:rPr>
          <w:rFonts w:asciiTheme="majorHAnsi" w:eastAsia="Calibri" w:hAnsiTheme="majorHAnsi" w:cstheme="majorHAnsi"/>
          <w:bCs/>
          <w:i/>
          <w:iCs/>
          <w:sz w:val="22"/>
          <w:szCs w:val="22"/>
          <w:lang w:val="fr-FR" w:eastAsia="en-US"/>
        </w:rPr>
        <w:t>CH de Mont de Marsan</w:t>
      </w:r>
      <w:r w:rsidRPr="00252CAB">
        <w:rPr>
          <w:rFonts w:asciiTheme="majorHAnsi" w:eastAsia="Calibri" w:hAnsiTheme="majorHAnsi" w:cstheme="majorHAnsi"/>
          <w:bCs/>
          <w:iCs/>
          <w:sz w:val="22"/>
          <w:szCs w:val="22"/>
          <w:lang w:val="fr-FR" w:eastAsia="en-US"/>
        </w:rPr>
        <w:t> : Arnaud Sement,</w:t>
      </w:r>
      <w:r w:rsidRPr="00252CAB">
        <w:rPr>
          <w:rFonts w:asciiTheme="majorHAnsi" w:eastAsia="Calibri" w:hAnsiTheme="majorHAnsi" w:cstheme="majorHAnsi"/>
          <w:bCs/>
          <w:sz w:val="22"/>
          <w:szCs w:val="22"/>
          <w:lang w:val="fr-FR" w:eastAsia="en-US"/>
        </w:rPr>
        <w:t xml:space="preserve"> </w:t>
      </w:r>
      <w:r w:rsidRPr="00252CAB">
        <w:rPr>
          <w:rFonts w:asciiTheme="majorHAnsi" w:eastAsia="Calibri" w:hAnsiTheme="majorHAnsi" w:cstheme="majorHAnsi"/>
          <w:bCs/>
          <w:iCs/>
          <w:sz w:val="22"/>
          <w:szCs w:val="22"/>
          <w:lang w:val="fr-FR" w:eastAsia="en-US"/>
        </w:rPr>
        <w:t>Alexandre Gachet, Alexis Hanisch, Abdelmagid Haffiane,</w:t>
      </w:r>
      <w:r w:rsidRPr="00252CAB">
        <w:rPr>
          <w:rFonts w:asciiTheme="majorHAnsi" w:eastAsia="Calibri" w:hAnsiTheme="majorHAnsi" w:cstheme="majorHAnsi"/>
          <w:bCs/>
          <w:sz w:val="22"/>
          <w:szCs w:val="22"/>
          <w:lang w:val="fr-FR" w:eastAsia="en-US"/>
        </w:rPr>
        <w:t xml:space="preserve"> </w:t>
      </w:r>
      <w:r w:rsidRPr="00252CAB">
        <w:rPr>
          <w:rFonts w:asciiTheme="majorHAnsi" w:eastAsia="Calibri" w:hAnsiTheme="majorHAnsi" w:cstheme="majorHAnsi"/>
          <w:bCs/>
          <w:iCs/>
          <w:sz w:val="22"/>
          <w:szCs w:val="22"/>
          <w:lang w:val="fr-FR" w:eastAsia="en-US"/>
        </w:rPr>
        <w:t>Anne-Hélène Boivin, Amelie Barreau,</w:t>
      </w:r>
      <w:r w:rsidRPr="00252CAB">
        <w:rPr>
          <w:rFonts w:asciiTheme="majorHAnsi" w:eastAsia="Calibri" w:hAnsiTheme="majorHAnsi" w:cstheme="majorHAnsi"/>
          <w:bCs/>
          <w:sz w:val="22"/>
          <w:szCs w:val="22"/>
          <w:lang w:val="fr-FR" w:eastAsia="en-US"/>
        </w:rPr>
        <w:t xml:space="preserve"> </w:t>
      </w:r>
      <w:r w:rsidRPr="00252CAB">
        <w:rPr>
          <w:rFonts w:asciiTheme="majorHAnsi" w:eastAsia="Calibri" w:hAnsiTheme="majorHAnsi" w:cstheme="majorHAnsi"/>
          <w:bCs/>
          <w:iCs/>
          <w:sz w:val="22"/>
          <w:szCs w:val="22"/>
          <w:lang w:val="fr-FR" w:eastAsia="en-US"/>
        </w:rPr>
        <w:t>Elodie Guerineau, Séverine Poupblanc;</w:t>
      </w:r>
    </w:p>
    <w:p w14:paraId="139C0EDC" w14:textId="77777777" w:rsidR="00252CAB" w:rsidRPr="00252CAB" w:rsidRDefault="00252CAB" w:rsidP="009C2A20">
      <w:pPr>
        <w:spacing w:line="360" w:lineRule="auto"/>
        <w:rPr>
          <w:rFonts w:asciiTheme="majorHAnsi" w:eastAsia="Calibri" w:hAnsiTheme="majorHAnsi" w:cstheme="majorHAnsi"/>
          <w:bCs/>
          <w:iCs/>
          <w:sz w:val="22"/>
          <w:szCs w:val="22"/>
          <w:lang w:val="fr-FR" w:eastAsia="en-US"/>
        </w:rPr>
      </w:pPr>
      <w:r w:rsidRPr="00252CAB">
        <w:rPr>
          <w:rFonts w:asciiTheme="majorHAnsi" w:eastAsia="Calibri" w:hAnsiTheme="majorHAnsi" w:cstheme="majorHAnsi"/>
          <w:bCs/>
          <w:i/>
          <w:iCs/>
          <w:sz w:val="22"/>
          <w:szCs w:val="22"/>
          <w:lang w:val="fr-FR" w:eastAsia="en-US"/>
        </w:rPr>
        <w:t>CH des pays de Morlaix</w:t>
      </w:r>
      <w:r w:rsidRPr="00252CAB">
        <w:rPr>
          <w:rFonts w:asciiTheme="majorHAnsi" w:eastAsia="Calibri" w:hAnsiTheme="majorHAnsi" w:cstheme="majorHAnsi"/>
          <w:bCs/>
          <w:iCs/>
          <w:sz w:val="22"/>
          <w:szCs w:val="22"/>
          <w:lang w:val="fr-FR" w:eastAsia="en-US"/>
        </w:rPr>
        <w:t> : Pierre Yves Egreteau,</w:t>
      </w:r>
      <w:r w:rsidRPr="00252CAB">
        <w:rPr>
          <w:rFonts w:asciiTheme="majorHAnsi" w:eastAsia="Calibri" w:hAnsiTheme="majorHAnsi" w:cstheme="majorHAnsi"/>
          <w:bCs/>
          <w:sz w:val="22"/>
          <w:szCs w:val="22"/>
          <w:lang w:val="fr-FR" w:eastAsia="en-US"/>
        </w:rPr>
        <w:t xml:space="preserve"> </w:t>
      </w:r>
      <w:r w:rsidRPr="00252CAB">
        <w:rPr>
          <w:rFonts w:asciiTheme="majorHAnsi" w:eastAsia="Calibri" w:hAnsiTheme="majorHAnsi" w:cstheme="majorHAnsi"/>
          <w:bCs/>
          <w:iCs/>
          <w:sz w:val="22"/>
          <w:szCs w:val="22"/>
          <w:lang w:val="fr-FR" w:eastAsia="en-US"/>
        </w:rPr>
        <w:t>Montaine Lefevre, Simon Bocher,</w:t>
      </w:r>
      <w:r w:rsidRPr="00252CAB">
        <w:rPr>
          <w:rFonts w:asciiTheme="majorHAnsi" w:eastAsia="Calibri" w:hAnsiTheme="majorHAnsi" w:cstheme="majorHAnsi"/>
          <w:bCs/>
          <w:sz w:val="22"/>
          <w:szCs w:val="22"/>
          <w:lang w:val="fr-FR" w:eastAsia="en-US"/>
        </w:rPr>
        <w:t xml:space="preserve"> </w:t>
      </w:r>
      <w:r w:rsidRPr="00252CAB">
        <w:rPr>
          <w:rFonts w:asciiTheme="majorHAnsi" w:eastAsia="Calibri" w:hAnsiTheme="majorHAnsi" w:cstheme="majorHAnsi"/>
          <w:bCs/>
          <w:iCs/>
          <w:sz w:val="22"/>
          <w:szCs w:val="22"/>
          <w:lang w:val="fr-FR" w:eastAsia="en-US"/>
        </w:rPr>
        <w:t>Guillaume Le Loup, Lenaïg Le Guen, Vanessa Carn, Melanie Bertel;</w:t>
      </w:r>
    </w:p>
    <w:p w14:paraId="64F2DBB2" w14:textId="77777777" w:rsidR="00252CAB" w:rsidRPr="00252CAB" w:rsidRDefault="00252CAB" w:rsidP="009C2A20">
      <w:pPr>
        <w:spacing w:line="360" w:lineRule="auto"/>
        <w:rPr>
          <w:rFonts w:asciiTheme="majorHAnsi" w:eastAsia="Calibri" w:hAnsiTheme="majorHAnsi" w:cstheme="majorHAnsi"/>
          <w:bCs/>
          <w:iCs/>
          <w:sz w:val="22"/>
          <w:szCs w:val="22"/>
          <w:lang w:val="fr-FR" w:eastAsia="en-US"/>
        </w:rPr>
      </w:pPr>
      <w:r w:rsidRPr="00252CAB">
        <w:rPr>
          <w:rFonts w:asciiTheme="majorHAnsi" w:eastAsia="Calibri" w:hAnsiTheme="majorHAnsi" w:cstheme="majorHAnsi"/>
          <w:bCs/>
          <w:iCs/>
          <w:sz w:val="22"/>
          <w:szCs w:val="22"/>
          <w:lang w:val="fr-FR" w:eastAsia="en-US"/>
        </w:rPr>
        <w:t>CHR d'Orleans: Grégoire Muller, Mai-Anh Nay, Toufik Kamel, Dalila Benzekri, MD, Sophie Jacquier, Isabelle Runge, Armelle Mathonnet, François Barbier, MD, Anne Bretagnol;</w:t>
      </w:r>
    </w:p>
    <w:p w14:paraId="53E32A55" w14:textId="77777777" w:rsidR="00252CAB" w:rsidRPr="00252CAB" w:rsidRDefault="00252CAB" w:rsidP="009C2A20">
      <w:pPr>
        <w:spacing w:line="360" w:lineRule="auto"/>
        <w:rPr>
          <w:rFonts w:asciiTheme="majorHAnsi" w:eastAsia="Calibri" w:hAnsiTheme="majorHAnsi" w:cstheme="majorHAnsi"/>
          <w:bCs/>
          <w:iCs/>
          <w:sz w:val="22"/>
          <w:szCs w:val="22"/>
          <w:lang w:val="fr-FR" w:eastAsia="en-US"/>
        </w:rPr>
      </w:pPr>
      <w:r w:rsidRPr="00252CAB">
        <w:rPr>
          <w:rFonts w:asciiTheme="majorHAnsi" w:eastAsia="Calibri" w:hAnsiTheme="majorHAnsi" w:cstheme="majorHAnsi"/>
          <w:bCs/>
          <w:i/>
          <w:sz w:val="22"/>
          <w:szCs w:val="22"/>
          <w:lang w:val="fr-FR" w:eastAsia="en-US"/>
        </w:rPr>
        <w:t>CHRU Tours Hopital Bretonneau</w:t>
      </w:r>
      <w:r w:rsidRPr="00252CAB">
        <w:rPr>
          <w:rFonts w:asciiTheme="majorHAnsi" w:eastAsia="Calibri" w:hAnsiTheme="majorHAnsi" w:cstheme="majorHAnsi"/>
          <w:bCs/>
          <w:iCs/>
          <w:sz w:val="22"/>
          <w:szCs w:val="22"/>
          <w:lang w:val="fr-FR" w:eastAsia="en-US"/>
        </w:rPr>
        <w:t>: Emmanuelle Mercier, Delphine Chartier, Charlotte Salmon, Pierre-François Dequin, Denis Garot;</w:t>
      </w:r>
    </w:p>
    <w:p w14:paraId="4CDBE395" w14:textId="77777777" w:rsidR="00252CAB" w:rsidRPr="00252CAB" w:rsidRDefault="00252CAB" w:rsidP="009C2A20">
      <w:pPr>
        <w:spacing w:line="360" w:lineRule="auto"/>
        <w:rPr>
          <w:rFonts w:asciiTheme="majorHAnsi" w:eastAsia="Calibri" w:hAnsiTheme="majorHAnsi" w:cstheme="majorHAnsi"/>
          <w:bCs/>
          <w:i/>
          <w:sz w:val="22"/>
          <w:szCs w:val="22"/>
          <w:lang w:val="fr-FR" w:eastAsia="en-US"/>
        </w:rPr>
      </w:pPr>
      <w:r w:rsidRPr="00252CAB">
        <w:rPr>
          <w:rFonts w:asciiTheme="majorHAnsi" w:eastAsia="Calibri" w:hAnsiTheme="majorHAnsi" w:cstheme="majorHAnsi"/>
          <w:bCs/>
          <w:i/>
          <w:sz w:val="22"/>
          <w:szCs w:val="22"/>
          <w:lang w:val="fr-FR" w:eastAsia="en-US"/>
        </w:rPr>
        <w:t>CHU Dupuytren, Limoges;</w:t>
      </w:r>
    </w:p>
    <w:p w14:paraId="2AB6A9C4" w14:textId="77777777" w:rsidR="00252CAB" w:rsidRPr="00252CAB" w:rsidRDefault="00252CAB" w:rsidP="009C2A20">
      <w:pPr>
        <w:spacing w:line="360" w:lineRule="auto"/>
        <w:rPr>
          <w:rFonts w:asciiTheme="majorHAnsi" w:eastAsia="Calibri" w:hAnsiTheme="majorHAnsi" w:cstheme="majorHAnsi"/>
          <w:bCs/>
          <w:i/>
          <w:sz w:val="22"/>
          <w:szCs w:val="22"/>
          <w:lang w:val="fr-FR" w:eastAsia="en-US"/>
        </w:rPr>
      </w:pPr>
      <w:r w:rsidRPr="00252CAB">
        <w:rPr>
          <w:rFonts w:asciiTheme="majorHAnsi" w:eastAsia="Calibri" w:hAnsiTheme="majorHAnsi" w:cstheme="majorHAnsi"/>
          <w:bCs/>
          <w:i/>
          <w:sz w:val="22"/>
          <w:szCs w:val="22"/>
          <w:lang w:val="fr-FR" w:eastAsia="en-US"/>
        </w:rPr>
        <w:t>Hôpital Civil, Hôpitaux Universitaires de Strasbourg;</w:t>
      </w:r>
    </w:p>
    <w:p w14:paraId="3C9B877D" w14:textId="77777777" w:rsidR="00252CAB" w:rsidRPr="00252CAB" w:rsidRDefault="00252CAB" w:rsidP="009C2A20">
      <w:pPr>
        <w:spacing w:line="360" w:lineRule="auto"/>
        <w:rPr>
          <w:rFonts w:asciiTheme="majorHAnsi" w:eastAsia="Calibri" w:hAnsiTheme="majorHAnsi" w:cstheme="majorHAnsi"/>
          <w:bCs/>
          <w:iCs/>
          <w:sz w:val="22"/>
          <w:szCs w:val="22"/>
          <w:lang w:val="fr-FR" w:eastAsia="en-US"/>
        </w:rPr>
      </w:pPr>
      <w:r w:rsidRPr="00252CAB">
        <w:rPr>
          <w:rFonts w:asciiTheme="majorHAnsi" w:eastAsia="Calibri" w:hAnsiTheme="majorHAnsi" w:cstheme="majorHAnsi"/>
          <w:bCs/>
          <w:i/>
          <w:sz w:val="22"/>
          <w:szCs w:val="22"/>
          <w:lang w:val="fr-FR" w:eastAsia="en-US"/>
        </w:rPr>
        <w:t>Hôpital de Hautepierre, Hôpitaux Universitaires de Strasbourg</w:t>
      </w:r>
      <w:r w:rsidRPr="00252CAB">
        <w:rPr>
          <w:rFonts w:asciiTheme="majorHAnsi" w:eastAsia="Calibri" w:hAnsiTheme="majorHAnsi" w:cstheme="majorHAnsi"/>
          <w:bCs/>
          <w:iCs/>
          <w:sz w:val="22"/>
          <w:szCs w:val="22"/>
          <w:lang w:val="fr-FR" w:eastAsia="en-US"/>
        </w:rPr>
        <w:t>: Francis Schneider, Vincent Castelain, Guillaume Morel, Sylvie L’Hotellier;</w:t>
      </w:r>
    </w:p>
    <w:p w14:paraId="35A9A499" w14:textId="77777777" w:rsidR="00252CAB" w:rsidRPr="00252CAB" w:rsidRDefault="00252CAB" w:rsidP="009C2A20">
      <w:pPr>
        <w:spacing w:line="360" w:lineRule="auto"/>
        <w:rPr>
          <w:rFonts w:asciiTheme="majorHAnsi" w:eastAsia="Calibri" w:hAnsiTheme="majorHAnsi" w:cstheme="majorHAnsi"/>
          <w:bCs/>
          <w:sz w:val="22"/>
          <w:szCs w:val="22"/>
          <w:lang w:eastAsia="en-US"/>
        </w:rPr>
      </w:pPr>
      <w:r w:rsidRPr="00252CAB">
        <w:rPr>
          <w:rFonts w:asciiTheme="majorHAnsi" w:eastAsia="Calibri" w:hAnsiTheme="majorHAnsi" w:cstheme="majorHAnsi"/>
          <w:bCs/>
          <w:i/>
          <w:iCs/>
          <w:sz w:val="22"/>
          <w:szCs w:val="22"/>
          <w:lang w:val="fr-FR" w:eastAsia="en-US"/>
        </w:rPr>
        <w:t>Hôpital Simon Veil</w:t>
      </w:r>
      <w:r w:rsidRPr="00252CAB">
        <w:rPr>
          <w:rFonts w:asciiTheme="majorHAnsi" w:eastAsia="Calibri" w:hAnsiTheme="majorHAnsi" w:cstheme="majorHAnsi"/>
          <w:bCs/>
          <w:iCs/>
          <w:sz w:val="22"/>
          <w:szCs w:val="22"/>
          <w:lang w:val="fr-FR" w:eastAsia="en-US"/>
        </w:rPr>
        <w:t>,</w:t>
      </w:r>
      <w:r w:rsidRPr="00252CAB">
        <w:rPr>
          <w:rFonts w:asciiTheme="majorHAnsi" w:eastAsia="Calibri" w:hAnsiTheme="majorHAnsi" w:cstheme="majorHAnsi"/>
          <w:bCs/>
          <w:i/>
          <w:iCs/>
          <w:sz w:val="22"/>
          <w:szCs w:val="22"/>
          <w:lang w:val="fr-FR" w:eastAsia="en-US"/>
        </w:rPr>
        <w:t xml:space="preserve"> Eaubonne</w:t>
      </w:r>
      <w:r w:rsidRPr="00252CAB">
        <w:rPr>
          <w:rFonts w:asciiTheme="majorHAnsi" w:eastAsia="Calibri" w:hAnsiTheme="majorHAnsi" w:cstheme="majorHAnsi"/>
          <w:bCs/>
          <w:iCs/>
          <w:sz w:val="22"/>
          <w:szCs w:val="22"/>
          <w:lang w:val="fr-FR" w:eastAsia="en-US"/>
        </w:rPr>
        <w:t>: Evelina Ochin, Christian Vanjak, Patrick Rouge,</w:t>
      </w:r>
      <w:r w:rsidRPr="00252CAB">
        <w:rPr>
          <w:rFonts w:asciiTheme="majorHAnsi" w:eastAsia="Calibri" w:hAnsiTheme="majorHAnsi" w:cstheme="majorHAnsi"/>
          <w:bCs/>
          <w:sz w:val="22"/>
          <w:szCs w:val="22"/>
          <w:lang w:eastAsia="en-US"/>
        </w:rPr>
        <w:t xml:space="preserve"> </w:t>
      </w:r>
      <w:r w:rsidRPr="00252CAB">
        <w:rPr>
          <w:rFonts w:asciiTheme="majorHAnsi" w:eastAsia="Calibri" w:hAnsiTheme="majorHAnsi" w:cstheme="majorHAnsi"/>
          <w:bCs/>
          <w:iCs/>
          <w:sz w:val="22"/>
          <w:szCs w:val="22"/>
          <w:lang w:val="fr-FR" w:eastAsia="en-US"/>
        </w:rPr>
        <w:t>Lynda Bendjemar;</w:t>
      </w:r>
    </w:p>
    <w:p w14:paraId="481C416C" w14:textId="77777777" w:rsidR="00252CAB" w:rsidRPr="00252CAB" w:rsidRDefault="00252CAB" w:rsidP="009C2A20">
      <w:pPr>
        <w:spacing w:line="360" w:lineRule="auto"/>
        <w:rPr>
          <w:rFonts w:asciiTheme="majorHAnsi" w:eastAsia="Calibri" w:hAnsiTheme="majorHAnsi" w:cstheme="majorHAnsi"/>
          <w:bCs/>
          <w:iCs/>
          <w:sz w:val="22"/>
          <w:szCs w:val="22"/>
          <w:lang w:val="fr-FR" w:eastAsia="en-US"/>
        </w:rPr>
      </w:pPr>
      <w:r w:rsidRPr="00252CAB">
        <w:rPr>
          <w:rFonts w:asciiTheme="majorHAnsi" w:eastAsia="Calibri" w:hAnsiTheme="majorHAnsi" w:cstheme="majorHAnsi"/>
          <w:bCs/>
          <w:i/>
          <w:iCs/>
          <w:sz w:val="22"/>
          <w:szCs w:val="22"/>
          <w:lang w:val="fr-FR" w:eastAsia="en-US"/>
        </w:rPr>
        <w:t>Hospital Nord Franche-Comté</w:t>
      </w:r>
      <w:r w:rsidRPr="00252CAB">
        <w:rPr>
          <w:rFonts w:asciiTheme="majorHAnsi" w:eastAsia="Calibri" w:hAnsiTheme="majorHAnsi" w:cstheme="majorHAnsi"/>
          <w:bCs/>
          <w:iCs/>
          <w:sz w:val="22"/>
          <w:szCs w:val="22"/>
          <w:lang w:val="fr-FR" w:eastAsia="en-US"/>
        </w:rPr>
        <w:t>: Julio Badie, Fernando Daniel Berdaguer, Sylvain Malfroy, Chaouki Mezher, Charlotte Bourgoin, Guy Moneger, Elodie Bouvier;</w:t>
      </w:r>
    </w:p>
    <w:p w14:paraId="7F069CC7" w14:textId="77777777" w:rsidR="00252CAB" w:rsidRPr="00252CAB" w:rsidRDefault="00252CAB" w:rsidP="009C2A20">
      <w:pPr>
        <w:spacing w:line="360" w:lineRule="auto"/>
        <w:rPr>
          <w:rFonts w:asciiTheme="majorHAnsi" w:eastAsia="Calibri" w:hAnsiTheme="majorHAnsi" w:cstheme="majorHAnsi"/>
          <w:bCs/>
          <w:iCs/>
          <w:sz w:val="22"/>
          <w:szCs w:val="22"/>
          <w:lang w:val="fr-FR" w:eastAsia="en-US"/>
        </w:rPr>
      </w:pPr>
      <w:r w:rsidRPr="00252CAB">
        <w:rPr>
          <w:rFonts w:asciiTheme="majorHAnsi" w:eastAsia="Calibri" w:hAnsiTheme="majorHAnsi" w:cstheme="majorHAnsi"/>
          <w:bCs/>
          <w:i/>
          <w:iCs/>
          <w:sz w:val="22"/>
          <w:szCs w:val="22"/>
          <w:lang w:val="fr-FR" w:eastAsia="en-US"/>
        </w:rPr>
        <w:lastRenderedPageBreak/>
        <w:t>Lariboisière Hospital</w:t>
      </w:r>
      <w:r w:rsidRPr="00252CAB">
        <w:rPr>
          <w:rFonts w:asciiTheme="majorHAnsi" w:eastAsia="Calibri" w:hAnsiTheme="majorHAnsi" w:cstheme="majorHAnsi"/>
          <w:bCs/>
          <w:iCs/>
          <w:sz w:val="22"/>
          <w:szCs w:val="22"/>
          <w:lang w:val="fr-FR" w:eastAsia="en-US"/>
        </w:rPr>
        <w:t>: Bruno Megarbane, Sebastian Voicu, Nicolas Deye, Isabelle Malissin, Laetitia Sutterlin, Aymen Mrad, Adrien Pépin Lehalleur, Giulia Naim, Philippe Nguyen, Jean-Michel Ekhérian, Yvonnick Boué, Georgios Sidéris, Dominique Vodovar, Emmanuelle Guérin, Caroline Grant;</w:t>
      </w:r>
    </w:p>
    <w:p w14:paraId="3BB9889C" w14:textId="77777777" w:rsidR="00252CAB" w:rsidRPr="00252CAB" w:rsidRDefault="00252CAB" w:rsidP="009C2A20">
      <w:pPr>
        <w:spacing w:line="360" w:lineRule="auto"/>
        <w:rPr>
          <w:rFonts w:asciiTheme="majorHAnsi" w:eastAsia="Calibri" w:hAnsiTheme="majorHAnsi" w:cstheme="majorHAnsi"/>
          <w:bCs/>
          <w:iCs/>
          <w:sz w:val="22"/>
          <w:szCs w:val="22"/>
          <w:lang w:val="fr-FR" w:eastAsia="en-US"/>
        </w:rPr>
      </w:pPr>
      <w:r w:rsidRPr="00252CAB">
        <w:rPr>
          <w:rFonts w:asciiTheme="majorHAnsi" w:eastAsia="Calibri" w:hAnsiTheme="majorHAnsi" w:cstheme="majorHAnsi"/>
          <w:bCs/>
          <w:i/>
          <w:iCs/>
          <w:sz w:val="22"/>
          <w:szCs w:val="22"/>
          <w:lang w:val="fr-FR" w:eastAsia="en-US"/>
        </w:rPr>
        <w:t>Raymond Poincaré Hospital</w:t>
      </w:r>
      <w:r w:rsidRPr="00252CAB">
        <w:rPr>
          <w:rFonts w:asciiTheme="majorHAnsi" w:eastAsia="Calibri" w:hAnsiTheme="majorHAnsi" w:cstheme="majorHAnsi"/>
          <w:bCs/>
          <w:iCs/>
          <w:sz w:val="22"/>
          <w:szCs w:val="22"/>
          <w:lang w:val="fr-FR" w:eastAsia="en-US"/>
        </w:rPr>
        <w:t>: Djillali Annane, Pierre Moine, Nicholas Heming, Virginie Maxime, Isabelle Bossard, Tiphaine Barbarin Nicholier, Bernard Clair, David Orlikowski, Rania Bounab, Lilia Abdeladim;</w:t>
      </w:r>
    </w:p>
    <w:p w14:paraId="2FC53892" w14:textId="2A6B4B04" w:rsidR="00252CAB" w:rsidRPr="00252CAB" w:rsidRDefault="00252CAB" w:rsidP="009C2A20">
      <w:pPr>
        <w:spacing w:line="360" w:lineRule="auto"/>
        <w:rPr>
          <w:rFonts w:asciiTheme="majorHAnsi" w:eastAsia="Calibri" w:hAnsiTheme="majorHAnsi" w:cstheme="majorHAnsi"/>
          <w:bCs/>
          <w:iCs/>
          <w:sz w:val="22"/>
          <w:szCs w:val="22"/>
          <w:lang w:val="fr-FR" w:eastAsia="en-US"/>
        </w:rPr>
      </w:pPr>
      <w:r w:rsidRPr="00252CAB">
        <w:rPr>
          <w:rFonts w:asciiTheme="majorHAnsi" w:eastAsia="Calibri" w:hAnsiTheme="majorHAnsi" w:cstheme="majorHAnsi"/>
          <w:bCs/>
          <w:i/>
          <w:sz w:val="22"/>
          <w:szCs w:val="22"/>
          <w:lang w:val="fr-FR" w:eastAsia="en-US"/>
        </w:rPr>
        <w:t>Vendee Hospital</w:t>
      </w:r>
      <w:r w:rsidRPr="00252CAB">
        <w:rPr>
          <w:rFonts w:asciiTheme="majorHAnsi" w:eastAsia="Calibri" w:hAnsiTheme="majorHAnsi" w:cstheme="majorHAnsi"/>
          <w:bCs/>
          <w:iCs/>
          <w:sz w:val="22"/>
          <w:szCs w:val="22"/>
          <w:lang w:val="fr-FR" w:eastAsia="en-US"/>
        </w:rPr>
        <w:t>: Gwenhael Colin, Vanessa Zinzoni, Natacha Maquigneau, Matthieu Henri-Lagarrigue, Caroline Pouplet;</w:t>
      </w:r>
    </w:p>
    <w:p w14:paraId="3C180B3C" w14:textId="77777777" w:rsidR="00252CAB" w:rsidRPr="00252CAB" w:rsidRDefault="00252CAB" w:rsidP="009C2A20">
      <w:pPr>
        <w:spacing w:line="360" w:lineRule="auto"/>
        <w:rPr>
          <w:rFonts w:asciiTheme="majorHAnsi" w:eastAsia="Calibri" w:hAnsiTheme="majorHAnsi" w:cstheme="majorHAnsi"/>
          <w:bCs/>
          <w:i/>
          <w:sz w:val="22"/>
          <w:szCs w:val="22"/>
          <w:lang w:val="fr-FR" w:eastAsia="en-US"/>
        </w:rPr>
      </w:pPr>
    </w:p>
    <w:p w14:paraId="0173E09B" w14:textId="77777777" w:rsidR="00252CAB" w:rsidRPr="00252CAB" w:rsidRDefault="00252CAB" w:rsidP="009C2A20">
      <w:pPr>
        <w:spacing w:line="360" w:lineRule="auto"/>
        <w:rPr>
          <w:rFonts w:asciiTheme="majorHAnsi" w:eastAsia="Calibri" w:hAnsiTheme="majorHAnsi" w:cstheme="majorHAnsi"/>
          <w:b/>
          <w:i/>
          <w:sz w:val="22"/>
          <w:szCs w:val="22"/>
          <w:lang w:val="fr-FR" w:eastAsia="en-US"/>
        </w:rPr>
      </w:pPr>
      <w:r w:rsidRPr="00252CAB">
        <w:rPr>
          <w:rFonts w:asciiTheme="majorHAnsi" w:eastAsia="Calibri" w:hAnsiTheme="majorHAnsi" w:cstheme="majorHAnsi"/>
          <w:b/>
          <w:i/>
          <w:sz w:val="22"/>
          <w:szCs w:val="22"/>
          <w:lang w:val="fr-FR" w:eastAsia="en-US"/>
        </w:rPr>
        <w:t>Germany:</w:t>
      </w:r>
    </w:p>
    <w:p w14:paraId="557C4BAF" w14:textId="77777777" w:rsidR="00252CAB" w:rsidRPr="00252CAB" w:rsidRDefault="00252CAB" w:rsidP="009C2A20">
      <w:pPr>
        <w:spacing w:line="360" w:lineRule="auto"/>
        <w:rPr>
          <w:rFonts w:asciiTheme="majorHAnsi" w:eastAsia="Calibri" w:hAnsiTheme="majorHAnsi" w:cstheme="majorHAnsi"/>
          <w:bCs/>
          <w:iCs/>
          <w:sz w:val="22"/>
          <w:szCs w:val="22"/>
          <w:lang w:val="fr-FR" w:eastAsia="en-US"/>
        </w:rPr>
      </w:pPr>
      <w:r w:rsidRPr="00252CAB">
        <w:rPr>
          <w:rFonts w:asciiTheme="majorHAnsi" w:eastAsia="Calibri" w:hAnsiTheme="majorHAnsi" w:cstheme="majorHAnsi"/>
          <w:bCs/>
          <w:i/>
          <w:sz w:val="22"/>
          <w:szCs w:val="22"/>
          <w:lang w:val="fr-FR" w:eastAsia="en-US"/>
        </w:rPr>
        <w:t>Carl-Thiem-Klinikum Cottbus gGmbH</w:t>
      </w:r>
      <w:r w:rsidRPr="00252CAB">
        <w:rPr>
          <w:rFonts w:asciiTheme="majorHAnsi" w:eastAsia="Calibri" w:hAnsiTheme="majorHAnsi" w:cstheme="majorHAnsi"/>
          <w:bCs/>
          <w:iCs/>
          <w:sz w:val="22"/>
          <w:szCs w:val="22"/>
          <w:lang w:val="fr-FR" w:eastAsia="en-US"/>
        </w:rPr>
        <w:t>: Jens Soukup, Richard Wetzold, Madlen Löbel, Dr. Ing,  Lisa Starke, Patrick Grimm;</w:t>
      </w:r>
    </w:p>
    <w:p w14:paraId="1C706D51" w14:textId="77777777" w:rsidR="00252CAB" w:rsidRPr="00252CAB" w:rsidRDefault="00252CAB" w:rsidP="009C2A20">
      <w:pPr>
        <w:spacing w:line="360" w:lineRule="auto"/>
        <w:rPr>
          <w:rFonts w:asciiTheme="majorHAnsi" w:eastAsia="Calibri" w:hAnsiTheme="majorHAnsi" w:cstheme="majorHAnsi"/>
          <w:bCs/>
          <w:iCs/>
          <w:sz w:val="22"/>
          <w:szCs w:val="22"/>
          <w:lang w:val="de-DE" w:eastAsia="en-US"/>
        </w:rPr>
      </w:pPr>
      <w:r w:rsidRPr="00252CAB">
        <w:rPr>
          <w:rFonts w:asciiTheme="majorHAnsi" w:eastAsia="Calibri" w:hAnsiTheme="majorHAnsi" w:cstheme="majorHAnsi"/>
          <w:bCs/>
          <w:i/>
          <w:sz w:val="22"/>
          <w:szCs w:val="22"/>
          <w:lang w:val="de-DE" w:eastAsia="en-US"/>
        </w:rPr>
        <w:t>Charité - Universitätsmedizin Berlin</w:t>
      </w:r>
      <w:r w:rsidRPr="00252CAB">
        <w:rPr>
          <w:rFonts w:asciiTheme="majorHAnsi" w:eastAsia="Calibri" w:hAnsiTheme="majorHAnsi" w:cstheme="majorHAnsi"/>
          <w:bCs/>
          <w:iCs/>
          <w:sz w:val="22"/>
          <w:szCs w:val="22"/>
          <w:lang w:val="de-DE" w:eastAsia="en-US"/>
        </w:rPr>
        <w:t>: André Finn, Gabriele Kreß, Uwe Hoff, Carl Friedrich Hinrichs, Jens Nee;</w:t>
      </w:r>
    </w:p>
    <w:p w14:paraId="201E7B38" w14:textId="77777777" w:rsidR="00252CAB" w:rsidRPr="00252CAB" w:rsidRDefault="00252CAB" w:rsidP="009C2A20">
      <w:pPr>
        <w:spacing w:line="360" w:lineRule="auto"/>
        <w:rPr>
          <w:rFonts w:asciiTheme="majorHAnsi" w:eastAsia="Calibri" w:hAnsiTheme="majorHAnsi" w:cstheme="majorHAnsi"/>
          <w:bCs/>
          <w:iCs/>
          <w:sz w:val="22"/>
          <w:szCs w:val="22"/>
          <w:lang w:val="de-DE" w:eastAsia="en-US"/>
        </w:rPr>
      </w:pPr>
      <w:r w:rsidRPr="00252CAB">
        <w:rPr>
          <w:rFonts w:asciiTheme="majorHAnsi" w:eastAsia="Calibri" w:hAnsiTheme="majorHAnsi" w:cstheme="majorHAnsi"/>
          <w:bCs/>
          <w:i/>
          <w:iCs/>
          <w:sz w:val="22"/>
          <w:szCs w:val="22"/>
          <w:lang w:val="de-DE" w:eastAsia="en-US"/>
        </w:rPr>
        <w:t>Elisabeth Krankenhaus Essen</w:t>
      </w:r>
      <w:r w:rsidRPr="00252CAB">
        <w:rPr>
          <w:rFonts w:asciiTheme="majorHAnsi" w:eastAsia="Calibri" w:hAnsiTheme="majorHAnsi" w:cstheme="majorHAnsi"/>
          <w:bCs/>
          <w:iCs/>
          <w:sz w:val="22"/>
          <w:szCs w:val="22"/>
          <w:lang w:val="de-DE" w:eastAsia="en-US"/>
        </w:rPr>
        <w:t>: Ingo Voigt, Robert Schueler, Elisabeth Blank, Vanessa Hüning, Melanie Steffen, Patricia Goralski;</w:t>
      </w:r>
      <w:r w:rsidRPr="00252CAB">
        <w:rPr>
          <w:rFonts w:asciiTheme="majorHAnsi" w:eastAsia="Calibri" w:hAnsiTheme="majorHAnsi" w:cstheme="majorHAnsi"/>
          <w:bCs/>
          <w:i/>
          <w:sz w:val="22"/>
          <w:szCs w:val="22"/>
          <w:lang w:val="de-DE" w:eastAsia="en-US"/>
        </w:rPr>
        <w:t>Jena University Hospital</w:t>
      </w:r>
      <w:r w:rsidRPr="00252CAB">
        <w:rPr>
          <w:rFonts w:asciiTheme="majorHAnsi" w:eastAsia="Calibri" w:hAnsiTheme="majorHAnsi" w:cstheme="majorHAnsi"/>
          <w:bCs/>
          <w:iCs/>
          <w:sz w:val="22"/>
          <w:szCs w:val="22"/>
          <w:lang w:val="de-DE" w:eastAsia="en-US"/>
        </w:rPr>
        <w:t>: Mathias W. Pletz, Stefan Hagel, Juliane Ankert, Steffi Kolanos, Frank Bloos;</w:t>
      </w:r>
    </w:p>
    <w:p w14:paraId="4C69CF10" w14:textId="77777777" w:rsidR="00252CAB" w:rsidRPr="00252CAB" w:rsidRDefault="00252CAB" w:rsidP="009C2A20">
      <w:pPr>
        <w:spacing w:line="360" w:lineRule="auto"/>
        <w:rPr>
          <w:rFonts w:asciiTheme="majorHAnsi" w:eastAsia="Calibri" w:hAnsiTheme="majorHAnsi" w:cstheme="majorHAnsi"/>
          <w:bCs/>
          <w:iCs/>
          <w:sz w:val="22"/>
          <w:szCs w:val="22"/>
          <w:lang w:val="de-DE" w:eastAsia="en-US"/>
        </w:rPr>
      </w:pPr>
      <w:r w:rsidRPr="00252CAB">
        <w:rPr>
          <w:rFonts w:asciiTheme="majorHAnsi" w:eastAsia="Calibri" w:hAnsiTheme="majorHAnsi" w:cstheme="majorHAnsi"/>
          <w:bCs/>
          <w:i/>
          <w:sz w:val="22"/>
          <w:szCs w:val="22"/>
          <w:lang w:val="de-DE" w:eastAsia="en-US"/>
        </w:rPr>
        <w:t>Klinikum Dortmund gGmbH</w:t>
      </w:r>
      <w:r w:rsidRPr="00252CAB">
        <w:rPr>
          <w:rFonts w:asciiTheme="majorHAnsi" w:eastAsia="Calibri" w:hAnsiTheme="majorHAnsi" w:cstheme="majorHAnsi"/>
          <w:bCs/>
          <w:iCs/>
          <w:sz w:val="22"/>
          <w:szCs w:val="22"/>
          <w:lang w:val="de-DE" w:eastAsia="en-US"/>
        </w:rPr>
        <w:t>: Daniela Nickoleit-Bitzenberger, Bernhard Schaaf, Werner Meermeier, Katharina Prebeg, Harun Said Azzaui, Martin Hower, Klaus-Gerd Brieger, Corinna Elender, Timo Sabelhaus, Ansgar Riepe, Ceren Akamp, Julius Kremling, Daniela Klein, Elke Landsiedel-Mechenbier;</w:t>
      </w:r>
    </w:p>
    <w:p w14:paraId="123969BD" w14:textId="77777777" w:rsidR="00252CAB" w:rsidRPr="00252CAB" w:rsidRDefault="00252CAB" w:rsidP="009C2A20">
      <w:pPr>
        <w:spacing w:line="360" w:lineRule="auto"/>
        <w:rPr>
          <w:rFonts w:asciiTheme="majorHAnsi" w:eastAsia="Calibri" w:hAnsiTheme="majorHAnsi" w:cstheme="majorHAnsi"/>
          <w:bCs/>
          <w:iCs/>
          <w:sz w:val="22"/>
          <w:szCs w:val="22"/>
          <w:lang w:val="de-DE" w:eastAsia="en-US"/>
        </w:rPr>
      </w:pPr>
      <w:r w:rsidRPr="00252CAB">
        <w:rPr>
          <w:rFonts w:asciiTheme="majorHAnsi" w:eastAsia="Calibri" w:hAnsiTheme="majorHAnsi" w:cstheme="majorHAnsi"/>
          <w:bCs/>
          <w:i/>
          <w:sz w:val="22"/>
          <w:szCs w:val="22"/>
          <w:lang w:val="de-DE" w:eastAsia="en-US"/>
        </w:rPr>
        <w:t>University Hospital of Leipzig</w:t>
      </w:r>
      <w:r w:rsidRPr="00252CAB">
        <w:rPr>
          <w:rFonts w:asciiTheme="majorHAnsi" w:eastAsia="Calibri" w:hAnsiTheme="majorHAnsi" w:cstheme="majorHAnsi"/>
          <w:bCs/>
          <w:iCs/>
          <w:sz w:val="22"/>
          <w:szCs w:val="22"/>
          <w:lang w:val="de-DE" w:eastAsia="en-US"/>
        </w:rPr>
        <w:t xml:space="preserve">: Sirak Petros, Kevin Kunz, Bianka Schütze; </w:t>
      </w:r>
    </w:p>
    <w:p w14:paraId="3F9A31BB" w14:textId="77777777" w:rsidR="00252CAB" w:rsidRPr="00252CAB" w:rsidRDefault="00252CAB" w:rsidP="009C2A20">
      <w:pPr>
        <w:spacing w:line="360" w:lineRule="auto"/>
        <w:rPr>
          <w:rFonts w:asciiTheme="majorHAnsi" w:eastAsia="Calibri" w:hAnsiTheme="majorHAnsi" w:cstheme="majorHAnsi"/>
          <w:bCs/>
          <w:iCs/>
          <w:sz w:val="22"/>
          <w:szCs w:val="22"/>
          <w:lang w:val="de-DE" w:eastAsia="en-US"/>
        </w:rPr>
      </w:pPr>
      <w:r w:rsidRPr="00252CAB">
        <w:rPr>
          <w:rFonts w:asciiTheme="majorHAnsi" w:eastAsia="Calibri" w:hAnsiTheme="majorHAnsi" w:cstheme="majorHAnsi"/>
          <w:bCs/>
          <w:i/>
          <w:sz w:val="22"/>
          <w:szCs w:val="22"/>
          <w:lang w:val="de-DE" w:eastAsia="en-US"/>
        </w:rPr>
        <w:t>Universitätsklinikum Hamburg-Eppendorf</w:t>
      </w:r>
      <w:r w:rsidRPr="00252CAB">
        <w:rPr>
          <w:rFonts w:asciiTheme="majorHAnsi" w:eastAsia="Calibri" w:hAnsiTheme="majorHAnsi" w:cstheme="majorHAnsi"/>
          <w:bCs/>
          <w:iCs/>
          <w:sz w:val="22"/>
          <w:szCs w:val="22"/>
          <w:lang w:val="de-DE" w:eastAsia="en-US"/>
        </w:rPr>
        <w:t xml:space="preserve">: Stefan Kluge, Axel Nierhaus, Dominik Jarczak, Kevin Roedl; </w:t>
      </w:r>
    </w:p>
    <w:p w14:paraId="1972A402" w14:textId="77777777" w:rsidR="00252CAB" w:rsidRPr="00252CAB" w:rsidRDefault="00252CAB" w:rsidP="009C2A20">
      <w:pPr>
        <w:spacing w:line="360" w:lineRule="auto"/>
        <w:rPr>
          <w:rFonts w:asciiTheme="majorHAnsi" w:eastAsia="Calibri" w:hAnsiTheme="majorHAnsi" w:cstheme="majorHAnsi"/>
          <w:bCs/>
          <w:iCs/>
          <w:sz w:val="22"/>
          <w:szCs w:val="22"/>
          <w:lang w:val="de-DE" w:eastAsia="en-US"/>
        </w:rPr>
      </w:pPr>
      <w:r w:rsidRPr="00252CAB">
        <w:rPr>
          <w:rFonts w:asciiTheme="majorHAnsi" w:eastAsia="Calibri" w:hAnsiTheme="majorHAnsi" w:cstheme="majorHAnsi"/>
          <w:bCs/>
          <w:i/>
          <w:iCs/>
          <w:sz w:val="22"/>
          <w:szCs w:val="22"/>
          <w:lang w:val="de-DE" w:eastAsia="en-US"/>
        </w:rPr>
        <w:t>Universitätsklinikum Köln</w:t>
      </w:r>
      <w:r w:rsidRPr="00252CAB">
        <w:rPr>
          <w:rFonts w:asciiTheme="majorHAnsi" w:eastAsia="Calibri" w:hAnsiTheme="majorHAnsi" w:cstheme="majorHAnsi"/>
          <w:bCs/>
          <w:iCs/>
          <w:sz w:val="22"/>
          <w:szCs w:val="22"/>
          <w:lang w:val="de-DE" w:eastAsia="en-US"/>
        </w:rPr>
        <w:t>: Matthias Kochanek, Giusi Rueß-Paterno, Josette Mc-Kenzie, Dennis Eichenauer, Alexander Shimabukuro-Vornhagen;</w:t>
      </w:r>
    </w:p>
    <w:p w14:paraId="5E0AA8BB" w14:textId="77777777" w:rsidR="00252CAB" w:rsidRPr="00252CAB" w:rsidRDefault="00252CAB" w:rsidP="009C2A20">
      <w:pPr>
        <w:spacing w:line="360" w:lineRule="auto"/>
        <w:rPr>
          <w:rFonts w:asciiTheme="majorHAnsi" w:eastAsia="Calibri" w:hAnsiTheme="majorHAnsi" w:cstheme="majorHAnsi"/>
          <w:bCs/>
          <w:iCs/>
          <w:sz w:val="22"/>
          <w:szCs w:val="22"/>
          <w:lang w:val="de-DE" w:eastAsia="en-US"/>
        </w:rPr>
      </w:pPr>
      <w:r w:rsidRPr="00252CAB">
        <w:rPr>
          <w:rFonts w:asciiTheme="majorHAnsi" w:eastAsia="Calibri" w:hAnsiTheme="majorHAnsi" w:cstheme="majorHAnsi"/>
          <w:bCs/>
          <w:i/>
          <w:sz w:val="22"/>
          <w:szCs w:val="22"/>
          <w:lang w:val="de-DE" w:eastAsia="en-US"/>
        </w:rPr>
        <w:t>University Hospital of Frankfurt</w:t>
      </w:r>
      <w:r w:rsidRPr="00252CAB">
        <w:rPr>
          <w:rFonts w:asciiTheme="majorHAnsi" w:eastAsia="Calibri" w:hAnsiTheme="majorHAnsi" w:cstheme="majorHAnsi"/>
          <w:bCs/>
          <w:iCs/>
          <w:sz w:val="22"/>
          <w:szCs w:val="22"/>
          <w:lang w:val="de-DE" w:eastAsia="en-US"/>
        </w:rPr>
        <w:t>: Gernot Gerhard Ulrich Rohde, Achim Grünewaldt, Jörg Bojunga;</w:t>
      </w:r>
    </w:p>
    <w:p w14:paraId="59F7FD20" w14:textId="77777777" w:rsidR="00252CAB" w:rsidRPr="00252CAB" w:rsidRDefault="00252CAB" w:rsidP="009C2A20">
      <w:pPr>
        <w:spacing w:line="360" w:lineRule="auto"/>
        <w:rPr>
          <w:rFonts w:asciiTheme="majorHAnsi" w:eastAsia="Calibri" w:hAnsiTheme="majorHAnsi" w:cstheme="majorHAnsi"/>
          <w:bCs/>
          <w:iCs/>
          <w:sz w:val="22"/>
          <w:szCs w:val="22"/>
          <w:lang w:val="de-DE" w:eastAsia="en-US"/>
        </w:rPr>
      </w:pPr>
      <w:r w:rsidRPr="00252CAB">
        <w:rPr>
          <w:rFonts w:asciiTheme="majorHAnsi" w:eastAsia="Calibri" w:hAnsiTheme="majorHAnsi" w:cstheme="majorHAnsi"/>
          <w:bCs/>
          <w:i/>
          <w:sz w:val="22"/>
          <w:szCs w:val="22"/>
          <w:lang w:val="de-DE" w:eastAsia="en-US"/>
        </w:rPr>
        <w:t>University Hospital of Würzburg</w:t>
      </w:r>
      <w:r w:rsidRPr="00252CAB">
        <w:rPr>
          <w:rFonts w:asciiTheme="majorHAnsi" w:eastAsia="Calibri" w:hAnsiTheme="majorHAnsi" w:cstheme="majorHAnsi"/>
          <w:bCs/>
          <w:iCs/>
          <w:sz w:val="22"/>
          <w:szCs w:val="22"/>
          <w:lang w:val="de-DE" w:eastAsia="en-US"/>
        </w:rPr>
        <w:t xml:space="preserve">: Dirk Weismann, Anna Frey; Maria Drayss, M.E. Goebeler, Thomas Flor, Gertrud Fragner, Nadine Wahl, Juliane Totzke, Cyrus Sayehli; </w:t>
      </w:r>
    </w:p>
    <w:p w14:paraId="19B6A3BF" w14:textId="77777777" w:rsidR="00252CAB" w:rsidRPr="00252CAB" w:rsidRDefault="00252CAB" w:rsidP="009C2A20">
      <w:pPr>
        <w:spacing w:line="360" w:lineRule="auto"/>
        <w:rPr>
          <w:rFonts w:asciiTheme="majorHAnsi" w:eastAsia="Calibri" w:hAnsiTheme="majorHAnsi" w:cstheme="majorHAnsi"/>
          <w:bCs/>
          <w:iCs/>
          <w:sz w:val="22"/>
          <w:szCs w:val="22"/>
          <w:lang w:val="de-DE" w:eastAsia="en-US"/>
        </w:rPr>
      </w:pPr>
      <w:r w:rsidRPr="00252CAB">
        <w:rPr>
          <w:rFonts w:asciiTheme="majorHAnsi" w:eastAsia="Calibri" w:hAnsiTheme="majorHAnsi" w:cstheme="majorHAnsi"/>
          <w:bCs/>
          <w:i/>
          <w:sz w:val="22"/>
          <w:szCs w:val="22"/>
          <w:lang w:val="de-DE" w:eastAsia="en-US"/>
        </w:rPr>
        <w:t>Vivantes Klinikum Neukölln</w:t>
      </w:r>
      <w:r w:rsidRPr="00252CAB">
        <w:rPr>
          <w:rFonts w:asciiTheme="majorHAnsi" w:eastAsia="Calibri" w:hAnsiTheme="majorHAnsi" w:cstheme="majorHAnsi"/>
          <w:bCs/>
          <w:iCs/>
          <w:sz w:val="22"/>
          <w:szCs w:val="22"/>
          <w:lang w:val="de-DE" w:eastAsia="en-US"/>
        </w:rPr>
        <w:t xml:space="preserve">: Lorenz Reill, Michael Distler, Astrid Maselli; </w:t>
      </w:r>
    </w:p>
    <w:p w14:paraId="0EB4982D" w14:textId="77777777" w:rsidR="00252CAB" w:rsidRPr="00252CAB" w:rsidRDefault="00252CAB" w:rsidP="009C2A20">
      <w:pPr>
        <w:spacing w:line="360" w:lineRule="auto"/>
        <w:rPr>
          <w:rFonts w:asciiTheme="majorHAnsi" w:eastAsia="Calibri" w:hAnsiTheme="majorHAnsi" w:cstheme="majorHAnsi"/>
          <w:bCs/>
          <w:i/>
          <w:sz w:val="22"/>
          <w:szCs w:val="22"/>
          <w:lang w:val="de-DE" w:eastAsia="en-US"/>
        </w:rPr>
      </w:pPr>
    </w:p>
    <w:p w14:paraId="413EBC42" w14:textId="77777777" w:rsidR="00252CAB" w:rsidRPr="00252CAB" w:rsidRDefault="00252CAB" w:rsidP="009C2A20">
      <w:pPr>
        <w:spacing w:line="360" w:lineRule="auto"/>
        <w:rPr>
          <w:rFonts w:asciiTheme="majorHAnsi" w:eastAsia="Calibri" w:hAnsiTheme="majorHAnsi" w:cstheme="majorHAnsi"/>
          <w:b/>
          <w:i/>
          <w:sz w:val="22"/>
          <w:szCs w:val="22"/>
          <w:lang w:val="de-DE" w:eastAsia="en-US"/>
        </w:rPr>
      </w:pPr>
      <w:r w:rsidRPr="00252CAB">
        <w:rPr>
          <w:rFonts w:asciiTheme="majorHAnsi" w:eastAsia="Calibri" w:hAnsiTheme="majorHAnsi" w:cstheme="majorHAnsi"/>
          <w:b/>
          <w:i/>
          <w:sz w:val="22"/>
          <w:szCs w:val="22"/>
          <w:lang w:val="de-DE" w:eastAsia="en-US"/>
        </w:rPr>
        <w:t>Hungary:</w:t>
      </w:r>
    </w:p>
    <w:p w14:paraId="1EC8F583" w14:textId="77777777" w:rsidR="00252CAB" w:rsidRPr="00252CAB" w:rsidRDefault="00252CAB" w:rsidP="009C2A20">
      <w:pPr>
        <w:spacing w:line="360" w:lineRule="auto"/>
        <w:rPr>
          <w:rFonts w:asciiTheme="majorHAnsi" w:eastAsia="Calibri" w:hAnsiTheme="majorHAnsi" w:cstheme="majorHAnsi"/>
          <w:bCs/>
          <w:iCs/>
          <w:sz w:val="22"/>
          <w:szCs w:val="22"/>
          <w:lang w:val="de-DE" w:eastAsia="en-US"/>
        </w:rPr>
      </w:pPr>
      <w:r w:rsidRPr="00252CAB">
        <w:rPr>
          <w:rFonts w:asciiTheme="majorHAnsi" w:eastAsia="Calibri" w:hAnsiTheme="majorHAnsi" w:cstheme="majorHAnsi"/>
          <w:bCs/>
          <w:i/>
          <w:sz w:val="22"/>
          <w:szCs w:val="22"/>
          <w:lang w:val="de-DE" w:eastAsia="en-US"/>
        </w:rPr>
        <w:t>Almási Balogh Pál Hospital, Ózd</w:t>
      </w:r>
      <w:r w:rsidRPr="00252CAB">
        <w:rPr>
          <w:rFonts w:asciiTheme="majorHAnsi" w:eastAsia="Calibri" w:hAnsiTheme="majorHAnsi" w:cstheme="majorHAnsi"/>
          <w:bCs/>
          <w:iCs/>
          <w:sz w:val="22"/>
          <w:szCs w:val="22"/>
          <w:lang w:val="de-DE" w:eastAsia="en-US"/>
        </w:rPr>
        <w:t>: János Bélteczki, István Magyar, Ágnes Fazekas, Sándor Kovács, Viktória Szőke;</w:t>
      </w:r>
    </w:p>
    <w:p w14:paraId="1E7F6BA6" w14:textId="77777777" w:rsidR="00252CAB" w:rsidRPr="00252CAB" w:rsidRDefault="00252CAB" w:rsidP="009C2A20">
      <w:pPr>
        <w:spacing w:line="360" w:lineRule="auto"/>
        <w:rPr>
          <w:rFonts w:asciiTheme="majorHAnsi" w:eastAsia="Calibri" w:hAnsiTheme="majorHAnsi" w:cstheme="majorHAnsi"/>
          <w:bCs/>
          <w:iCs/>
          <w:sz w:val="22"/>
          <w:szCs w:val="22"/>
          <w:lang w:val="de-DE" w:eastAsia="en-US"/>
        </w:rPr>
      </w:pPr>
      <w:r w:rsidRPr="00252CAB">
        <w:rPr>
          <w:rFonts w:asciiTheme="majorHAnsi" w:eastAsia="Calibri" w:hAnsiTheme="majorHAnsi" w:cstheme="majorHAnsi"/>
          <w:bCs/>
          <w:i/>
          <w:sz w:val="22"/>
          <w:szCs w:val="22"/>
          <w:lang w:val="de-DE" w:eastAsia="en-US"/>
        </w:rPr>
        <w:t>Jósa András County Hospital, Nyíregyháza</w:t>
      </w:r>
      <w:r w:rsidRPr="00252CAB">
        <w:rPr>
          <w:rFonts w:asciiTheme="majorHAnsi" w:eastAsia="Calibri" w:hAnsiTheme="majorHAnsi" w:cstheme="majorHAnsi"/>
          <w:bCs/>
          <w:iCs/>
          <w:sz w:val="22"/>
          <w:szCs w:val="22"/>
          <w:lang w:val="de-DE" w:eastAsia="en-US"/>
        </w:rPr>
        <w:t>: Gábor Szigligeti, János Leszkoven;</w:t>
      </w:r>
    </w:p>
    <w:p w14:paraId="1951769B" w14:textId="0C43E09B" w:rsidR="00252CAB" w:rsidRDefault="00252CAB" w:rsidP="009C2A20">
      <w:pPr>
        <w:spacing w:line="360" w:lineRule="auto"/>
        <w:rPr>
          <w:rFonts w:asciiTheme="majorHAnsi" w:eastAsia="Calibri" w:hAnsiTheme="majorHAnsi" w:cstheme="majorHAnsi"/>
          <w:bCs/>
          <w:i/>
          <w:sz w:val="22"/>
          <w:szCs w:val="22"/>
          <w:lang w:val="de-DE" w:eastAsia="en-US"/>
        </w:rPr>
      </w:pPr>
    </w:p>
    <w:p w14:paraId="285EDD39" w14:textId="77777777" w:rsidR="008D13CE" w:rsidRPr="00252CAB" w:rsidRDefault="008D13CE" w:rsidP="009C2A20">
      <w:pPr>
        <w:spacing w:line="360" w:lineRule="auto"/>
        <w:rPr>
          <w:rFonts w:asciiTheme="majorHAnsi" w:eastAsia="Calibri" w:hAnsiTheme="majorHAnsi" w:cstheme="majorHAnsi"/>
          <w:b/>
          <w:i/>
          <w:iCs/>
          <w:sz w:val="22"/>
          <w:szCs w:val="22"/>
          <w:lang w:val="en-AU" w:eastAsia="en-US"/>
        </w:rPr>
      </w:pPr>
      <w:r>
        <w:rPr>
          <w:rFonts w:asciiTheme="majorHAnsi" w:eastAsia="Calibri" w:hAnsiTheme="majorHAnsi" w:cstheme="majorHAnsi"/>
          <w:b/>
          <w:i/>
          <w:iCs/>
          <w:sz w:val="22"/>
          <w:szCs w:val="22"/>
          <w:lang w:val="en-AU" w:eastAsia="en-US"/>
        </w:rPr>
        <w:t>India</w:t>
      </w:r>
      <w:r w:rsidRPr="008D13CE">
        <w:rPr>
          <w:rFonts w:asciiTheme="majorHAnsi" w:eastAsia="Calibri" w:hAnsiTheme="majorHAnsi" w:cstheme="majorHAnsi"/>
          <w:b/>
          <w:i/>
          <w:iCs/>
          <w:sz w:val="22"/>
          <w:szCs w:val="22"/>
          <w:lang w:val="en-AU" w:eastAsia="en-US"/>
        </w:rPr>
        <w:t>:</w:t>
      </w:r>
    </w:p>
    <w:p w14:paraId="5A598F33" w14:textId="77777777" w:rsidR="008D13CE" w:rsidRPr="00252CAB" w:rsidRDefault="008D13CE" w:rsidP="009C2A20">
      <w:pPr>
        <w:spacing w:line="360" w:lineRule="auto"/>
        <w:rPr>
          <w:rFonts w:asciiTheme="majorHAnsi" w:eastAsia="Calibri" w:hAnsiTheme="majorHAnsi" w:cstheme="majorHAnsi"/>
          <w:bCs/>
          <w:sz w:val="22"/>
          <w:szCs w:val="22"/>
          <w:lang w:val="en-AU" w:eastAsia="en-US"/>
        </w:rPr>
      </w:pPr>
      <w:r w:rsidRPr="00252CAB">
        <w:rPr>
          <w:rFonts w:asciiTheme="majorHAnsi" w:eastAsia="Calibri" w:hAnsiTheme="majorHAnsi" w:cstheme="majorHAnsi"/>
          <w:bCs/>
          <w:sz w:val="22"/>
          <w:szCs w:val="22"/>
          <w:lang w:val="en-AU" w:eastAsia="en-US"/>
        </w:rPr>
        <w:lastRenderedPageBreak/>
        <w:t>India Apollo Speciality Hospital - OMR, Chennai:  Devachandran Jayakumar, Suresh Babu;</w:t>
      </w:r>
    </w:p>
    <w:p w14:paraId="38D779E9" w14:textId="77777777" w:rsidR="008D13CE" w:rsidRPr="00252CAB" w:rsidRDefault="008D13CE" w:rsidP="009C2A20">
      <w:pPr>
        <w:spacing w:line="360" w:lineRule="auto"/>
        <w:rPr>
          <w:rFonts w:asciiTheme="majorHAnsi" w:eastAsia="Calibri" w:hAnsiTheme="majorHAnsi" w:cstheme="majorHAnsi"/>
          <w:bCs/>
          <w:sz w:val="22"/>
          <w:szCs w:val="22"/>
          <w:lang w:val="en-AU" w:eastAsia="en-US"/>
        </w:rPr>
      </w:pPr>
      <w:r w:rsidRPr="00252CAB">
        <w:rPr>
          <w:rFonts w:asciiTheme="majorHAnsi" w:eastAsia="Calibri" w:hAnsiTheme="majorHAnsi" w:cstheme="majorHAnsi"/>
          <w:bCs/>
          <w:sz w:val="22"/>
          <w:szCs w:val="22"/>
          <w:lang w:val="en-AU" w:eastAsia="en-US"/>
        </w:rPr>
        <w:t>Apollo Main Hospital, Chennai:  C Vignesh, Augustian James</w:t>
      </w:r>
    </w:p>
    <w:p w14:paraId="230C4279" w14:textId="66146B27" w:rsidR="008D13CE" w:rsidRPr="008D13CE" w:rsidRDefault="008D13CE" w:rsidP="009C2A20">
      <w:pPr>
        <w:spacing w:line="360" w:lineRule="auto"/>
        <w:rPr>
          <w:rFonts w:asciiTheme="majorHAnsi" w:eastAsia="Calibri" w:hAnsiTheme="majorHAnsi" w:cstheme="majorHAnsi"/>
          <w:bCs/>
          <w:sz w:val="22"/>
          <w:szCs w:val="22"/>
          <w:lang w:eastAsia="en-US"/>
        </w:rPr>
      </w:pPr>
      <w:r w:rsidRPr="00252CAB">
        <w:rPr>
          <w:rFonts w:asciiTheme="majorHAnsi" w:eastAsia="Calibri" w:hAnsiTheme="majorHAnsi" w:cstheme="majorHAnsi"/>
          <w:bCs/>
          <w:sz w:val="22"/>
          <w:szCs w:val="22"/>
          <w:lang w:val="en-AU" w:eastAsia="en-US"/>
        </w:rPr>
        <w:t xml:space="preserve">Apollo Speciality Vanagaram, Vanagaram, Chennai: R Ebenezer, S  Krishnamurthy, Lakshmi Ranganathan, </w:t>
      </w:r>
      <w:r w:rsidRPr="00252CAB">
        <w:rPr>
          <w:rFonts w:asciiTheme="majorHAnsi" w:eastAsia="Calibri" w:hAnsiTheme="majorHAnsi" w:cstheme="majorHAnsi"/>
          <w:bCs/>
          <w:sz w:val="22"/>
          <w:szCs w:val="22"/>
          <w:lang w:eastAsia="en-US"/>
        </w:rPr>
        <w:t>Manisha</w:t>
      </w:r>
      <w:r>
        <w:rPr>
          <w:rFonts w:asciiTheme="majorHAnsi" w:eastAsia="Calibri" w:hAnsiTheme="majorHAnsi" w:cstheme="majorHAnsi"/>
          <w:bCs/>
          <w:sz w:val="22"/>
          <w:szCs w:val="22"/>
          <w:lang w:eastAsia="en-US"/>
        </w:rPr>
        <w:t>;</w:t>
      </w:r>
    </w:p>
    <w:p w14:paraId="4001486A" w14:textId="77777777" w:rsidR="008D13CE" w:rsidRPr="00252CAB" w:rsidRDefault="008D13CE" w:rsidP="009C2A20">
      <w:pPr>
        <w:spacing w:line="360" w:lineRule="auto"/>
        <w:rPr>
          <w:rFonts w:asciiTheme="majorHAnsi" w:eastAsia="Calibri" w:hAnsiTheme="majorHAnsi" w:cstheme="majorHAnsi"/>
          <w:bCs/>
          <w:i/>
          <w:sz w:val="22"/>
          <w:szCs w:val="22"/>
          <w:lang w:val="de-DE" w:eastAsia="en-US"/>
        </w:rPr>
      </w:pPr>
    </w:p>
    <w:p w14:paraId="653FCDBB" w14:textId="77777777" w:rsidR="00252CAB" w:rsidRPr="00252CAB" w:rsidRDefault="00252CAB" w:rsidP="009C2A20">
      <w:pPr>
        <w:spacing w:line="360" w:lineRule="auto"/>
        <w:rPr>
          <w:rFonts w:asciiTheme="majorHAnsi" w:eastAsia="Calibri" w:hAnsiTheme="majorHAnsi" w:cstheme="majorHAnsi"/>
          <w:b/>
          <w:i/>
          <w:sz w:val="22"/>
          <w:szCs w:val="22"/>
          <w:lang w:val="de-DE" w:eastAsia="en-US"/>
        </w:rPr>
      </w:pPr>
      <w:r w:rsidRPr="00252CAB">
        <w:rPr>
          <w:rFonts w:asciiTheme="majorHAnsi" w:eastAsia="Calibri" w:hAnsiTheme="majorHAnsi" w:cstheme="majorHAnsi"/>
          <w:b/>
          <w:i/>
          <w:sz w:val="22"/>
          <w:szCs w:val="22"/>
          <w:lang w:val="de-DE" w:eastAsia="en-US"/>
        </w:rPr>
        <w:t>Ireland:</w:t>
      </w:r>
    </w:p>
    <w:p w14:paraId="5BC46C54" w14:textId="77777777" w:rsidR="00252CAB" w:rsidRPr="00252CAB" w:rsidRDefault="00252CAB" w:rsidP="009C2A20">
      <w:pPr>
        <w:spacing w:line="360" w:lineRule="auto"/>
        <w:rPr>
          <w:rFonts w:asciiTheme="majorHAnsi" w:eastAsia="Calibri" w:hAnsiTheme="majorHAnsi" w:cstheme="majorHAnsi"/>
          <w:bCs/>
          <w:iCs/>
          <w:sz w:val="22"/>
          <w:szCs w:val="22"/>
          <w:lang w:val="de-DE" w:eastAsia="en-US"/>
        </w:rPr>
      </w:pPr>
      <w:r w:rsidRPr="00252CAB">
        <w:rPr>
          <w:rFonts w:asciiTheme="majorHAnsi" w:eastAsia="Calibri" w:hAnsiTheme="majorHAnsi" w:cstheme="majorHAnsi"/>
          <w:bCs/>
          <w:i/>
          <w:sz w:val="22"/>
          <w:szCs w:val="22"/>
          <w:lang w:val="de-DE" w:eastAsia="en-US"/>
        </w:rPr>
        <w:t>Beacon Hospital Dublin</w:t>
      </w:r>
      <w:r w:rsidRPr="00252CAB">
        <w:rPr>
          <w:rFonts w:asciiTheme="majorHAnsi" w:eastAsia="Calibri" w:hAnsiTheme="majorHAnsi" w:cstheme="majorHAnsi"/>
          <w:bCs/>
          <w:iCs/>
          <w:sz w:val="22"/>
          <w:szCs w:val="22"/>
          <w:lang w:val="de-DE" w:eastAsia="en-US"/>
        </w:rPr>
        <w:t>: Daniel Collins, Kathy Brickell, Liadain Reid, Michelle Smyth, Patrick Breen, Sandra Spain;</w:t>
      </w:r>
    </w:p>
    <w:p w14:paraId="197CB3DA" w14:textId="77777777" w:rsidR="00252CAB" w:rsidRPr="00252CAB" w:rsidRDefault="00252CAB" w:rsidP="009C2A20">
      <w:pPr>
        <w:spacing w:line="360" w:lineRule="auto"/>
        <w:rPr>
          <w:rFonts w:asciiTheme="majorHAnsi" w:eastAsia="Calibri" w:hAnsiTheme="majorHAnsi" w:cstheme="majorHAnsi"/>
          <w:bCs/>
          <w:iCs/>
          <w:sz w:val="22"/>
          <w:szCs w:val="22"/>
          <w:lang w:val="de-DE" w:eastAsia="en-US"/>
        </w:rPr>
      </w:pPr>
      <w:r w:rsidRPr="00252CAB">
        <w:rPr>
          <w:rFonts w:asciiTheme="majorHAnsi" w:eastAsia="Calibri" w:hAnsiTheme="majorHAnsi" w:cstheme="majorHAnsi"/>
          <w:bCs/>
          <w:i/>
          <w:sz w:val="22"/>
          <w:szCs w:val="22"/>
          <w:lang w:val="de-DE" w:eastAsia="en-US"/>
        </w:rPr>
        <w:t>Beaumont Hospital</w:t>
      </w:r>
      <w:r w:rsidRPr="00252CAB">
        <w:rPr>
          <w:rFonts w:asciiTheme="majorHAnsi" w:eastAsia="Calibri" w:hAnsiTheme="majorHAnsi" w:cstheme="majorHAnsi"/>
          <w:bCs/>
          <w:iCs/>
          <w:sz w:val="22"/>
          <w:szCs w:val="22"/>
          <w:lang w:val="de-DE" w:eastAsia="en-US"/>
        </w:rPr>
        <w:t>: Gerard Curley, Natalie McEvoy, Pierce Geoghegan, Jennifer Clarke;</w:t>
      </w:r>
    </w:p>
    <w:p w14:paraId="600C63CC" w14:textId="77777777" w:rsidR="00252CAB" w:rsidRPr="00252CAB" w:rsidRDefault="00252CAB" w:rsidP="009C2A20">
      <w:pPr>
        <w:spacing w:line="360" w:lineRule="auto"/>
        <w:rPr>
          <w:rFonts w:asciiTheme="majorHAnsi" w:eastAsia="Calibri" w:hAnsiTheme="majorHAnsi" w:cstheme="majorHAnsi"/>
          <w:bCs/>
          <w:iCs/>
          <w:sz w:val="22"/>
          <w:szCs w:val="22"/>
          <w:lang w:val="de-DE" w:eastAsia="en-US"/>
        </w:rPr>
      </w:pPr>
      <w:r w:rsidRPr="00252CAB">
        <w:rPr>
          <w:rFonts w:asciiTheme="majorHAnsi" w:eastAsia="Calibri" w:hAnsiTheme="majorHAnsi" w:cstheme="majorHAnsi"/>
          <w:bCs/>
          <w:i/>
          <w:sz w:val="22"/>
          <w:szCs w:val="22"/>
          <w:lang w:val="de-DE" w:eastAsia="en-US"/>
        </w:rPr>
        <w:t>Galway University Hospitals</w:t>
      </w:r>
      <w:r w:rsidRPr="00252CAB">
        <w:rPr>
          <w:rFonts w:asciiTheme="majorHAnsi" w:eastAsia="Calibri" w:hAnsiTheme="majorHAnsi" w:cstheme="majorHAnsi"/>
          <w:bCs/>
          <w:iCs/>
          <w:sz w:val="22"/>
          <w:szCs w:val="22"/>
          <w:lang w:val="de-DE" w:eastAsia="en-US"/>
        </w:rPr>
        <w:t>: John Laffey, Bairbre McNicholas, Michael Scully, Siobhan Casey, Maeve Kernan, Aoife Brennan, Ritika Rangan, Riona Tully, Sarah Corbett, Aine McCarthy, Oscar Duffy, David Burke;</w:t>
      </w:r>
    </w:p>
    <w:p w14:paraId="565D6C63" w14:textId="3E9D16E8" w:rsidR="00252CAB" w:rsidRDefault="00252CAB" w:rsidP="009C2A20">
      <w:pPr>
        <w:spacing w:line="360" w:lineRule="auto"/>
        <w:rPr>
          <w:rFonts w:asciiTheme="majorHAnsi" w:eastAsia="Calibri" w:hAnsiTheme="majorHAnsi" w:cstheme="majorHAnsi"/>
          <w:bCs/>
          <w:iCs/>
          <w:sz w:val="22"/>
          <w:szCs w:val="22"/>
          <w:lang w:val="de-DE" w:eastAsia="en-US"/>
        </w:rPr>
      </w:pPr>
      <w:r w:rsidRPr="00252CAB">
        <w:rPr>
          <w:rFonts w:asciiTheme="majorHAnsi" w:eastAsia="Calibri" w:hAnsiTheme="majorHAnsi" w:cstheme="majorHAnsi"/>
          <w:bCs/>
          <w:i/>
          <w:sz w:val="22"/>
          <w:szCs w:val="22"/>
          <w:lang w:val="de-DE" w:eastAsia="en-US"/>
        </w:rPr>
        <w:t>St Vincent’s University Hospital, Dublin</w:t>
      </w:r>
      <w:r w:rsidRPr="00252CAB">
        <w:rPr>
          <w:rFonts w:asciiTheme="majorHAnsi" w:eastAsia="Calibri" w:hAnsiTheme="majorHAnsi" w:cstheme="majorHAnsi"/>
          <w:bCs/>
          <w:iCs/>
          <w:sz w:val="22"/>
          <w:szCs w:val="22"/>
          <w:lang w:val="de-DE" w:eastAsia="en-US"/>
        </w:rPr>
        <w:t xml:space="preserve">: Alistair Nichol, Kathy Brickell, Michelle Smyth, Leanne </w:t>
      </w:r>
      <w:r w:rsidR="00534797">
        <w:rPr>
          <w:rFonts w:asciiTheme="majorHAnsi" w:eastAsia="Calibri" w:hAnsiTheme="majorHAnsi" w:cstheme="majorHAnsi"/>
          <w:bCs/>
          <w:iCs/>
          <w:sz w:val="22"/>
          <w:szCs w:val="22"/>
          <w:lang w:val="de-DE" w:eastAsia="en-US"/>
        </w:rPr>
        <w:t xml:space="preserve">MC </w:t>
      </w:r>
      <w:r w:rsidRPr="00252CAB">
        <w:rPr>
          <w:rFonts w:asciiTheme="majorHAnsi" w:eastAsia="Calibri" w:hAnsiTheme="majorHAnsi" w:cstheme="majorHAnsi"/>
          <w:bCs/>
          <w:iCs/>
          <w:sz w:val="22"/>
          <w:szCs w:val="22"/>
          <w:lang w:val="de-DE" w:eastAsia="en-US"/>
        </w:rPr>
        <w:t>Hayes, Liadain Reid, Lorna Murphy, Andy Neill, Bryan Reidy, Michael O’Dwyer, Donal Ryan, Kate Ainscough;</w:t>
      </w:r>
    </w:p>
    <w:p w14:paraId="6141A61E" w14:textId="07216D76" w:rsidR="00534797" w:rsidRPr="00534797" w:rsidRDefault="00534797" w:rsidP="00534797">
      <w:pPr>
        <w:spacing w:line="360" w:lineRule="auto"/>
        <w:rPr>
          <w:rFonts w:asciiTheme="majorHAnsi" w:eastAsia="Calibri" w:hAnsiTheme="majorHAnsi" w:cstheme="majorHAnsi"/>
          <w:bCs/>
          <w:iCs/>
          <w:sz w:val="22"/>
          <w:szCs w:val="22"/>
          <w:lang w:val="en-NL" w:eastAsia="en-US"/>
        </w:rPr>
      </w:pPr>
      <w:r w:rsidRPr="00534797">
        <w:rPr>
          <w:rFonts w:asciiTheme="majorHAnsi" w:eastAsia="Calibri" w:hAnsiTheme="majorHAnsi" w:cstheme="majorHAnsi"/>
          <w:bCs/>
          <w:i/>
          <w:sz w:val="22"/>
          <w:szCs w:val="22"/>
          <w:lang w:val="en-NL" w:eastAsia="en-US"/>
        </w:rPr>
        <w:t xml:space="preserve">Cork </w:t>
      </w:r>
      <w:r w:rsidRPr="00534797">
        <w:rPr>
          <w:rFonts w:asciiTheme="majorHAnsi" w:eastAsia="Calibri" w:hAnsiTheme="majorHAnsi" w:cstheme="majorHAnsi"/>
          <w:bCs/>
          <w:i/>
          <w:sz w:val="22"/>
          <w:szCs w:val="22"/>
          <w:lang w:val="en-US" w:eastAsia="en-US"/>
        </w:rPr>
        <w:t>University Hospital</w:t>
      </w:r>
      <w:r w:rsidRPr="00534797">
        <w:rPr>
          <w:rFonts w:asciiTheme="majorHAnsi" w:eastAsia="Calibri" w:hAnsiTheme="majorHAnsi" w:cstheme="majorHAnsi"/>
          <w:bCs/>
          <w:iCs/>
          <w:sz w:val="22"/>
          <w:szCs w:val="22"/>
          <w:lang w:val="en-NL" w:eastAsia="en-US"/>
        </w:rPr>
        <w:t>: Prof Joe Eustace  PI, Dr Patrick Seigne , Ann-Marie O’Callaghan &amp; Fionnuala O’Brien</w:t>
      </w:r>
    </w:p>
    <w:p w14:paraId="3690396E" w14:textId="5012AA0A" w:rsidR="00534797" w:rsidRPr="00534797" w:rsidRDefault="00534797" w:rsidP="00534797">
      <w:pPr>
        <w:spacing w:line="360" w:lineRule="auto"/>
        <w:rPr>
          <w:rFonts w:asciiTheme="majorHAnsi" w:eastAsia="Calibri" w:hAnsiTheme="majorHAnsi" w:cstheme="majorHAnsi"/>
          <w:bCs/>
          <w:iCs/>
          <w:sz w:val="22"/>
          <w:szCs w:val="22"/>
          <w:lang w:val="en-NL" w:eastAsia="en-US"/>
        </w:rPr>
      </w:pPr>
      <w:r w:rsidRPr="00534797">
        <w:rPr>
          <w:rFonts w:asciiTheme="majorHAnsi" w:eastAsia="Calibri" w:hAnsiTheme="majorHAnsi" w:cstheme="majorHAnsi"/>
          <w:bCs/>
          <w:i/>
          <w:sz w:val="22"/>
          <w:szCs w:val="22"/>
          <w:lang w:val="en-NL" w:eastAsia="en-US"/>
        </w:rPr>
        <w:t xml:space="preserve">Waterford </w:t>
      </w:r>
      <w:r w:rsidRPr="00534797">
        <w:rPr>
          <w:rFonts w:asciiTheme="majorHAnsi" w:eastAsia="Calibri" w:hAnsiTheme="majorHAnsi" w:cstheme="majorHAnsi"/>
          <w:bCs/>
          <w:i/>
          <w:sz w:val="22"/>
          <w:szCs w:val="22"/>
          <w:lang w:val="en-US" w:eastAsia="en-US"/>
        </w:rPr>
        <w:t>University Hospital</w:t>
      </w:r>
      <w:r w:rsidRPr="00534797">
        <w:rPr>
          <w:rFonts w:asciiTheme="majorHAnsi" w:eastAsia="Calibri" w:hAnsiTheme="majorHAnsi" w:cstheme="majorHAnsi"/>
          <w:bCs/>
          <w:iCs/>
          <w:sz w:val="22"/>
          <w:szCs w:val="22"/>
          <w:lang w:val="en-NL" w:eastAsia="en-US"/>
        </w:rPr>
        <w:t>: Dr Sheeba Hakak,Dr Ray Kelly,Dr Craig Joyce,Dr Kirsten Joyce,Dr Wahid  Altaf, Leo Walsh,  Aisling Murphy</w:t>
      </w:r>
    </w:p>
    <w:p w14:paraId="4AB84814" w14:textId="77777777" w:rsidR="00534797" w:rsidRPr="00534797" w:rsidRDefault="00534797" w:rsidP="009C2A20">
      <w:pPr>
        <w:spacing w:line="360" w:lineRule="auto"/>
        <w:rPr>
          <w:rFonts w:asciiTheme="majorHAnsi" w:eastAsia="Calibri" w:hAnsiTheme="majorHAnsi" w:cstheme="majorHAnsi"/>
          <w:bCs/>
          <w:iCs/>
          <w:sz w:val="22"/>
          <w:szCs w:val="22"/>
          <w:lang w:val="en-NL" w:eastAsia="en-US"/>
        </w:rPr>
      </w:pPr>
    </w:p>
    <w:p w14:paraId="591405A7" w14:textId="77777777" w:rsidR="00252CAB" w:rsidRPr="00252CAB" w:rsidRDefault="00252CAB" w:rsidP="009C2A20">
      <w:pPr>
        <w:spacing w:line="360" w:lineRule="auto"/>
        <w:rPr>
          <w:rFonts w:asciiTheme="majorHAnsi" w:eastAsia="Calibri" w:hAnsiTheme="majorHAnsi" w:cstheme="majorHAnsi"/>
          <w:bCs/>
          <w:i/>
          <w:sz w:val="22"/>
          <w:szCs w:val="22"/>
          <w:lang w:val="de-DE" w:eastAsia="en-US"/>
        </w:rPr>
      </w:pPr>
    </w:p>
    <w:p w14:paraId="7029C2E3" w14:textId="77777777" w:rsidR="00252CAB" w:rsidRPr="00252CAB" w:rsidRDefault="00252CAB" w:rsidP="009C2A20">
      <w:pPr>
        <w:spacing w:line="360" w:lineRule="auto"/>
        <w:rPr>
          <w:rFonts w:asciiTheme="majorHAnsi" w:eastAsia="Calibri" w:hAnsiTheme="majorHAnsi" w:cstheme="majorHAnsi"/>
          <w:b/>
          <w:i/>
          <w:sz w:val="22"/>
          <w:szCs w:val="22"/>
          <w:lang w:eastAsia="en-US"/>
        </w:rPr>
      </w:pPr>
      <w:r w:rsidRPr="00252CAB">
        <w:rPr>
          <w:rFonts w:asciiTheme="majorHAnsi" w:eastAsia="Calibri" w:hAnsiTheme="majorHAnsi" w:cstheme="majorHAnsi"/>
          <w:b/>
          <w:i/>
          <w:sz w:val="22"/>
          <w:szCs w:val="22"/>
          <w:lang w:eastAsia="en-US"/>
        </w:rPr>
        <w:t>Italy:</w:t>
      </w:r>
    </w:p>
    <w:p w14:paraId="0D267BE6" w14:textId="77777777" w:rsidR="00252CAB" w:rsidRPr="00252CAB" w:rsidRDefault="00252CAB" w:rsidP="009C2A20">
      <w:pPr>
        <w:spacing w:line="360" w:lineRule="auto"/>
        <w:rPr>
          <w:rFonts w:asciiTheme="majorHAnsi" w:eastAsia="Calibri" w:hAnsiTheme="majorHAnsi" w:cstheme="majorHAnsi"/>
          <w:bCs/>
          <w:sz w:val="22"/>
          <w:szCs w:val="22"/>
          <w:lang w:eastAsia="en-US"/>
        </w:rPr>
      </w:pPr>
      <w:r w:rsidRPr="00252CAB">
        <w:rPr>
          <w:rFonts w:asciiTheme="majorHAnsi" w:eastAsia="Calibri" w:hAnsiTheme="majorHAnsi" w:cstheme="majorHAnsi"/>
          <w:bCs/>
          <w:i/>
          <w:sz w:val="22"/>
          <w:szCs w:val="22"/>
          <w:lang w:eastAsia="en-US"/>
        </w:rPr>
        <w:t xml:space="preserve">Humanitas Research Hospital: </w:t>
      </w:r>
      <w:r w:rsidRPr="00252CAB">
        <w:rPr>
          <w:rFonts w:asciiTheme="majorHAnsi" w:eastAsia="Calibri" w:hAnsiTheme="majorHAnsi" w:cstheme="majorHAnsi"/>
          <w:bCs/>
          <w:sz w:val="22"/>
          <w:szCs w:val="22"/>
          <w:lang w:eastAsia="en-US"/>
        </w:rPr>
        <w:t>Romina Aceto,</w:t>
      </w:r>
      <w:r w:rsidRPr="00252CAB">
        <w:rPr>
          <w:rFonts w:asciiTheme="majorHAnsi" w:eastAsia="Calibri" w:hAnsiTheme="majorHAnsi" w:cstheme="majorHAnsi"/>
          <w:bCs/>
          <w:sz w:val="22"/>
          <w:szCs w:val="22"/>
          <w:lang w:val="en-US" w:eastAsia="en-US"/>
        </w:rPr>
        <w:t xml:space="preserve"> </w:t>
      </w:r>
      <w:r w:rsidRPr="00252CAB">
        <w:rPr>
          <w:rFonts w:asciiTheme="majorHAnsi" w:eastAsia="Calibri" w:hAnsiTheme="majorHAnsi" w:cstheme="majorHAnsi"/>
          <w:bCs/>
          <w:sz w:val="22"/>
          <w:szCs w:val="22"/>
          <w:lang w:eastAsia="en-US"/>
        </w:rPr>
        <w:t>Alessio Aghemo,</w:t>
      </w:r>
      <w:r w:rsidRPr="00252CAB">
        <w:rPr>
          <w:rFonts w:asciiTheme="majorHAnsi" w:eastAsia="Calibri" w:hAnsiTheme="majorHAnsi" w:cstheme="majorHAnsi"/>
          <w:bCs/>
          <w:sz w:val="22"/>
          <w:szCs w:val="22"/>
          <w:lang w:val="en-US" w:eastAsia="en-US"/>
        </w:rPr>
        <w:t xml:space="preserve"> </w:t>
      </w:r>
      <w:r w:rsidRPr="00252CAB">
        <w:rPr>
          <w:rFonts w:asciiTheme="majorHAnsi" w:eastAsia="Calibri" w:hAnsiTheme="majorHAnsi" w:cstheme="majorHAnsi"/>
          <w:bCs/>
          <w:sz w:val="22"/>
          <w:szCs w:val="22"/>
          <w:lang w:val="it-IT" w:eastAsia="en-US"/>
        </w:rPr>
        <w:t>Salvatore Badalamenti, Enrico Brunetta,</w:t>
      </w:r>
      <w:r w:rsidRPr="00252CAB">
        <w:rPr>
          <w:rFonts w:asciiTheme="majorHAnsi" w:eastAsia="Calibri" w:hAnsiTheme="majorHAnsi" w:cstheme="majorHAnsi"/>
          <w:bCs/>
          <w:sz w:val="22"/>
          <w:szCs w:val="22"/>
          <w:lang w:val="en-US" w:eastAsia="en-US"/>
        </w:rPr>
        <w:t xml:space="preserve"> Maurizio Cecconi, </w:t>
      </w:r>
      <w:r w:rsidRPr="00252CAB">
        <w:rPr>
          <w:rFonts w:asciiTheme="majorHAnsi" w:eastAsia="Calibri" w:hAnsiTheme="majorHAnsi" w:cstheme="majorHAnsi"/>
          <w:bCs/>
          <w:sz w:val="22"/>
          <w:szCs w:val="22"/>
          <w:lang w:val="it-IT" w:eastAsia="en-US"/>
        </w:rPr>
        <w:t xml:space="preserve">Michele Ciccarelli, </w:t>
      </w:r>
      <w:r w:rsidRPr="00252CAB">
        <w:rPr>
          <w:rFonts w:asciiTheme="majorHAnsi" w:eastAsia="Calibri" w:hAnsiTheme="majorHAnsi" w:cstheme="majorHAnsi"/>
          <w:bCs/>
          <w:sz w:val="22"/>
          <w:szCs w:val="22"/>
          <w:lang w:eastAsia="en-US"/>
        </w:rPr>
        <w:t>Elena Constantini, Massimiliano Greco, Marco Folci,</w:t>
      </w:r>
      <w:r w:rsidRPr="00252CAB">
        <w:rPr>
          <w:rFonts w:asciiTheme="majorHAnsi" w:eastAsia="Calibri" w:hAnsiTheme="majorHAnsi" w:cstheme="majorHAnsi"/>
          <w:bCs/>
          <w:sz w:val="22"/>
          <w:szCs w:val="22"/>
          <w:lang w:val="it-IT" w:eastAsia="en-US"/>
        </w:rPr>
        <w:t xml:space="preserve"> Carlo Selmi, Antonio Voza</w:t>
      </w:r>
      <w:r w:rsidRPr="00252CAB">
        <w:rPr>
          <w:rFonts w:asciiTheme="majorHAnsi" w:eastAsia="Calibri" w:hAnsiTheme="majorHAnsi" w:cstheme="majorHAnsi"/>
          <w:bCs/>
          <w:sz w:val="22"/>
          <w:szCs w:val="22"/>
          <w:lang w:eastAsia="en-US"/>
        </w:rPr>
        <w:t>;</w:t>
      </w:r>
    </w:p>
    <w:p w14:paraId="186BDCBB" w14:textId="126C111A" w:rsidR="00252CAB" w:rsidRDefault="00252CAB" w:rsidP="009C2A20">
      <w:pPr>
        <w:spacing w:line="360" w:lineRule="auto"/>
        <w:rPr>
          <w:rFonts w:asciiTheme="majorHAnsi" w:eastAsia="Calibri" w:hAnsiTheme="majorHAnsi" w:cstheme="majorHAnsi"/>
          <w:bCs/>
          <w:i/>
          <w:sz w:val="22"/>
          <w:szCs w:val="22"/>
          <w:lang w:val="de-DE" w:eastAsia="en-US"/>
        </w:rPr>
      </w:pPr>
    </w:p>
    <w:p w14:paraId="58B177ED" w14:textId="77777777" w:rsidR="008D13CE" w:rsidRDefault="008D13CE" w:rsidP="009C2A20">
      <w:pPr>
        <w:spacing w:line="360" w:lineRule="auto"/>
        <w:rPr>
          <w:rFonts w:asciiTheme="majorHAnsi" w:eastAsia="Calibri" w:hAnsiTheme="majorHAnsi" w:cstheme="majorHAnsi"/>
          <w:bCs/>
          <w:sz w:val="22"/>
          <w:szCs w:val="22"/>
          <w:lang w:eastAsia="en-US"/>
        </w:rPr>
      </w:pPr>
    </w:p>
    <w:p w14:paraId="2B52A6F3" w14:textId="77777777" w:rsidR="008D13CE" w:rsidRPr="00252CAB" w:rsidRDefault="008D13CE" w:rsidP="009C2A20">
      <w:pPr>
        <w:spacing w:line="360" w:lineRule="auto"/>
        <w:rPr>
          <w:rFonts w:asciiTheme="majorHAnsi" w:eastAsia="Calibri" w:hAnsiTheme="majorHAnsi" w:cstheme="majorHAnsi"/>
          <w:b/>
          <w:i/>
          <w:iCs/>
          <w:sz w:val="22"/>
          <w:szCs w:val="22"/>
          <w:lang w:eastAsia="en-US"/>
        </w:rPr>
      </w:pPr>
      <w:r w:rsidRPr="008D13CE">
        <w:rPr>
          <w:rFonts w:asciiTheme="majorHAnsi" w:eastAsia="Calibri" w:hAnsiTheme="majorHAnsi" w:cstheme="majorHAnsi"/>
          <w:b/>
          <w:i/>
          <w:iCs/>
          <w:sz w:val="22"/>
          <w:szCs w:val="22"/>
          <w:lang w:eastAsia="en-US"/>
        </w:rPr>
        <w:t>Nepal:</w:t>
      </w:r>
    </w:p>
    <w:p w14:paraId="1CDB88AE" w14:textId="77777777" w:rsidR="008D13CE" w:rsidRPr="00252CAB" w:rsidRDefault="008D13CE" w:rsidP="009C2A20">
      <w:pPr>
        <w:spacing w:line="360" w:lineRule="auto"/>
        <w:rPr>
          <w:rFonts w:asciiTheme="majorHAnsi" w:eastAsia="Calibri" w:hAnsiTheme="majorHAnsi" w:cstheme="majorHAnsi"/>
          <w:bCs/>
          <w:sz w:val="22"/>
          <w:szCs w:val="22"/>
          <w:lang w:val="en-AU" w:eastAsia="en-US"/>
        </w:rPr>
      </w:pPr>
      <w:r w:rsidRPr="00252CAB">
        <w:rPr>
          <w:rFonts w:asciiTheme="majorHAnsi" w:eastAsia="Calibri" w:hAnsiTheme="majorHAnsi" w:cstheme="majorHAnsi"/>
          <w:bCs/>
          <w:sz w:val="22"/>
          <w:szCs w:val="22"/>
          <w:lang w:val="en-AU" w:eastAsia="en-US"/>
        </w:rPr>
        <w:t xml:space="preserve">Nepal Grande International Hospital : Sushil Khanal, Sameena Amatya; </w:t>
      </w:r>
    </w:p>
    <w:p w14:paraId="2D172ADE" w14:textId="77777777" w:rsidR="008D13CE" w:rsidRPr="00252CAB" w:rsidRDefault="008D13CE" w:rsidP="009C2A20">
      <w:pPr>
        <w:spacing w:line="360" w:lineRule="auto"/>
        <w:rPr>
          <w:rFonts w:asciiTheme="majorHAnsi" w:eastAsia="Calibri" w:hAnsiTheme="majorHAnsi" w:cstheme="majorHAnsi"/>
          <w:bCs/>
          <w:sz w:val="22"/>
          <w:szCs w:val="22"/>
          <w:lang w:val="en-AU" w:eastAsia="en-US"/>
        </w:rPr>
      </w:pPr>
      <w:r w:rsidRPr="00252CAB">
        <w:rPr>
          <w:rFonts w:asciiTheme="majorHAnsi" w:eastAsia="Calibri" w:hAnsiTheme="majorHAnsi" w:cstheme="majorHAnsi"/>
          <w:bCs/>
          <w:sz w:val="22"/>
          <w:szCs w:val="22"/>
          <w:lang w:val="en-AU" w:eastAsia="en-US"/>
        </w:rPr>
        <w:t xml:space="preserve">HAMS Hospital: Hem Raj Paneru, Sabin Koirala, Pratibha Paudel; </w:t>
      </w:r>
    </w:p>
    <w:p w14:paraId="6CD44E34" w14:textId="77777777" w:rsidR="008D13CE" w:rsidRPr="00252CAB" w:rsidRDefault="008D13CE" w:rsidP="009C2A20">
      <w:pPr>
        <w:spacing w:line="360" w:lineRule="auto"/>
        <w:rPr>
          <w:rFonts w:asciiTheme="majorHAnsi" w:eastAsia="Calibri" w:hAnsiTheme="majorHAnsi" w:cstheme="majorHAnsi"/>
          <w:bCs/>
          <w:sz w:val="22"/>
          <w:szCs w:val="22"/>
          <w:lang w:val="en-AU" w:eastAsia="en-US"/>
        </w:rPr>
      </w:pPr>
      <w:r w:rsidRPr="00252CAB">
        <w:rPr>
          <w:rFonts w:asciiTheme="majorHAnsi" w:eastAsia="Calibri" w:hAnsiTheme="majorHAnsi" w:cstheme="majorHAnsi"/>
          <w:bCs/>
          <w:sz w:val="22"/>
          <w:szCs w:val="22"/>
          <w:lang w:val="en-AU" w:eastAsia="en-US"/>
        </w:rPr>
        <w:t xml:space="preserve">Nepal Mediciti Hospital: Diptesh Aryal, Kanchan Koirala, Namrata Rai, Subekshya Luitel; </w:t>
      </w:r>
    </w:p>
    <w:p w14:paraId="27C90CA4" w14:textId="77777777" w:rsidR="008D13CE" w:rsidRPr="00252CAB" w:rsidRDefault="008D13CE" w:rsidP="009C2A20">
      <w:pPr>
        <w:spacing w:line="360" w:lineRule="auto"/>
        <w:rPr>
          <w:rFonts w:asciiTheme="majorHAnsi" w:eastAsia="Calibri" w:hAnsiTheme="majorHAnsi" w:cstheme="majorHAnsi"/>
          <w:bCs/>
          <w:sz w:val="22"/>
          <w:szCs w:val="22"/>
          <w:lang w:val="en-AU" w:eastAsia="en-US"/>
        </w:rPr>
      </w:pPr>
      <w:r w:rsidRPr="00252CAB">
        <w:rPr>
          <w:rFonts w:asciiTheme="majorHAnsi" w:eastAsia="Calibri" w:hAnsiTheme="majorHAnsi" w:cstheme="majorHAnsi"/>
          <w:bCs/>
          <w:sz w:val="22"/>
          <w:szCs w:val="22"/>
          <w:lang w:val="en-AU" w:eastAsia="en-US"/>
        </w:rPr>
        <w:t>Tribhuvan University Teaching Hospital : Hem Raj Paneru, Binita Bhattarai;</w:t>
      </w:r>
    </w:p>
    <w:p w14:paraId="56D8DD5F" w14:textId="77777777" w:rsidR="008D13CE" w:rsidRPr="00252CAB" w:rsidRDefault="008D13CE" w:rsidP="009C2A20">
      <w:pPr>
        <w:spacing w:line="360" w:lineRule="auto"/>
        <w:rPr>
          <w:rFonts w:asciiTheme="majorHAnsi" w:eastAsia="Calibri" w:hAnsiTheme="majorHAnsi" w:cstheme="majorHAnsi"/>
          <w:bCs/>
          <w:i/>
          <w:sz w:val="22"/>
          <w:szCs w:val="22"/>
          <w:lang w:val="en-AU" w:eastAsia="en-US"/>
        </w:rPr>
      </w:pPr>
    </w:p>
    <w:p w14:paraId="7CFFB1EB" w14:textId="77777777" w:rsidR="00252CAB" w:rsidRPr="00252CAB" w:rsidRDefault="00252CAB" w:rsidP="009C2A20">
      <w:pPr>
        <w:spacing w:line="360" w:lineRule="auto"/>
        <w:rPr>
          <w:rFonts w:asciiTheme="majorHAnsi" w:eastAsia="Calibri" w:hAnsiTheme="majorHAnsi" w:cstheme="majorHAnsi"/>
          <w:b/>
          <w:i/>
          <w:sz w:val="22"/>
          <w:szCs w:val="22"/>
          <w:lang w:val="nl-NL" w:eastAsia="en-US"/>
        </w:rPr>
      </w:pPr>
      <w:r w:rsidRPr="00252CAB">
        <w:rPr>
          <w:rFonts w:asciiTheme="majorHAnsi" w:eastAsia="Calibri" w:hAnsiTheme="majorHAnsi" w:cstheme="majorHAnsi"/>
          <w:b/>
          <w:i/>
          <w:sz w:val="22"/>
          <w:szCs w:val="22"/>
          <w:lang w:val="nl-NL" w:eastAsia="en-US"/>
        </w:rPr>
        <w:t>Netherlands:</w:t>
      </w:r>
    </w:p>
    <w:p w14:paraId="78598937" w14:textId="77777777" w:rsidR="00252CAB" w:rsidRPr="00252CAB" w:rsidRDefault="00252CAB" w:rsidP="009C2A20">
      <w:pPr>
        <w:spacing w:line="360" w:lineRule="auto"/>
        <w:rPr>
          <w:rFonts w:asciiTheme="majorHAnsi" w:eastAsia="Calibri" w:hAnsiTheme="majorHAnsi" w:cstheme="majorHAnsi"/>
          <w:bCs/>
          <w:iCs/>
          <w:sz w:val="22"/>
          <w:szCs w:val="22"/>
          <w:lang w:val="nl-NL" w:eastAsia="en-US"/>
        </w:rPr>
      </w:pPr>
      <w:r w:rsidRPr="00252CAB">
        <w:rPr>
          <w:rFonts w:asciiTheme="majorHAnsi" w:eastAsia="Calibri" w:hAnsiTheme="majorHAnsi" w:cstheme="majorHAnsi"/>
          <w:bCs/>
          <w:i/>
          <w:sz w:val="22"/>
          <w:szCs w:val="22"/>
          <w:lang w:val="nl-NL" w:eastAsia="en-US"/>
        </w:rPr>
        <w:lastRenderedPageBreak/>
        <w:t>Canisius Wilhelmina Ziekenhuis</w:t>
      </w:r>
      <w:r w:rsidRPr="00252CAB">
        <w:rPr>
          <w:rFonts w:asciiTheme="majorHAnsi" w:eastAsia="Calibri" w:hAnsiTheme="majorHAnsi" w:cstheme="majorHAnsi"/>
          <w:bCs/>
          <w:iCs/>
          <w:sz w:val="22"/>
          <w:szCs w:val="22"/>
          <w:lang w:val="nl-NL" w:eastAsia="en-US"/>
        </w:rPr>
        <w:t>: Oscar Hoiting, Marco Peters, Els Rengers, Mirjam Evers, Anton Prinssen;</w:t>
      </w:r>
    </w:p>
    <w:p w14:paraId="1DF20522" w14:textId="77777777" w:rsidR="00252CAB" w:rsidRPr="00252CAB" w:rsidRDefault="00252CAB" w:rsidP="009C2A20">
      <w:pPr>
        <w:spacing w:line="360" w:lineRule="auto"/>
        <w:rPr>
          <w:rFonts w:asciiTheme="majorHAnsi" w:eastAsia="Calibri" w:hAnsiTheme="majorHAnsi" w:cstheme="majorHAnsi"/>
          <w:bCs/>
          <w:iCs/>
          <w:sz w:val="22"/>
          <w:szCs w:val="22"/>
          <w:lang w:val="nl-NL" w:eastAsia="en-US"/>
        </w:rPr>
      </w:pPr>
      <w:r w:rsidRPr="00252CAB">
        <w:rPr>
          <w:rFonts w:asciiTheme="majorHAnsi" w:eastAsia="Calibri" w:hAnsiTheme="majorHAnsi" w:cstheme="majorHAnsi"/>
          <w:bCs/>
          <w:i/>
          <w:sz w:val="22"/>
          <w:szCs w:val="22"/>
          <w:lang w:val="nl-NL" w:eastAsia="en-US"/>
        </w:rPr>
        <w:t>Deventer Hospital</w:t>
      </w:r>
      <w:r w:rsidRPr="00252CAB">
        <w:rPr>
          <w:rFonts w:asciiTheme="majorHAnsi" w:eastAsia="Calibri" w:hAnsiTheme="majorHAnsi" w:cstheme="majorHAnsi"/>
          <w:bCs/>
          <w:iCs/>
          <w:sz w:val="22"/>
          <w:szCs w:val="22"/>
          <w:lang w:val="nl-NL" w:eastAsia="en-US"/>
        </w:rPr>
        <w:t>: Huub L.A. van den Oever, Arriette Kruisdijk-Gerritsen;</w:t>
      </w:r>
    </w:p>
    <w:p w14:paraId="68BBB075" w14:textId="77777777" w:rsidR="00252CAB" w:rsidRPr="00252CAB" w:rsidRDefault="00252CAB" w:rsidP="009C2A20">
      <w:pPr>
        <w:spacing w:line="360" w:lineRule="auto"/>
        <w:rPr>
          <w:rFonts w:asciiTheme="majorHAnsi" w:eastAsia="Calibri" w:hAnsiTheme="majorHAnsi" w:cstheme="majorHAnsi"/>
          <w:bCs/>
          <w:iCs/>
          <w:sz w:val="22"/>
          <w:szCs w:val="22"/>
          <w:lang w:val="nl-NL" w:eastAsia="en-US"/>
        </w:rPr>
      </w:pPr>
      <w:r w:rsidRPr="00252CAB">
        <w:rPr>
          <w:rFonts w:asciiTheme="majorHAnsi" w:eastAsia="Calibri" w:hAnsiTheme="majorHAnsi" w:cstheme="majorHAnsi"/>
          <w:bCs/>
          <w:i/>
          <w:sz w:val="22"/>
          <w:szCs w:val="22"/>
          <w:lang w:val="nl-NL" w:eastAsia="en-US"/>
        </w:rPr>
        <w:t>Jeroen Bosch Ziekenhuis</w:t>
      </w:r>
      <w:r w:rsidRPr="00252CAB">
        <w:rPr>
          <w:rFonts w:asciiTheme="majorHAnsi" w:eastAsia="Calibri" w:hAnsiTheme="majorHAnsi" w:cstheme="majorHAnsi"/>
          <w:bCs/>
          <w:iCs/>
          <w:sz w:val="22"/>
          <w:szCs w:val="22"/>
          <w:lang w:val="nl-NL" w:eastAsia="en-US"/>
        </w:rPr>
        <w:t>: Koen Simons, Tamara van Zuylen, Angela Bouman;</w:t>
      </w:r>
    </w:p>
    <w:p w14:paraId="036D60CF" w14:textId="77777777" w:rsidR="00252CAB" w:rsidRPr="00252CAB" w:rsidRDefault="00252CAB" w:rsidP="009C2A20">
      <w:pPr>
        <w:spacing w:line="360" w:lineRule="auto"/>
        <w:rPr>
          <w:rFonts w:asciiTheme="majorHAnsi" w:eastAsia="Calibri" w:hAnsiTheme="majorHAnsi" w:cstheme="majorHAnsi"/>
          <w:bCs/>
          <w:iCs/>
          <w:sz w:val="22"/>
          <w:szCs w:val="22"/>
          <w:lang w:val="nl-NL" w:eastAsia="en-US"/>
        </w:rPr>
      </w:pPr>
      <w:r w:rsidRPr="00252CAB">
        <w:rPr>
          <w:rFonts w:asciiTheme="majorHAnsi" w:eastAsia="Calibri" w:hAnsiTheme="majorHAnsi" w:cstheme="majorHAnsi"/>
          <w:bCs/>
          <w:i/>
          <w:sz w:val="22"/>
          <w:szCs w:val="22"/>
          <w:lang w:val="nl-NL" w:eastAsia="en-US"/>
        </w:rPr>
        <w:t>Meander Medisch Centrum</w:t>
      </w:r>
      <w:r w:rsidRPr="00252CAB">
        <w:rPr>
          <w:rFonts w:asciiTheme="majorHAnsi" w:eastAsia="Calibri" w:hAnsiTheme="majorHAnsi" w:cstheme="majorHAnsi"/>
          <w:bCs/>
          <w:iCs/>
          <w:sz w:val="22"/>
          <w:szCs w:val="22"/>
          <w:lang w:val="nl-NL" w:eastAsia="en-US"/>
        </w:rPr>
        <w:t>: Laura van Gulik;</w:t>
      </w:r>
    </w:p>
    <w:p w14:paraId="162792AF" w14:textId="32900F02" w:rsidR="00252CAB" w:rsidRPr="00252CAB" w:rsidRDefault="00252CAB" w:rsidP="009C2A20">
      <w:pPr>
        <w:spacing w:line="360" w:lineRule="auto"/>
        <w:rPr>
          <w:rFonts w:asciiTheme="majorHAnsi" w:eastAsia="Calibri" w:hAnsiTheme="majorHAnsi" w:cstheme="majorHAnsi"/>
          <w:bCs/>
          <w:iCs/>
          <w:sz w:val="22"/>
          <w:szCs w:val="22"/>
          <w:lang w:val="nl-NL" w:eastAsia="en-US"/>
        </w:rPr>
      </w:pPr>
      <w:r w:rsidRPr="00252CAB">
        <w:rPr>
          <w:rFonts w:asciiTheme="majorHAnsi" w:eastAsia="Calibri" w:hAnsiTheme="majorHAnsi" w:cstheme="majorHAnsi"/>
          <w:bCs/>
          <w:i/>
          <w:sz w:val="22"/>
          <w:szCs w:val="22"/>
          <w:lang w:val="nl-NL" w:eastAsia="en-US"/>
        </w:rPr>
        <w:t>Radboud University Medical Center Nijmegen</w:t>
      </w:r>
      <w:r w:rsidRPr="00252CAB">
        <w:rPr>
          <w:rFonts w:asciiTheme="majorHAnsi" w:eastAsia="Calibri" w:hAnsiTheme="majorHAnsi" w:cstheme="majorHAnsi"/>
          <w:bCs/>
          <w:iCs/>
          <w:sz w:val="22"/>
          <w:szCs w:val="22"/>
          <w:lang w:val="nl-NL" w:eastAsia="en-US"/>
        </w:rPr>
        <w:t xml:space="preserve">: </w:t>
      </w:r>
      <w:r w:rsidR="00D75137">
        <w:rPr>
          <w:rFonts w:asciiTheme="majorHAnsi" w:eastAsia="Calibri" w:hAnsiTheme="majorHAnsi" w:cstheme="majorHAnsi"/>
          <w:bCs/>
          <w:iCs/>
          <w:sz w:val="22"/>
          <w:szCs w:val="22"/>
          <w:lang w:val="nl-NL" w:eastAsia="en-US"/>
        </w:rPr>
        <w:t xml:space="preserve">Mihai Netea, </w:t>
      </w:r>
      <w:r w:rsidRPr="00252CAB">
        <w:rPr>
          <w:rFonts w:asciiTheme="majorHAnsi" w:eastAsia="Calibri" w:hAnsiTheme="majorHAnsi" w:cstheme="majorHAnsi"/>
          <w:bCs/>
          <w:iCs/>
          <w:sz w:val="22"/>
          <w:szCs w:val="22"/>
          <w:lang w:val="nl-NL" w:eastAsia="en-US"/>
        </w:rPr>
        <w:t>Jeroen Schouten, Peter Pickkers, Noortje Roovers, Margreet Klop-Riehl, Hetty van der Eng, Frank van de Veerdonk, Sonja Sloots-Cuppen, Lieke Preijers, Nienke van Oosten;</w:t>
      </w:r>
    </w:p>
    <w:p w14:paraId="073300DF" w14:textId="77777777" w:rsidR="00252CAB" w:rsidRPr="00252CAB" w:rsidRDefault="00252CAB" w:rsidP="009C2A20">
      <w:pPr>
        <w:spacing w:line="360" w:lineRule="auto"/>
        <w:rPr>
          <w:rFonts w:asciiTheme="majorHAnsi" w:eastAsia="Calibri" w:hAnsiTheme="majorHAnsi" w:cstheme="majorHAnsi"/>
          <w:bCs/>
          <w:iCs/>
          <w:sz w:val="22"/>
          <w:szCs w:val="22"/>
          <w:lang w:val="nl-NL" w:eastAsia="en-US"/>
        </w:rPr>
      </w:pPr>
      <w:r w:rsidRPr="00252CAB">
        <w:rPr>
          <w:rFonts w:asciiTheme="majorHAnsi" w:eastAsia="Calibri" w:hAnsiTheme="majorHAnsi" w:cstheme="majorHAnsi"/>
          <w:bCs/>
          <w:i/>
          <w:sz w:val="22"/>
          <w:szCs w:val="22"/>
          <w:lang w:val="nl-NL" w:eastAsia="en-US"/>
        </w:rPr>
        <w:t>UMC Leiden</w:t>
      </w:r>
      <w:r w:rsidRPr="00252CAB">
        <w:rPr>
          <w:rFonts w:asciiTheme="majorHAnsi" w:eastAsia="Calibri" w:hAnsiTheme="majorHAnsi" w:cstheme="majorHAnsi"/>
          <w:bCs/>
          <w:iCs/>
          <w:sz w:val="22"/>
          <w:szCs w:val="22"/>
          <w:lang w:val="nl-NL" w:eastAsia="en-US"/>
        </w:rPr>
        <w:t>: Evert de Jonge, Jeanette Wigbers, Michael del Prado;</w:t>
      </w:r>
    </w:p>
    <w:p w14:paraId="4AB50E74" w14:textId="08AAD5CB" w:rsidR="00252CAB" w:rsidRPr="00252CAB" w:rsidRDefault="00252CAB" w:rsidP="009C2A20">
      <w:pPr>
        <w:spacing w:line="360" w:lineRule="auto"/>
        <w:rPr>
          <w:rFonts w:asciiTheme="majorHAnsi" w:eastAsia="Calibri" w:hAnsiTheme="majorHAnsi" w:cstheme="majorHAnsi"/>
          <w:bCs/>
          <w:iCs/>
          <w:sz w:val="22"/>
          <w:szCs w:val="22"/>
          <w:lang w:val="nl-NL" w:eastAsia="en-US"/>
        </w:rPr>
      </w:pPr>
      <w:r w:rsidRPr="00252CAB">
        <w:rPr>
          <w:rFonts w:asciiTheme="majorHAnsi" w:eastAsia="Calibri" w:hAnsiTheme="majorHAnsi" w:cstheme="majorHAnsi"/>
          <w:bCs/>
          <w:i/>
          <w:sz w:val="22"/>
          <w:szCs w:val="22"/>
          <w:lang w:val="nl-NL" w:eastAsia="en-US"/>
        </w:rPr>
        <w:t>UMC Utrecht</w:t>
      </w:r>
      <w:r w:rsidRPr="00252CAB">
        <w:rPr>
          <w:rFonts w:asciiTheme="majorHAnsi" w:eastAsia="Calibri" w:hAnsiTheme="majorHAnsi" w:cstheme="majorHAnsi"/>
          <w:bCs/>
          <w:iCs/>
          <w:sz w:val="22"/>
          <w:szCs w:val="22"/>
          <w:lang w:val="nl-NL" w:eastAsia="en-US"/>
        </w:rPr>
        <w:t>: Marc Bonten, Olaf Cremer, Lennie Derde, Emma Rademaker, Jelle Haitsma Mulier, Birgit Romberg; Helen Leavis, Roger Schutgens, Marjolein van Opdorp, Henny Ophorst-den Besten, Karen Brakké</w:t>
      </w:r>
    </w:p>
    <w:p w14:paraId="1EF84EC3" w14:textId="77777777" w:rsidR="00252CAB" w:rsidRPr="00252CAB" w:rsidRDefault="00252CAB" w:rsidP="009C2A20">
      <w:pPr>
        <w:spacing w:line="360" w:lineRule="auto"/>
        <w:rPr>
          <w:rFonts w:asciiTheme="majorHAnsi" w:eastAsia="Calibri" w:hAnsiTheme="majorHAnsi" w:cstheme="majorHAnsi"/>
          <w:bCs/>
          <w:iCs/>
          <w:sz w:val="22"/>
          <w:szCs w:val="22"/>
          <w:lang w:val="nl-NL" w:eastAsia="en-US"/>
        </w:rPr>
      </w:pPr>
      <w:r w:rsidRPr="00252CAB">
        <w:rPr>
          <w:rFonts w:asciiTheme="majorHAnsi" w:eastAsia="Calibri" w:hAnsiTheme="majorHAnsi" w:cstheme="majorHAnsi"/>
          <w:bCs/>
          <w:i/>
          <w:iCs/>
          <w:sz w:val="22"/>
          <w:szCs w:val="22"/>
          <w:lang w:val="nl-NL" w:eastAsia="en-US"/>
        </w:rPr>
        <w:t>Ziekenhuis Gelderse Vallei Ede</w:t>
      </w:r>
      <w:r w:rsidRPr="00252CAB">
        <w:rPr>
          <w:rFonts w:asciiTheme="majorHAnsi" w:eastAsia="Calibri" w:hAnsiTheme="majorHAnsi" w:cstheme="majorHAnsi"/>
          <w:bCs/>
          <w:iCs/>
          <w:sz w:val="22"/>
          <w:szCs w:val="22"/>
          <w:lang w:val="nl-NL" w:eastAsia="en-US"/>
        </w:rPr>
        <w:t>: Sjoerd van Bree, Marianne Bouw-Ruiter, Barbara Festen, Fiona van Gelder, Mark van Iperen, Margreet Osinga, Roel Schellaars, Dave Tjan, Ruben van der Wekken, Max Melchers, Arthur van Zanten;</w:t>
      </w:r>
    </w:p>
    <w:p w14:paraId="36F2416B" w14:textId="77777777" w:rsidR="00252CAB" w:rsidRPr="00252CAB" w:rsidRDefault="00252CAB" w:rsidP="009C2A20">
      <w:pPr>
        <w:spacing w:line="360" w:lineRule="auto"/>
        <w:rPr>
          <w:rFonts w:asciiTheme="majorHAnsi" w:eastAsia="Calibri" w:hAnsiTheme="majorHAnsi" w:cstheme="majorHAnsi"/>
          <w:bCs/>
          <w:iCs/>
          <w:sz w:val="22"/>
          <w:szCs w:val="22"/>
          <w:lang w:val="nl-NL" w:eastAsia="en-US"/>
        </w:rPr>
      </w:pPr>
      <w:r w:rsidRPr="00252CAB">
        <w:rPr>
          <w:rFonts w:asciiTheme="majorHAnsi" w:eastAsia="Calibri" w:hAnsiTheme="majorHAnsi" w:cstheme="majorHAnsi"/>
          <w:bCs/>
          <w:i/>
          <w:iCs/>
          <w:sz w:val="22"/>
          <w:szCs w:val="22"/>
          <w:lang w:val="nl-NL" w:eastAsia="en-US"/>
        </w:rPr>
        <w:t>OLVG Amsterdam</w:t>
      </w:r>
      <w:r w:rsidRPr="00252CAB">
        <w:rPr>
          <w:rFonts w:asciiTheme="majorHAnsi" w:eastAsia="Calibri" w:hAnsiTheme="majorHAnsi" w:cstheme="majorHAnsi"/>
          <w:bCs/>
          <w:iCs/>
          <w:sz w:val="22"/>
          <w:szCs w:val="22"/>
          <w:lang w:val="nl-NL" w:eastAsia="en-US"/>
        </w:rPr>
        <w:t>: Nicole Juffermans, Matty Koopmans, Romein Dujardin, Bashar Alderink</w:t>
      </w:r>
    </w:p>
    <w:p w14:paraId="06C470A7" w14:textId="77777777" w:rsidR="00252CAB" w:rsidRPr="00252CAB" w:rsidRDefault="00252CAB" w:rsidP="009C2A20">
      <w:pPr>
        <w:spacing w:line="360" w:lineRule="auto"/>
        <w:rPr>
          <w:rFonts w:asciiTheme="majorHAnsi" w:eastAsia="Calibri" w:hAnsiTheme="majorHAnsi" w:cstheme="majorHAnsi"/>
          <w:bCs/>
          <w:iCs/>
          <w:sz w:val="22"/>
          <w:szCs w:val="22"/>
          <w:lang w:val="nl-NL" w:eastAsia="en-US"/>
        </w:rPr>
      </w:pPr>
      <w:r w:rsidRPr="00252CAB">
        <w:rPr>
          <w:rFonts w:asciiTheme="majorHAnsi" w:eastAsia="Calibri" w:hAnsiTheme="majorHAnsi" w:cstheme="majorHAnsi"/>
          <w:bCs/>
          <w:i/>
          <w:iCs/>
          <w:sz w:val="22"/>
          <w:szCs w:val="22"/>
          <w:lang w:val="nl-NL" w:eastAsia="en-US"/>
        </w:rPr>
        <w:t>Hagaziekenhuis Den Haag</w:t>
      </w:r>
      <w:r w:rsidRPr="00252CAB">
        <w:rPr>
          <w:rFonts w:asciiTheme="majorHAnsi" w:eastAsia="Calibri" w:hAnsiTheme="majorHAnsi" w:cstheme="majorHAnsi"/>
          <w:bCs/>
          <w:iCs/>
          <w:sz w:val="22"/>
          <w:szCs w:val="22"/>
          <w:lang w:val="nl-NL" w:eastAsia="en-US"/>
        </w:rPr>
        <w:t>: Kees van Nieuwkoop, Thomas Ottens, Yorik Visser, Lettie van den Berg, Annemarie van der Kraan-Donker</w:t>
      </w:r>
    </w:p>
    <w:p w14:paraId="392274C9" w14:textId="385F9641" w:rsidR="00252CAB" w:rsidRPr="00252CAB" w:rsidRDefault="00252CAB" w:rsidP="009C2A20">
      <w:pPr>
        <w:spacing w:line="360" w:lineRule="auto"/>
        <w:rPr>
          <w:rFonts w:asciiTheme="majorHAnsi" w:eastAsia="Calibri" w:hAnsiTheme="majorHAnsi" w:cstheme="majorHAnsi"/>
          <w:bCs/>
          <w:iCs/>
          <w:sz w:val="22"/>
          <w:szCs w:val="22"/>
          <w:lang w:val="nl-NL" w:eastAsia="en-US"/>
        </w:rPr>
      </w:pPr>
      <w:r w:rsidRPr="00252CAB">
        <w:rPr>
          <w:rFonts w:asciiTheme="majorHAnsi" w:eastAsia="Calibri" w:hAnsiTheme="majorHAnsi" w:cstheme="majorHAnsi"/>
          <w:bCs/>
          <w:i/>
          <w:iCs/>
          <w:sz w:val="22"/>
          <w:szCs w:val="22"/>
          <w:lang w:val="nl-NL" w:eastAsia="en-US"/>
        </w:rPr>
        <w:t>Bernhoven ziekenhuis Uden</w:t>
      </w:r>
      <w:r w:rsidRPr="00252CAB">
        <w:rPr>
          <w:rFonts w:asciiTheme="majorHAnsi" w:eastAsia="Calibri" w:hAnsiTheme="majorHAnsi" w:cstheme="majorHAnsi"/>
          <w:bCs/>
          <w:iCs/>
          <w:sz w:val="22"/>
          <w:szCs w:val="22"/>
          <w:lang w:val="nl-NL" w:eastAsia="en-US"/>
        </w:rPr>
        <w:t>: Kitty Slieker, Esther Ewalds, Arnate Sanders, Wendy Wittenberg, Heidi Peters Geurts</w:t>
      </w:r>
      <w:r w:rsidR="008D13CE">
        <w:rPr>
          <w:rFonts w:asciiTheme="majorHAnsi" w:eastAsia="Calibri" w:hAnsiTheme="majorHAnsi" w:cstheme="majorHAnsi"/>
          <w:bCs/>
          <w:iCs/>
          <w:sz w:val="22"/>
          <w:szCs w:val="22"/>
          <w:lang w:val="nl-NL" w:eastAsia="en-US"/>
        </w:rPr>
        <w:t>;</w:t>
      </w:r>
    </w:p>
    <w:p w14:paraId="79E70CBF" w14:textId="77777777" w:rsidR="00252CAB" w:rsidRPr="00252CAB" w:rsidRDefault="00252CAB" w:rsidP="009C2A20">
      <w:pPr>
        <w:spacing w:line="360" w:lineRule="auto"/>
        <w:rPr>
          <w:rFonts w:asciiTheme="majorHAnsi" w:eastAsia="Calibri" w:hAnsiTheme="majorHAnsi" w:cstheme="majorHAnsi"/>
          <w:bCs/>
          <w:sz w:val="22"/>
          <w:szCs w:val="22"/>
          <w:lang w:val="nl-NL" w:eastAsia="en-US"/>
        </w:rPr>
      </w:pPr>
    </w:p>
    <w:p w14:paraId="2FE0F166" w14:textId="77777777" w:rsidR="00252CAB" w:rsidRPr="00252CAB" w:rsidRDefault="00252CAB" w:rsidP="009C2A20">
      <w:pPr>
        <w:spacing w:line="360" w:lineRule="auto"/>
        <w:rPr>
          <w:rFonts w:asciiTheme="majorHAnsi" w:eastAsia="Calibri" w:hAnsiTheme="majorHAnsi" w:cstheme="majorHAnsi"/>
          <w:b/>
          <w:sz w:val="22"/>
          <w:szCs w:val="22"/>
          <w:lang w:val="en-US" w:eastAsia="en-US"/>
        </w:rPr>
      </w:pPr>
      <w:r w:rsidRPr="00252CAB">
        <w:rPr>
          <w:rFonts w:asciiTheme="majorHAnsi" w:eastAsia="Calibri" w:hAnsiTheme="majorHAnsi" w:cstheme="majorHAnsi"/>
          <w:b/>
          <w:i/>
          <w:iCs/>
          <w:sz w:val="22"/>
          <w:szCs w:val="22"/>
          <w:lang w:val="en-US" w:eastAsia="en-US"/>
        </w:rPr>
        <w:t>New Zealand</w:t>
      </w:r>
      <w:r w:rsidRPr="00252CAB">
        <w:rPr>
          <w:rFonts w:asciiTheme="majorHAnsi" w:eastAsia="Calibri" w:hAnsiTheme="majorHAnsi" w:cstheme="majorHAnsi"/>
          <w:b/>
          <w:sz w:val="22"/>
          <w:szCs w:val="22"/>
          <w:lang w:val="en-US" w:eastAsia="en-US"/>
        </w:rPr>
        <w:t>:</w:t>
      </w:r>
    </w:p>
    <w:p w14:paraId="6399B330" w14:textId="77777777" w:rsidR="00252CAB" w:rsidRPr="00252CAB" w:rsidRDefault="00252CAB" w:rsidP="009C2A20">
      <w:pPr>
        <w:spacing w:line="360" w:lineRule="auto"/>
        <w:rPr>
          <w:rFonts w:asciiTheme="majorHAnsi" w:eastAsia="Calibri" w:hAnsiTheme="majorHAnsi" w:cstheme="majorHAnsi"/>
          <w:bCs/>
          <w:sz w:val="22"/>
          <w:szCs w:val="22"/>
          <w:lang w:val="en-US" w:eastAsia="en-US"/>
        </w:rPr>
      </w:pPr>
      <w:r w:rsidRPr="00252CAB">
        <w:rPr>
          <w:rFonts w:asciiTheme="majorHAnsi" w:eastAsia="Calibri" w:hAnsiTheme="majorHAnsi" w:cstheme="majorHAnsi"/>
          <w:bCs/>
          <w:i/>
          <w:iCs/>
          <w:sz w:val="22"/>
          <w:szCs w:val="22"/>
          <w:lang w:val="en-US" w:eastAsia="en-US"/>
        </w:rPr>
        <w:t>Auckland City Hospital, Cardiothoracic and Vascular ICU:</w:t>
      </w:r>
      <w:r w:rsidRPr="00252CAB">
        <w:rPr>
          <w:rFonts w:asciiTheme="majorHAnsi" w:eastAsia="Calibri" w:hAnsiTheme="majorHAnsi" w:cstheme="majorHAnsi"/>
          <w:bCs/>
          <w:sz w:val="22"/>
          <w:szCs w:val="22"/>
          <w:lang w:val="en-US" w:eastAsia="en-US"/>
        </w:rPr>
        <w:t xml:space="preserve"> Shay McGuinness, Rachael Parke, Eileen Guilder, Magdalena Butler, Keri-Anne Cowdrey, Melissa Woollett;</w:t>
      </w:r>
    </w:p>
    <w:p w14:paraId="1A7C302D" w14:textId="77777777" w:rsidR="00252CAB" w:rsidRPr="00252CAB" w:rsidRDefault="00252CAB" w:rsidP="009C2A20">
      <w:pPr>
        <w:spacing w:line="360" w:lineRule="auto"/>
        <w:rPr>
          <w:rFonts w:asciiTheme="majorHAnsi" w:eastAsia="Calibri" w:hAnsiTheme="majorHAnsi" w:cstheme="majorHAnsi"/>
          <w:bCs/>
          <w:sz w:val="22"/>
          <w:szCs w:val="22"/>
          <w:lang w:val="en-US" w:eastAsia="en-US"/>
        </w:rPr>
      </w:pPr>
      <w:r w:rsidRPr="00252CAB">
        <w:rPr>
          <w:rFonts w:asciiTheme="majorHAnsi" w:eastAsia="Calibri" w:hAnsiTheme="majorHAnsi" w:cstheme="majorHAnsi"/>
          <w:bCs/>
          <w:i/>
          <w:iCs/>
          <w:sz w:val="22"/>
          <w:szCs w:val="22"/>
          <w:lang w:val="en-US" w:eastAsia="en-US"/>
        </w:rPr>
        <w:t>Auckland City Hospital, DCCM:</w:t>
      </w:r>
      <w:r w:rsidRPr="00252CAB">
        <w:rPr>
          <w:rFonts w:asciiTheme="majorHAnsi" w:eastAsia="Calibri" w:hAnsiTheme="majorHAnsi" w:cstheme="majorHAnsi"/>
          <w:bCs/>
          <w:sz w:val="22"/>
          <w:szCs w:val="22"/>
          <w:lang w:val="en-US" w:eastAsia="en-US"/>
        </w:rPr>
        <w:t xml:space="preserve"> Colin McArthur, Thomas Hills, Lynette Newby, Yan Chen, Catherine Simmonds, Rachael McConnochie, Caroline O’Connor; </w:t>
      </w:r>
    </w:p>
    <w:p w14:paraId="2950EBDE" w14:textId="77777777" w:rsidR="00252CAB" w:rsidRPr="00252CAB" w:rsidRDefault="00252CAB" w:rsidP="009C2A20">
      <w:pPr>
        <w:spacing w:line="360" w:lineRule="auto"/>
        <w:rPr>
          <w:rFonts w:asciiTheme="majorHAnsi" w:eastAsia="Calibri" w:hAnsiTheme="majorHAnsi" w:cstheme="majorHAnsi"/>
          <w:bCs/>
          <w:sz w:val="22"/>
          <w:szCs w:val="22"/>
          <w:lang w:val="en-US" w:eastAsia="en-US"/>
        </w:rPr>
      </w:pPr>
      <w:r w:rsidRPr="00252CAB">
        <w:rPr>
          <w:rFonts w:asciiTheme="majorHAnsi" w:eastAsia="Calibri" w:hAnsiTheme="majorHAnsi" w:cstheme="majorHAnsi"/>
          <w:bCs/>
          <w:i/>
          <w:iCs/>
          <w:sz w:val="22"/>
          <w:szCs w:val="22"/>
          <w:lang w:val="en-US" w:eastAsia="en-US"/>
        </w:rPr>
        <w:t>Christchurch Hospital:</w:t>
      </w:r>
      <w:r w:rsidRPr="00252CAB">
        <w:rPr>
          <w:rFonts w:asciiTheme="majorHAnsi" w:eastAsia="Calibri" w:hAnsiTheme="majorHAnsi" w:cstheme="majorHAnsi"/>
          <w:bCs/>
          <w:sz w:val="22"/>
          <w:szCs w:val="22"/>
          <w:lang w:val="en-US" w:eastAsia="en-US"/>
        </w:rPr>
        <w:t xml:space="preserve"> Jay Ritzema Carter, Seton Henderson, Kymbalee Van Der Heyden, Jan Mehrtens, Anna Morris, Stacey Morgan;</w:t>
      </w:r>
    </w:p>
    <w:p w14:paraId="20755BFF" w14:textId="77777777" w:rsidR="00252CAB" w:rsidRPr="00252CAB" w:rsidRDefault="00252CAB" w:rsidP="009C2A20">
      <w:pPr>
        <w:spacing w:line="360" w:lineRule="auto"/>
        <w:rPr>
          <w:rFonts w:asciiTheme="majorHAnsi" w:eastAsia="Calibri" w:hAnsiTheme="majorHAnsi" w:cstheme="majorHAnsi"/>
          <w:bCs/>
          <w:sz w:val="22"/>
          <w:szCs w:val="22"/>
          <w:lang w:val="en-US" w:eastAsia="en-US"/>
        </w:rPr>
      </w:pPr>
      <w:r w:rsidRPr="00252CAB">
        <w:rPr>
          <w:rFonts w:asciiTheme="majorHAnsi" w:eastAsia="Calibri" w:hAnsiTheme="majorHAnsi" w:cstheme="majorHAnsi"/>
          <w:bCs/>
          <w:i/>
          <w:iCs/>
          <w:sz w:val="22"/>
          <w:szCs w:val="22"/>
          <w:lang w:val="en-US" w:eastAsia="en-US"/>
        </w:rPr>
        <w:t xml:space="preserve">Middlemore Hospital: </w:t>
      </w:r>
      <w:r w:rsidRPr="00252CAB">
        <w:rPr>
          <w:rFonts w:asciiTheme="majorHAnsi" w:eastAsia="Calibri" w:hAnsiTheme="majorHAnsi" w:cstheme="majorHAnsi"/>
          <w:bCs/>
          <w:sz w:val="22"/>
          <w:szCs w:val="22"/>
          <w:lang w:val="en-US" w:eastAsia="en-US"/>
        </w:rPr>
        <w:t>Tony Williams, Alex Kazemi, Susan Morpeth, Rima Song, Vivian Lai, Dinuraj Girijadevi;</w:t>
      </w:r>
    </w:p>
    <w:p w14:paraId="51570FE4" w14:textId="77777777" w:rsidR="00252CAB" w:rsidRPr="00252CAB" w:rsidRDefault="00252CAB" w:rsidP="009C2A20">
      <w:pPr>
        <w:spacing w:line="360" w:lineRule="auto"/>
        <w:rPr>
          <w:rFonts w:asciiTheme="majorHAnsi" w:eastAsia="Calibri" w:hAnsiTheme="majorHAnsi" w:cstheme="majorHAnsi"/>
          <w:bCs/>
          <w:sz w:val="22"/>
          <w:szCs w:val="22"/>
          <w:lang w:val="en-AU" w:eastAsia="en-US"/>
        </w:rPr>
      </w:pPr>
      <w:r w:rsidRPr="00252CAB">
        <w:rPr>
          <w:rFonts w:asciiTheme="majorHAnsi" w:eastAsia="Calibri" w:hAnsiTheme="majorHAnsi" w:cstheme="majorHAnsi"/>
          <w:bCs/>
          <w:i/>
          <w:iCs/>
          <w:sz w:val="22"/>
          <w:szCs w:val="22"/>
          <w:lang w:val="en-AU" w:eastAsia="en-US"/>
        </w:rPr>
        <w:t>North Shore Hospital:</w:t>
      </w:r>
      <w:r w:rsidRPr="00252CAB">
        <w:rPr>
          <w:rFonts w:asciiTheme="majorHAnsi" w:eastAsia="Calibri" w:hAnsiTheme="majorHAnsi" w:cstheme="majorHAnsi"/>
          <w:bCs/>
          <w:sz w:val="22"/>
          <w:szCs w:val="22"/>
          <w:lang w:val="en-AU" w:eastAsia="en-US"/>
        </w:rPr>
        <w:t xml:space="preserve"> Robert Everitt, Robert Russell, Danielle Hacking;</w:t>
      </w:r>
    </w:p>
    <w:p w14:paraId="140977E5" w14:textId="77777777" w:rsidR="00252CAB" w:rsidRPr="00252CAB" w:rsidRDefault="00252CAB" w:rsidP="009C2A20">
      <w:pPr>
        <w:spacing w:line="360" w:lineRule="auto"/>
        <w:rPr>
          <w:rFonts w:asciiTheme="majorHAnsi" w:eastAsia="Calibri" w:hAnsiTheme="majorHAnsi" w:cstheme="majorHAnsi"/>
          <w:bCs/>
          <w:sz w:val="22"/>
          <w:szCs w:val="22"/>
          <w:lang w:val="en-AU" w:eastAsia="en-US"/>
        </w:rPr>
      </w:pPr>
      <w:r w:rsidRPr="00252CAB">
        <w:rPr>
          <w:rFonts w:asciiTheme="majorHAnsi" w:eastAsia="Calibri" w:hAnsiTheme="majorHAnsi" w:cstheme="majorHAnsi"/>
          <w:bCs/>
          <w:i/>
          <w:iCs/>
          <w:sz w:val="22"/>
          <w:szCs w:val="22"/>
          <w:lang w:val="en-AU" w:eastAsia="en-US"/>
        </w:rPr>
        <w:t>Rotorua Hospital:</w:t>
      </w:r>
      <w:r w:rsidRPr="00252CAB">
        <w:rPr>
          <w:rFonts w:asciiTheme="majorHAnsi" w:eastAsia="Calibri" w:hAnsiTheme="majorHAnsi" w:cstheme="majorHAnsi"/>
          <w:bCs/>
          <w:sz w:val="22"/>
          <w:szCs w:val="22"/>
          <w:lang w:val="en-AU" w:eastAsia="en-US"/>
        </w:rPr>
        <w:t xml:space="preserve"> Ulrike Buehner, Erin Williams;</w:t>
      </w:r>
    </w:p>
    <w:p w14:paraId="4A494C68" w14:textId="77777777" w:rsidR="00252CAB" w:rsidRPr="00252CAB" w:rsidRDefault="00252CAB" w:rsidP="009C2A20">
      <w:pPr>
        <w:spacing w:line="360" w:lineRule="auto"/>
        <w:rPr>
          <w:rFonts w:asciiTheme="majorHAnsi" w:eastAsia="Calibri" w:hAnsiTheme="majorHAnsi" w:cstheme="majorHAnsi"/>
          <w:bCs/>
          <w:sz w:val="22"/>
          <w:szCs w:val="22"/>
          <w:lang w:val="en-AU" w:eastAsia="en-US"/>
        </w:rPr>
      </w:pPr>
      <w:r w:rsidRPr="00252CAB">
        <w:rPr>
          <w:rFonts w:asciiTheme="majorHAnsi" w:eastAsia="Calibri" w:hAnsiTheme="majorHAnsi" w:cstheme="majorHAnsi"/>
          <w:bCs/>
          <w:i/>
          <w:iCs/>
          <w:sz w:val="22"/>
          <w:szCs w:val="22"/>
          <w:lang w:val="en-AU" w:eastAsia="en-US"/>
        </w:rPr>
        <w:t>Tauranga Hospital:</w:t>
      </w:r>
      <w:r w:rsidRPr="00252CAB">
        <w:rPr>
          <w:rFonts w:asciiTheme="majorHAnsi" w:eastAsia="Calibri" w:hAnsiTheme="majorHAnsi" w:cstheme="majorHAnsi"/>
          <w:bCs/>
          <w:sz w:val="22"/>
          <w:szCs w:val="22"/>
          <w:lang w:val="en-AU" w:eastAsia="en-US"/>
        </w:rPr>
        <w:t xml:space="preserve"> Troy Browne, Kate Grimwade, Jennifer Goodson, Owen Keet, Owen Callender;</w:t>
      </w:r>
    </w:p>
    <w:p w14:paraId="7904FECE" w14:textId="77777777" w:rsidR="00252CAB" w:rsidRPr="00252CAB" w:rsidRDefault="00252CAB" w:rsidP="009C2A20">
      <w:pPr>
        <w:spacing w:line="360" w:lineRule="auto"/>
        <w:rPr>
          <w:rFonts w:asciiTheme="majorHAnsi" w:eastAsia="Calibri" w:hAnsiTheme="majorHAnsi" w:cstheme="majorHAnsi"/>
          <w:bCs/>
          <w:sz w:val="22"/>
          <w:szCs w:val="22"/>
          <w:lang w:val="en-AU" w:eastAsia="en-US"/>
        </w:rPr>
      </w:pPr>
      <w:r w:rsidRPr="00252CAB">
        <w:rPr>
          <w:rFonts w:asciiTheme="majorHAnsi" w:eastAsia="Calibri" w:hAnsiTheme="majorHAnsi" w:cstheme="majorHAnsi"/>
          <w:bCs/>
          <w:i/>
          <w:iCs/>
          <w:sz w:val="22"/>
          <w:szCs w:val="22"/>
          <w:lang w:val="en-AU" w:eastAsia="en-US"/>
        </w:rPr>
        <w:t>Waikato Hospital:</w:t>
      </w:r>
      <w:r w:rsidRPr="00252CAB">
        <w:rPr>
          <w:rFonts w:asciiTheme="majorHAnsi" w:eastAsia="Calibri" w:hAnsiTheme="majorHAnsi" w:cstheme="majorHAnsi"/>
          <w:bCs/>
          <w:sz w:val="22"/>
          <w:szCs w:val="22"/>
          <w:lang w:val="en-AU" w:eastAsia="en-US"/>
        </w:rPr>
        <w:t xml:space="preserve"> Robert Martynoga, Kara Trask, Amelia Butler, PGCert,</w:t>
      </w:r>
    </w:p>
    <w:p w14:paraId="4FB01A8C" w14:textId="77777777" w:rsidR="00252CAB" w:rsidRPr="00252CAB" w:rsidRDefault="00252CAB" w:rsidP="009C2A20">
      <w:pPr>
        <w:spacing w:line="360" w:lineRule="auto"/>
        <w:rPr>
          <w:rFonts w:asciiTheme="majorHAnsi" w:eastAsia="Calibri" w:hAnsiTheme="majorHAnsi" w:cstheme="majorHAnsi"/>
          <w:bCs/>
          <w:sz w:val="22"/>
          <w:szCs w:val="22"/>
          <w:lang w:val="en-AU" w:eastAsia="en-US"/>
        </w:rPr>
      </w:pPr>
      <w:r w:rsidRPr="00252CAB">
        <w:rPr>
          <w:rFonts w:asciiTheme="majorHAnsi" w:eastAsia="Calibri" w:hAnsiTheme="majorHAnsi" w:cstheme="majorHAnsi"/>
          <w:bCs/>
          <w:i/>
          <w:iCs/>
          <w:sz w:val="22"/>
          <w:szCs w:val="22"/>
          <w:lang w:val="en-AU" w:eastAsia="en-US"/>
        </w:rPr>
        <w:lastRenderedPageBreak/>
        <w:t>Wellington Hospital:</w:t>
      </w:r>
      <w:r w:rsidRPr="00252CAB">
        <w:rPr>
          <w:rFonts w:asciiTheme="majorHAnsi" w:eastAsia="Calibri" w:hAnsiTheme="majorHAnsi" w:cstheme="majorHAnsi"/>
          <w:bCs/>
          <w:sz w:val="22"/>
          <w:szCs w:val="22"/>
          <w:lang w:val="en-AU" w:eastAsia="en-US"/>
        </w:rPr>
        <w:t xml:space="preserve"> Paul Young, PhD, Chelsea Young, PGDip, Eden Lesona, Shaanti Olatunji, Leanlove Navarra, Raulle Sol Cruz</w:t>
      </w:r>
    </w:p>
    <w:p w14:paraId="31F7547D" w14:textId="77777777" w:rsidR="00252CAB" w:rsidRPr="00252CAB" w:rsidRDefault="00252CAB" w:rsidP="009C2A20">
      <w:pPr>
        <w:spacing w:line="360" w:lineRule="auto"/>
        <w:rPr>
          <w:rFonts w:asciiTheme="majorHAnsi" w:eastAsia="Calibri" w:hAnsiTheme="majorHAnsi" w:cstheme="majorHAnsi"/>
          <w:bCs/>
          <w:sz w:val="22"/>
          <w:szCs w:val="22"/>
          <w:lang w:val="en-AU" w:eastAsia="en-US"/>
        </w:rPr>
      </w:pPr>
      <w:r w:rsidRPr="00252CAB">
        <w:rPr>
          <w:rFonts w:asciiTheme="majorHAnsi" w:eastAsia="Calibri" w:hAnsiTheme="majorHAnsi" w:cstheme="majorHAnsi"/>
          <w:bCs/>
          <w:i/>
          <w:iCs/>
          <w:sz w:val="22"/>
          <w:szCs w:val="22"/>
          <w:lang w:val="en-AU" w:eastAsia="en-US"/>
        </w:rPr>
        <w:t xml:space="preserve">Whangarei Hospital: </w:t>
      </w:r>
      <w:r w:rsidRPr="00252CAB">
        <w:rPr>
          <w:rFonts w:asciiTheme="majorHAnsi" w:eastAsia="Calibri" w:hAnsiTheme="majorHAnsi" w:cstheme="majorHAnsi"/>
          <w:bCs/>
          <w:sz w:val="22"/>
          <w:szCs w:val="22"/>
          <w:lang w:val="en-AU" w:eastAsia="en-US"/>
        </w:rPr>
        <w:t>Katherine Perry, Ralph Fuchs, Bridget Lambert;</w:t>
      </w:r>
    </w:p>
    <w:p w14:paraId="7870FAE6" w14:textId="77777777" w:rsidR="00252CAB" w:rsidRPr="00252CAB" w:rsidRDefault="00252CAB" w:rsidP="009C2A20">
      <w:pPr>
        <w:spacing w:line="360" w:lineRule="auto"/>
        <w:rPr>
          <w:rFonts w:asciiTheme="majorHAnsi" w:eastAsia="Calibri" w:hAnsiTheme="majorHAnsi" w:cstheme="majorHAnsi"/>
          <w:bCs/>
          <w:sz w:val="22"/>
          <w:szCs w:val="22"/>
          <w:lang w:val="en-AU" w:eastAsia="en-US"/>
        </w:rPr>
      </w:pPr>
      <w:r w:rsidRPr="00252CAB">
        <w:rPr>
          <w:rFonts w:asciiTheme="majorHAnsi" w:eastAsia="Calibri" w:hAnsiTheme="majorHAnsi" w:cstheme="majorHAnsi"/>
          <w:bCs/>
          <w:i/>
          <w:iCs/>
          <w:sz w:val="22"/>
          <w:szCs w:val="22"/>
          <w:lang w:val="en-AU" w:eastAsia="en-US"/>
        </w:rPr>
        <w:t>Taranaki Base Hospital:</w:t>
      </w:r>
      <w:r w:rsidRPr="00252CAB">
        <w:rPr>
          <w:rFonts w:asciiTheme="majorHAnsi" w:eastAsia="Calibri" w:hAnsiTheme="majorHAnsi" w:cstheme="majorHAnsi"/>
          <w:bCs/>
          <w:sz w:val="22"/>
          <w:szCs w:val="22"/>
          <w:lang w:val="en-AU" w:eastAsia="en-US"/>
        </w:rPr>
        <w:t xml:space="preserve">  Jonathan Albrett, Carolyn Jackson, Simon Kirkham;</w:t>
      </w:r>
    </w:p>
    <w:p w14:paraId="2156524D" w14:textId="1A7E5F50" w:rsidR="00252CAB" w:rsidRDefault="00252CAB" w:rsidP="009C2A20">
      <w:pPr>
        <w:spacing w:line="360" w:lineRule="auto"/>
        <w:rPr>
          <w:rFonts w:asciiTheme="majorHAnsi" w:eastAsia="Calibri" w:hAnsiTheme="majorHAnsi" w:cstheme="majorHAnsi"/>
          <w:bCs/>
          <w:sz w:val="22"/>
          <w:szCs w:val="22"/>
          <w:lang w:val="en-AU" w:eastAsia="en-US"/>
        </w:rPr>
      </w:pPr>
    </w:p>
    <w:p w14:paraId="1A218973" w14:textId="77777777" w:rsidR="008D13CE" w:rsidRPr="00252CAB" w:rsidRDefault="008D13CE" w:rsidP="009C2A20">
      <w:pPr>
        <w:spacing w:line="360" w:lineRule="auto"/>
        <w:rPr>
          <w:rFonts w:asciiTheme="majorHAnsi" w:eastAsia="Calibri" w:hAnsiTheme="majorHAnsi" w:cstheme="majorHAnsi"/>
          <w:b/>
          <w:i/>
          <w:iCs/>
          <w:sz w:val="22"/>
          <w:szCs w:val="22"/>
          <w:lang w:val="en-AU" w:eastAsia="en-US"/>
        </w:rPr>
      </w:pPr>
      <w:r w:rsidRPr="00252CAB">
        <w:rPr>
          <w:rFonts w:asciiTheme="majorHAnsi" w:eastAsia="Calibri" w:hAnsiTheme="majorHAnsi" w:cstheme="majorHAnsi"/>
          <w:b/>
          <w:i/>
          <w:iCs/>
          <w:sz w:val="22"/>
          <w:szCs w:val="22"/>
          <w:lang w:val="en-AU" w:eastAsia="en-US"/>
        </w:rPr>
        <w:t>Pakistan</w:t>
      </w:r>
      <w:r w:rsidRPr="008D13CE">
        <w:rPr>
          <w:rFonts w:asciiTheme="majorHAnsi" w:eastAsia="Calibri" w:hAnsiTheme="majorHAnsi" w:cstheme="majorHAnsi"/>
          <w:b/>
          <w:i/>
          <w:iCs/>
          <w:sz w:val="22"/>
          <w:szCs w:val="22"/>
          <w:lang w:val="en-AU" w:eastAsia="en-US"/>
        </w:rPr>
        <w:t>:</w:t>
      </w:r>
    </w:p>
    <w:p w14:paraId="13A2CB7C" w14:textId="1CD88ED6" w:rsidR="008D13CE" w:rsidRPr="00252CAB" w:rsidRDefault="008D13CE" w:rsidP="009C2A20">
      <w:pPr>
        <w:spacing w:line="360" w:lineRule="auto"/>
        <w:rPr>
          <w:rFonts w:asciiTheme="majorHAnsi" w:eastAsia="Calibri" w:hAnsiTheme="majorHAnsi" w:cstheme="majorHAnsi"/>
          <w:bCs/>
          <w:i/>
          <w:sz w:val="22"/>
          <w:szCs w:val="22"/>
          <w:lang w:val="en-AU" w:eastAsia="en-US"/>
        </w:rPr>
      </w:pPr>
      <w:r w:rsidRPr="00252CAB">
        <w:rPr>
          <w:rFonts w:asciiTheme="majorHAnsi" w:eastAsia="Calibri" w:hAnsiTheme="majorHAnsi" w:cstheme="majorHAnsi"/>
          <w:bCs/>
          <w:sz w:val="22"/>
          <w:szCs w:val="22"/>
          <w:lang w:val="en-AU" w:eastAsia="en-US"/>
        </w:rPr>
        <w:t>Ziauddin Hospital Clifton Campus: Madiha Hashmi;  Ashok Panjwani; Zulfiqar Ali Umrani, Shoaib Siddiq; Mohiuddin Shaikh; National Institute of Cardiovascular Diseases Pakistan: Nawal Salahuddin, Sobia Masood</w:t>
      </w:r>
      <w:r>
        <w:rPr>
          <w:rFonts w:asciiTheme="majorHAnsi" w:eastAsia="Calibri" w:hAnsiTheme="majorHAnsi" w:cstheme="majorHAnsi"/>
          <w:bCs/>
          <w:sz w:val="22"/>
          <w:szCs w:val="22"/>
          <w:lang w:val="en-AU" w:eastAsia="en-US"/>
        </w:rPr>
        <w:t>;</w:t>
      </w:r>
    </w:p>
    <w:p w14:paraId="7D1B448B" w14:textId="77777777" w:rsidR="008D13CE" w:rsidRPr="00252CAB" w:rsidRDefault="008D13CE" w:rsidP="009C2A20">
      <w:pPr>
        <w:spacing w:line="360" w:lineRule="auto"/>
        <w:rPr>
          <w:rFonts w:asciiTheme="majorHAnsi" w:eastAsia="Calibri" w:hAnsiTheme="majorHAnsi" w:cstheme="majorHAnsi"/>
          <w:bCs/>
          <w:sz w:val="22"/>
          <w:szCs w:val="22"/>
          <w:lang w:val="en-AU" w:eastAsia="en-US"/>
        </w:rPr>
      </w:pPr>
    </w:p>
    <w:p w14:paraId="07A01A7C" w14:textId="77777777" w:rsidR="00252CAB" w:rsidRPr="00252CAB" w:rsidRDefault="00252CAB" w:rsidP="009C2A20">
      <w:pPr>
        <w:spacing w:line="360" w:lineRule="auto"/>
        <w:rPr>
          <w:rFonts w:asciiTheme="majorHAnsi" w:eastAsia="Calibri" w:hAnsiTheme="majorHAnsi" w:cstheme="majorHAnsi"/>
          <w:b/>
          <w:sz w:val="22"/>
          <w:szCs w:val="22"/>
          <w:lang w:val="en-AU" w:eastAsia="en-US"/>
        </w:rPr>
      </w:pPr>
      <w:r w:rsidRPr="00252CAB">
        <w:rPr>
          <w:rFonts w:asciiTheme="majorHAnsi" w:eastAsia="Calibri" w:hAnsiTheme="majorHAnsi" w:cstheme="majorHAnsi"/>
          <w:b/>
          <w:i/>
          <w:sz w:val="22"/>
          <w:szCs w:val="22"/>
          <w:lang w:val="en-AU" w:eastAsia="en-US"/>
        </w:rPr>
        <w:t>Portugal</w:t>
      </w:r>
      <w:r w:rsidRPr="00252CAB">
        <w:rPr>
          <w:rFonts w:asciiTheme="majorHAnsi" w:eastAsia="Calibri" w:hAnsiTheme="majorHAnsi" w:cstheme="majorHAnsi"/>
          <w:b/>
          <w:sz w:val="22"/>
          <w:szCs w:val="22"/>
          <w:lang w:val="en-AU" w:eastAsia="en-US"/>
        </w:rPr>
        <w:t>:</w:t>
      </w:r>
    </w:p>
    <w:p w14:paraId="2424B79A" w14:textId="77777777" w:rsidR="00252CAB" w:rsidRPr="00A1725F" w:rsidRDefault="00252CAB" w:rsidP="009C2A20">
      <w:pPr>
        <w:spacing w:line="360" w:lineRule="auto"/>
        <w:rPr>
          <w:rFonts w:asciiTheme="majorHAnsi" w:eastAsia="Calibri" w:hAnsiTheme="majorHAnsi" w:cstheme="majorHAnsi"/>
          <w:bCs/>
          <w:sz w:val="22"/>
          <w:szCs w:val="22"/>
          <w:lang w:val="pt-PT" w:eastAsia="en-US"/>
        </w:rPr>
      </w:pPr>
      <w:r w:rsidRPr="00252CAB">
        <w:rPr>
          <w:rFonts w:asciiTheme="majorHAnsi" w:eastAsia="Calibri" w:hAnsiTheme="majorHAnsi" w:cstheme="majorHAnsi"/>
          <w:bCs/>
          <w:i/>
          <w:sz w:val="22"/>
          <w:szCs w:val="22"/>
          <w:lang w:val="en-AU" w:eastAsia="en-US"/>
        </w:rPr>
        <w:t>Hospital de Abrantes:</w:t>
      </w:r>
      <w:r w:rsidRPr="00252CAB">
        <w:rPr>
          <w:rFonts w:asciiTheme="majorHAnsi" w:eastAsia="Calibri" w:hAnsiTheme="majorHAnsi" w:cstheme="majorHAnsi"/>
          <w:bCs/>
          <w:sz w:val="22"/>
          <w:szCs w:val="22"/>
          <w:lang w:val="en-AU" w:eastAsia="en-US"/>
        </w:rPr>
        <w:t xml:space="preserve"> </w:t>
      </w:r>
      <w:r w:rsidRPr="00252CAB">
        <w:rPr>
          <w:rFonts w:asciiTheme="majorHAnsi" w:eastAsia="Calibri" w:hAnsiTheme="majorHAnsi" w:cstheme="majorHAnsi"/>
          <w:bCs/>
          <w:sz w:val="22"/>
          <w:szCs w:val="22"/>
          <w:lang w:val="pt-PT" w:eastAsia="en-US"/>
        </w:rPr>
        <w:t>Nuno José Teodoro Amaro dos Santos Catorze, Tiago Nuno Alfaro Lima Pereira</w:t>
      </w:r>
      <w:r w:rsidRPr="00252CAB">
        <w:rPr>
          <w:rFonts w:asciiTheme="majorHAnsi" w:eastAsia="Calibri" w:hAnsiTheme="majorHAnsi" w:cstheme="majorHAnsi"/>
          <w:bCs/>
          <w:sz w:val="22"/>
          <w:szCs w:val="22"/>
          <w:lang w:val="en-AU" w:eastAsia="en-US"/>
        </w:rPr>
        <w:t xml:space="preserve">, </w:t>
      </w:r>
      <w:r w:rsidRPr="00A1725F">
        <w:rPr>
          <w:rFonts w:asciiTheme="majorHAnsi" w:eastAsia="Calibri" w:hAnsiTheme="majorHAnsi" w:cstheme="majorHAnsi"/>
          <w:bCs/>
          <w:sz w:val="22"/>
          <w:szCs w:val="22"/>
          <w:lang w:val="en-AU" w:eastAsia="en-US"/>
        </w:rPr>
        <w:t xml:space="preserve">Ricardo Manuel Castro Ferreira, </w:t>
      </w:r>
      <w:r w:rsidRPr="00A1725F">
        <w:rPr>
          <w:rFonts w:asciiTheme="majorHAnsi" w:eastAsia="Calibri" w:hAnsiTheme="majorHAnsi" w:cstheme="majorHAnsi"/>
          <w:bCs/>
          <w:sz w:val="22"/>
          <w:szCs w:val="22"/>
          <w:lang w:val="pt-PT" w:eastAsia="en-US"/>
        </w:rPr>
        <w:t>Joana Margarida Pereira Sousa Bastos,</w:t>
      </w:r>
      <w:r w:rsidRPr="00A1725F">
        <w:rPr>
          <w:rFonts w:asciiTheme="majorHAnsi" w:eastAsia="Calibri" w:hAnsiTheme="majorHAnsi" w:cstheme="majorHAnsi"/>
          <w:bCs/>
          <w:sz w:val="22"/>
          <w:szCs w:val="22"/>
          <w:lang w:val="en-AU" w:eastAsia="en-US"/>
        </w:rPr>
        <w:t xml:space="preserve"> </w:t>
      </w:r>
      <w:r w:rsidRPr="00A1725F">
        <w:rPr>
          <w:rFonts w:asciiTheme="majorHAnsi" w:eastAsia="Calibri" w:hAnsiTheme="majorHAnsi" w:cstheme="majorHAnsi"/>
          <w:bCs/>
          <w:sz w:val="22"/>
          <w:szCs w:val="22"/>
          <w:lang w:val="pt-PT" w:eastAsia="en-US"/>
        </w:rPr>
        <w:t>Teresa Margarida Oliveira Batista;</w:t>
      </w:r>
    </w:p>
    <w:p w14:paraId="2FA45D66" w14:textId="77777777" w:rsidR="00252CAB" w:rsidRPr="00A1725F" w:rsidRDefault="00252CAB" w:rsidP="009C2A20">
      <w:pPr>
        <w:spacing w:line="360" w:lineRule="auto"/>
        <w:rPr>
          <w:rFonts w:asciiTheme="majorHAnsi" w:eastAsia="Calibri" w:hAnsiTheme="majorHAnsi" w:cstheme="majorHAnsi"/>
          <w:bCs/>
          <w:sz w:val="22"/>
          <w:szCs w:val="22"/>
          <w:lang w:val="en-AU" w:eastAsia="en-US"/>
        </w:rPr>
      </w:pPr>
    </w:p>
    <w:p w14:paraId="4F9FCC59" w14:textId="77777777" w:rsidR="00252CAB" w:rsidRPr="00A1725F" w:rsidRDefault="00252CAB" w:rsidP="009C2A20">
      <w:pPr>
        <w:spacing w:line="360" w:lineRule="auto"/>
        <w:rPr>
          <w:rFonts w:asciiTheme="majorHAnsi" w:eastAsia="Calibri" w:hAnsiTheme="majorHAnsi" w:cstheme="majorHAnsi"/>
          <w:b/>
          <w:sz w:val="22"/>
          <w:szCs w:val="22"/>
          <w:lang w:val="en-AU" w:eastAsia="en-US"/>
        </w:rPr>
      </w:pPr>
      <w:r w:rsidRPr="00A1725F">
        <w:rPr>
          <w:rFonts w:asciiTheme="majorHAnsi" w:eastAsia="Calibri" w:hAnsiTheme="majorHAnsi" w:cstheme="majorHAnsi"/>
          <w:b/>
          <w:i/>
          <w:sz w:val="22"/>
          <w:szCs w:val="22"/>
          <w:lang w:val="en-AU" w:eastAsia="en-US"/>
        </w:rPr>
        <w:t>Romania</w:t>
      </w:r>
      <w:r w:rsidRPr="00A1725F">
        <w:rPr>
          <w:rFonts w:asciiTheme="majorHAnsi" w:eastAsia="Calibri" w:hAnsiTheme="majorHAnsi" w:cstheme="majorHAnsi"/>
          <w:b/>
          <w:sz w:val="22"/>
          <w:szCs w:val="22"/>
          <w:lang w:val="en-AU" w:eastAsia="en-US"/>
        </w:rPr>
        <w:t>:</w:t>
      </w:r>
    </w:p>
    <w:p w14:paraId="406F584F" w14:textId="77777777" w:rsidR="00252CAB" w:rsidRPr="00A1725F" w:rsidRDefault="00252CAB" w:rsidP="009C2A20">
      <w:pPr>
        <w:spacing w:line="360" w:lineRule="auto"/>
        <w:rPr>
          <w:rFonts w:asciiTheme="majorHAnsi" w:eastAsia="Calibri" w:hAnsiTheme="majorHAnsi" w:cstheme="majorHAnsi"/>
          <w:bCs/>
          <w:sz w:val="22"/>
          <w:szCs w:val="22"/>
          <w:lang w:val="en-AU" w:eastAsia="en-US"/>
        </w:rPr>
      </w:pPr>
      <w:r w:rsidRPr="00A1725F">
        <w:rPr>
          <w:rFonts w:asciiTheme="majorHAnsi" w:eastAsia="Calibri" w:hAnsiTheme="majorHAnsi" w:cstheme="majorHAnsi"/>
          <w:bCs/>
          <w:i/>
          <w:sz w:val="22"/>
          <w:szCs w:val="22"/>
          <w:lang w:val="en-AU" w:eastAsia="en-US"/>
        </w:rPr>
        <w:t>"Dr. Victor Babes" Clinical Hospital of Infectious and Tropical Diseases Bucharest:</w:t>
      </w:r>
      <w:r w:rsidRPr="00A1725F">
        <w:rPr>
          <w:rFonts w:asciiTheme="majorHAnsi" w:eastAsia="Calibri" w:hAnsiTheme="majorHAnsi" w:cstheme="majorHAnsi"/>
          <w:bCs/>
          <w:sz w:val="22"/>
          <w:szCs w:val="22"/>
          <w:lang w:val="en-AU" w:eastAsia="en-US"/>
        </w:rPr>
        <w:t xml:space="preserve"> Simin Aysel Florescu, Delia Stanciu, Mihaela Florentina Zaharia, Alma Gabriela Kosa, Daniel Codreanu;</w:t>
      </w:r>
    </w:p>
    <w:p w14:paraId="0A9BB0B6" w14:textId="77777777" w:rsidR="00252CAB" w:rsidRPr="00A1725F" w:rsidRDefault="00252CAB" w:rsidP="009C2A20">
      <w:pPr>
        <w:spacing w:line="360" w:lineRule="auto"/>
        <w:rPr>
          <w:rFonts w:asciiTheme="majorHAnsi" w:eastAsia="Calibri" w:hAnsiTheme="majorHAnsi" w:cstheme="majorHAnsi"/>
          <w:bCs/>
          <w:sz w:val="22"/>
          <w:szCs w:val="22"/>
          <w:lang w:val="en-AU" w:eastAsia="en-US"/>
        </w:rPr>
      </w:pPr>
    </w:p>
    <w:p w14:paraId="11D6D9B6" w14:textId="77777777" w:rsidR="00252CAB" w:rsidRPr="00A1725F" w:rsidRDefault="00252CAB" w:rsidP="009C2A20">
      <w:pPr>
        <w:spacing w:line="360" w:lineRule="auto"/>
        <w:rPr>
          <w:rFonts w:asciiTheme="majorHAnsi" w:eastAsia="Calibri" w:hAnsiTheme="majorHAnsi" w:cstheme="majorHAnsi"/>
          <w:b/>
          <w:sz w:val="22"/>
          <w:szCs w:val="22"/>
          <w:lang w:val="en-AU" w:eastAsia="en-US"/>
        </w:rPr>
      </w:pPr>
      <w:r w:rsidRPr="00A1725F">
        <w:rPr>
          <w:rFonts w:asciiTheme="majorHAnsi" w:eastAsia="Calibri" w:hAnsiTheme="majorHAnsi" w:cstheme="majorHAnsi"/>
          <w:b/>
          <w:i/>
          <w:sz w:val="22"/>
          <w:szCs w:val="22"/>
          <w:lang w:val="en-AU" w:eastAsia="en-US"/>
        </w:rPr>
        <w:t>Saudi Arabia</w:t>
      </w:r>
      <w:r w:rsidRPr="00A1725F">
        <w:rPr>
          <w:rFonts w:asciiTheme="majorHAnsi" w:eastAsia="Calibri" w:hAnsiTheme="majorHAnsi" w:cstheme="majorHAnsi"/>
          <w:b/>
          <w:sz w:val="22"/>
          <w:szCs w:val="22"/>
          <w:lang w:val="en-AU" w:eastAsia="en-US"/>
        </w:rPr>
        <w:t>:</w:t>
      </w:r>
    </w:p>
    <w:p w14:paraId="4D186C50" w14:textId="69B74A29" w:rsidR="0054168A" w:rsidRPr="0054168A" w:rsidRDefault="0054168A" w:rsidP="0054168A">
      <w:pPr>
        <w:spacing w:line="360" w:lineRule="auto"/>
        <w:rPr>
          <w:rFonts w:asciiTheme="majorHAnsi" w:eastAsia="Calibri" w:hAnsiTheme="majorHAnsi" w:cstheme="majorHAnsi"/>
          <w:bCs/>
          <w:i/>
          <w:sz w:val="22"/>
          <w:szCs w:val="22"/>
          <w:lang w:val="pt-BR" w:eastAsia="en-US"/>
        </w:rPr>
      </w:pPr>
      <w:r w:rsidRPr="0054168A">
        <w:rPr>
          <w:rFonts w:asciiTheme="majorHAnsi" w:eastAsia="Calibri" w:hAnsiTheme="majorHAnsi" w:cstheme="majorHAnsi"/>
          <w:bCs/>
          <w:i/>
          <w:iCs/>
          <w:sz w:val="22"/>
          <w:szCs w:val="22"/>
          <w:lang w:val="es-ES" w:eastAsia="en-US"/>
        </w:rPr>
        <w:t>King Abdulaziz Medical City- Riyadh: </w:t>
      </w:r>
      <w:r w:rsidRPr="0054168A">
        <w:rPr>
          <w:rFonts w:asciiTheme="majorHAnsi" w:eastAsia="Calibri" w:hAnsiTheme="majorHAnsi" w:cstheme="majorHAnsi"/>
          <w:bCs/>
          <w:iCs/>
          <w:sz w:val="22"/>
          <w:szCs w:val="22"/>
          <w:lang w:val="es-ES" w:eastAsia="en-US"/>
        </w:rPr>
        <w:t>Yaseen M Arabi,  Eman Al Qasim,  Lolowa Alswaidan, Mohamed M Hegazy,  Hatim Arishi,  Ali Al Amri,  Samah Y AlQahtani,  Brintha Naidu,  Haytham Tlayjeh,  Sajid Hussain,  Farhan </w:t>
      </w:r>
      <w:hyperlink r:id="rId8" w:tgtFrame="_blank" w:history="1">
        <w:r w:rsidRPr="0054168A">
          <w:rPr>
            <w:rStyle w:val="Hyperlink"/>
            <w:rFonts w:asciiTheme="majorHAnsi" w:eastAsia="Calibri" w:hAnsiTheme="majorHAnsi" w:cstheme="majorHAnsi"/>
            <w:bCs/>
            <w:iCs/>
            <w:sz w:val="22"/>
            <w:szCs w:val="22"/>
            <w:lang w:val="es-ES" w:eastAsia="en-US"/>
          </w:rPr>
          <w:t>Al Enezi</w:t>
        </w:r>
      </w:hyperlink>
      <w:r w:rsidRPr="0054168A">
        <w:rPr>
          <w:rFonts w:asciiTheme="majorHAnsi" w:eastAsia="Calibri" w:hAnsiTheme="majorHAnsi" w:cstheme="majorHAnsi"/>
          <w:bCs/>
          <w:iCs/>
          <w:sz w:val="22"/>
          <w:szCs w:val="22"/>
          <w:lang w:val="es-ES" w:eastAsia="en-US"/>
        </w:rPr>
        <w:t>, Sheryl Ann Abdukahil</w:t>
      </w:r>
      <w:r w:rsidRPr="00A1725F">
        <w:rPr>
          <w:rFonts w:asciiTheme="majorHAnsi" w:eastAsia="Calibri" w:hAnsiTheme="majorHAnsi" w:cstheme="majorHAnsi"/>
          <w:bCs/>
          <w:iCs/>
          <w:sz w:val="22"/>
          <w:szCs w:val="22"/>
          <w:lang w:val="es-ES" w:eastAsia="en-US"/>
        </w:rPr>
        <w:t>;</w:t>
      </w:r>
    </w:p>
    <w:p w14:paraId="701F7C65" w14:textId="77777777" w:rsidR="00252CAB" w:rsidRPr="00A1725F" w:rsidRDefault="00252CAB" w:rsidP="009C2A20">
      <w:pPr>
        <w:spacing w:line="360" w:lineRule="auto"/>
        <w:rPr>
          <w:rFonts w:asciiTheme="majorHAnsi" w:eastAsia="Calibri" w:hAnsiTheme="majorHAnsi" w:cstheme="majorHAnsi"/>
          <w:bCs/>
          <w:sz w:val="22"/>
          <w:szCs w:val="22"/>
          <w:lang w:val="en-AU" w:eastAsia="en-US"/>
        </w:rPr>
      </w:pPr>
    </w:p>
    <w:p w14:paraId="02F420A9" w14:textId="77777777" w:rsidR="00252CAB" w:rsidRPr="00A1725F" w:rsidRDefault="00252CAB" w:rsidP="009C2A20">
      <w:pPr>
        <w:spacing w:line="360" w:lineRule="auto"/>
        <w:rPr>
          <w:rFonts w:asciiTheme="majorHAnsi" w:eastAsia="Calibri" w:hAnsiTheme="majorHAnsi" w:cstheme="majorHAnsi"/>
          <w:b/>
          <w:sz w:val="22"/>
          <w:szCs w:val="22"/>
          <w:lang w:val="en-AU" w:eastAsia="en-US"/>
        </w:rPr>
      </w:pPr>
      <w:r w:rsidRPr="00A1725F">
        <w:rPr>
          <w:rFonts w:asciiTheme="majorHAnsi" w:eastAsia="Calibri" w:hAnsiTheme="majorHAnsi" w:cstheme="majorHAnsi"/>
          <w:b/>
          <w:i/>
          <w:sz w:val="22"/>
          <w:szCs w:val="22"/>
          <w:lang w:val="en-AU" w:eastAsia="en-US"/>
        </w:rPr>
        <w:t>Spain</w:t>
      </w:r>
      <w:r w:rsidRPr="00A1725F">
        <w:rPr>
          <w:rFonts w:asciiTheme="majorHAnsi" w:eastAsia="Calibri" w:hAnsiTheme="majorHAnsi" w:cstheme="majorHAnsi"/>
          <w:b/>
          <w:sz w:val="22"/>
          <w:szCs w:val="22"/>
          <w:lang w:val="en-AU" w:eastAsia="en-US"/>
        </w:rPr>
        <w:t>:</w:t>
      </w:r>
    </w:p>
    <w:p w14:paraId="6A95B182" w14:textId="77777777" w:rsidR="00252CAB" w:rsidRPr="00A1725F" w:rsidRDefault="00252CAB" w:rsidP="009C2A20">
      <w:pPr>
        <w:spacing w:line="360" w:lineRule="auto"/>
        <w:rPr>
          <w:rFonts w:asciiTheme="majorHAnsi" w:eastAsia="Calibri" w:hAnsiTheme="majorHAnsi" w:cstheme="majorHAnsi"/>
          <w:bCs/>
          <w:sz w:val="22"/>
          <w:szCs w:val="22"/>
          <w:lang w:val="en-AU" w:eastAsia="en-US"/>
        </w:rPr>
      </w:pPr>
      <w:r w:rsidRPr="00A1725F">
        <w:rPr>
          <w:rFonts w:asciiTheme="majorHAnsi" w:eastAsia="Calibri" w:hAnsiTheme="majorHAnsi" w:cstheme="majorHAnsi"/>
          <w:bCs/>
          <w:i/>
          <w:sz w:val="22"/>
          <w:szCs w:val="22"/>
          <w:lang w:val="en-AU" w:eastAsia="en-US"/>
        </w:rPr>
        <w:t>Hospital del Mar:</w:t>
      </w:r>
      <w:r w:rsidRPr="00A1725F">
        <w:rPr>
          <w:rFonts w:asciiTheme="majorHAnsi" w:eastAsia="Calibri" w:hAnsiTheme="majorHAnsi" w:cstheme="majorHAnsi"/>
          <w:bCs/>
          <w:sz w:val="22"/>
          <w:szCs w:val="22"/>
          <w:lang w:val="en-AU" w:eastAsia="en-US"/>
        </w:rPr>
        <w:t xml:space="preserve"> Rosana Muñoz-Bermúdez, Judith Marin-Corral, Anna Salazar Degracia, Francisco Parrilla Gómez, Maria Isabel Mateo López;</w:t>
      </w:r>
    </w:p>
    <w:p w14:paraId="0BC7B853" w14:textId="77777777" w:rsidR="00252CAB" w:rsidRPr="00A1725F" w:rsidRDefault="00252CAB" w:rsidP="002129B2">
      <w:pPr>
        <w:spacing w:line="360" w:lineRule="auto"/>
        <w:rPr>
          <w:rFonts w:asciiTheme="majorHAnsi" w:eastAsia="Calibri" w:hAnsiTheme="majorHAnsi" w:cstheme="majorHAnsi"/>
          <w:bCs/>
          <w:sz w:val="22"/>
          <w:szCs w:val="22"/>
          <w:lang w:val="en-AU" w:eastAsia="en-US"/>
        </w:rPr>
      </w:pPr>
      <w:r w:rsidRPr="00A1725F">
        <w:rPr>
          <w:rFonts w:asciiTheme="majorHAnsi" w:eastAsia="Calibri" w:hAnsiTheme="majorHAnsi" w:cstheme="majorHAnsi"/>
          <w:bCs/>
          <w:i/>
          <w:sz w:val="22"/>
          <w:szCs w:val="22"/>
          <w:lang w:val="en-AU" w:eastAsia="en-US"/>
        </w:rPr>
        <w:t>Reina Sofia University Hospital:</w:t>
      </w:r>
      <w:r w:rsidRPr="00A1725F">
        <w:rPr>
          <w:rFonts w:asciiTheme="majorHAnsi" w:eastAsia="Calibri" w:hAnsiTheme="majorHAnsi" w:cstheme="majorHAnsi"/>
          <w:bCs/>
          <w:sz w:val="22"/>
          <w:szCs w:val="22"/>
          <w:lang w:val="en-AU" w:eastAsia="en-US"/>
        </w:rPr>
        <w:t xml:space="preserve"> Rafael León López, </w:t>
      </w:r>
      <w:r w:rsidRPr="00A1725F">
        <w:rPr>
          <w:rFonts w:asciiTheme="majorHAnsi" w:eastAsia="Calibri" w:hAnsiTheme="majorHAnsi" w:cstheme="majorHAnsi"/>
          <w:bCs/>
          <w:sz w:val="22"/>
          <w:szCs w:val="22"/>
          <w:lang w:eastAsia="en-US"/>
        </w:rPr>
        <w:t>Jorge Rodríguez-Gómez</w:t>
      </w:r>
      <w:r w:rsidRPr="00A1725F">
        <w:rPr>
          <w:rFonts w:asciiTheme="majorHAnsi" w:eastAsia="Calibri" w:hAnsiTheme="majorHAnsi" w:cstheme="majorHAnsi"/>
          <w:bCs/>
          <w:sz w:val="22"/>
          <w:szCs w:val="22"/>
          <w:lang w:val="en-AU" w:eastAsia="en-US"/>
        </w:rPr>
        <w:t>, Sheila Cárcel, Rosario Carmona, Carmen de la Fuente, Marina Rodriguez;</w:t>
      </w:r>
    </w:p>
    <w:p w14:paraId="07F70872" w14:textId="77777777" w:rsidR="00252CAB" w:rsidRPr="00A1725F" w:rsidRDefault="00252CAB" w:rsidP="002129B2">
      <w:pPr>
        <w:spacing w:line="360" w:lineRule="auto"/>
        <w:rPr>
          <w:rFonts w:asciiTheme="majorHAnsi" w:eastAsia="Calibri" w:hAnsiTheme="majorHAnsi" w:cstheme="majorHAnsi"/>
          <w:bCs/>
          <w:sz w:val="22"/>
          <w:szCs w:val="22"/>
          <w:lang w:val="en-AU" w:eastAsia="en-US"/>
        </w:rPr>
      </w:pPr>
    </w:p>
    <w:p w14:paraId="0AE5E767" w14:textId="77777777" w:rsidR="00A1725F" w:rsidRPr="00A1725F" w:rsidRDefault="00A1725F" w:rsidP="002129B2">
      <w:pPr>
        <w:spacing w:line="360" w:lineRule="auto"/>
        <w:rPr>
          <w:rFonts w:asciiTheme="majorHAnsi" w:eastAsia="Calibri" w:hAnsiTheme="majorHAnsi" w:cstheme="majorHAnsi"/>
          <w:sz w:val="22"/>
          <w:szCs w:val="22"/>
          <w:lang w:val="pt-BR" w:eastAsia="en-US"/>
        </w:rPr>
      </w:pPr>
      <w:r w:rsidRPr="00A1725F">
        <w:rPr>
          <w:rFonts w:asciiTheme="majorHAnsi" w:eastAsia="Calibri" w:hAnsiTheme="majorHAnsi" w:cstheme="majorHAnsi"/>
          <w:b/>
          <w:i/>
          <w:sz w:val="22"/>
          <w:szCs w:val="22"/>
          <w:lang w:val="pt-BR" w:eastAsia="en-US"/>
        </w:rPr>
        <w:t>United Kingdom</w:t>
      </w:r>
      <w:r w:rsidRPr="00A1725F">
        <w:rPr>
          <w:rFonts w:asciiTheme="majorHAnsi" w:eastAsia="Calibri" w:hAnsiTheme="majorHAnsi" w:cstheme="majorHAnsi"/>
          <w:b/>
          <w:sz w:val="22"/>
          <w:szCs w:val="22"/>
          <w:lang w:val="pt-BR" w:eastAsia="en-US"/>
        </w:rPr>
        <w:t>:</w:t>
      </w:r>
    </w:p>
    <w:p w14:paraId="1D0166BF" w14:textId="77777777"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Aberdeen Royal Infirmary: </w:t>
      </w:r>
      <w:r w:rsidRPr="00752ADC">
        <w:rPr>
          <w:rFonts w:asciiTheme="majorHAnsi" w:hAnsiTheme="majorHAnsi" w:cstheme="majorHAnsi"/>
          <w:sz w:val="22"/>
          <w:szCs w:val="22"/>
          <w:lang w:val="en-AU" w:eastAsia="en-US"/>
        </w:rPr>
        <w:t>Callum Kaye, Amanda Coutts, Lynn MacKay;</w:t>
      </w:r>
    </w:p>
    <w:p w14:paraId="0506FBEA"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Addenbrooke's Hospital:</w:t>
      </w:r>
      <w:r w:rsidRPr="00752ADC">
        <w:rPr>
          <w:rFonts w:asciiTheme="majorHAnsi" w:hAnsiTheme="majorHAnsi" w:cstheme="majorHAnsi"/>
          <w:sz w:val="22"/>
          <w:szCs w:val="22"/>
          <w:lang w:val="en-AU" w:eastAsia="en-US"/>
        </w:rPr>
        <w:t xml:space="preserve"> Charlotte Summers, Petra Polgarova, Neda Farahi, Eleonore Fox;</w:t>
      </w:r>
    </w:p>
    <w:p w14:paraId="33C54B1C"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Alder Hey Children’s NHS Foundation Trust:</w:t>
      </w:r>
      <w:r w:rsidRPr="00752ADC">
        <w:rPr>
          <w:rFonts w:asciiTheme="majorHAnsi" w:hAnsiTheme="majorHAnsi" w:cstheme="majorHAnsi"/>
          <w:sz w:val="22"/>
          <w:szCs w:val="22"/>
          <w:lang w:val="en-AU" w:eastAsia="en-US"/>
        </w:rPr>
        <w:t xml:space="preserve"> Stephen J McWilliam, Daniel B Hawcutt, Laura Rad, Laura</w:t>
      </w:r>
    </w:p>
    <w:p w14:paraId="5D4EC2E0"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lastRenderedPageBreak/>
        <w:t>O’Malley, Jennifer Whitbread, Dawn Jones, Rachael Dore, Paula Saunderson;</w:t>
      </w:r>
    </w:p>
    <w:p w14:paraId="311CDB4F"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sz w:val="22"/>
          <w:szCs w:val="22"/>
          <w:lang w:val="en-AU" w:eastAsia="en-US"/>
        </w:rPr>
        <w:t xml:space="preserve">Alexandra Hospital Redditch: </w:t>
      </w:r>
      <w:r w:rsidRPr="00752ADC">
        <w:rPr>
          <w:rFonts w:asciiTheme="majorHAnsi" w:hAnsiTheme="majorHAnsi" w:cstheme="majorHAnsi"/>
          <w:sz w:val="22"/>
          <w:szCs w:val="22"/>
          <w:lang w:val="en-AU" w:eastAsia="en-US"/>
        </w:rPr>
        <w:t xml:space="preserve">Olivia Kelsall, </w:t>
      </w:r>
      <w:r w:rsidRPr="00752ADC">
        <w:rPr>
          <w:rFonts w:asciiTheme="majorHAnsi" w:hAnsiTheme="majorHAnsi" w:cstheme="majorHAnsi"/>
          <w:sz w:val="22"/>
          <w:szCs w:val="22"/>
          <w:lang w:eastAsia="en-US"/>
        </w:rPr>
        <w:t>Nicholas Cowley</w:t>
      </w:r>
      <w:r w:rsidRPr="00752ADC">
        <w:rPr>
          <w:rFonts w:asciiTheme="majorHAnsi" w:hAnsiTheme="majorHAnsi" w:cstheme="majorHAnsi"/>
          <w:sz w:val="22"/>
          <w:szCs w:val="22"/>
          <w:lang w:val="en-AU" w:eastAsia="en-US"/>
        </w:rPr>
        <w:t>, Laura Wild, Jessica Thrush, Hannah</w:t>
      </w:r>
    </w:p>
    <w:p w14:paraId="2B5BD156" w14:textId="09482E17"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Wood, Karen Austin;</w:t>
      </w:r>
    </w:p>
    <w:p w14:paraId="6CF4BD57"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Altnagelvin Hospital:</w:t>
      </w:r>
      <w:r w:rsidRPr="00752ADC">
        <w:rPr>
          <w:rFonts w:asciiTheme="majorHAnsi" w:hAnsiTheme="majorHAnsi" w:cstheme="majorHAnsi"/>
          <w:sz w:val="22"/>
          <w:szCs w:val="22"/>
          <w:lang w:val="en-AU" w:eastAsia="en-US"/>
        </w:rPr>
        <w:t xml:space="preserve"> Adrian Donnelly, Martin Kelly, Naoise Smyth, Sinéad O’Kane, Declan McClintock,</w:t>
      </w:r>
    </w:p>
    <w:p w14:paraId="7C7A9A91" w14:textId="5CC782E0"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 xml:space="preserve">Majella Warnock, Ryan Campbell, Edmund McCallion; </w:t>
      </w:r>
    </w:p>
    <w:p w14:paraId="7E594EF6"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Antrim Area Hospital: </w:t>
      </w:r>
      <w:r w:rsidRPr="00752ADC">
        <w:rPr>
          <w:rFonts w:asciiTheme="majorHAnsi" w:hAnsiTheme="majorHAnsi" w:cstheme="majorHAnsi"/>
          <w:sz w:val="22"/>
          <w:szCs w:val="22"/>
          <w:lang w:val="en-AU" w:eastAsia="en-US"/>
        </w:rPr>
        <w:t>Paul Johnson, Shirley McKenna, Joanne Hanley, Andrew Currie, Barbara Allen,</w:t>
      </w:r>
    </w:p>
    <w:p w14:paraId="0688B413" w14:textId="0B7E10DB" w:rsidR="00752ADC" w:rsidRPr="00752ADC" w:rsidRDefault="00752ADC" w:rsidP="002129B2">
      <w:pPr>
        <w:spacing w:line="360" w:lineRule="auto"/>
        <w:ind w:left="720" w:hanging="720"/>
        <w:contextualSpacing/>
        <w:rPr>
          <w:rFonts w:asciiTheme="majorHAnsi" w:hAnsiTheme="majorHAnsi" w:cstheme="majorHAnsi"/>
          <w:i/>
          <w:iCs/>
          <w:sz w:val="22"/>
          <w:szCs w:val="22"/>
          <w:lang w:val="en-AU" w:eastAsia="en-US"/>
        </w:rPr>
      </w:pPr>
      <w:r w:rsidRPr="00752ADC">
        <w:rPr>
          <w:rFonts w:asciiTheme="majorHAnsi" w:hAnsiTheme="majorHAnsi" w:cstheme="majorHAnsi"/>
          <w:sz w:val="22"/>
          <w:szCs w:val="22"/>
          <w:lang w:val="en-AU" w:eastAsia="en-US"/>
        </w:rPr>
        <w:t>Clare McGoldrick, Moyra McMaster;</w:t>
      </w:r>
    </w:p>
    <w:p w14:paraId="0FA36C3A"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Barnet Hospital: </w:t>
      </w:r>
      <w:r w:rsidRPr="00752ADC">
        <w:rPr>
          <w:rFonts w:asciiTheme="majorHAnsi" w:hAnsiTheme="majorHAnsi" w:cstheme="majorHAnsi"/>
          <w:sz w:val="22"/>
          <w:szCs w:val="22"/>
          <w:lang w:val="en-AU" w:eastAsia="en-US"/>
        </w:rPr>
        <w:t>Rajeev Jha, Michael Kalogirou, Christine Ellis, Vinodh Krishnamurthy, Aibhilin</w:t>
      </w:r>
    </w:p>
    <w:p w14:paraId="4570F912" w14:textId="382F74DF"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O’Connor, Saranya Thurairatnam;</w:t>
      </w:r>
    </w:p>
    <w:p w14:paraId="0660B0FC" w14:textId="77777777" w:rsidR="00024485" w:rsidRDefault="00752ADC" w:rsidP="002129B2">
      <w:pPr>
        <w:spacing w:line="360" w:lineRule="auto"/>
        <w:ind w:left="720" w:hanging="720"/>
        <w:contextualSpacing/>
        <w:rPr>
          <w:rFonts w:asciiTheme="majorHAnsi" w:hAnsiTheme="majorHAnsi" w:cstheme="majorHAnsi"/>
          <w:sz w:val="22"/>
          <w:szCs w:val="22"/>
          <w:lang w:eastAsia="en-US"/>
        </w:rPr>
      </w:pPr>
      <w:r w:rsidRPr="00752ADC">
        <w:rPr>
          <w:rFonts w:asciiTheme="majorHAnsi" w:hAnsiTheme="majorHAnsi" w:cstheme="majorHAnsi"/>
          <w:i/>
          <w:iCs/>
          <w:sz w:val="22"/>
          <w:szCs w:val="22"/>
          <w:lang w:val="en-AU" w:eastAsia="en-US"/>
        </w:rPr>
        <w:t>Basildon Universty Hospital:</w:t>
      </w:r>
      <w:r w:rsidRPr="00752ADC">
        <w:rPr>
          <w:rFonts w:asciiTheme="majorHAnsi" w:hAnsiTheme="majorHAnsi" w:cstheme="majorHAnsi"/>
          <w:i/>
          <w:iCs/>
          <w:sz w:val="22"/>
          <w:szCs w:val="22"/>
          <w:lang w:eastAsia="en-US"/>
        </w:rPr>
        <w:t xml:space="preserve"> </w:t>
      </w:r>
      <w:r w:rsidRPr="00752ADC">
        <w:rPr>
          <w:rFonts w:asciiTheme="majorHAnsi" w:hAnsiTheme="majorHAnsi" w:cstheme="majorHAnsi"/>
          <w:sz w:val="22"/>
          <w:szCs w:val="22"/>
          <w:lang w:eastAsia="en-US"/>
        </w:rPr>
        <w:t>Dipak Mukherjee, Agilan Kaliappan, Mark Vertue, Anne Nicholson, Joanne</w:t>
      </w:r>
    </w:p>
    <w:p w14:paraId="1A0FFBE9" w14:textId="20916F1F" w:rsidR="00752ADC" w:rsidRPr="00752ADC" w:rsidRDefault="00752ADC" w:rsidP="002129B2">
      <w:pPr>
        <w:spacing w:line="360" w:lineRule="auto"/>
        <w:ind w:left="720" w:hanging="720"/>
        <w:contextualSpacing/>
        <w:rPr>
          <w:rFonts w:asciiTheme="majorHAnsi" w:hAnsiTheme="majorHAnsi" w:cstheme="majorHAnsi"/>
          <w:sz w:val="22"/>
          <w:szCs w:val="22"/>
          <w:lang w:eastAsia="en-US"/>
        </w:rPr>
      </w:pPr>
      <w:r w:rsidRPr="00752ADC">
        <w:rPr>
          <w:rFonts w:asciiTheme="majorHAnsi" w:hAnsiTheme="majorHAnsi" w:cstheme="majorHAnsi"/>
          <w:sz w:val="22"/>
          <w:szCs w:val="22"/>
          <w:lang w:eastAsia="en-US"/>
        </w:rPr>
        <w:t>Riches, Gracie Maloney, Lauren Kittridge, Amanda Solesbury, Angelo Ramos;</w:t>
      </w:r>
    </w:p>
    <w:p w14:paraId="4BE12C7C" w14:textId="77777777" w:rsidR="00024485" w:rsidRDefault="00752ADC" w:rsidP="002129B2">
      <w:pPr>
        <w:spacing w:line="360" w:lineRule="auto"/>
        <w:ind w:left="720" w:hanging="720"/>
        <w:contextualSpacing/>
        <w:rPr>
          <w:rFonts w:asciiTheme="majorHAnsi" w:hAnsiTheme="majorHAnsi" w:cstheme="majorHAnsi"/>
          <w:i/>
          <w:iCs/>
          <w:sz w:val="22"/>
          <w:szCs w:val="22"/>
          <w:lang w:val="en-AU" w:eastAsia="en-US"/>
        </w:rPr>
      </w:pPr>
      <w:r w:rsidRPr="00752ADC">
        <w:rPr>
          <w:rFonts w:asciiTheme="majorHAnsi" w:hAnsiTheme="majorHAnsi" w:cstheme="majorHAnsi"/>
          <w:i/>
          <w:iCs/>
          <w:sz w:val="22"/>
          <w:szCs w:val="22"/>
          <w:lang w:val="en-AU" w:eastAsia="en-US"/>
        </w:rPr>
        <w:t>Belfast Health and Social Care Trust (Belfast City Hospital, Mater Infirmorium, Royal Victoria Hospital):</w:t>
      </w:r>
    </w:p>
    <w:p w14:paraId="53AAE884"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Jon Silversides, Peter McGuigan, Kathryn Ward, Aisling O’Neill, Stephanie Finn, Chris Wright, Jackie</w:t>
      </w:r>
    </w:p>
    <w:p w14:paraId="723FE159" w14:textId="46660A6E" w:rsidR="00752ADC" w:rsidRPr="00752ADC" w:rsidRDefault="00752ADC" w:rsidP="002129B2">
      <w:pPr>
        <w:spacing w:line="360" w:lineRule="auto"/>
        <w:ind w:left="720" w:hanging="720"/>
        <w:contextualSpacing/>
        <w:rPr>
          <w:rFonts w:asciiTheme="majorHAnsi" w:hAnsiTheme="majorHAnsi" w:cstheme="majorHAnsi"/>
          <w:b/>
          <w:bCs/>
          <w:i/>
          <w:iCs/>
          <w:sz w:val="22"/>
          <w:szCs w:val="22"/>
          <w:lang w:val="en-AU" w:eastAsia="en-US"/>
        </w:rPr>
      </w:pPr>
      <w:r w:rsidRPr="00752ADC">
        <w:rPr>
          <w:rFonts w:asciiTheme="majorHAnsi" w:hAnsiTheme="majorHAnsi" w:cstheme="majorHAnsi"/>
          <w:sz w:val="22"/>
          <w:szCs w:val="22"/>
          <w:lang w:val="en-AU" w:eastAsia="en-US"/>
        </w:rPr>
        <w:t>Green, Érin Collins;</w:t>
      </w:r>
      <w:r w:rsidRPr="00752ADC">
        <w:rPr>
          <w:rFonts w:asciiTheme="majorHAnsi" w:hAnsiTheme="majorHAnsi" w:cstheme="majorHAnsi"/>
          <w:i/>
          <w:iCs/>
          <w:sz w:val="22"/>
          <w:szCs w:val="22"/>
          <w:lang w:val="en-AU" w:eastAsia="en-US"/>
        </w:rPr>
        <w:t xml:space="preserve"> </w:t>
      </w:r>
    </w:p>
    <w:p w14:paraId="17B50D05" w14:textId="77777777" w:rsidR="00752ADC" w:rsidRPr="00752ADC" w:rsidRDefault="00752ADC" w:rsidP="002129B2">
      <w:pPr>
        <w:spacing w:line="360" w:lineRule="auto"/>
        <w:ind w:left="720" w:hanging="720"/>
        <w:contextualSpacing/>
        <w:rPr>
          <w:rFonts w:asciiTheme="majorHAnsi" w:hAnsiTheme="majorHAnsi" w:cstheme="majorHAnsi"/>
          <w:b/>
          <w:bCs/>
          <w:sz w:val="22"/>
          <w:szCs w:val="22"/>
          <w:lang w:val="en-AU" w:eastAsia="en-US"/>
        </w:rPr>
      </w:pPr>
      <w:r w:rsidRPr="00752ADC">
        <w:rPr>
          <w:rFonts w:asciiTheme="majorHAnsi" w:hAnsiTheme="majorHAnsi" w:cstheme="majorHAnsi"/>
          <w:i/>
          <w:iCs/>
          <w:sz w:val="22"/>
          <w:szCs w:val="22"/>
          <w:lang w:val="en-AU" w:eastAsia="en-US"/>
        </w:rPr>
        <w:t xml:space="preserve">Brighton and Sussex University Hospitals Trust: </w:t>
      </w:r>
      <w:r w:rsidRPr="00752ADC">
        <w:rPr>
          <w:rFonts w:asciiTheme="majorHAnsi" w:hAnsiTheme="majorHAnsi" w:cstheme="majorHAnsi"/>
          <w:sz w:val="22"/>
          <w:szCs w:val="22"/>
          <w:lang w:val="en-AU" w:eastAsia="en-US"/>
        </w:rPr>
        <w:t>Barbara Phillips, Laura Oritz-Ruiz de Gordoa;</w:t>
      </w:r>
    </w:p>
    <w:p w14:paraId="17C12BB2" w14:textId="77777777"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sz w:val="22"/>
          <w:szCs w:val="22"/>
          <w:lang w:val="en-AU" w:eastAsia="en-US"/>
        </w:rPr>
        <w:t xml:space="preserve">Calderdale and Huddersfield Foundation Trust: </w:t>
      </w:r>
      <w:r w:rsidRPr="00752ADC">
        <w:rPr>
          <w:rFonts w:asciiTheme="majorHAnsi" w:hAnsiTheme="majorHAnsi" w:cstheme="majorHAnsi"/>
          <w:sz w:val="22"/>
          <w:szCs w:val="22"/>
          <w:lang w:val="en-AU" w:eastAsia="en-US"/>
        </w:rPr>
        <w:t>Jez Pinnell, Matt Robinson, Lisa Gledhill, Tracy Wood;</w:t>
      </w:r>
    </w:p>
    <w:p w14:paraId="4343513D"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Cardiff and Vale University Health Board: </w:t>
      </w:r>
      <w:r w:rsidRPr="00752ADC">
        <w:rPr>
          <w:rFonts w:asciiTheme="majorHAnsi" w:hAnsiTheme="majorHAnsi" w:cstheme="majorHAnsi"/>
          <w:sz w:val="22"/>
          <w:szCs w:val="22"/>
          <w:lang w:val="en-AU" w:eastAsia="en-US"/>
        </w:rPr>
        <w:t>Matt Morgan, Jade Cole, Helen Hill, Michelle Davies,</w:t>
      </w:r>
    </w:p>
    <w:p w14:paraId="68B60BF3" w14:textId="42DA1423"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Angharad Williams, Emma Thomas, Rhys Davies, Matt Wise;</w:t>
      </w:r>
    </w:p>
    <w:p w14:paraId="45D3ABC1"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Charing Cross Hospital: </w:t>
      </w:r>
      <w:r w:rsidRPr="00752ADC">
        <w:rPr>
          <w:rFonts w:asciiTheme="majorHAnsi" w:hAnsiTheme="majorHAnsi" w:cstheme="majorHAnsi"/>
          <w:sz w:val="22"/>
          <w:szCs w:val="22"/>
          <w:lang w:val="en-AU" w:eastAsia="en-US"/>
        </w:rPr>
        <w:t>David Antcliffe, Maie Templeton, Roceld Rojo, Phoebe Coghlan, Joanna Smee,</w:t>
      </w:r>
    </w:p>
    <w:p w14:paraId="2AF563A3" w14:textId="297698E1" w:rsidR="00752ADC" w:rsidRPr="00752ADC" w:rsidRDefault="00752ADC" w:rsidP="002129B2">
      <w:pPr>
        <w:spacing w:line="360" w:lineRule="auto"/>
        <w:ind w:left="720" w:hanging="720"/>
        <w:contextualSpacing/>
        <w:rPr>
          <w:rFonts w:asciiTheme="majorHAnsi" w:hAnsiTheme="majorHAnsi" w:cstheme="majorHAnsi"/>
          <w:i/>
          <w:iCs/>
          <w:sz w:val="22"/>
          <w:szCs w:val="22"/>
          <w:lang w:val="en-AU" w:eastAsia="en-US"/>
        </w:rPr>
      </w:pPr>
      <w:r w:rsidRPr="00752ADC">
        <w:rPr>
          <w:rFonts w:asciiTheme="majorHAnsi" w:hAnsiTheme="majorHAnsi" w:cstheme="majorHAnsi"/>
          <w:sz w:val="22"/>
          <w:szCs w:val="22"/>
          <w:lang w:val="en-AU" w:eastAsia="en-US"/>
        </w:rPr>
        <w:t>Gareth Barker;</w:t>
      </w:r>
    </w:p>
    <w:p w14:paraId="1D231ACB"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Chesterfield Royal Hospital:</w:t>
      </w:r>
      <w:r w:rsidRPr="00752ADC">
        <w:rPr>
          <w:rFonts w:asciiTheme="majorHAnsi" w:hAnsiTheme="majorHAnsi" w:cstheme="majorHAnsi"/>
          <w:sz w:val="22"/>
          <w:szCs w:val="22"/>
          <w:lang w:val="en-AU" w:eastAsia="en-US"/>
        </w:rPr>
        <w:t xml:space="preserve"> Euan Mackay, Jon Cort, Amanda Whileman, Thomas Spencer, Nick Spittle,</w:t>
      </w:r>
    </w:p>
    <w:p w14:paraId="60EB3A39"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Sarah Beavis, Anand Padmakumar, Katie Dale, Joanne Hawes, Emma Moakes, Rachel Gascoyne, Kelly</w:t>
      </w:r>
    </w:p>
    <w:p w14:paraId="22FC2F72" w14:textId="12123E43"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Pritchard, Lesley Stevenson, Justin Cooke, Karolina Nemeth-Roszpopa;</w:t>
      </w:r>
    </w:p>
    <w:p w14:paraId="12DBBCBB"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The Christie NHS Foundation Trust: </w:t>
      </w:r>
      <w:r w:rsidRPr="00752ADC">
        <w:rPr>
          <w:rFonts w:asciiTheme="majorHAnsi" w:hAnsiTheme="majorHAnsi" w:cstheme="majorHAnsi"/>
          <w:sz w:val="22"/>
          <w:szCs w:val="22"/>
          <w:lang w:val="en-AU" w:eastAsia="en-US"/>
        </w:rPr>
        <w:t>Vidya Kasipandian, Amit Patel, Suzanne Allibone, Roman Mary</w:t>
      </w:r>
    </w:p>
    <w:p w14:paraId="3FB4E9FA" w14:textId="2A5826F8"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Genetu;</w:t>
      </w:r>
    </w:p>
    <w:p w14:paraId="071B63E4"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Colchester Hospital: </w:t>
      </w:r>
      <w:r w:rsidRPr="00752ADC">
        <w:rPr>
          <w:rFonts w:asciiTheme="majorHAnsi" w:hAnsiTheme="majorHAnsi" w:cstheme="majorHAnsi"/>
          <w:sz w:val="22"/>
          <w:szCs w:val="22"/>
          <w:lang w:val="en-AU" w:eastAsia="en-US"/>
        </w:rPr>
        <w:t>Mohamed Ramali, Ooi HC, Alison Ghosh, Rawlings Osagie, Malka Jayasinghe</w:t>
      </w:r>
    </w:p>
    <w:p w14:paraId="1A80F330" w14:textId="52E3C578" w:rsidR="00752ADC" w:rsidRPr="00752ADC" w:rsidRDefault="00752ADC" w:rsidP="002129B2">
      <w:pPr>
        <w:spacing w:line="360" w:lineRule="auto"/>
        <w:ind w:left="720" w:hanging="720"/>
        <w:contextualSpacing/>
        <w:rPr>
          <w:rFonts w:asciiTheme="majorHAnsi" w:hAnsiTheme="majorHAnsi" w:cstheme="majorHAnsi"/>
          <w:i/>
          <w:iCs/>
          <w:sz w:val="22"/>
          <w:szCs w:val="22"/>
          <w:lang w:val="en-AU" w:eastAsia="en-US"/>
        </w:rPr>
      </w:pPr>
      <w:r w:rsidRPr="00752ADC">
        <w:rPr>
          <w:rFonts w:asciiTheme="majorHAnsi" w:hAnsiTheme="majorHAnsi" w:cstheme="majorHAnsi"/>
          <w:sz w:val="22"/>
          <w:szCs w:val="22"/>
          <w:lang w:val="en-AU" w:eastAsia="en-US"/>
        </w:rPr>
        <w:t>Arachchige, Melissa Hartley;</w:t>
      </w:r>
    </w:p>
    <w:p w14:paraId="13174CE1"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Countess of Chester Hospital: </w:t>
      </w:r>
      <w:r w:rsidRPr="00752ADC">
        <w:rPr>
          <w:rFonts w:asciiTheme="majorHAnsi" w:hAnsiTheme="majorHAnsi" w:cstheme="majorHAnsi"/>
          <w:sz w:val="22"/>
          <w:szCs w:val="22"/>
          <w:lang w:val="en-AU" w:eastAsia="en-US"/>
        </w:rPr>
        <w:t>Peter Bamford, Andrew Reid, Kathryn Cawley, Maria Faulkner, Charlotte</w:t>
      </w:r>
    </w:p>
    <w:p w14:paraId="5FFE4A55" w14:textId="176EDCBF"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Pickering;</w:t>
      </w:r>
    </w:p>
    <w:p w14:paraId="73A3B3D5"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Croydon University Hospital:</w:t>
      </w:r>
      <w:r w:rsidRPr="00752ADC">
        <w:rPr>
          <w:rFonts w:asciiTheme="majorHAnsi" w:hAnsiTheme="majorHAnsi" w:cstheme="majorHAnsi"/>
          <w:sz w:val="22"/>
          <w:szCs w:val="22"/>
          <w:lang w:val="en-AU" w:eastAsia="en-US"/>
        </w:rPr>
        <w:t xml:space="preserve"> Ashok Sundar Raj, Georgios Tsinaslanidis, Reena Nair Khade, Gloria</w:t>
      </w:r>
    </w:p>
    <w:p w14:paraId="39768D2D" w14:textId="41D06AF3"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Nwajei Agha, Rose Nalumansi Sekiwala;</w:t>
      </w:r>
    </w:p>
    <w:p w14:paraId="1412B936" w14:textId="77777777"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sz w:val="22"/>
          <w:szCs w:val="22"/>
          <w:lang w:val="en-AU" w:eastAsia="en-US"/>
        </w:rPr>
        <w:t xml:space="preserve">Cumberland Infirmary: </w:t>
      </w:r>
      <w:r w:rsidRPr="00752ADC">
        <w:rPr>
          <w:rFonts w:asciiTheme="majorHAnsi" w:hAnsiTheme="majorHAnsi" w:cstheme="majorHAnsi"/>
          <w:sz w:val="22"/>
          <w:szCs w:val="22"/>
          <w:lang w:val="en-AU" w:eastAsia="en-US"/>
        </w:rPr>
        <w:t>Tim Smith, Chris Brewer, Jane Gregory;</w:t>
      </w:r>
    </w:p>
    <w:p w14:paraId="2D58197F" w14:textId="77777777"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sz w:val="22"/>
          <w:szCs w:val="22"/>
          <w:lang w:val="en-AU" w:eastAsia="en-US"/>
        </w:rPr>
        <w:t xml:space="preserve">Darlington Memorial Hospital: </w:t>
      </w:r>
      <w:r w:rsidRPr="00752ADC">
        <w:rPr>
          <w:rFonts w:asciiTheme="majorHAnsi" w:hAnsiTheme="majorHAnsi" w:cstheme="majorHAnsi"/>
          <w:sz w:val="22"/>
          <w:szCs w:val="22"/>
          <w:lang w:val="en-AU" w:eastAsia="en-US"/>
        </w:rPr>
        <w:t>James Limb, Amanda Cowton, Julie O’Brien, Kelly Postlethwaite;</w:t>
      </w:r>
    </w:p>
    <w:p w14:paraId="27D6DE8D" w14:textId="77777777" w:rsidR="00752ADC" w:rsidRPr="00752ADC" w:rsidRDefault="00752ADC" w:rsidP="002129B2">
      <w:pPr>
        <w:spacing w:line="360" w:lineRule="auto"/>
        <w:ind w:left="720" w:hanging="720"/>
        <w:contextualSpacing/>
        <w:rPr>
          <w:rFonts w:asciiTheme="majorHAnsi" w:hAnsiTheme="majorHAnsi" w:cstheme="majorHAnsi"/>
          <w:i/>
          <w:iCs/>
          <w:sz w:val="22"/>
          <w:szCs w:val="22"/>
          <w:lang w:val="en-AU" w:eastAsia="en-US"/>
        </w:rPr>
      </w:pPr>
      <w:r w:rsidRPr="00752ADC">
        <w:rPr>
          <w:rFonts w:asciiTheme="majorHAnsi" w:hAnsiTheme="majorHAnsi" w:cstheme="majorHAnsi"/>
          <w:i/>
          <w:iCs/>
          <w:sz w:val="22"/>
          <w:szCs w:val="22"/>
          <w:lang w:val="en-AU" w:eastAsia="en-US"/>
        </w:rPr>
        <w:t xml:space="preserve">Derriford Hospital: </w:t>
      </w:r>
      <w:r w:rsidRPr="00752ADC">
        <w:rPr>
          <w:rFonts w:asciiTheme="majorHAnsi" w:hAnsiTheme="majorHAnsi" w:cstheme="majorHAnsi"/>
          <w:sz w:val="22"/>
          <w:szCs w:val="22"/>
          <w:lang w:val="en-AU" w:eastAsia="en-US"/>
        </w:rPr>
        <w:t>Nikitas Nikitas, Colin Wells, Liana Lankester, Helen McMillan;</w:t>
      </w:r>
    </w:p>
    <w:p w14:paraId="792490A6" w14:textId="77777777"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sz w:val="22"/>
          <w:szCs w:val="22"/>
          <w:lang w:val="en-AU" w:eastAsia="en-US"/>
        </w:rPr>
        <w:lastRenderedPageBreak/>
        <w:t xml:space="preserve">Dorset County Hospital: </w:t>
      </w:r>
      <w:r w:rsidRPr="00752ADC">
        <w:rPr>
          <w:rFonts w:asciiTheme="majorHAnsi" w:hAnsiTheme="majorHAnsi" w:cstheme="majorHAnsi"/>
          <w:sz w:val="22"/>
          <w:szCs w:val="22"/>
          <w:lang w:val="en-AU" w:eastAsia="en-US"/>
        </w:rPr>
        <w:t>Mark Pulletz, Patricia Williams, Jenny Birch, Sophie Wiseman, Sarah Horton;</w:t>
      </w:r>
    </w:p>
    <w:p w14:paraId="192AD875"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East Kent Hospitals (Queen Elizabeth the Queen Mother Hospital):</w:t>
      </w:r>
      <w:r w:rsidRPr="00752ADC">
        <w:rPr>
          <w:rFonts w:asciiTheme="majorHAnsi" w:hAnsiTheme="majorHAnsi" w:cstheme="majorHAnsi"/>
          <w:sz w:val="22"/>
          <w:szCs w:val="22"/>
          <w:lang w:val="en-AU" w:eastAsia="en-US"/>
        </w:rPr>
        <w:t xml:space="preserve"> Ana Alegria, Salah Turki, Tarek</w:t>
      </w:r>
    </w:p>
    <w:p w14:paraId="0ACE30CF" w14:textId="55F45341" w:rsidR="00752ADC" w:rsidRPr="00752ADC" w:rsidRDefault="00752ADC" w:rsidP="002129B2">
      <w:pPr>
        <w:spacing w:line="360" w:lineRule="auto"/>
        <w:ind w:left="720" w:hanging="720"/>
        <w:contextualSpacing/>
        <w:rPr>
          <w:rFonts w:asciiTheme="majorHAnsi" w:hAnsiTheme="majorHAnsi" w:cstheme="majorHAnsi"/>
          <w:sz w:val="22"/>
          <w:szCs w:val="22"/>
          <w:lang w:val="nl-NL" w:eastAsia="en-US"/>
        </w:rPr>
      </w:pPr>
      <w:r w:rsidRPr="00752ADC">
        <w:rPr>
          <w:rFonts w:asciiTheme="majorHAnsi" w:hAnsiTheme="majorHAnsi" w:cstheme="majorHAnsi"/>
          <w:sz w:val="22"/>
          <w:szCs w:val="22"/>
          <w:lang w:val="nl-NL" w:eastAsia="en-US"/>
        </w:rPr>
        <w:t>Elsefi, Nikki Crisp, Louise Allen;</w:t>
      </w:r>
    </w:p>
    <w:p w14:paraId="1ADA4A3A"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East Lancashire Hospitals NHS Trust (Royal Blackburn Hospital): </w:t>
      </w:r>
      <w:r w:rsidRPr="00752ADC">
        <w:rPr>
          <w:rFonts w:asciiTheme="majorHAnsi" w:hAnsiTheme="majorHAnsi" w:cstheme="majorHAnsi"/>
          <w:sz w:val="22"/>
          <w:szCs w:val="22"/>
          <w:lang w:val="en-AU" w:eastAsia="en-US"/>
        </w:rPr>
        <w:t>Nicholas Truman, Matthew Smith, Sri</w:t>
      </w:r>
    </w:p>
    <w:p w14:paraId="23333C75" w14:textId="7CFD4202"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Chukkambotla, Wendy Goddard, Stephen Duberley, Meherunnisa Khan, Aayesha Kazi;</w:t>
      </w:r>
    </w:p>
    <w:p w14:paraId="0168C111"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Freeman Hospital and Royal Victoria Infirmary, Newcastle upon Tyne</w:t>
      </w:r>
      <w:r w:rsidRPr="00752ADC">
        <w:rPr>
          <w:rFonts w:asciiTheme="majorHAnsi" w:hAnsiTheme="majorHAnsi" w:cstheme="majorHAnsi"/>
          <w:sz w:val="22"/>
          <w:szCs w:val="22"/>
          <w:lang w:val="en-AU" w:eastAsia="en-US"/>
        </w:rPr>
        <w:t>: Iain J McCullagh, Tom Cairns,</w:t>
      </w:r>
    </w:p>
    <w:p w14:paraId="7FA32460" w14:textId="174306CE"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Helen Hanson, Bijal Patel, Ian Clement;</w:t>
      </w:r>
    </w:p>
    <w:p w14:paraId="1662AAB2"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Frimley Health NHS Foundation Trust:</w:t>
      </w:r>
      <w:r w:rsidRPr="00752ADC">
        <w:rPr>
          <w:rFonts w:asciiTheme="majorHAnsi" w:hAnsiTheme="majorHAnsi" w:cstheme="majorHAnsi"/>
          <w:sz w:val="22"/>
          <w:szCs w:val="22"/>
          <w:lang w:val="en-AU" w:eastAsia="en-US"/>
        </w:rPr>
        <w:t xml:space="preserve"> Omar Touma, Susan Holland, Christopher Hodge, Holly Taylor,</w:t>
      </w:r>
    </w:p>
    <w:p w14:paraId="1DF068B1"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Meera Alderman, Nicky Barnes, Joana Da Rocha, Catherine Smith, Nicole Brooks, Thanuja</w:t>
      </w:r>
    </w:p>
    <w:p w14:paraId="51C4C819"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Weerasinghe, Julie-Ann Sinclair, Yousuf Abusamra, Ronan Doherty, Joanna Cudlipp, Rajeev Singh, Haili</w:t>
      </w:r>
    </w:p>
    <w:p w14:paraId="5B5EE185"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Yu, Admad Daebis, Christopher NG, Sara Kendrick, Anita Saran, Ahmed Makky, Danni Greener, Louise</w:t>
      </w:r>
    </w:p>
    <w:p w14:paraId="30B768D8" w14:textId="51EBBA82"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Rowe-Leete, Alexandra Edwards, Yvonne Bland, Rozzie Dolman, Tracy Foster;</w:t>
      </w:r>
    </w:p>
    <w:p w14:paraId="0E80D7EE"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Gateshead Health NHS Trust:</w:t>
      </w:r>
      <w:r w:rsidRPr="00752ADC">
        <w:rPr>
          <w:rFonts w:asciiTheme="majorHAnsi" w:hAnsiTheme="majorHAnsi" w:cstheme="majorHAnsi"/>
          <w:sz w:val="22"/>
          <w:szCs w:val="22"/>
          <w:lang w:val="en-AU" w:eastAsia="en-US"/>
        </w:rPr>
        <w:t xml:space="preserve"> Vanessa Linnett, Amanda Sanderson, Jenny Ritzema, Helen Wild,</w:t>
      </w:r>
    </w:p>
    <w:p w14:paraId="073DE497" w14:textId="7E43EA4F"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Rachael Lucas, Yvonne Marriott;</w:t>
      </w:r>
    </w:p>
    <w:p w14:paraId="1437B169"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George Eliot Hospital:</w:t>
      </w:r>
      <w:r w:rsidRPr="00752ADC">
        <w:rPr>
          <w:rFonts w:asciiTheme="majorHAnsi" w:hAnsiTheme="majorHAnsi" w:cstheme="majorHAnsi"/>
          <w:sz w:val="22"/>
          <w:szCs w:val="22"/>
          <w:lang w:val="en-AU" w:eastAsia="en-US"/>
        </w:rPr>
        <w:t xml:space="preserve"> Divya Khare, Meredith Pinder, Amitha Gopinath, Thogulava Kannan, Steven</w:t>
      </w:r>
    </w:p>
    <w:p w14:paraId="6C771838" w14:textId="16ECC469" w:rsidR="00752ADC" w:rsidRPr="00752ADC" w:rsidRDefault="00752ADC" w:rsidP="002129B2">
      <w:pPr>
        <w:spacing w:line="360" w:lineRule="auto"/>
        <w:ind w:left="720" w:hanging="720"/>
        <w:contextualSpacing/>
        <w:rPr>
          <w:rFonts w:asciiTheme="majorHAnsi" w:hAnsiTheme="majorHAnsi" w:cstheme="majorHAnsi"/>
          <w:b/>
          <w:bCs/>
          <w:sz w:val="22"/>
          <w:szCs w:val="22"/>
          <w:lang w:val="en-AU" w:eastAsia="en-US"/>
        </w:rPr>
      </w:pPr>
      <w:r w:rsidRPr="00752ADC">
        <w:rPr>
          <w:rFonts w:asciiTheme="majorHAnsi" w:hAnsiTheme="majorHAnsi" w:cstheme="majorHAnsi"/>
          <w:sz w:val="22"/>
          <w:szCs w:val="22"/>
          <w:lang w:val="en-AU" w:eastAsia="en-US"/>
        </w:rPr>
        <w:t>Dean, Piyush Vanmali;</w:t>
      </w:r>
    </w:p>
    <w:p w14:paraId="61FE4B03"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Glan Clwyd Hospital:</w:t>
      </w:r>
      <w:r w:rsidRPr="00752ADC">
        <w:rPr>
          <w:rFonts w:asciiTheme="majorHAnsi" w:hAnsiTheme="majorHAnsi" w:cstheme="majorHAnsi"/>
          <w:sz w:val="22"/>
          <w:szCs w:val="22"/>
          <w:lang w:val="en-AU" w:eastAsia="en-US"/>
        </w:rPr>
        <w:t xml:space="preserve"> Richard Pugh, Richard Lean, Xinyi Qiu, Jeremy Scanlan, Andrew Evans, Gwyneth</w:t>
      </w:r>
    </w:p>
    <w:p w14:paraId="2FE9125B" w14:textId="3A8D8399"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 xml:space="preserve">Davies, Joanne Lewis; </w:t>
      </w:r>
    </w:p>
    <w:p w14:paraId="1B720A32" w14:textId="77777777"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Glangwili General Hospital:</w:t>
      </w:r>
      <w:r w:rsidRPr="00752ADC">
        <w:rPr>
          <w:rFonts w:asciiTheme="majorHAnsi" w:hAnsiTheme="majorHAnsi" w:cstheme="majorHAnsi"/>
          <w:sz w:val="22"/>
          <w:szCs w:val="22"/>
          <w:lang w:val="en-AU" w:eastAsia="en-US"/>
        </w:rPr>
        <w:t xml:space="preserve"> Yvonna Plesnikova, Ahmed Ben Khoud, Samantha Coetzee;</w:t>
      </w:r>
    </w:p>
    <w:p w14:paraId="06B84F59"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Glasgow Royal Infirmary: </w:t>
      </w:r>
      <w:r w:rsidRPr="00752ADC">
        <w:rPr>
          <w:rFonts w:asciiTheme="majorHAnsi" w:hAnsiTheme="majorHAnsi" w:cstheme="majorHAnsi"/>
          <w:sz w:val="22"/>
          <w:szCs w:val="22"/>
          <w:lang w:val="en-AU" w:eastAsia="en-US"/>
        </w:rPr>
        <w:t>Kathryn Puxty, Susanne Cathcart, Dominic Rimmer, Catherine Bagot,</w:t>
      </w:r>
    </w:p>
    <w:p w14:paraId="00FDF18A" w14:textId="0F9949FE"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Kathryn Scott, Laila Martin;</w:t>
      </w:r>
    </w:p>
    <w:p w14:paraId="09183932"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Glenfield Hospital Leicester: </w:t>
      </w:r>
      <w:r w:rsidRPr="00752ADC">
        <w:rPr>
          <w:rFonts w:asciiTheme="majorHAnsi" w:hAnsiTheme="majorHAnsi" w:cstheme="majorHAnsi"/>
          <w:sz w:val="22"/>
          <w:szCs w:val="22"/>
          <w:lang w:val="en-AU" w:eastAsia="en-US"/>
        </w:rPr>
        <w:t>Hakeem Yusuff, Graziella Isgro, Chris Brightling, Michelle Bourne, Michelle</w:t>
      </w:r>
    </w:p>
    <w:p w14:paraId="2927F8A7" w14:textId="19AFD201" w:rsidR="00752ADC" w:rsidRPr="00752ADC" w:rsidRDefault="00752ADC" w:rsidP="002129B2">
      <w:pPr>
        <w:spacing w:line="360" w:lineRule="auto"/>
        <w:ind w:left="720" w:hanging="720"/>
        <w:contextualSpacing/>
        <w:rPr>
          <w:rFonts w:asciiTheme="majorHAnsi" w:hAnsiTheme="majorHAnsi" w:cstheme="majorHAnsi"/>
          <w:i/>
          <w:iCs/>
          <w:sz w:val="22"/>
          <w:szCs w:val="22"/>
          <w:lang w:val="en-AU" w:eastAsia="en-US"/>
        </w:rPr>
      </w:pPr>
      <w:r w:rsidRPr="00752ADC">
        <w:rPr>
          <w:rFonts w:asciiTheme="majorHAnsi" w:hAnsiTheme="majorHAnsi" w:cstheme="majorHAnsi"/>
          <w:sz w:val="22"/>
          <w:szCs w:val="22"/>
          <w:lang w:val="en-AU" w:eastAsia="en-US"/>
        </w:rPr>
        <w:t>Craner, Rebecca Boyles;</w:t>
      </w:r>
    </w:p>
    <w:p w14:paraId="29D03097"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Grange University Hospital: </w:t>
      </w:r>
      <w:r w:rsidRPr="00752ADC">
        <w:rPr>
          <w:rFonts w:asciiTheme="majorHAnsi" w:hAnsiTheme="majorHAnsi" w:cstheme="majorHAnsi"/>
          <w:sz w:val="22"/>
          <w:szCs w:val="22"/>
          <w:lang w:val="en-AU" w:eastAsia="en-US"/>
        </w:rPr>
        <w:t>Tamas Szakmany, Shiney Cherian, Gemma Williams, Christie James, Abby</w:t>
      </w:r>
    </w:p>
    <w:p w14:paraId="7D7AD703" w14:textId="010B4E87"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Waters;</w:t>
      </w:r>
    </w:p>
    <w:p w14:paraId="40E02A2F"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Great Western Hospitals NHS Foundation Trust: </w:t>
      </w:r>
      <w:r w:rsidRPr="00752ADC">
        <w:rPr>
          <w:rFonts w:asciiTheme="majorHAnsi" w:hAnsiTheme="majorHAnsi" w:cstheme="majorHAnsi"/>
          <w:sz w:val="22"/>
          <w:szCs w:val="22"/>
          <w:lang w:val="en-AU" w:eastAsia="en-US"/>
        </w:rPr>
        <w:t>Rachel Prout, Roger Stedman, Louisa Davies,</w:t>
      </w:r>
    </w:p>
    <w:p w14:paraId="6C978A35" w14:textId="11BAA888"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Suzannah Pegler, Lynsey Kyeremeh, Louise Moorhouse;</w:t>
      </w:r>
    </w:p>
    <w:p w14:paraId="20CC8839"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Guy’s &amp; St Thomas’ NHS Foundation Trust:</w:t>
      </w:r>
      <w:r w:rsidRPr="00752ADC">
        <w:rPr>
          <w:rFonts w:asciiTheme="majorHAnsi" w:hAnsiTheme="majorHAnsi" w:cstheme="majorHAnsi"/>
          <w:sz w:val="22"/>
          <w:szCs w:val="22"/>
          <w:lang w:val="en-AU" w:eastAsia="en-US"/>
        </w:rPr>
        <w:t xml:space="preserve"> Manu Shankar-Hari, Gill Arbane, Marina Marotti, Aneta</w:t>
      </w:r>
    </w:p>
    <w:p w14:paraId="0C9DFC15" w14:textId="278E7FE0"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Bociek, Sara Campos;</w:t>
      </w:r>
    </w:p>
    <w:p w14:paraId="23DC699A" w14:textId="77777777"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sz w:val="22"/>
          <w:szCs w:val="22"/>
          <w:lang w:val="en-AU" w:eastAsia="en-US"/>
        </w:rPr>
        <w:t xml:space="preserve">Hammersmith Hospital: </w:t>
      </w:r>
      <w:r w:rsidRPr="00752ADC">
        <w:rPr>
          <w:rFonts w:asciiTheme="majorHAnsi" w:hAnsiTheme="majorHAnsi" w:cstheme="majorHAnsi"/>
          <w:sz w:val="22"/>
          <w:szCs w:val="22"/>
          <w:lang w:val="en-AU" w:eastAsia="en-US"/>
        </w:rPr>
        <w:t>Stephen Brett, Sonia Sousa Arias, Rebecca Elin Hall;</w:t>
      </w:r>
    </w:p>
    <w:p w14:paraId="0CC2EA75"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Homerton University Hospital NHS Foundation Trust: </w:t>
      </w:r>
      <w:r w:rsidRPr="00752ADC">
        <w:rPr>
          <w:rFonts w:asciiTheme="majorHAnsi" w:hAnsiTheme="majorHAnsi" w:cstheme="majorHAnsi"/>
          <w:sz w:val="22"/>
          <w:szCs w:val="22"/>
          <w:lang w:val="en-AU" w:eastAsia="en-US"/>
        </w:rPr>
        <w:t>Susan Jain, Abhinav Gupta, Catherine Holbrook,</w:t>
      </w:r>
    </w:p>
    <w:p w14:paraId="59CC06B8" w14:textId="5376B9CE"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Pierre Antoine;</w:t>
      </w:r>
    </w:p>
    <w:p w14:paraId="53708F42"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James Cook University Hospital: </w:t>
      </w:r>
      <w:r w:rsidRPr="00752ADC">
        <w:rPr>
          <w:rFonts w:asciiTheme="majorHAnsi" w:hAnsiTheme="majorHAnsi" w:cstheme="majorHAnsi"/>
          <w:sz w:val="22"/>
          <w:szCs w:val="22"/>
          <w:lang w:val="en-AU" w:eastAsia="en-US"/>
        </w:rPr>
        <w:t>Jeremy Henning, Stephen Bonner, Keith Hugill, Emanuel Cirstea, Dean</w:t>
      </w:r>
    </w:p>
    <w:p w14:paraId="032AAF84" w14:textId="73991968"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Wilkinson, Jessica Jones, Mohammed Nagy Tawfik Altomy;</w:t>
      </w:r>
    </w:p>
    <w:p w14:paraId="64A3F163"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lastRenderedPageBreak/>
        <w:t xml:space="preserve">James Paget University Hospitals: </w:t>
      </w:r>
      <w:r w:rsidRPr="00752ADC">
        <w:rPr>
          <w:rFonts w:asciiTheme="majorHAnsi" w:hAnsiTheme="majorHAnsi" w:cstheme="majorHAnsi"/>
          <w:sz w:val="22"/>
          <w:szCs w:val="22"/>
          <w:lang w:val="en-AU" w:eastAsia="en-US"/>
        </w:rPr>
        <w:t>Michal Karlikowski, Helen Sutherland, Elva Wilhelmsen, Jane</w:t>
      </w:r>
    </w:p>
    <w:p w14:paraId="179C194C" w14:textId="23C8AD10"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Woods, Julie North;</w:t>
      </w:r>
    </w:p>
    <w:p w14:paraId="6615049D"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Kettering General Hospital:</w:t>
      </w:r>
      <w:r w:rsidRPr="00752ADC">
        <w:rPr>
          <w:rFonts w:asciiTheme="majorHAnsi" w:hAnsiTheme="majorHAnsi" w:cstheme="majorHAnsi"/>
          <w:sz w:val="22"/>
          <w:szCs w:val="22"/>
          <w:lang w:val="en-AU" w:eastAsia="en-US"/>
        </w:rPr>
        <w:t xml:space="preserve"> Dhinesh Sundaran, Laszlo Hollos, Anna Williams, Margaret Turns, Joanne</w:t>
      </w:r>
    </w:p>
    <w:p w14:paraId="5A8330E2" w14:textId="70577449"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Walsh;</w:t>
      </w:r>
    </w:p>
    <w:p w14:paraId="1E8682C8"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King’s College Hospital (Denmark Hill site):</w:t>
      </w:r>
      <w:r w:rsidRPr="00752ADC">
        <w:rPr>
          <w:rFonts w:asciiTheme="majorHAnsi" w:hAnsiTheme="majorHAnsi" w:cstheme="majorHAnsi"/>
          <w:sz w:val="22"/>
          <w:szCs w:val="22"/>
          <w:lang w:val="en-AU" w:eastAsia="en-US"/>
        </w:rPr>
        <w:t xml:space="preserve"> Phil Hopkins, John Smith, Harriet Noble, Kevin O’Reilly,</w:t>
      </w:r>
    </w:p>
    <w:p w14:paraId="23EC3CB3"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Reena Mehta, Onyee Wong, Esther Makanju, Deepak Rao, Nyma Sikondari, Sian Saha, Ele Corcoran,</w:t>
      </w:r>
    </w:p>
    <w:p w14:paraId="75F72863" w14:textId="17B55E38"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Evita Pappa, Maeve Cockrell, Clare Donegan, Morteza Balaie;</w:t>
      </w:r>
    </w:p>
    <w:p w14:paraId="34B3CDA9"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Lancashire Teaching Hospitals NHS Foundation Trust: </w:t>
      </w:r>
      <w:r w:rsidRPr="00752ADC">
        <w:rPr>
          <w:rFonts w:asciiTheme="majorHAnsi" w:hAnsiTheme="majorHAnsi" w:cstheme="majorHAnsi"/>
          <w:sz w:val="22"/>
          <w:szCs w:val="22"/>
          <w:lang w:val="en-AU" w:eastAsia="en-US"/>
        </w:rPr>
        <w:t>Shondipon Laha, Mark Verlander, Alexandra</w:t>
      </w:r>
    </w:p>
    <w:p w14:paraId="25D55973" w14:textId="3782EC66" w:rsidR="00752ADC" w:rsidRPr="00752ADC" w:rsidRDefault="00752ADC" w:rsidP="002129B2">
      <w:pPr>
        <w:spacing w:line="360" w:lineRule="auto"/>
        <w:ind w:left="720" w:hanging="720"/>
        <w:contextualSpacing/>
        <w:rPr>
          <w:rFonts w:asciiTheme="majorHAnsi" w:hAnsiTheme="majorHAnsi" w:cstheme="majorHAnsi"/>
          <w:i/>
          <w:iCs/>
          <w:sz w:val="22"/>
          <w:szCs w:val="22"/>
          <w:lang w:val="en-AU" w:eastAsia="en-US"/>
        </w:rPr>
      </w:pPr>
      <w:r w:rsidRPr="00752ADC">
        <w:rPr>
          <w:rFonts w:asciiTheme="majorHAnsi" w:hAnsiTheme="majorHAnsi" w:cstheme="majorHAnsi"/>
          <w:sz w:val="22"/>
          <w:szCs w:val="22"/>
          <w:lang w:val="en-AU" w:eastAsia="en-US"/>
        </w:rPr>
        <w:t>Williams, Avinash Kumar Jha;</w:t>
      </w:r>
    </w:p>
    <w:p w14:paraId="60026F83"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Leeds Teaching Hospitals Trust:</w:t>
      </w:r>
      <w:r w:rsidRPr="00752ADC">
        <w:rPr>
          <w:rFonts w:asciiTheme="majorHAnsi" w:hAnsiTheme="majorHAnsi" w:cstheme="majorHAnsi"/>
          <w:sz w:val="22"/>
          <w:szCs w:val="22"/>
          <w:lang w:val="en-AU" w:eastAsia="en-US"/>
        </w:rPr>
        <w:t xml:space="preserve"> Elankumaran Paramasivam, Elizabeth Wilby, Bethan Ogg, Clare</w:t>
      </w:r>
    </w:p>
    <w:p w14:paraId="2E1E894A"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Howcroft, Angelique Aspinwall, Sam Charlton, Richard Gould, Deena Mistry, Sidra Awan, Caroline</w:t>
      </w:r>
    </w:p>
    <w:p w14:paraId="04D55172" w14:textId="469DC86B"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Bedford, Joanne Carr-Wilkinson;</w:t>
      </w:r>
    </w:p>
    <w:p w14:paraId="367C2D4E"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Leicester General Hospital:</w:t>
      </w:r>
      <w:r w:rsidRPr="00752ADC">
        <w:rPr>
          <w:rFonts w:asciiTheme="majorHAnsi" w:hAnsiTheme="majorHAnsi" w:cstheme="majorHAnsi"/>
          <w:sz w:val="22"/>
          <w:szCs w:val="22"/>
          <w:lang w:val="en-AU" w:eastAsia="en-US"/>
        </w:rPr>
        <w:t xml:space="preserve"> Andrew Hall, Jill Cooke, Caroline Gardiner-Hill, Carolyn Maloney, Nigel</w:t>
      </w:r>
    </w:p>
    <w:p w14:paraId="06A22C87" w14:textId="74C7F7D9"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Brunskill, Olivia Watchorn, Chloe Hardy;</w:t>
      </w:r>
    </w:p>
    <w:p w14:paraId="61CC9AF9"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Leicester Royal Infirmary: </w:t>
      </w:r>
      <w:r w:rsidRPr="00752ADC">
        <w:rPr>
          <w:rFonts w:asciiTheme="majorHAnsi" w:hAnsiTheme="majorHAnsi" w:cstheme="majorHAnsi"/>
          <w:sz w:val="22"/>
          <w:szCs w:val="22"/>
          <w:lang w:val="en-AU" w:eastAsia="en-US"/>
        </w:rPr>
        <w:t>Hafiz R Qureshi, Neil Flint, Sarah Nicholson, Sara Southin, Andrew Nicholson,</w:t>
      </w:r>
    </w:p>
    <w:p w14:paraId="1692EDAB" w14:textId="1B9FF026"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Amardeep Ghattaoraya;</w:t>
      </w:r>
    </w:p>
    <w:p w14:paraId="78CC356A" w14:textId="77777777" w:rsidR="00024485" w:rsidRDefault="00752ADC" w:rsidP="002129B2">
      <w:pPr>
        <w:spacing w:line="360" w:lineRule="auto"/>
        <w:ind w:left="720" w:hanging="720"/>
        <w:contextualSpacing/>
        <w:rPr>
          <w:rFonts w:asciiTheme="majorHAnsi" w:hAnsiTheme="majorHAnsi" w:cstheme="majorHAnsi"/>
          <w:iCs/>
          <w:sz w:val="22"/>
          <w:szCs w:val="22"/>
          <w:lang w:eastAsia="en-US"/>
        </w:rPr>
      </w:pPr>
      <w:r w:rsidRPr="00752ADC">
        <w:rPr>
          <w:rFonts w:asciiTheme="majorHAnsi" w:hAnsiTheme="majorHAnsi" w:cstheme="majorHAnsi"/>
          <w:i/>
          <w:iCs/>
          <w:sz w:val="22"/>
          <w:szCs w:val="22"/>
          <w:lang w:val="en-AU" w:eastAsia="en-US"/>
        </w:rPr>
        <w:t xml:space="preserve">Lewisham and Greenwich NHS Trust: </w:t>
      </w:r>
      <w:r w:rsidRPr="00752ADC">
        <w:rPr>
          <w:rFonts w:asciiTheme="majorHAnsi" w:hAnsiTheme="majorHAnsi" w:cstheme="majorHAnsi"/>
          <w:iCs/>
          <w:sz w:val="22"/>
          <w:szCs w:val="22"/>
          <w:lang w:eastAsia="en-US"/>
        </w:rPr>
        <w:t>Dr Daniel Harding, Sinead O’Halloran, Amy Collins, Emma Smith,</w:t>
      </w:r>
    </w:p>
    <w:p w14:paraId="1DB47C8F" w14:textId="2F4B5A19" w:rsidR="00752ADC" w:rsidRPr="00752ADC" w:rsidRDefault="00752ADC" w:rsidP="002129B2">
      <w:pPr>
        <w:spacing w:line="360" w:lineRule="auto"/>
        <w:ind w:left="720" w:hanging="720"/>
        <w:contextualSpacing/>
        <w:rPr>
          <w:rFonts w:asciiTheme="majorHAnsi" w:hAnsiTheme="majorHAnsi" w:cstheme="majorHAnsi"/>
          <w:iCs/>
          <w:sz w:val="22"/>
          <w:szCs w:val="22"/>
          <w:lang w:eastAsia="en-US"/>
        </w:rPr>
      </w:pPr>
      <w:r w:rsidRPr="00752ADC">
        <w:rPr>
          <w:rFonts w:asciiTheme="majorHAnsi" w:hAnsiTheme="majorHAnsi" w:cstheme="majorHAnsi"/>
          <w:iCs/>
          <w:sz w:val="22"/>
          <w:szCs w:val="22"/>
          <w:lang w:eastAsia="en-US"/>
        </w:rPr>
        <w:t>Estefania Trues;</w:t>
      </w:r>
    </w:p>
    <w:p w14:paraId="301B3FB5" w14:textId="77777777"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Liverpool Foundation Trust Aintree: </w:t>
      </w:r>
      <w:r w:rsidRPr="00752ADC">
        <w:rPr>
          <w:rFonts w:asciiTheme="majorHAnsi" w:hAnsiTheme="majorHAnsi" w:cstheme="majorHAnsi"/>
          <w:sz w:val="22"/>
          <w:szCs w:val="22"/>
          <w:lang w:val="en-AU" w:eastAsia="en-US"/>
        </w:rPr>
        <w:t>Barbara Borgatta, Ian Turner-Bone, Amie Reddy, Laura Wilding;</w:t>
      </w:r>
    </w:p>
    <w:p w14:paraId="2067E0B7" w14:textId="77777777"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Liverpool Heart and Chest Hospital:</w:t>
      </w:r>
      <w:r w:rsidRPr="00752ADC">
        <w:rPr>
          <w:rFonts w:asciiTheme="majorHAnsi" w:hAnsiTheme="majorHAnsi" w:cstheme="majorHAnsi"/>
          <w:sz w:val="22"/>
          <w:szCs w:val="22"/>
          <w:lang w:val="en-AU" w:eastAsia="en-US"/>
        </w:rPr>
        <w:t xml:space="preserve"> Craig Wilson, Zuhra Surti;</w:t>
      </w:r>
    </w:p>
    <w:p w14:paraId="09E5F60B"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Luton and Dunstable University Hospital:</w:t>
      </w:r>
      <w:r w:rsidRPr="00752ADC">
        <w:rPr>
          <w:rFonts w:asciiTheme="majorHAnsi" w:hAnsiTheme="majorHAnsi" w:cstheme="majorHAnsi"/>
          <w:sz w:val="22"/>
          <w:szCs w:val="22"/>
          <w:lang w:val="en-AU" w:eastAsia="en-US"/>
        </w:rPr>
        <w:t xml:space="preserve"> Loku Chamara Warnapura, Ronan Agno, Prasannakumari</w:t>
      </w:r>
    </w:p>
    <w:p w14:paraId="68410E27"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Sathianathan, Deborah Shaw, Nazia Ijaz, Adam Spong, Suganya Sabaretnam, Dean Burns, Eva Lang,</w:t>
      </w:r>
    </w:p>
    <w:p w14:paraId="4C249DC7" w14:textId="25A93ACA"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Margaret Louise Tate;</w:t>
      </w:r>
    </w:p>
    <w:p w14:paraId="04601AD3"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Maidstone and Tunbridge Wells NHS Trust:</w:t>
      </w:r>
      <w:r w:rsidRPr="00752ADC">
        <w:rPr>
          <w:rFonts w:asciiTheme="majorHAnsi" w:hAnsiTheme="majorHAnsi" w:cstheme="majorHAnsi"/>
          <w:sz w:val="22"/>
          <w:szCs w:val="22"/>
          <w:lang w:val="en-AU" w:eastAsia="en-US"/>
        </w:rPr>
        <w:t xml:space="preserve"> David Golden, Miriam Davey, Rebecca Seaman, Alexander</w:t>
      </w:r>
    </w:p>
    <w:p w14:paraId="33C5B835" w14:textId="1028B2CD"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Osborne;</w:t>
      </w:r>
    </w:p>
    <w:p w14:paraId="4EDCDEAD"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Manchester Royal Infirmary:</w:t>
      </w:r>
      <w:r w:rsidRPr="00752ADC">
        <w:rPr>
          <w:rFonts w:asciiTheme="majorHAnsi" w:hAnsiTheme="majorHAnsi" w:cstheme="majorHAnsi"/>
          <w:sz w:val="22"/>
          <w:szCs w:val="22"/>
          <w:lang w:val="en-AU" w:eastAsia="en-US"/>
        </w:rPr>
        <w:t xml:space="preserve">  Jonathan Bannard-Smith, Richard Clark, Kathrine Birchall, Joanne Henry,</w:t>
      </w:r>
    </w:p>
    <w:p w14:paraId="433885B9" w14:textId="54A8128F"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Fiona Pomeroy, Rachael Quayle, Katharine Wylie, Anila Sukuraman, Maya John, Sindhu Sibin;</w:t>
      </w:r>
    </w:p>
    <w:p w14:paraId="7D27076B"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Medway Maritime Hospital: </w:t>
      </w:r>
      <w:r w:rsidRPr="00752ADC">
        <w:rPr>
          <w:rFonts w:asciiTheme="majorHAnsi" w:hAnsiTheme="majorHAnsi" w:cstheme="majorHAnsi"/>
          <w:sz w:val="22"/>
          <w:szCs w:val="22"/>
          <w:lang w:val="en-AU" w:eastAsia="en-US"/>
        </w:rPr>
        <w:t>Arystarch Makowski, Beata Misztal, Syeda Haider, Angela Liao, Rebecca</w:t>
      </w:r>
    </w:p>
    <w:p w14:paraId="6A6ED416" w14:textId="571C8BAB" w:rsidR="00752ADC" w:rsidRPr="00752ADC" w:rsidRDefault="00752ADC" w:rsidP="002129B2">
      <w:pPr>
        <w:spacing w:line="360" w:lineRule="auto"/>
        <w:ind w:left="720" w:hanging="720"/>
        <w:contextualSpacing/>
        <w:rPr>
          <w:rFonts w:asciiTheme="majorHAnsi" w:hAnsiTheme="majorHAnsi" w:cstheme="majorHAnsi"/>
          <w:i/>
          <w:iCs/>
          <w:sz w:val="22"/>
          <w:szCs w:val="22"/>
          <w:lang w:val="en-AU" w:eastAsia="en-US"/>
        </w:rPr>
      </w:pPr>
      <w:r w:rsidRPr="00752ADC">
        <w:rPr>
          <w:rFonts w:asciiTheme="majorHAnsi" w:hAnsiTheme="majorHAnsi" w:cstheme="majorHAnsi"/>
          <w:sz w:val="22"/>
          <w:szCs w:val="22"/>
          <w:lang w:val="en-AU" w:eastAsia="en-US"/>
        </w:rPr>
        <w:t>Squires;</w:t>
      </w:r>
    </w:p>
    <w:p w14:paraId="71BD9F68"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Milton Keynes University Hospital: </w:t>
      </w:r>
      <w:r w:rsidRPr="00752ADC">
        <w:rPr>
          <w:rFonts w:asciiTheme="majorHAnsi" w:hAnsiTheme="majorHAnsi" w:cstheme="majorHAnsi"/>
          <w:sz w:val="22"/>
          <w:szCs w:val="22"/>
          <w:lang w:val="en-AU" w:eastAsia="en-US"/>
        </w:rPr>
        <w:t>Richard Stewart, Esther Mwaura, Louise Mew, Lynn Wren, Felicity</w:t>
      </w:r>
    </w:p>
    <w:p w14:paraId="38CB2D94" w14:textId="0FDB7900"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Willams, Sara-Beth Sutherland, Rashmi Rebello;</w:t>
      </w:r>
    </w:p>
    <w:p w14:paraId="3FFFCD52"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Mid &amp; South Essex NHS Foundation Trust:</w:t>
      </w:r>
      <w:r w:rsidRPr="00752ADC">
        <w:rPr>
          <w:rFonts w:asciiTheme="majorHAnsi" w:hAnsiTheme="majorHAnsi" w:cstheme="majorHAnsi"/>
          <w:sz w:val="22"/>
          <w:szCs w:val="22"/>
          <w:lang w:val="en-AU" w:eastAsia="en-US"/>
        </w:rPr>
        <w:t xml:space="preserve"> Aneta Oborska, Abdul Kayani, Selver Kalchko-Veyssal,</w:t>
      </w:r>
    </w:p>
    <w:p w14:paraId="65A05B95" w14:textId="1EDDD9F8"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Rajalakshmi Orath Prabakaran, Bernard Hadebe, Selver KalchkoVeyssal;</w:t>
      </w:r>
    </w:p>
    <w:p w14:paraId="796FA0D6"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Musgrove Park Hospital:</w:t>
      </w:r>
      <w:r w:rsidRPr="00752ADC">
        <w:rPr>
          <w:rFonts w:asciiTheme="majorHAnsi" w:hAnsiTheme="majorHAnsi" w:cstheme="majorHAnsi"/>
          <w:sz w:val="22"/>
          <w:szCs w:val="22"/>
          <w:lang w:val="en-AU" w:eastAsia="en-US"/>
        </w:rPr>
        <w:t xml:space="preserve"> Richard Innes, Patricia Doble, Libby Graham, Charmaine Shovelton, Tessa</w:t>
      </w:r>
    </w:p>
    <w:p w14:paraId="53E654A5" w14:textId="398D3679"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lastRenderedPageBreak/>
        <w:t xml:space="preserve">Dean; </w:t>
      </w:r>
    </w:p>
    <w:p w14:paraId="464A1EE6" w14:textId="77777777" w:rsidR="00752ADC" w:rsidRPr="00752ADC" w:rsidRDefault="00752ADC" w:rsidP="002129B2">
      <w:pPr>
        <w:spacing w:line="360" w:lineRule="auto"/>
        <w:ind w:left="720" w:hanging="720"/>
        <w:contextualSpacing/>
        <w:rPr>
          <w:rFonts w:asciiTheme="majorHAnsi" w:hAnsiTheme="majorHAnsi" w:cstheme="majorHAnsi"/>
          <w:i/>
          <w:iCs/>
          <w:sz w:val="22"/>
          <w:szCs w:val="22"/>
          <w:lang w:val="en-AU" w:eastAsia="en-US"/>
        </w:rPr>
      </w:pPr>
      <w:r w:rsidRPr="00752ADC">
        <w:rPr>
          <w:rFonts w:asciiTheme="majorHAnsi" w:hAnsiTheme="majorHAnsi" w:cstheme="majorHAnsi"/>
          <w:i/>
          <w:iCs/>
          <w:sz w:val="22"/>
          <w:szCs w:val="22"/>
          <w:lang w:val="en-AU" w:eastAsia="en-US"/>
        </w:rPr>
        <w:t xml:space="preserve">Nevill Hall Hospital: </w:t>
      </w:r>
      <w:r w:rsidRPr="00752ADC">
        <w:rPr>
          <w:rFonts w:asciiTheme="majorHAnsi" w:hAnsiTheme="majorHAnsi" w:cstheme="majorHAnsi"/>
          <w:sz w:val="22"/>
          <w:szCs w:val="22"/>
          <w:lang w:val="en-AU" w:eastAsia="en-US"/>
        </w:rPr>
        <w:t>Vincent Hamlyn, Nancy Hawkins, Anna Roynon-Reed, Sean Cutler, Sarah Lewis;</w:t>
      </w:r>
    </w:p>
    <w:p w14:paraId="2490390B" w14:textId="77777777" w:rsidR="00752ADC" w:rsidRPr="00752ADC" w:rsidRDefault="00752ADC" w:rsidP="002129B2">
      <w:pPr>
        <w:spacing w:line="360" w:lineRule="auto"/>
        <w:ind w:left="720" w:hanging="720"/>
        <w:contextualSpacing/>
        <w:rPr>
          <w:rFonts w:asciiTheme="majorHAnsi" w:hAnsiTheme="majorHAnsi" w:cstheme="majorHAnsi"/>
          <w:i/>
          <w:iCs/>
          <w:sz w:val="22"/>
          <w:szCs w:val="22"/>
          <w:lang w:val="en-AU" w:eastAsia="en-US"/>
        </w:rPr>
      </w:pPr>
      <w:r w:rsidRPr="00752ADC">
        <w:rPr>
          <w:rFonts w:asciiTheme="majorHAnsi" w:hAnsiTheme="majorHAnsi" w:cstheme="majorHAnsi"/>
          <w:i/>
          <w:iCs/>
          <w:sz w:val="22"/>
          <w:szCs w:val="22"/>
          <w:lang w:val="en-AU" w:eastAsia="en-US"/>
        </w:rPr>
        <w:t xml:space="preserve">Newham University Hospital: </w:t>
      </w:r>
      <w:r w:rsidRPr="00752ADC">
        <w:rPr>
          <w:rFonts w:asciiTheme="majorHAnsi" w:hAnsiTheme="majorHAnsi" w:cstheme="majorHAnsi"/>
          <w:sz w:val="22"/>
          <w:szCs w:val="22"/>
          <w:lang w:val="en-AU" w:eastAsia="en-US"/>
        </w:rPr>
        <w:t>Juan Martin Lazaro, Tabitha Newman;</w:t>
      </w:r>
    </w:p>
    <w:p w14:paraId="4BE92C85" w14:textId="77777777"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Ninewells Hospital: </w:t>
      </w:r>
      <w:r w:rsidRPr="00752ADC">
        <w:rPr>
          <w:rFonts w:asciiTheme="majorHAnsi" w:hAnsiTheme="majorHAnsi" w:cstheme="majorHAnsi"/>
          <w:sz w:val="22"/>
          <w:szCs w:val="22"/>
          <w:lang w:val="en-AU" w:eastAsia="en-US"/>
        </w:rPr>
        <w:t>Pauline Austin, Susan Chapman, Louise Cabrelli;</w:t>
      </w:r>
    </w:p>
    <w:p w14:paraId="6EAC0FA4"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Norfolk and Norwich University Hospital:</w:t>
      </w:r>
      <w:r w:rsidRPr="00752ADC">
        <w:rPr>
          <w:rFonts w:asciiTheme="majorHAnsi" w:hAnsiTheme="majorHAnsi" w:cstheme="majorHAnsi"/>
          <w:sz w:val="22"/>
          <w:szCs w:val="22"/>
          <w:lang w:val="en-AU" w:eastAsia="en-US"/>
        </w:rPr>
        <w:t xml:space="preserve"> Simon Fletcher, Jurgens Nortje, Deirdre Fottrell-Gould,</w:t>
      </w:r>
    </w:p>
    <w:p w14:paraId="4B5DB5C5" w14:textId="4C0ECBC5"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Georgina Randell, Katie Stammers, Gail Healey, Marta Goncalves Pinto;</w:t>
      </w:r>
    </w:p>
    <w:p w14:paraId="65131D08" w14:textId="77777777" w:rsidR="00752ADC" w:rsidRPr="00752ADC" w:rsidRDefault="00752ADC" w:rsidP="002129B2">
      <w:pPr>
        <w:spacing w:line="360" w:lineRule="auto"/>
        <w:ind w:left="720" w:hanging="720"/>
        <w:contextualSpacing/>
        <w:rPr>
          <w:rFonts w:asciiTheme="majorHAnsi" w:hAnsiTheme="majorHAnsi" w:cstheme="majorHAnsi"/>
          <w:i/>
          <w:sz w:val="22"/>
          <w:szCs w:val="22"/>
          <w:lang w:val="en-AU" w:eastAsia="en-US"/>
        </w:rPr>
      </w:pPr>
      <w:r w:rsidRPr="00752ADC">
        <w:rPr>
          <w:rFonts w:asciiTheme="majorHAnsi" w:hAnsiTheme="majorHAnsi" w:cstheme="majorHAnsi"/>
          <w:i/>
          <w:sz w:val="22"/>
          <w:szCs w:val="22"/>
          <w:lang w:val="en-AU" w:eastAsia="en-US"/>
        </w:rPr>
        <w:t xml:space="preserve">Northampton General Hospital: </w:t>
      </w:r>
      <w:r w:rsidRPr="00752ADC">
        <w:rPr>
          <w:rFonts w:asciiTheme="majorHAnsi" w:hAnsiTheme="majorHAnsi" w:cstheme="majorHAnsi"/>
          <w:sz w:val="22"/>
          <w:szCs w:val="22"/>
          <w:lang w:val="en-AU" w:eastAsia="en-US"/>
        </w:rPr>
        <w:t>Mohsin Zaman, Einas Elmahi, Andrea Jones, Kathryn Hall;</w:t>
      </w:r>
    </w:p>
    <w:p w14:paraId="5D4C3B8E" w14:textId="77777777" w:rsidR="00024485" w:rsidRDefault="00752ADC" w:rsidP="002129B2">
      <w:pPr>
        <w:spacing w:line="360" w:lineRule="auto"/>
        <w:ind w:left="720" w:hanging="720"/>
        <w:contextualSpacing/>
        <w:rPr>
          <w:rFonts w:asciiTheme="majorHAnsi" w:hAnsiTheme="majorHAnsi" w:cstheme="majorHAnsi"/>
          <w:sz w:val="22"/>
          <w:szCs w:val="22"/>
          <w:lang w:val="en-US" w:eastAsia="en-US"/>
        </w:rPr>
      </w:pPr>
      <w:r w:rsidRPr="00752ADC">
        <w:rPr>
          <w:rFonts w:asciiTheme="majorHAnsi" w:hAnsiTheme="majorHAnsi" w:cstheme="majorHAnsi"/>
          <w:i/>
          <w:iCs/>
          <w:sz w:val="22"/>
          <w:szCs w:val="22"/>
          <w:lang w:val="en-US" w:eastAsia="en-US"/>
        </w:rPr>
        <w:t xml:space="preserve">Northern General Hospital, Sheffield: </w:t>
      </w:r>
      <w:r w:rsidRPr="00752ADC">
        <w:rPr>
          <w:rFonts w:asciiTheme="majorHAnsi" w:hAnsiTheme="majorHAnsi" w:cstheme="majorHAnsi"/>
          <w:sz w:val="22"/>
          <w:szCs w:val="22"/>
          <w:lang w:val="en-US" w:eastAsia="en-US"/>
        </w:rPr>
        <w:t>Gary H Mills, Ajay Raithatha, Kris Bauchmuller, Kim Ryalls, Kate</w:t>
      </w:r>
    </w:p>
    <w:p w14:paraId="294DAD46" w14:textId="28D3B825"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US" w:eastAsia="en-US"/>
        </w:rPr>
        <w:t xml:space="preserve">Harrington, Helen Bowler, </w:t>
      </w:r>
      <w:r w:rsidRPr="00752ADC">
        <w:rPr>
          <w:rFonts w:asciiTheme="majorHAnsi" w:hAnsiTheme="majorHAnsi" w:cstheme="majorHAnsi"/>
          <w:sz w:val="22"/>
          <w:szCs w:val="22"/>
          <w:lang w:val="en-AU" w:eastAsia="en-US"/>
        </w:rPr>
        <w:t>Jas Sall, Richard Bourne;</w:t>
      </w:r>
    </w:p>
    <w:p w14:paraId="4F077958"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Northwick Park Hospital NHS Trust: </w:t>
      </w:r>
      <w:r w:rsidRPr="00752ADC">
        <w:rPr>
          <w:rFonts w:asciiTheme="majorHAnsi" w:hAnsiTheme="majorHAnsi" w:cstheme="majorHAnsi"/>
          <w:sz w:val="22"/>
          <w:szCs w:val="22"/>
          <w:lang w:val="en-AU" w:eastAsia="en-US"/>
        </w:rPr>
        <w:t>Jamie Gross, Natalie Massey, Olumide Adebambo, Matilda Long,</w:t>
      </w:r>
    </w:p>
    <w:p w14:paraId="23FD2974" w14:textId="18534EEC" w:rsidR="00752ADC" w:rsidRPr="00752ADC" w:rsidRDefault="00752ADC" w:rsidP="002129B2">
      <w:pPr>
        <w:spacing w:line="360" w:lineRule="auto"/>
        <w:ind w:left="720" w:hanging="720"/>
        <w:contextualSpacing/>
        <w:rPr>
          <w:rFonts w:asciiTheme="majorHAnsi" w:hAnsiTheme="majorHAnsi" w:cstheme="majorHAnsi"/>
          <w:i/>
          <w:iCs/>
          <w:sz w:val="22"/>
          <w:szCs w:val="22"/>
          <w:lang w:val="en-AU" w:eastAsia="en-US"/>
        </w:rPr>
      </w:pPr>
      <w:r w:rsidRPr="00752ADC">
        <w:rPr>
          <w:rFonts w:asciiTheme="majorHAnsi" w:hAnsiTheme="majorHAnsi" w:cstheme="majorHAnsi"/>
          <w:sz w:val="22"/>
          <w:szCs w:val="22"/>
          <w:lang w:val="en-AU" w:eastAsia="en-US"/>
        </w:rPr>
        <w:t>Kiran Tony;</w:t>
      </w:r>
    </w:p>
    <w:p w14:paraId="619A40CC"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North Manchester General Hospital:</w:t>
      </w:r>
      <w:r w:rsidRPr="00752ADC">
        <w:rPr>
          <w:rFonts w:asciiTheme="majorHAnsi" w:hAnsiTheme="majorHAnsi" w:cstheme="majorHAnsi"/>
          <w:sz w:val="22"/>
          <w:szCs w:val="22"/>
          <w:lang w:val="en-AU" w:eastAsia="en-US"/>
        </w:rPr>
        <w:t xml:space="preserve"> Zoe Borrill, Tracy Duncan, Andrew Ustianowski, Alison Uriel, Ayaa</w:t>
      </w:r>
    </w:p>
    <w:p w14:paraId="6B5FF22C"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Eltayeb, Jordan Alfonso, Samuel Hey, Joanne Shaw, Claire Fox, Gabriella Lindergard, Bethan Charles,</w:t>
      </w:r>
    </w:p>
    <w:p w14:paraId="422C0482" w14:textId="32A7D33F"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Bethany Blackledge, Karen Connolly, Jade Harris;</w:t>
      </w:r>
    </w:p>
    <w:p w14:paraId="6BFE2572"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North Middlesex University Hospital: </w:t>
      </w:r>
      <w:r w:rsidRPr="00752ADC">
        <w:rPr>
          <w:rFonts w:asciiTheme="majorHAnsi" w:hAnsiTheme="majorHAnsi" w:cstheme="majorHAnsi"/>
          <w:sz w:val="22"/>
          <w:szCs w:val="22"/>
          <w:lang w:val="en-AU" w:eastAsia="en-US"/>
        </w:rPr>
        <w:t>Jeronimo Moreno Cuesta, Kugan Xavier, Dharam Purohit, Munzir</w:t>
      </w:r>
    </w:p>
    <w:p w14:paraId="4CBA2435"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Elhassan, Anne Haldeos, Rachel Vincent, Marwa Abdelrazik, Samuel Jenkins, Arunkumar Ganesan,</w:t>
      </w:r>
    </w:p>
    <w:p w14:paraId="2DB5C000" w14:textId="7384E7B6"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Rohit Kumar, David Carter, Dhanalakshmi Bakthavatsalam, Alasdair Frater, Malik Tahir Saleem;</w:t>
      </w:r>
    </w:p>
    <w:p w14:paraId="09C36EB9"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Oxford University Hospitals:</w:t>
      </w:r>
      <w:r w:rsidRPr="00752ADC">
        <w:rPr>
          <w:rFonts w:asciiTheme="majorHAnsi" w:hAnsiTheme="majorHAnsi" w:cstheme="majorHAnsi"/>
          <w:sz w:val="22"/>
          <w:szCs w:val="22"/>
          <w:lang w:val="en-AU" w:eastAsia="en-US"/>
        </w:rPr>
        <w:t xml:space="preserve"> Matthew Rowland, Paula Hutton, Archana Bashyal, Neil Davidson, Clare</w:t>
      </w:r>
    </w:p>
    <w:p w14:paraId="3093927F" w14:textId="0E7A6D65"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Hird;</w:t>
      </w:r>
    </w:p>
    <w:p w14:paraId="467F1E39"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Pilgrim Hospital Boston:</w:t>
      </w:r>
      <w:r w:rsidRPr="00752ADC">
        <w:rPr>
          <w:rFonts w:asciiTheme="majorHAnsi" w:hAnsiTheme="majorHAnsi" w:cstheme="majorHAnsi"/>
          <w:sz w:val="22"/>
          <w:szCs w:val="22"/>
          <w:lang w:val="en-AU" w:eastAsia="en-US"/>
        </w:rPr>
        <w:t xml:space="preserve"> Manish Chhablani, Gunjan Phalod, Amy Kirkby, Simon Archer, Kimberley</w:t>
      </w:r>
    </w:p>
    <w:p w14:paraId="2867EB74" w14:textId="7BC8194A"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Netherton;</w:t>
      </w:r>
    </w:p>
    <w:p w14:paraId="35C08866" w14:textId="77777777"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Princess Royal Hospital: </w:t>
      </w:r>
      <w:r w:rsidRPr="00752ADC">
        <w:rPr>
          <w:rFonts w:asciiTheme="majorHAnsi" w:hAnsiTheme="majorHAnsi" w:cstheme="majorHAnsi"/>
          <w:sz w:val="22"/>
          <w:szCs w:val="22"/>
          <w:lang w:val="en-AU" w:eastAsia="en-US"/>
        </w:rPr>
        <w:t>Denise Skinner, Jane Gaylard, Julie Newman;</w:t>
      </w:r>
    </w:p>
    <w:p w14:paraId="363D80EE" w14:textId="77777777"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Princess of Wales Hospital:</w:t>
      </w:r>
      <w:r w:rsidRPr="00752ADC">
        <w:rPr>
          <w:rFonts w:asciiTheme="majorHAnsi" w:hAnsiTheme="majorHAnsi" w:cstheme="majorHAnsi"/>
          <w:sz w:val="22"/>
          <w:szCs w:val="22"/>
          <w:lang w:val="en-AU" w:eastAsia="en-US"/>
        </w:rPr>
        <w:t xml:space="preserve"> Sonia Sathe, Lisa Roche, Ellie Davies;</w:t>
      </w:r>
    </w:p>
    <w:p w14:paraId="7087F610" w14:textId="77777777"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Poole Hospital:</w:t>
      </w:r>
      <w:r w:rsidRPr="00752ADC">
        <w:rPr>
          <w:rFonts w:asciiTheme="majorHAnsi" w:hAnsiTheme="majorHAnsi" w:cstheme="majorHAnsi"/>
          <w:sz w:val="22"/>
          <w:szCs w:val="22"/>
          <w:lang w:val="en-AU" w:eastAsia="en-US"/>
        </w:rPr>
        <w:t xml:space="preserve"> Henrik Reschreiter, Julie Camsooksai, Sarah Patch, Sarah Jenkins, Charlotte Humphrey;</w:t>
      </w:r>
    </w:p>
    <w:p w14:paraId="69A3264C"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Queen Alexandra Hospital Portsmouth: </w:t>
      </w:r>
      <w:r w:rsidRPr="00752ADC">
        <w:rPr>
          <w:rFonts w:asciiTheme="majorHAnsi" w:hAnsiTheme="majorHAnsi" w:cstheme="majorHAnsi"/>
          <w:sz w:val="22"/>
          <w:szCs w:val="22"/>
          <w:lang w:val="en-AU" w:eastAsia="en-US"/>
        </w:rPr>
        <w:t>David Pogson, Steve Rose, Zoe Daly, Lutece Brimfield, Angie</w:t>
      </w:r>
    </w:p>
    <w:p w14:paraId="2AF7A838" w14:textId="34C7A21E"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Nown;</w:t>
      </w:r>
    </w:p>
    <w:p w14:paraId="704BDFA1"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Queen Elizabeth Hospital, Birmingham: </w:t>
      </w:r>
      <w:r w:rsidRPr="00752ADC">
        <w:rPr>
          <w:rFonts w:asciiTheme="majorHAnsi" w:hAnsiTheme="majorHAnsi" w:cstheme="majorHAnsi"/>
          <w:sz w:val="22"/>
          <w:szCs w:val="22"/>
          <w:lang w:val="en-AU" w:eastAsia="en-US"/>
        </w:rPr>
        <w:t>Dhruv Parekh, Colin Bergin, Michelle Bates, Christopher</w:t>
      </w:r>
    </w:p>
    <w:p w14:paraId="3EBBD2EF"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McGhee, Daniella Lynch, Khushpreet Bhandal, Kyriaki Tsakiridou, Amy Bamford, Lauren Cooper, Tony</w:t>
      </w:r>
    </w:p>
    <w:p w14:paraId="79FD2F1A" w14:textId="09DB5796"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Whitehouse, Tonny Veenith, Elliot Forster, Martin O'Connell;</w:t>
      </w:r>
    </w:p>
    <w:p w14:paraId="3FE7936A"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Queen Elizabeth University Hospital, Glasgow: </w:t>
      </w:r>
      <w:r w:rsidRPr="00752ADC">
        <w:rPr>
          <w:rFonts w:asciiTheme="majorHAnsi" w:hAnsiTheme="majorHAnsi" w:cstheme="majorHAnsi"/>
          <w:sz w:val="22"/>
          <w:szCs w:val="22"/>
          <w:lang w:val="en-AU" w:eastAsia="en-US"/>
        </w:rPr>
        <w:t>Malcolm A.B. Sim, Sophie Kennedy Hay, Steven</w:t>
      </w:r>
    </w:p>
    <w:p w14:paraId="0104F295" w14:textId="4E41730D"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Henderson, Maria Nygren, Eliza Valentine;</w:t>
      </w:r>
    </w:p>
    <w:p w14:paraId="6230CB81"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Queen’s Hospital, Burton:</w:t>
      </w:r>
      <w:r w:rsidRPr="00752ADC">
        <w:rPr>
          <w:rFonts w:asciiTheme="majorHAnsi" w:hAnsiTheme="majorHAnsi" w:cstheme="majorHAnsi"/>
          <w:sz w:val="22"/>
          <w:szCs w:val="22"/>
          <w:lang w:val="en-AU" w:eastAsia="en-US"/>
        </w:rPr>
        <w:t xml:space="preserve"> Amro Katary, Gillian Bell, Louise Wilcox, Michail Mataliotakis, Paul Smith, </w:t>
      </w:r>
    </w:p>
    <w:p w14:paraId="35DAF49A" w14:textId="25810886"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Murtaza Asif Ali, Agah Isguzar;</w:t>
      </w:r>
    </w:p>
    <w:p w14:paraId="0F864665"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Queen’s Hospital, Romford:</w:t>
      </w:r>
      <w:r w:rsidRPr="00752ADC">
        <w:rPr>
          <w:rFonts w:asciiTheme="majorHAnsi" w:hAnsiTheme="majorHAnsi" w:cstheme="majorHAnsi"/>
          <w:sz w:val="22"/>
          <w:szCs w:val="22"/>
          <w:lang w:val="en-AU" w:eastAsia="en-US"/>
        </w:rPr>
        <w:t xml:space="preserve"> Mandeep-Kaur Phull, Abbas Zaidi, Tatiana Pogreban, Lace Paulyn</w:t>
      </w:r>
    </w:p>
    <w:p w14:paraId="2BE693CF" w14:textId="50595E5F"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lastRenderedPageBreak/>
        <w:t>Rosaroso;</w:t>
      </w:r>
    </w:p>
    <w:p w14:paraId="3312B488"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sz w:val="22"/>
          <w:szCs w:val="22"/>
          <w:lang w:val="en-AU" w:eastAsia="en-US"/>
        </w:rPr>
        <w:t xml:space="preserve">Queens Medical Centre and Nottingham City Hospital: </w:t>
      </w:r>
      <w:r w:rsidRPr="00752ADC">
        <w:rPr>
          <w:rFonts w:asciiTheme="majorHAnsi" w:hAnsiTheme="majorHAnsi" w:cstheme="majorHAnsi"/>
          <w:sz w:val="22"/>
          <w:szCs w:val="22"/>
          <w:lang w:val="en-AU" w:eastAsia="en-US"/>
        </w:rPr>
        <w:t>Daniel Harvey, Benjamin Lowe, Megan</w:t>
      </w:r>
    </w:p>
    <w:p w14:paraId="47C145AA" w14:textId="22C9CEE4"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Meredith, Lucy Ryan, DREEAM Research Team;</w:t>
      </w:r>
    </w:p>
    <w:p w14:paraId="4096A1BB"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sz w:val="22"/>
          <w:szCs w:val="22"/>
          <w:lang w:val="en-AU" w:eastAsia="en-US"/>
        </w:rPr>
        <w:t>The Rotherham NHS Foundation Trust:</w:t>
      </w:r>
      <w:r w:rsidRPr="00752ADC">
        <w:rPr>
          <w:rFonts w:asciiTheme="majorHAnsi" w:hAnsiTheme="majorHAnsi" w:cstheme="majorHAnsi"/>
          <w:sz w:val="22"/>
          <w:szCs w:val="22"/>
          <w:lang w:val="en-AU" w:eastAsia="en-US"/>
        </w:rPr>
        <w:t xml:space="preserve"> Anil Hormis, Rachel Walker, Dawn Collier, Sarah Kimpton,</w:t>
      </w:r>
    </w:p>
    <w:p w14:paraId="5C9A5FF3" w14:textId="15A6F1CA"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Susan Oakley;</w:t>
      </w:r>
    </w:p>
    <w:p w14:paraId="20EA4467" w14:textId="77777777" w:rsidR="00024485"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Royal Alexandra Hospital:</w:t>
      </w:r>
      <w:r w:rsidRPr="00752ADC">
        <w:rPr>
          <w:rFonts w:asciiTheme="majorHAnsi" w:hAnsiTheme="majorHAnsi" w:cstheme="majorHAnsi"/>
          <w:sz w:val="22"/>
          <w:szCs w:val="22"/>
          <w:lang w:val="en-AU" w:eastAsia="en-US"/>
        </w:rPr>
        <w:t xml:space="preserve"> Kevin Rooney, Natalie Rodden, Nicola Thomson, Deborah McGlynn, Lynn</w:t>
      </w:r>
    </w:p>
    <w:p w14:paraId="295FDB46" w14:textId="164CF1F0"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Abel, Lisa Gemmell, Radha Sundaram, James Hornsby;</w:t>
      </w:r>
    </w:p>
    <w:p w14:paraId="6A823A32"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Royal Berkshire Hospital: </w:t>
      </w:r>
      <w:r w:rsidRPr="00752ADC">
        <w:rPr>
          <w:rFonts w:asciiTheme="majorHAnsi" w:hAnsiTheme="majorHAnsi" w:cstheme="majorHAnsi"/>
          <w:sz w:val="22"/>
          <w:szCs w:val="22"/>
          <w:lang w:val="en-AU" w:eastAsia="en-US"/>
        </w:rPr>
        <w:t>Andrew Walden, Liza Keating, Matthew Frise, Sabi Gurung Rai, Shauna</w:t>
      </w:r>
    </w:p>
    <w:p w14:paraId="5D6BD8C8" w14:textId="00AC3BE4" w:rsidR="00752ADC" w:rsidRPr="00752ADC" w:rsidRDefault="00752ADC" w:rsidP="002129B2">
      <w:pPr>
        <w:spacing w:line="360" w:lineRule="auto"/>
        <w:ind w:left="720" w:hanging="720"/>
        <w:contextualSpacing/>
        <w:rPr>
          <w:rFonts w:asciiTheme="majorHAnsi" w:hAnsiTheme="majorHAnsi" w:cstheme="majorHAnsi"/>
          <w:i/>
          <w:iCs/>
          <w:sz w:val="22"/>
          <w:szCs w:val="22"/>
          <w:lang w:val="en-AU" w:eastAsia="en-US"/>
        </w:rPr>
      </w:pPr>
      <w:r w:rsidRPr="00752ADC">
        <w:rPr>
          <w:rFonts w:asciiTheme="majorHAnsi" w:hAnsiTheme="majorHAnsi" w:cstheme="majorHAnsi"/>
          <w:sz w:val="22"/>
          <w:szCs w:val="22"/>
          <w:lang w:val="en-AU" w:eastAsia="en-US"/>
        </w:rPr>
        <w:t>Bartley;</w:t>
      </w:r>
    </w:p>
    <w:p w14:paraId="4F1B96A1"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sz w:val="22"/>
          <w:szCs w:val="22"/>
          <w:lang w:val="en-AU" w:eastAsia="en-US"/>
        </w:rPr>
        <w:t xml:space="preserve">Royal Bournemouth and Christchurch Hospitals: </w:t>
      </w:r>
      <w:r w:rsidRPr="00752ADC">
        <w:rPr>
          <w:rFonts w:asciiTheme="majorHAnsi" w:hAnsiTheme="majorHAnsi" w:cstheme="majorHAnsi"/>
          <w:sz w:val="22"/>
          <w:szCs w:val="22"/>
          <w:lang w:val="en-AU" w:eastAsia="en-US"/>
        </w:rPr>
        <w:t>Martin Schuster-Bruce, Sally Pitts, Rebecca Miln,</w:t>
      </w:r>
    </w:p>
    <w:p w14:paraId="0D684E05" w14:textId="04446677"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Laura Purandare, Luke Vamplew;</w:t>
      </w:r>
    </w:p>
    <w:p w14:paraId="1F5744EF"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sz w:val="22"/>
          <w:szCs w:val="22"/>
          <w:lang w:val="en-AU" w:eastAsia="en-US"/>
        </w:rPr>
        <w:t>Royal Brompton Hospital:</w:t>
      </w:r>
      <w:r w:rsidRPr="00752ADC">
        <w:rPr>
          <w:rFonts w:asciiTheme="majorHAnsi" w:hAnsiTheme="majorHAnsi" w:cstheme="majorHAnsi"/>
          <w:sz w:val="22"/>
          <w:szCs w:val="22"/>
          <w:lang w:val="en-AU" w:eastAsia="en-US"/>
        </w:rPr>
        <w:t xml:space="preserve"> Brijesh Patel, Debra Dempster, Mahitha Gummadi, Natalie Dormand, Shu</w:t>
      </w:r>
    </w:p>
    <w:p w14:paraId="7585D5BA" w14:textId="5C861818"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Fang Wang;</w:t>
      </w:r>
    </w:p>
    <w:p w14:paraId="5CEC0FD7"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Royal Cornwall NHS Trust: </w:t>
      </w:r>
      <w:r w:rsidRPr="00752ADC">
        <w:rPr>
          <w:rFonts w:asciiTheme="majorHAnsi" w:hAnsiTheme="majorHAnsi" w:cstheme="majorHAnsi"/>
          <w:sz w:val="22"/>
          <w:szCs w:val="22"/>
          <w:lang w:val="en-AU" w:eastAsia="en-US"/>
        </w:rPr>
        <w:t>Michael Spivey, Sarah Bean, Karen Burt, Lorraine Moore, Fiona Hammonds,</w:t>
      </w:r>
    </w:p>
    <w:p w14:paraId="2A653E74" w14:textId="783323A9"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Carol Richards;</w:t>
      </w:r>
    </w:p>
    <w:p w14:paraId="0919A19D" w14:textId="77777777" w:rsidR="00752ADC" w:rsidRPr="00752ADC" w:rsidRDefault="00752ADC" w:rsidP="002129B2">
      <w:pPr>
        <w:spacing w:line="360" w:lineRule="auto"/>
        <w:ind w:left="720" w:hanging="720"/>
        <w:contextualSpacing/>
        <w:rPr>
          <w:rFonts w:asciiTheme="majorHAnsi" w:hAnsiTheme="majorHAnsi" w:cstheme="majorHAnsi"/>
          <w:i/>
          <w:iCs/>
          <w:sz w:val="22"/>
          <w:szCs w:val="22"/>
          <w:lang w:val="en-AU" w:eastAsia="en-US"/>
        </w:rPr>
      </w:pPr>
      <w:r w:rsidRPr="00752ADC">
        <w:rPr>
          <w:rFonts w:asciiTheme="majorHAnsi" w:hAnsiTheme="majorHAnsi" w:cstheme="majorHAnsi"/>
          <w:i/>
          <w:iCs/>
          <w:sz w:val="22"/>
          <w:szCs w:val="22"/>
          <w:lang w:val="en-AU" w:eastAsia="en-US"/>
        </w:rPr>
        <w:t xml:space="preserve">Royal Devon and Exeter NHS Foundation Trust: </w:t>
      </w:r>
      <w:r w:rsidRPr="00752ADC">
        <w:rPr>
          <w:rFonts w:asciiTheme="majorHAnsi" w:hAnsiTheme="majorHAnsi" w:cstheme="majorHAnsi"/>
          <w:sz w:val="22"/>
          <w:szCs w:val="22"/>
          <w:lang w:val="en-AU" w:eastAsia="en-US"/>
        </w:rPr>
        <w:t>Christopher Day, Letizia Zitter, Sarah Benyon;</w:t>
      </w:r>
    </w:p>
    <w:p w14:paraId="4C5050AC"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Royal Glamorgan Hospital:</w:t>
      </w:r>
      <w:r w:rsidRPr="00752ADC">
        <w:rPr>
          <w:rFonts w:asciiTheme="majorHAnsi" w:hAnsiTheme="majorHAnsi" w:cstheme="majorHAnsi"/>
          <w:sz w:val="22"/>
          <w:szCs w:val="22"/>
          <w:lang w:val="en-AU" w:eastAsia="en-US"/>
        </w:rPr>
        <w:t xml:space="preserve"> Jayaprakash Singh, Ceri Lynch, Lisa Roche, Justyna Mikusek, Bethan</w:t>
      </w:r>
    </w:p>
    <w:p w14:paraId="3759C3BA" w14:textId="1B66A839"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Deacon, Keri Turner;</w:t>
      </w:r>
    </w:p>
    <w:p w14:paraId="650C2EE7"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Royal Gwent Hospital</w:t>
      </w:r>
      <w:r w:rsidRPr="00752ADC">
        <w:rPr>
          <w:rFonts w:asciiTheme="majorHAnsi" w:hAnsiTheme="majorHAnsi" w:cstheme="majorHAnsi"/>
          <w:sz w:val="22"/>
          <w:szCs w:val="22"/>
          <w:lang w:val="en-AU" w:eastAsia="en-US"/>
        </w:rPr>
        <w:t>:  Evelyn Baker, John Hickey, Shreekant Champanerkar, Lindianne Aitken,</w:t>
      </w:r>
    </w:p>
    <w:p w14:paraId="09B6792F" w14:textId="1B3F4379" w:rsidR="00752ADC" w:rsidRPr="00752ADC" w:rsidRDefault="00752ADC" w:rsidP="002129B2">
      <w:pPr>
        <w:spacing w:line="360" w:lineRule="auto"/>
        <w:ind w:left="720" w:hanging="720"/>
        <w:contextualSpacing/>
        <w:rPr>
          <w:rFonts w:asciiTheme="majorHAnsi" w:hAnsiTheme="majorHAnsi" w:cstheme="majorHAnsi"/>
          <w:i/>
          <w:iCs/>
          <w:sz w:val="22"/>
          <w:szCs w:val="22"/>
          <w:lang w:val="en-AU" w:eastAsia="en-US"/>
        </w:rPr>
      </w:pPr>
      <w:r w:rsidRPr="00752ADC">
        <w:rPr>
          <w:rFonts w:asciiTheme="majorHAnsi" w:hAnsiTheme="majorHAnsi" w:cstheme="majorHAnsi"/>
          <w:sz w:val="22"/>
          <w:szCs w:val="22"/>
          <w:lang w:val="en-AU" w:eastAsia="en-US"/>
        </w:rPr>
        <w:t>Lorraine LewisProsser, Christie James;</w:t>
      </w:r>
    </w:p>
    <w:p w14:paraId="3853C5E8" w14:textId="77777777"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Royal Hallamshire Hospital, Sheffield: </w:t>
      </w:r>
      <w:r w:rsidRPr="00752ADC">
        <w:rPr>
          <w:rFonts w:asciiTheme="majorHAnsi" w:hAnsiTheme="majorHAnsi" w:cstheme="majorHAnsi"/>
          <w:sz w:val="22"/>
          <w:szCs w:val="22"/>
          <w:lang w:val="en-AU" w:eastAsia="en-US"/>
        </w:rPr>
        <w:t>Gary H Mills, Norfaizan Ahmad, Matt Wiles, Jayne Willson;</w:t>
      </w:r>
    </w:p>
    <w:p w14:paraId="12742876"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Royal Hampshire Hospitals: </w:t>
      </w:r>
      <w:r w:rsidRPr="00752ADC">
        <w:rPr>
          <w:rFonts w:asciiTheme="majorHAnsi" w:hAnsiTheme="majorHAnsi" w:cstheme="majorHAnsi"/>
          <w:sz w:val="22"/>
          <w:szCs w:val="22"/>
          <w:lang w:val="en-AU" w:eastAsia="en-US"/>
        </w:rPr>
        <w:t>Irina Grecu, Jane Martin, Caroline Wrey Brown, Ana-Marie Arias, Emily</w:t>
      </w:r>
    </w:p>
    <w:p w14:paraId="00DC3A37" w14:textId="3216096B"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Bevan, Samantha Westlake;</w:t>
      </w:r>
    </w:p>
    <w:p w14:paraId="5575542E"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Royal Infirmary of Edinburgh: </w:t>
      </w:r>
      <w:r w:rsidRPr="00752ADC">
        <w:rPr>
          <w:rFonts w:asciiTheme="majorHAnsi" w:hAnsiTheme="majorHAnsi" w:cstheme="majorHAnsi"/>
          <w:sz w:val="22"/>
          <w:szCs w:val="22"/>
          <w:lang w:val="en-AU" w:eastAsia="en-US"/>
        </w:rPr>
        <w:t>Thomas H Craven, David Hope, Jo Singleton, Sarah Clark, Corrienne</w:t>
      </w:r>
    </w:p>
    <w:p w14:paraId="1BB1F6CC" w14:textId="11E33BAF"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McCulloch, Simon Biddie;</w:t>
      </w:r>
    </w:p>
    <w:p w14:paraId="51CC4A90"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Royal Liverpool University Hospital:</w:t>
      </w:r>
      <w:r w:rsidRPr="00752ADC">
        <w:rPr>
          <w:rFonts w:asciiTheme="majorHAnsi" w:hAnsiTheme="majorHAnsi" w:cstheme="majorHAnsi"/>
          <w:sz w:val="22"/>
          <w:szCs w:val="22"/>
          <w:lang w:val="en-AU" w:eastAsia="en-US"/>
        </w:rPr>
        <w:t xml:space="preserve"> Ingeborg D Welters, David Oliver Hamilton, Karen Williams,</w:t>
      </w:r>
    </w:p>
    <w:p w14:paraId="1251C54D"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Victoria Waugh, David Shaw, Suleman Mulla, Alicia Waite, Jaime Fernandez Roman, Maria Lopez</w:t>
      </w:r>
    </w:p>
    <w:p w14:paraId="1555A709" w14:textId="568047DD"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Martinez, Brian Johnston;</w:t>
      </w:r>
    </w:p>
    <w:p w14:paraId="453C211B"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Royal London Hospital: </w:t>
      </w:r>
      <w:r w:rsidRPr="00752ADC">
        <w:rPr>
          <w:rFonts w:asciiTheme="majorHAnsi" w:hAnsiTheme="majorHAnsi" w:cstheme="majorHAnsi"/>
          <w:sz w:val="22"/>
          <w:szCs w:val="22"/>
          <w:lang w:val="en-AU" w:eastAsia="en-US"/>
        </w:rPr>
        <w:t>Zudin Puthucheary, Timothy Martin, Filipa Santos, Ruzena Uddin, Maria</w:t>
      </w:r>
    </w:p>
    <w:p w14:paraId="11F5C8B8" w14:textId="47EF5FD4"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Fernandez, Fatima Seidu, Alastair Somerville, Mari-Liis Pakats, Salma Begum, Tasnin Shahid;</w:t>
      </w:r>
      <w:r w:rsidRPr="00752ADC">
        <w:rPr>
          <w:rFonts w:asciiTheme="majorHAnsi" w:hAnsiTheme="majorHAnsi" w:cstheme="majorHAnsi"/>
          <w:i/>
          <w:iCs/>
          <w:sz w:val="22"/>
          <w:szCs w:val="22"/>
          <w:lang w:val="en-AU" w:eastAsia="en-US"/>
        </w:rPr>
        <w:t xml:space="preserve"> </w:t>
      </w:r>
    </w:p>
    <w:p w14:paraId="3552DADA"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The Royal Free Hospital: </w:t>
      </w:r>
      <w:r w:rsidRPr="00752ADC">
        <w:rPr>
          <w:rFonts w:asciiTheme="majorHAnsi" w:hAnsiTheme="majorHAnsi" w:cstheme="majorHAnsi"/>
          <w:sz w:val="22"/>
          <w:szCs w:val="22"/>
          <w:lang w:val="en-AU" w:eastAsia="en-US"/>
        </w:rPr>
        <w:t>Sanjay Bhagani, Mark De Neef, Sara Mingo Garcia, Amitaa Maharajh, Aarti</w:t>
      </w:r>
    </w:p>
    <w:p w14:paraId="1D21FEC5" w14:textId="51AEADEA"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Nandani, Jade Dobson, Gloria Fernando, Christine Eastgate, Keith Gomez, Zakee Abdi;</w:t>
      </w:r>
    </w:p>
    <w:p w14:paraId="162BC517"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The Royal Marsden NHS Foundation Trust:</w:t>
      </w:r>
      <w:r w:rsidRPr="00752ADC">
        <w:rPr>
          <w:rFonts w:asciiTheme="majorHAnsi" w:hAnsiTheme="majorHAnsi" w:cstheme="majorHAnsi"/>
          <w:sz w:val="22"/>
          <w:szCs w:val="22"/>
          <w:lang w:val="en-AU" w:eastAsia="en-US"/>
        </w:rPr>
        <w:t xml:space="preserve"> Kate Colette Tatham, Shaman Jhanji, Ethel Black, Arnold</w:t>
      </w:r>
    </w:p>
    <w:p w14:paraId="3C378513" w14:textId="68BF83AF" w:rsidR="00752ADC" w:rsidRPr="00752ADC" w:rsidRDefault="00752ADC" w:rsidP="002129B2">
      <w:pPr>
        <w:spacing w:line="360" w:lineRule="auto"/>
        <w:ind w:left="720" w:hanging="720"/>
        <w:contextualSpacing/>
        <w:rPr>
          <w:rFonts w:asciiTheme="majorHAnsi" w:hAnsiTheme="majorHAnsi" w:cstheme="majorHAnsi"/>
          <w:i/>
          <w:iCs/>
          <w:sz w:val="22"/>
          <w:szCs w:val="22"/>
          <w:lang w:val="en-AU" w:eastAsia="en-US"/>
        </w:rPr>
      </w:pPr>
      <w:r w:rsidRPr="00752ADC">
        <w:rPr>
          <w:rFonts w:asciiTheme="majorHAnsi" w:hAnsiTheme="majorHAnsi" w:cstheme="majorHAnsi"/>
          <w:sz w:val="22"/>
          <w:szCs w:val="22"/>
          <w:lang w:val="en-AU" w:eastAsia="en-US"/>
        </w:rPr>
        <w:t>Dela Rosa, Ryan Howle, Ravishankar Rao Baikady;</w:t>
      </w:r>
      <w:r w:rsidRPr="00752ADC">
        <w:rPr>
          <w:rFonts w:asciiTheme="majorHAnsi" w:hAnsiTheme="majorHAnsi" w:cstheme="majorHAnsi"/>
          <w:i/>
          <w:iCs/>
          <w:sz w:val="22"/>
          <w:szCs w:val="22"/>
          <w:lang w:val="en-AU" w:eastAsia="en-US"/>
        </w:rPr>
        <w:t xml:space="preserve"> </w:t>
      </w:r>
    </w:p>
    <w:p w14:paraId="65A7E7DA"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lastRenderedPageBreak/>
        <w:t>The Royal Oldham Hospital:</w:t>
      </w:r>
      <w:r w:rsidRPr="00752ADC">
        <w:rPr>
          <w:rFonts w:asciiTheme="majorHAnsi" w:hAnsiTheme="majorHAnsi" w:cstheme="majorHAnsi"/>
          <w:sz w:val="22"/>
          <w:szCs w:val="22"/>
          <w:lang w:val="en-AU" w:eastAsia="en-US"/>
        </w:rPr>
        <w:t xml:space="preserve"> Redmond P Tully, Andrew Drummond, Joy Dearden, Jennifer E Philbin,</w:t>
      </w:r>
    </w:p>
    <w:p w14:paraId="38F90042" w14:textId="0BEEDD2E"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Sheila Munt;</w:t>
      </w:r>
    </w:p>
    <w:p w14:paraId="7A7A03BB"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The Royal Wolverhampton NHS Trust:</w:t>
      </w:r>
      <w:r w:rsidRPr="00752ADC">
        <w:rPr>
          <w:rFonts w:asciiTheme="majorHAnsi" w:hAnsiTheme="majorHAnsi" w:cstheme="majorHAnsi"/>
          <w:sz w:val="22"/>
          <w:szCs w:val="22"/>
          <w:lang w:val="en-AU" w:eastAsia="en-US"/>
        </w:rPr>
        <w:t xml:space="preserve"> Shameer Gopal, Jagtar- Singh Pooni, Saibal Ganguly, Andrew</w:t>
      </w:r>
    </w:p>
    <w:p w14:paraId="438BB7BF" w14:textId="612F9BD4" w:rsidR="00752ADC" w:rsidRPr="00752ADC" w:rsidRDefault="00752ADC" w:rsidP="002129B2">
      <w:pPr>
        <w:spacing w:line="360" w:lineRule="auto"/>
        <w:ind w:left="720" w:hanging="720"/>
        <w:contextualSpacing/>
        <w:rPr>
          <w:rFonts w:asciiTheme="majorHAnsi" w:hAnsiTheme="majorHAnsi" w:cstheme="majorHAnsi"/>
          <w:i/>
          <w:iCs/>
          <w:sz w:val="22"/>
          <w:szCs w:val="22"/>
          <w:lang w:val="en-AU" w:eastAsia="en-US"/>
        </w:rPr>
      </w:pPr>
      <w:r w:rsidRPr="00752ADC">
        <w:rPr>
          <w:rFonts w:asciiTheme="majorHAnsi" w:hAnsiTheme="majorHAnsi" w:cstheme="majorHAnsi"/>
          <w:sz w:val="22"/>
          <w:szCs w:val="22"/>
          <w:lang w:val="en-AU" w:eastAsia="en-US"/>
        </w:rPr>
        <w:t>Smallwood, Stella Metherell;</w:t>
      </w:r>
    </w:p>
    <w:p w14:paraId="0EF433D4"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sz w:val="22"/>
          <w:szCs w:val="22"/>
          <w:lang w:val="en-AU" w:eastAsia="en-US"/>
        </w:rPr>
        <w:t xml:space="preserve">Royal Papworth Hospital: </w:t>
      </w:r>
      <w:r w:rsidRPr="00752ADC">
        <w:rPr>
          <w:rFonts w:asciiTheme="majorHAnsi" w:hAnsiTheme="majorHAnsi" w:cstheme="majorHAnsi"/>
          <w:sz w:val="22"/>
          <w:szCs w:val="22"/>
          <w:lang w:val="en-AU" w:eastAsia="en-US"/>
        </w:rPr>
        <w:t>Alain Vuylsteke, Charles Chan, Saji Victor, COVID Research Team, Papworth</w:t>
      </w:r>
    </w:p>
    <w:p w14:paraId="6214F712" w14:textId="09E0C50D" w:rsidR="00752ADC" w:rsidRPr="00752ADC" w:rsidRDefault="00752ADC" w:rsidP="002129B2">
      <w:pPr>
        <w:spacing w:line="360" w:lineRule="auto"/>
        <w:ind w:left="720" w:hanging="720"/>
        <w:contextualSpacing/>
        <w:rPr>
          <w:rFonts w:asciiTheme="majorHAnsi" w:hAnsiTheme="majorHAnsi" w:cstheme="majorHAnsi"/>
          <w:b/>
          <w:sz w:val="22"/>
          <w:szCs w:val="22"/>
          <w:lang w:val="en-AU" w:eastAsia="en-US"/>
        </w:rPr>
      </w:pPr>
      <w:r w:rsidRPr="00752ADC">
        <w:rPr>
          <w:rFonts w:asciiTheme="majorHAnsi" w:hAnsiTheme="majorHAnsi" w:cstheme="majorHAnsi"/>
          <w:sz w:val="22"/>
          <w:szCs w:val="22"/>
          <w:lang w:val="en-AU" w:eastAsia="en-US"/>
        </w:rPr>
        <w:t>Hospital;</w:t>
      </w:r>
    </w:p>
    <w:p w14:paraId="595761D4" w14:textId="77777777"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Royal Stoke Hospital: </w:t>
      </w:r>
      <w:r w:rsidRPr="00752ADC">
        <w:rPr>
          <w:rFonts w:asciiTheme="majorHAnsi" w:hAnsiTheme="majorHAnsi" w:cstheme="majorHAnsi"/>
          <w:sz w:val="22"/>
          <w:szCs w:val="22"/>
          <w:lang w:val="en-AU" w:eastAsia="en-US"/>
        </w:rPr>
        <w:t>Ramprasad Matsa, Minerva Gellamucho, Michelle Davies;</w:t>
      </w:r>
    </w:p>
    <w:p w14:paraId="3AB10E79"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Royal Surrey County Hospital:</w:t>
      </w:r>
      <w:r w:rsidRPr="00752ADC">
        <w:rPr>
          <w:rFonts w:asciiTheme="majorHAnsi" w:hAnsiTheme="majorHAnsi" w:cstheme="majorHAnsi"/>
          <w:sz w:val="22"/>
          <w:szCs w:val="22"/>
          <w:lang w:val="en-AU" w:eastAsia="en-US"/>
        </w:rPr>
        <w:t xml:space="preserve"> Ben Creagh-Brown, Cheryl Marriot, Armorel Salberg, Louisa Zouita,</w:t>
      </w:r>
    </w:p>
    <w:p w14:paraId="3D5F1547"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Sarah Stone, Natalia Michalak, Sinead Donlon, Shelia Mtuwa, Irving Mayangao, Jerik Verula, Dorota</w:t>
      </w:r>
    </w:p>
    <w:p w14:paraId="0850D843" w14:textId="4BACC06E"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Burda, Celia Harris, Emily Jones, Paul Bradley, Esther Tarr, Lesley Harden, Charlie Piercy;</w:t>
      </w:r>
    </w:p>
    <w:p w14:paraId="4EF19F2F"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Royal United Hospital Bath:</w:t>
      </w:r>
      <w:r w:rsidRPr="00752ADC">
        <w:rPr>
          <w:rFonts w:asciiTheme="majorHAnsi" w:hAnsiTheme="majorHAnsi" w:cstheme="majorHAnsi"/>
          <w:sz w:val="22"/>
          <w:szCs w:val="22"/>
          <w:lang w:val="en-AU" w:eastAsia="en-US"/>
        </w:rPr>
        <w:t xml:space="preserve"> Jerry Nolan, Ian Kerslake, Tim Cook, Tom Simpson, James Dalton, Carrie</w:t>
      </w:r>
    </w:p>
    <w:p w14:paraId="2C08E213"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Demetriou, Sarah Mitchard, Lidia Ramos, Katie White, Toby Johnson, William Headdon, Stephen</w:t>
      </w:r>
    </w:p>
    <w:p w14:paraId="20853871" w14:textId="65F2BB50"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Spencer, Alison White, Lucy Howie;</w:t>
      </w:r>
    </w:p>
    <w:p w14:paraId="56705D6D"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Russells Hall Hospital:</w:t>
      </w:r>
      <w:r w:rsidRPr="00752ADC">
        <w:rPr>
          <w:rFonts w:asciiTheme="majorHAnsi" w:hAnsiTheme="majorHAnsi" w:cstheme="majorHAnsi"/>
          <w:sz w:val="22"/>
          <w:szCs w:val="22"/>
          <w:lang w:val="en-AU" w:eastAsia="en-US"/>
        </w:rPr>
        <w:t xml:space="preserve"> Michael Reay, Steve Jenkins, Angela Watts, Eleanor Traverse, Stacey Jennings,</w:t>
      </w:r>
    </w:p>
    <w:p w14:paraId="48439615"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Vikram Anumakonda, Caroline Tuckwell, Karen Pearson, Kath Harrow, Julie Matthews, Karen</w:t>
      </w:r>
    </w:p>
    <w:p w14:paraId="31D30013" w14:textId="014B7E94"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McGarry, Vanessa Moore, Lucie Smith, Anna Summerfield;</w:t>
      </w:r>
    </w:p>
    <w:p w14:paraId="68B5FD97"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Salisbury NHS Foundation Trust: </w:t>
      </w:r>
      <w:r w:rsidRPr="00752ADC">
        <w:rPr>
          <w:rFonts w:asciiTheme="majorHAnsi" w:hAnsiTheme="majorHAnsi" w:cstheme="majorHAnsi"/>
          <w:sz w:val="22"/>
          <w:szCs w:val="22"/>
          <w:lang w:val="en-AU" w:eastAsia="en-US"/>
        </w:rPr>
        <w:t>Phil Donnison, Ruth Casey, Ben Irving, Wadzanai Matimba-Mupaya,</w:t>
      </w:r>
    </w:p>
    <w:p w14:paraId="06B69526" w14:textId="5DB0F50E"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Catherine Reed, Alpha Anthony, Fiona Trim, Lenka Cambalova, Debra Robertson, Anna Wilson;</w:t>
      </w:r>
    </w:p>
    <w:p w14:paraId="5A179162"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Salford Royal NHS Foundation Trust: </w:t>
      </w:r>
      <w:r w:rsidRPr="00752ADC">
        <w:rPr>
          <w:rFonts w:asciiTheme="majorHAnsi" w:hAnsiTheme="majorHAnsi" w:cstheme="majorHAnsi"/>
          <w:sz w:val="22"/>
          <w:szCs w:val="22"/>
          <w:lang w:val="en-AU" w:eastAsia="en-US"/>
        </w:rPr>
        <w:t>Paul Dark, Alice Harvey, Reece Doonan, Liam McMorrow, Karen</w:t>
      </w:r>
    </w:p>
    <w:p w14:paraId="258487C8" w14:textId="553154C9" w:rsidR="00752ADC" w:rsidRPr="00752ADC" w:rsidRDefault="00752ADC" w:rsidP="002129B2">
      <w:pPr>
        <w:spacing w:line="360" w:lineRule="auto"/>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Knowles, Jessica Pendlebury, Stephanie Lee, Jane Perez, Bethan Charles, Tracy Marsden, Melanie Taylor, Angiy Michael, Matthew Collis, Andrew Claxton, Wadih Habeichi, Dan Horner, Melanie Slaughter, Vicky Thomas, Nicola Proudfoot, Claire Keatley;</w:t>
      </w:r>
    </w:p>
    <w:p w14:paraId="157DF066"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Sandwell and West Birmingham NHS Trust: </w:t>
      </w:r>
      <w:r w:rsidRPr="00752ADC">
        <w:rPr>
          <w:rFonts w:asciiTheme="majorHAnsi" w:hAnsiTheme="majorHAnsi" w:cstheme="majorHAnsi"/>
          <w:sz w:val="22"/>
          <w:szCs w:val="22"/>
          <w:lang w:val="en-AU" w:eastAsia="en-US"/>
        </w:rPr>
        <w:t>Jonathan Hulme, Santhana Kannan, Fiona Kinney, Ho Jan</w:t>
      </w:r>
    </w:p>
    <w:p w14:paraId="6859C73D" w14:textId="558975ED"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Senya, Anne Hayes;</w:t>
      </w:r>
    </w:p>
    <w:p w14:paraId="573D6938" w14:textId="77777777" w:rsidR="00752ADC" w:rsidRPr="00752ADC" w:rsidRDefault="00752ADC" w:rsidP="002129B2">
      <w:pPr>
        <w:spacing w:line="360" w:lineRule="auto"/>
        <w:ind w:left="720" w:hanging="720"/>
        <w:contextualSpacing/>
        <w:rPr>
          <w:rFonts w:asciiTheme="majorHAnsi" w:hAnsiTheme="majorHAnsi" w:cstheme="majorHAnsi"/>
          <w:sz w:val="22"/>
          <w:szCs w:val="22"/>
          <w:lang w:eastAsia="en-US"/>
        </w:rPr>
      </w:pPr>
      <w:r w:rsidRPr="00752ADC">
        <w:rPr>
          <w:rFonts w:asciiTheme="majorHAnsi" w:hAnsiTheme="majorHAnsi" w:cstheme="majorHAnsi"/>
          <w:i/>
          <w:iCs/>
          <w:sz w:val="22"/>
          <w:szCs w:val="22"/>
          <w:lang w:val="en-AU" w:eastAsia="en-US"/>
        </w:rPr>
        <w:t>Sherwood Forest Hospitals NHS Foundation Trust:</w:t>
      </w:r>
      <w:r w:rsidRPr="00752ADC">
        <w:rPr>
          <w:rFonts w:asciiTheme="majorHAnsi" w:hAnsiTheme="majorHAnsi" w:cstheme="majorHAnsi"/>
          <w:sz w:val="22"/>
          <w:szCs w:val="22"/>
          <w:lang w:val="en-AU" w:eastAsia="en-US"/>
        </w:rPr>
        <w:t xml:space="preserve"> </w:t>
      </w:r>
      <w:r w:rsidRPr="00752ADC">
        <w:rPr>
          <w:rFonts w:asciiTheme="majorHAnsi" w:hAnsiTheme="majorHAnsi" w:cstheme="majorHAnsi"/>
          <w:sz w:val="22"/>
          <w:szCs w:val="22"/>
          <w:lang w:eastAsia="en-US"/>
        </w:rPr>
        <w:t>Valli Ratnam, Mandy Gill, Jill Kirk, Sarah Shelton;</w:t>
      </w:r>
    </w:p>
    <w:p w14:paraId="69FA5F0F" w14:textId="77777777"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South Tyneside District Hospital: </w:t>
      </w:r>
      <w:r w:rsidRPr="00752ADC">
        <w:rPr>
          <w:rFonts w:asciiTheme="majorHAnsi" w:hAnsiTheme="majorHAnsi" w:cstheme="majorHAnsi"/>
          <w:sz w:val="22"/>
          <w:szCs w:val="22"/>
          <w:lang w:val="en-AU" w:eastAsia="en-US"/>
        </w:rPr>
        <w:t>Christian Frey, Riccardo Scano, Madeleine McKee, Peter Murphy;</w:t>
      </w:r>
    </w:p>
    <w:p w14:paraId="18131589"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Southmead Hospital: </w:t>
      </w:r>
      <w:r w:rsidRPr="00752ADC">
        <w:rPr>
          <w:rFonts w:asciiTheme="majorHAnsi" w:hAnsiTheme="majorHAnsi" w:cstheme="majorHAnsi"/>
          <w:sz w:val="22"/>
          <w:szCs w:val="22"/>
          <w:lang w:val="en-AU" w:eastAsia="en-US"/>
        </w:rPr>
        <w:t>Matt Thomas, Ruth Worner, Beverley Faulkner, Emma Gendall, Kati Hayes,</w:t>
      </w:r>
    </w:p>
    <w:p w14:paraId="451DBADC" w14:textId="066627D7"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Hayley Blakemore, Borislava Borislavova;</w:t>
      </w:r>
    </w:p>
    <w:p w14:paraId="22D3B1AC"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sz w:val="22"/>
          <w:szCs w:val="22"/>
          <w:lang w:val="en-AU" w:eastAsia="en-US"/>
        </w:rPr>
        <w:t>St. Bartholomew’s Hospital:</w:t>
      </w:r>
      <w:r w:rsidRPr="00752ADC">
        <w:rPr>
          <w:rFonts w:asciiTheme="majorHAnsi" w:hAnsiTheme="majorHAnsi" w:cstheme="majorHAnsi"/>
          <w:sz w:val="22"/>
          <w:szCs w:val="22"/>
          <w:lang w:val="en-AU" w:eastAsia="en-US"/>
        </w:rPr>
        <w:t xml:space="preserve"> Colin Hamilton-Davies, Carmen Chan, Celina Mfuko, Hakam Abbass,</w:t>
      </w:r>
    </w:p>
    <w:p w14:paraId="20965FCB" w14:textId="0ECE7E65"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Vineela Mandadapu;</w:t>
      </w:r>
    </w:p>
    <w:p w14:paraId="444FCAA2"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St. George’s Hospital:</w:t>
      </w:r>
      <w:r w:rsidRPr="00752ADC">
        <w:rPr>
          <w:rFonts w:asciiTheme="majorHAnsi" w:hAnsiTheme="majorHAnsi" w:cstheme="majorHAnsi"/>
          <w:sz w:val="22"/>
          <w:szCs w:val="22"/>
          <w:lang w:val="en-AU" w:eastAsia="en-US"/>
        </w:rPr>
        <w:t xml:space="preserve"> Susannah Leaver, Kamal Patel, Sarah Farnell-Ward, Romina Pepermans Saluzzio,</w:t>
      </w:r>
    </w:p>
    <w:p w14:paraId="43E5A85E" w14:textId="644BA041"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Sam Rawlins, Christine Sicat;</w:t>
      </w:r>
    </w:p>
    <w:p w14:paraId="63FAA4C6"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St. Mary’s Hospital: </w:t>
      </w:r>
      <w:r w:rsidRPr="00752ADC">
        <w:rPr>
          <w:rFonts w:asciiTheme="majorHAnsi" w:hAnsiTheme="majorHAnsi" w:cstheme="majorHAnsi"/>
          <w:sz w:val="22"/>
          <w:szCs w:val="22"/>
          <w:lang w:val="en-AU" w:eastAsia="en-US"/>
        </w:rPr>
        <w:t>Anthony Gordon; Dorota Banach, Ziortza Fernández de Pinedo Artaraz, Leilani</w:t>
      </w:r>
    </w:p>
    <w:p w14:paraId="5C78EBC6" w14:textId="3CD21EF6"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Cabreros, Victoria Latham;</w:t>
      </w:r>
    </w:p>
    <w:p w14:paraId="25F9EBAA" w14:textId="77777777"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sz w:val="22"/>
          <w:szCs w:val="22"/>
          <w:lang w:val="en-AU" w:eastAsia="en-US"/>
        </w:rPr>
        <w:lastRenderedPageBreak/>
        <w:t>St. Peter’s Hospital, Chertsey:</w:t>
      </w:r>
      <w:r w:rsidRPr="00752ADC">
        <w:rPr>
          <w:rFonts w:asciiTheme="majorHAnsi" w:hAnsiTheme="majorHAnsi" w:cstheme="majorHAnsi"/>
          <w:sz w:val="22"/>
          <w:szCs w:val="22"/>
          <w:lang w:val="en-AU" w:eastAsia="en-US"/>
        </w:rPr>
        <w:t xml:space="preserve"> Ian White, Maria Croft, Nicky Holland, Rita Pereira;</w:t>
      </w:r>
    </w:p>
    <w:p w14:paraId="70AE5A1D"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Stepping Hill Hospital, Stockport:</w:t>
      </w:r>
      <w:r w:rsidRPr="00752ADC">
        <w:rPr>
          <w:rFonts w:asciiTheme="majorHAnsi" w:hAnsiTheme="majorHAnsi" w:cstheme="majorHAnsi"/>
          <w:sz w:val="22"/>
          <w:szCs w:val="22"/>
          <w:lang w:val="en-AU" w:eastAsia="en-US"/>
        </w:rPr>
        <w:t xml:space="preserve"> Ahmed Zaki, David Johnson, Hywel Garrard, Vera Juhaz, Louise</w:t>
      </w:r>
    </w:p>
    <w:p w14:paraId="7FD29F56" w14:textId="30FCE372"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Brown, Abigail Pemberton;</w:t>
      </w:r>
    </w:p>
    <w:p w14:paraId="4E37AA7D" w14:textId="77777777"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sz w:val="22"/>
          <w:szCs w:val="22"/>
          <w:lang w:val="en-AU" w:eastAsia="en-US"/>
        </w:rPr>
        <w:t>Sunderland Royal Hospital:</w:t>
      </w:r>
      <w:r w:rsidRPr="00752ADC">
        <w:rPr>
          <w:rFonts w:asciiTheme="majorHAnsi" w:hAnsiTheme="majorHAnsi" w:cstheme="majorHAnsi"/>
          <w:sz w:val="22"/>
          <w:szCs w:val="22"/>
          <w:lang w:val="en-AU" w:eastAsia="en-US"/>
        </w:rPr>
        <w:t xml:space="preserve"> Alistair Roy, Anthony Rostron, Lindsey Woods, Sarah Cornell;</w:t>
      </w:r>
    </w:p>
    <w:p w14:paraId="06C0421A"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Swansea Bay University Health Board: </w:t>
      </w:r>
      <w:r w:rsidRPr="00752ADC">
        <w:rPr>
          <w:rFonts w:asciiTheme="majorHAnsi" w:hAnsiTheme="majorHAnsi" w:cstheme="majorHAnsi"/>
          <w:sz w:val="22"/>
          <w:szCs w:val="22"/>
          <w:lang w:val="en-AU" w:eastAsia="en-US"/>
        </w:rPr>
        <w:t>Suresh Pillai, Rachel Harford, Helen Ivatt, Debra Evans, Suzanne</w:t>
      </w:r>
    </w:p>
    <w:p w14:paraId="48946E2D" w14:textId="5730D09F"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Richards, Eilir Roberts, James Bowen, James Ainsworth;</w:t>
      </w:r>
    </w:p>
    <w:p w14:paraId="01539C5A" w14:textId="77777777"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Torbay and South Devon NHS Foundation Trust: </w:t>
      </w:r>
      <w:r w:rsidRPr="00752ADC">
        <w:rPr>
          <w:rFonts w:asciiTheme="majorHAnsi" w:hAnsiTheme="majorHAnsi" w:cstheme="majorHAnsi"/>
          <w:sz w:val="22"/>
          <w:szCs w:val="22"/>
          <w:lang w:val="en-AU" w:eastAsia="en-US"/>
        </w:rPr>
        <w:t xml:space="preserve"> Angela Foulds, Adam Revill;</w:t>
      </w:r>
    </w:p>
    <w:p w14:paraId="7FA1E0AA" w14:textId="77777777"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United Lincolnshire NHS Trust:</w:t>
      </w:r>
      <w:r w:rsidRPr="00752ADC">
        <w:rPr>
          <w:rFonts w:asciiTheme="majorHAnsi" w:hAnsiTheme="majorHAnsi" w:cstheme="majorHAnsi"/>
          <w:sz w:val="22"/>
          <w:szCs w:val="22"/>
          <w:lang w:val="en-AU" w:eastAsia="en-US"/>
        </w:rPr>
        <w:t xml:space="preserve"> Russell Barber, Anette Hilldrith, Gunjan Phalod;</w:t>
      </w:r>
    </w:p>
    <w:p w14:paraId="6BDF8BC6"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University Hospitals Bristol &amp; Weston NHS Foundation Trust:</w:t>
      </w:r>
      <w:r w:rsidRPr="00752ADC">
        <w:rPr>
          <w:rFonts w:asciiTheme="majorHAnsi" w:hAnsiTheme="majorHAnsi" w:cstheme="majorHAnsi"/>
          <w:sz w:val="22"/>
          <w:szCs w:val="22"/>
          <w:lang w:val="en-AU" w:eastAsia="en-US"/>
        </w:rPr>
        <w:t xml:space="preserve"> Jeremy Bewley, Katie Sweet, Lisa</w:t>
      </w:r>
    </w:p>
    <w:p w14:paraId="18881580"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Grimmer, Rebekah Johnson, Rachel Wyatt, Karen Morgan, Siby Varghese, Charlotte Bradbury, Joanna</w:t>
      </w:r>
    </w:p>
    <w:p w14:paraId="0034CDE7" w14:textId="3B35C309"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Willis, Emma Stratton, Laura Kyle, Daniel Putensen, Kay Drury, Agnieszka Skorko;</w:t>
      </w:r>
    </w:p>
    <w:p w14:paraId="0308112E"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University Hospitals Coventry &amp; Warwickshire NHS Trust:</w:t>
      </w:r>
      <w:r w:rsidRPr="00752ADC">
        <w:rPr>
          <w:rFonts w:asciiTheme="majorHAnsi" w:hAnsiTheme="majorHAnsi" w:cstheme="majorHAnsi"/>
          <w:sz w:val="22"/>
          <w:szCs w:val="22"/>
          <w:lang w:val="en-AU" w:eastAsia="en-US"/>
        </w:rPr>
        <w:t xml:space="preserve"> Pamela Bremmer, Geraldine Ward,</w:t>
      </w:r>
    </w:p>
    <w:p w14:paraId="04CBC467" w14:textId="73865216"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Christopher Bassford;</w:t>
      </w:r>
    </w:p>
    <w:p w14:paraId="7CE9D3FE"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sz w:val="22"/>
          <w:szCs w:val="22"/>
          <w:lang w:val="en-AU" w:eastAsia="en-US"/>
        </w:rPr>
        <w:t xml:space="preserve">University Hospital of North Tees: </w:t>
      </w:r>
      <w:r w:rsidRPr="00752ADC">
        <w:rPr>
          <w:rFonts w:asciiTheme="majorHAnsi" w:hAnsiTheme="majorHAnsi" w:cstheme="majorHAnsi"/>
          <w:sz w:val="22"/>
          <w:szCs w:val="22"/>
          <w:lang w:val="en-AU" w:eastAsia="en-US"/>
        </w:rPr>
        <w:t>Farooq Brohi, Vijay Jagannathan, Michele Clark, Sarah Purvis, Bill</w:t>
      </w:r>
    </w:p>
    <w:p w14:paraId="183A60B7" w14:textId="5C712D75"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Wetherill;</w:t>
      </w:r>
    </w:p>
    <w:p w14:paraId="27B896E7" w14:textId="77777777" w:rsidR="002129B2" w:rsidRDefault="00752ADC" w:rsidP="002129B2">
      <w:pPr>
        <w:spacing w:line="360" w:lineRule="auto"/>
        <w:ind w:left="720" w:hanging="720"/>
        <w:contextualSpacing/>
        <w:rPr>
          <w:rFonts w:asciiTheme="majorHAnsi" w:hAnsiTheme="majorHAnsi" w:cstheme="majorHAnsi"/>
          <w:sz w:val="22"/>
          <w:szCs w:val="22"/>
          <w:lang w:eastAsia="en-US"/>
        </w:rPr>
      </w:pPr>
      <w:r w:rsidRPr="00752ADC">
        <w:rPr>
          <w:rFonts w:asciiTheme="majorHAnsi" w:hAnsiTheme="majorHAnsi" w:cstheme="majorHAnsi"/>
          <w:i/>
          <w:iCs/>
          <w:sz w:val="22"/>
          <w:szCs w:val="22"/>
          <w:lang w:val="en-AU" w:eastAsia="en-US"/>
        </w:rPr>
        <w:t xml:space="preserve">University Hospital Southampton NHS Foundation Trust: </w:t>
      </w:r>
      <w:r w:rsidRPr="00752ADC">
        <w:rPr>
          <w:rFonts w:asciiTheme="majorHAnsi" w:hAnsiTheme="majorHAnsi" w:cstheme="majorHAnsi"/>
          <w:sz w:val="22"/>
          <w:szCs w:val="22"/>
          <w:lang w:val="en-AU" w:eastAsia="en-US"/>
        </w:rPr>
        <w:t xml:space="preserve"> </w:t>
      </w:r>
      <w:r w:rsidRPr="00752ADC">
        <w:rPr>
          <w:rFonts w:asciiTheme="majorHAnsi" w:hAnsiTheme="majorHAnsi" w:cstheme="majorHAnsi"/>
          <w:sz w:val="22"/>
          <w:szCs w:val="22"/>
          <w:lang w:eastAsia="en-US"/>
        </w:rPr>
        <w:t>Ahilanandan Dushianthan, Rebecca Cusack,</w:t>
      </w:r>
    </w:p>
    <w:p w14:paraId="6FE19E06" w14:textId="77777777" w:rsidR="002129B2" w:rsidRDefault="00752ADC" w:rsidP="002129B2">
      <w:pPr>
        <w:spacing w:line="360" w:lineRule="auto"/>
        <w:ind w:left="720" w:hanging="720"/>
        <w:contextualSpacing/>
        <w:rPr>
          <w:rFonts w:asciiTheme="majorHAnsi" w:hAnsiTheme="majorHAnsi" w:cstheme="majorHAnsi"/>
          <w:sz w:val="22"/>
          <w:szCs w:val="22"/>
          <w:lang w:eastAsia="en-US"/>
        </w:rPr>
      </w:pPr>
      <w:r w:rsidRPr="00752ADC">
        <w:rPr>
          <w:rFonts w:asciiTheme="majorHAnsi" w:hAnsiTheme="majorHAnsi" w:cstheme="majorHAnsi"/>
          <w:sz w:val="22"/>
          <w:szCs w:val="22"/>
          <w:lang w:eastAsia="en-US"/>
        </w:rPr>
        <w:t>Kim de Courcy-Golder, Karen Salmon, Rachel Burnish, Simon Smith, Susan Jackson, Winningtom Ruiz,</w:t>
      </w:r>
    </w:p>
    <w:p w14:paraId="7AD243B7" w14:textId="77777777" w:rsidR="002129B2" w:rsidRDefault="00752ADC" w:rsidP="002129B2">
      <w:pPr>
        <w:spacing w:line="360" w:lineRule="auto"/>
        <w:ind w:left="720" w:hanging="720"/>
        <w:contextualSpacing/>
        <w:rPr>
          <w:rFonts w:asciiTheme="majorHAnsi" w:hAnsiTheme="majorHAnsi" w:cstheme="majorHAnsi"/>
          <w:sz w:val="22"/>
          <w:szCs w:val="22"/>
          <w:lang w:eastAsia="en-US"/>
        </w:rPr>
      </w:pPr>
      <w:r w:rsidRPr="00752ADC">
        <w:rPr>
          <w:rFonts w:asciiTheme="majorHAnsi" w:hAnsiTheme="majorHAnsi" w:cstheme="majorHAnsi"/>
          <w:sz w:val="22"/>
          <w:szCs w:val="22"/>
          <w:lang w:eastAsia="en-US"/>
        </w:rPr>
        <w:t>Zoe Duke, Magaret Johns, Michelle Male, Kirsty Gladas, Satwinder Virdee, Jacqueline Swabe, Helen</w:t>
      </w:r>
    </w:p>
    <w:p w14:paraId="129CFE4C" w14:textId="472BEA8F" w:rsidR="00752ADC" w:rsidRPr="00752ADC" w:rsidRDefault="00752ADC" w:rsidP="002129B2">
      <w:pPr>
        <w:spacing w:line="360" w:lineRule="auto"/>
        <w:ind w:left="720" w:hanging="720"/>
        <w:contextualSpacing/>
        <w:rPr>
          <w:rFonts w:asciiTheme="majorHAnsi" w:hAnsiTheme="majorHAnsi" w:cstheme="majorHAnsi"/>
          <w:sz w:val="22"/>
          <w:szCs w:val="22"/>
          <w:lang w:eastAsia="en-US"/>
        </w:rPr>
      </w:pPr>
      <w:r w:rsidRPr="00752ADC">
        <w:rPr>
          <w:rFonts w:asciiTheme="majorHAnsi" w:hAnsiTheme="majorHAnsi" w:cstheme="majorHAnsi"/>
          <w:sz w:val="22"/>
          <w:szCs w:val="22"/>
          <w:lang w:eastAsia="en-US"/>
        </w:rPr>
        <w:t>Tomlinson;</w:t>
      </w:r>
    </w:p>
    <w:p w14:paraId="2BD4648B" w14:textId="77777777" w:rsidR="00752ADC" w:rsidRPr="00752ADC" w:rsidRDefault="00752ADC" w:rsidP="002129B2">
      <w:pPr>
        <w:spacing w:line="360" w:lineRule="auto"/>
        <w:ind w:left="720" w:hanging="720"/>
        <w:contextualSpacing/>
        <w:rPr>
          <w:rFonts w:asciiTheme="majorHAnsi" w:hAnsiTheme="majorHAnsi" w:cstheme="majorHAnsi"/>
          <w:i/>
          <w:iCs/>
          <w:sz w:val="22"/>
          <w:szCs w:val="22"/>
          <w:lang w:val="en-AU" w:eastAsia="en-US"/>
        </w:rPr>
      </w:pPr>
      <w:r w:rsidRPr="00752ADC">
        <w:rPr>
          <w:rFonts w:asciiTheme="majorHAnsi" w:hAnsiTheme="majorHAnsi" w:cstheme="majorHAnsi"/>
          <w:i/>
          <w:iCs/>
          <w:sz w:val="22"/>
          <w:szCs w:val="22"/>
          <w:lang w:val="en-AU" w:eastAsia="en-US"/>
        </w:rPr>
        <w:t xml:space="preserve">Warwick Hospital: </w:t>
      </w:r>
      <w:r w:rsidRPr="00752ADC">
        <w:rPr>
          <w:rFonts w:asciiTheme="majorHAnsi" w:hAnsiTheme="majorHAnsi" w:cstheme="majorHAnsi"/>
          <w:sz w:val="22"/>
          <w:szCs w:val="22"/>
          <w:lang w:val="en-AU" w:eastAsia="en-US"/>
        </w:rPr>
        <w:t>Ben Attwood, Penny Parsons, Bridget Campbell, Alex Smith;</w:t>
      </w:r>
    </w:p>
    <w:p w14:paraId="4449FC11"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Watford General Hospital:</w:t>
      </w:r>
      <w:r w:rsidRPr="00752ADC">
        <w:rPr>
          <w:rFonts w:asciiTheme="majorHAnsi" w:hAnsiTheme="majorHAnsi" w:cstheme="majorHAnsi"/>
          <w:sz w:val="22"/>
          <w:szCs w:val="22"/>
          <w:lang w:val="en-AU" w:eastAsia="en-US"/>
        </w:rPr>
        <w:t xml:space="preserve"> Valerie J Page, Xiao Bei Zhao, Deepali Oza, Gail Abrahamson, Ben Sheath,</w:t>
      </w:r>
    </w:p>
    <w:p w14:paraId="0E21E9CD" w14:textId="20D91D69"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Chiara Ellis;</w:t>
      </w:r>
    </w:p>
    <w:p w14:paraId="46130945" w14:textId="77777777"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Western General Hospital, Edinburgh:</w:t>
      </w:r>
      <w:r w:rsidRPr="00752ADC">
        <w:rPr>
          <w:rFonts w:asciiTheme="majorHAnsi" w:hAnsiTheme="majorHAnsi" w:cstheme="majorHAnsi"/>
          <w:sz w:val="22"/>
          <w:szCs w:val="22"/>
          <w:lang w:val="en-AU" w:eastAsia="en-US"/>
        </w:rPr>
        <w:t xml:space="preserve"> Jonathan Rhodes, Thomas Anderson, Sheila Morris;</w:t>
      </w:r>
    </w:p>
    <w:p w14:paraId="6C9EB808"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Whipps Cross Hospital: </w:t>
      </w:r>
      <w:r w:rsidRPr="00752ADC">
        <w:rPr>
          <w:rFonts w:asciiTheme="majorHAnsi" w:hAnsiTheme="majorHAnsi" w:cstheme="majorHAnsi"/>
          <w:sz w:val="22"/>
          <w:szCs w:val="22"/>
          <w:lang w:val="en-AU" w:eastAsia="en-US"/>
        </w:rPr>
        <w:t>Charlotte Xia Le Tai, Amy Thomas, Alexandra Keen, Carey Tierney, Nimca</w:t>
      </w:r>
    </w:p>
    <w:p w14:paraId="63576934" w14:textId="7ABE2BAE"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Omer, Gina Bacon;</w:t>
      </w:r>
    </w:p>
    <w:p w14:paraId="49F2BA88"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sz w:val="22"/>
          <w:szCs w:val="22"/>
          <w:lang w:val="en-AU" w:eastAsia="en-US"/>
        </w:rPr>
        <w:t>Whiston Hospital</w:t>
      </w:r>
      <w:r w:rsidRPr="00752ADC">
        <w:rPr>
          <w:rFonts w:asciiTheme="majorHAnsi" w:hAnsiTheme="majorHAnsi" w:cstheme="majorHAnsi"/>
          <w:sz w:val="22"/>
          <w:szCs w:val="22"/>
          <w:lang w:val="en-AU" w:eastAsia="en-US"/>
        </w:rPr>
        <w:t>: Ascanio Tridente, Karen Shuker, Jeanette Anders, Sandra Greer, Paula Scott, Amy</w:t>
      </w:r>
    </w:p>
    <w:p w14:paraId="2B6BDCD7" w14:textId="45E3A9B7" w:rsidR="00752ADC" w:rsidRPr="00752ADC" w:rsidRDefault="00752ADC" w:rsidP="002129B2">
      <w:pPr>
        <w:spacing w:line="360" w:lineRule="auto"/>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Millington, Philip Buchanan, Jodie Kirk</w:t>
      </w:r>
    </w:p>
    <w:p w14:paraId="6BDC920F"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Wirral University Teaching Hospital NHSFT:</w:t>
      </w:r>
      <w:r w:rsidRPr="00752ADC">
        <w:rPr>
          <w:rFonts w:asciiTheme="majorHAnsi" w:hAnsiTheme="majorHAnsi" w:cstheme="majorHAnsi"/>
          <w:sz w:val="22"/>
          <w:szCs w:val="22"/>
          <w:lang w:val="en-AU" w:eastAsia="en-US"/>
        </w:rPr>
        <w:t xml:space="preserve"> Craig Denmade, Girendra Sadera, Reni Jacob, Cathy Jones, </w:t>
      </w:r>
    </w:p>
    <w:p w14:paraId="6403DBA0" w14:textId="7FEAC034"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Debbie Hughes;</w:t>
      </w:r>
    </w:p>
    <w:p w14:paraId="35AAB5CC"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Worcester Royal Hospital: </w:t>
      </w:r>
      <w:r w:rsidRPr="00752ADC">
        <w:rPr>
          <w:rFonts w:asciiTheme="majorHAnsi" w:hAnsiTheme="majorHAnsi" w:cstheme="majorHAnsi"/>
          <w:sz w:val="22"/>
          <w:szCs w:val="22"/>
          <w:lang w:val="en-AU" w:eastAsia="en-US"/>
        </w:rPr>
        <w:t>Stephen Digby, Nicholas Cowley, Laura Wild, Jessica Thrush, Hannah Wood,</w:t>
      </w:r>
    </w:p>
    <w:p w14:paraId="030D79D2" w14:textId="272AF2A0" w:rsidR="00752ADC" w:rsidRPr="00752ADC" w:rsidRDefault="00752ADC" w:rsidP="002129B2">
      <w:pPr>
        <w:spacing w:line="360" w:lineRule="auto"/>
        <w:ind w:left="720" w:hanging="720"/>
        <w:contextualSpacing/>
        <w:rPr>
          <w:rFonts w:asciiTheme="majorHAnsi" w:hAnsiTheme="majorHAnsi" w:cstheme="majorHAnsi"/>
          <w:i/>
          <w:iCs/>
          <w:sz w:val="22"/>
          <w:szCs w:val="22"/>
          <w:lang w:val="en-AU" w:eastAsia="en-US"/>
        </w:rPr>
      </w:pPr>
      <w:r w:rsidRPr="00752ADC">
        <w:rPr>
          <w:rFonts w:asciiTheme="majorHAnsi" w:hAnsiTheme="majorHAnsi" w:cstheme="majorHAnsi"/>
          <w:sz w:val="22"/>
          <w:szCs w:val="22"/>
          <w:lang w:val="en-AU" w:eastAsia="en-US"/>
        </w:rPr>
        <w:t>Karen Austin;</w:t>
      </w:r>
    </w:p>
    <w:p w14:paraId="0602C354"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Wrexham Maelor Betsi Cadwaladr University Hospital</w:t>
      </w:r>
      <w:r w:rsidRPr="00752ADC">
        <w:rPr>
          <w:rFonts w:asciiTheme="majorHAnsi" w:hAnsiTheme="majorHAnsi" w:cstheme="majorHAnsi"/>
          <w:sz w:val="22"/>
          <w:szCs w:val="22"/>
          <w:lang w:val="en-AU" w:eastAsia="en-US"/>
        </w:rPr>
        <w:t>: David Southern, Harsha Reddy, Sarah Hulse,</w:t>
      </w:r>
    </w:p>
    <w:p w14:paraId="370727F5" w14:textId="2170F8BA"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 xml:space="preserve">Andrew Campbell, Mark Garton, Claire Watkins, Sara Smuts; </w:t>
      </w:r>
    </w:p>
    <w:p w14:paraId="41557488"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 xml:space="preserve">Wrightington, Wigan and Leigh Teaching Hospitals NHS Foundation Trust: </w:t>
      </w:r>
      <w:r w:rsidRPr="00752ADC">
        <w:rPr>
          <w:rFonts w:asciiTheme="majorHAnsi" w:hAnsiTheme="majorHAnsi" w:cstheme="majorHAnsi"/>
          <w:sz w:val="22"/>
          <w:szCs w:val="22"/>
          <w:lang w:val="en-AU" w:eastAsia="en-US"/>
        </w:rPr>
        <w:t>Alison Quinn, Benjamin</w:t>
      </w:r>
    </w:p>
    <w:p w14:paraId="2894C477" w14:textId="7146B9DE"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lastRenderedPageBreak/>
        <w:t>Simpson, Catherine McMillan, Cheryl Finch, Claire Hill, Josh Cooper;</w:t>
      </w:r>
    </w:p>
    <w:p w14:paraId="208EAE77"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Wye Valley NHS Trust:</w:t>
      </w:r>
      <w:r w:rsidRPr="00752ADC">
        <w:rPr>
          <w:rFonts w:asciiTheme="majorHAnsi" w:hAnsiTheme="majorHAnsi" w:cstheme="majorHAnsi"/>
          <w:sz w:val="22"/>
          <w:szCs w:val="22"/>
          <w:lang w:val="en-AU" w:eastAsia="en-US"/>
        </w:rPr>
        <w:t xml:space="preserve"> Joanna Budd, Charlotte Small, Ryan O’Leary, Janine Birch, Emma Collins,</w:t>
      </w:r>
    </w:p>
    <w:p w14:paraId="6E41C745" w14:textId="5305CCCD"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Andrew Holland;</w:t>
      </w:r>
    </w:p>
    <w:p w14:paraId="63ADC391" w14:textId="77777777" w:rsidR="002129B2"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Wythenshawe Hospital</w:t>
      </w:r>
      <w:r w:rsidRPr="00752ADC">
        <w:rPr>
          <w:rFonts w:asciiTheme="majorHAnsi" w:hAnsiTheme="majorHAnsi" w:cstheme="majorHAnsi"/>
          <w:sz w:val="22"/>
          <w:szCs w:val="22"/>
          <w:lang w:val="en-AU" w:eastAsia="en-US"/>
        </w:rPr>
        <w:t>: Peter D G Alexander, Tim Felton, Susan Ferguson, Katharine Sellers, Luke</w:t>
      </w:r>
    </w:p>
    <w:p w14:paraId="6C868B30" w14:textId="36C94D78"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sz w:val="22"/>
          <w:szCs w:val="22"/>
          <w:lang w:val="en-AU" w:eastAsia="en-US"/>
        </w:rPr>
        <w:t>Ward;</w:t>
      </w:r>
    </w:p>
    <w:p w14:paraId="0096AAA6" w14:textId="77777777" w:rsidR="00752ADC" w:rsidRPr="00752ADC" w:rsidRDefault="00752ADC" w:rsidP="002129B2">
      <w:pPr>
        <w:spacing w:line="360" w:lineRule="auto"/>
        <w:ind w:left="720" w:hanging="720"/>
        <w:contextualSpacing/>
        <w:rPr>
          <w:rFonts w:asciiTheme="majorHAnsi" w:hAnsiTheme="majorHAnsi" w:cstheme="majorHAnsi"/>
          <w:sz w:val="22"/>
          <w:szCs w:val="22"/>
          <w:lang w:val="en-AU" w:eastAsia="en-US"/>
        </w:rPr>
      </w:pPr>
      <w:r w:rsidRPr="00752ADC">
        <w:rPr>
          <w:rFonts w:asciiTheme="majorHAnsi" w:hAnsiTheme="majorHAnsi" w:cstheme="majorHAnsi"/>
          <w:i/>
          <w:iCs/>
          <w:sz w:val="22"/>
          <w:szCs w:val="22"/>
          <w:lang w:val="en-AU" w:eastAsia="en-US"/>
        </w:rPr>
        <w:t>York Teaching Hospital</w:t>
      </w:r>
      <w:r w:rsidRPr="00752ADC">
        <w:rPr>
          <w:rFonts w:asciiTheme="majorHAnsi" w:hAnsiTheme="majorHAnsi" w:cstheme="majorHAnsi"/>
          <w:sz w:val="22"/>
          <w:szCs w:val="22"/>
          <w:lang w:val="en-AU" w:eastAsia="en-US"/>
        </w:rPr>
        <w:t xml:space="preserve">: David Yates, Isobel Birkinshaw, Kay Kell, Zoe Scott, Harriet Pearson; </w:t>
      </w:r>
    </w:p>
    <w:p w14:paraId="6AAAE4FF" w14:textId="77777777" w:rsidR="00252CAB" w:rsidRPr="00252CAB" w:rsidRDefault="00252CAB" w:rsidP="002129B2">
      <w:pPr>
        <w:spacing w:line="360" w:lineRule="auto"/>
        <w:rPr>
          <w:rFonts w:asciiTheme="majorHAnsi" w:eastAsia="Calibri" w:hAnsiTheme="majorHAnsi" w:cstheme="majorHAnsi"/>
          <w:bCs/>
          <w:sz w:val="22"/>
          <w:szCs w:val="22"/>
          <w:lang w:val="en-AU" w:eastAsia="en-US"/>
        </w:rPr>
      </w:pPr>
    </w:p>
    <w:p w14:paraId="391FEE38" w14:textId="0259354A" w:rsidR="00252CAB" w:rsidRPr="00252CAB" w:rsidRDefault="00252CAB" w:rsidP="002129B2">
      <w:pPr>
        <w:spacing w:line="360" w:lineRule="auto"/>
        <w:rPr>
          <w:rFonts w:asciiTheme="majorHAnsi" w:eastAsia="Calibri" w:hAnsiTheme="majorHAnsi" w:cstheme="majorHAnsi"/>
          <w:b/>
          <w:i/>
          <w:iCs/>
          <w:sz w:val="22"/>
          <w:szCs w:val="22"/>
          <w:lang w:val="en-AU" w:eastAsia="en-US"/>
        </w:rPr>
      </w:pPr>
      <w:r w:rsidRPr="00252CAB">
        <w:rPr>
          <w:rFonts w:asciiTheme="majorHAnsi" w:eastAsia="Calibri" w:hAnsiTheme="majorHAnsi" w:cstheme="majorHAnsi"/>
          <w:b/>
          <w:i/>
          <w:iCs/>
          <w:sz w:val="22"/>
          <w:szCs w:val="22"/>
          <w:lang w:val="en-AU" w:eastAsia="en-US"/>
        </w:rPr>
        <w:t>United States of America</w:t>
      </w:r>
      <w:r w:rsidR="008D13CE">
        <w:rPr>
          <w:rFonts w:asciiTheme="majorHAnsi" w:eastAsia="Calibri" w:hAnsiTheme="majorHAnsi" w:cstheme="majorHAnsi"/>
          <w:b/>
          <w:i/>
          <w:iCs/>
          <w:sz w:val="22"/>
          <w:szCs w:val="22"/>
          <w:lang w:val="en-AU" w:eastAsia="en-US"/>
        </w:rPr>
        <w:t>:</w:t>
      </w:r>
    </w:p>
    <w:p w14:paraId="19029D2F" w14:textId="335E0464" w:rsidR="00252CAB" w:rsidRPr="00252CAB" w:rsidRDefault="00252CAB" w:rsidP="002129B2">
      <w:pPr>
        <w:spacing w:line="360" w:lineRule="auto"/>
        <w:rPr>
          <w:rFonts w:asciiTheme="majorHAnsi" w:eastAsia="Calibri" w:hAnsiTheme="majorHAnsi" w:cstheme="majorHAnsi"/>
          <w:bCs/>
          <w:sz w:val="22"/>
          <w:szCs w:val="22"/>
          <w:lang w:val="en-AU" w:eastAsia="en-US"/>
        </w:rPr>
      </w:pPr>
      <w:r w:rsidRPr="00252CAB">
        <w:rPr>
          <w:rFonts w:asciiTheme="majorHAnsi" w:eastAsia="Calibri" w:hAnsiTheme="majorHAnsi" w:cstheme="majorHAnsi"/>
          <w:bCs/>
          <w:i/>
          <w:iCs/>
          <w:sz w:val="22"/>
          <w:szCs w:val="22"/>
          <w:lang w:eastAsia="en-US"/>
        </w:rPr>
        <w:t xml:space="preserve">University of Pittsburgh Research Staff: </w:t>
      </w:r>
      <w:r w:rsidRPr="00252CAB">
        <w:rPr>
          <w:rFonts w:asciiTheme="majorHAnsi" w:eastAsia="Calibri" w:hAnsiTheme="majorHAnsi" w:cstheme="majorHAnsi"/>
          <w:bCs/>
          <w:sz w:val="22"/>
          <w:szCs w:val="22"/>
          <w:lang w:eastAsia="en-US"/>
        </w:rPr>
        <w:t>CRISMA Center—Kelsey Linstrum, Stephanie Montgomery, Kim Basile, Dara Stavor, Dylan Burbee, Amanda McNamara, Renee Wunderley, Nicole Bensen, Aaron Richardson; MACRO Center—Peter Adams, Tina Vita, Megan Buhay, Denise Scholl, Matthew Gilliam, James Winters, Kaleigh Doherty, Emily Berryman</w:t>
      </w:r>
    </w:p>
    <w:p w14:paraId="139ABC58" w14:textId="38DB4620" w:rsidR="00252CAB" w:rsidRPr="00252CAB" w:rsidRDefault="00252CAB" w:rsidP="009C2A20">
      <w:pPr>
        <w:spacing w:line="360" w:lineRule="auto"/>
        <w:rPr>
          <w:rFonts w:asciiTheme="majorHAnsi" w:eastAsia="Calibri" w:hAnsiTheme="majorHAnsi" w:cstheme="majorHAnsi"/>
          <w:bCs/>
          <w:sz w:val="22"/>
          <w:szCs w:val="22"/>
          <w:lang w:eastAsia="en-US"/>
        </w:rPr>
      </w:pPr>
      <w:r w:rsidRPr="00252CAB">
        <w:rPr>
          <w:rFonts w:asciiTheme="majorHAnsi" w:eastAsia="Calibri" w:hAnsiTheme="majorHAnsi" w:cstheme="majorHAnsi"/>
          <w:bCs/>
          <w:i/>
          <w:iCs/>
          <w:sz w:val="22"/>
          <w:szCs w:val="22"/>
          <w:lang w:eastAsia="en-US"/>
        </w:rPr>
        <w:t xml:space="preserve"> UPMC Hospital Champions: </w:t>
      </w:r>
      <w:r w:rsidRPr="00252CAB">
        <w:rPr>
          <w:rFonts w:asciiTheme="majorHAnsi" w:eastAsia="Calibri" w:hAnsiTheme="majorHAnsi" w:cstheme="majorHAnsi"/>
          <w:bCs/>
          <w:sz w:val="22"/>
          <w:szCs w:val="22"/>
          <w:lang w:eastAsia="en-US"/>
        </w:rPr>
        <w:t xml:space="preserve">UPMC Altoona—Mehrdad Ghaffari, UPMC East—Meghan Fitzpatrick; UPMC Jameson and Horizon —Kavitha Bagavathy; UPMC Mercy—Mahwish Hussain, Chenell Donadee; UPMC Williamsport—Emily Brant; UPMC McKeesport—Kayla Bryan-Morris, John Arnold and Bob Reynolds; UPMC Hamot—Gregory Beard; UPMC Presbyterian—Bryan McVerry, David Huang, Ghady Haidar, Alexandra Weissman, Florian Mayr; UPMC Passavant – Matthew Gingo; </w:t>
      </w:r>
    </w:p>
    <w:p w14:paraId="34860BCA" w14:textId="4F1E0347" w:rsidR="00252CAB" w:rsidRPr="00252CAB" w:rsidRDefault="00252CAB" w:rsidP="009C2A20">
      <w:pPr>
        <w:spacing w:line="360" w:lineRule="auto"/>
        <w:rPr>
          <w:rFonts w:asciiTheme="majorHAnsi" w:eastAsia="Calibri" w:hAnsiTheme="majorHAnsi" w:cstheme="majorHAnsi"/>
          <w:bCs/>
          <w:sz w:val="22"/>
          <w:szCs w:val="22"/>
          <w:lang w:eastAsia="en-US"/>
        </w:rPr>
      </w:pPr>
      <w:r w:rsidRPr="00252CAB">
        <w:rPr>
          <w:rFonts w:asciiTheme="majorHAnsi" w:eastAsia="Calibri" w:hAnsiTheme="majorHAnsi" w:cstheme="majorHAnsi"/>
          <w:bCs/>
          <w:i/>
          <w:iCs/>
          <w:sz w:val="22"/>
          <w:szCs w:val="22"/>
          <w:lang w:eastAsia="en-US"/>
        </w:rPr>
        <w:t xml:space="preserve"> UPMC COVID Therapeutics Committee: </w:t>
      </w:r>
      <w:r w:rsidRPr="00252CAB">
        <w:rPr>
          <w:rFonts w:asciiTheme="majorHAnsi" w:eastAsia="Calibri" w:hAnsiTheme="majorHAnsi" w:cstheme="majorHAnsi"/>
          <w:bCs/>
          <w:sz w:val="22"/>
          <w:szCs w:val="22"/>
          <w:lang w:eastAsia="en-US"/>
        </w:rPr>
        <w:t>Erin McCreary, Elise Martin, Ryan Bariola, Alex Viehman, Jessica Daley, Alyssa Lopus, Mark Schmidhofer, UPMC Directors of Pharmacy</w:t>
      </w:r>
    </w:p>
    <w:p w14:paraId="4605616B" w14:textId="4D70A9D6" w:rsidR="00252CAB" w:rsidRPr="00252CAB" w:rsidRDefault="00252CAB" w:rsidP="009C2A20">
      <w:pPr>
        <w:spacing w:line="360" w:lineRule="auto"/>
        <w:rPr>
          <w:rFonts w:asciiTheme="majorHAnsi" w:eastAsia="Calibri" w:hAnsiTheme="majorHAnsi" w:cstheme="majorHAnsi"/>
          <w:bCs/>
          <w:sz w:val="22"/>
          <w:szCs w:val="22"/>
          <w:lang w:eastAsia="en-US"/>
        </w:rPr>
      </w:pPr>
      <w:r w:rsidRPr="00252CAB">
        <w:rPr>
          <w:rFonts w:asciiTheme="majorHAnsi" w:eastAsia="Calibri" w:hAnsiTheme="majorHAnsi" w:cstheme="majorHAnsi"/>
          <w:bCs/>
          <w:i/>
          <w:iCs/>
          <w:sz w:val="22"/>
          <w:szCs w:val="22"/>
          <w:lang w:eastAsia="en-US"/>
        </w:rPr>
        <w:t xml:space="preserve"> UPMC ICU Service Center: </w:t>
      </w:r>
      <w:r w:rsidRPr="00252CAB">
        <w:rPr>
          <w:rFonts w:asciiTheme="majorHAnsi" w:eastAsia="Calibri" w:hAnsiTheme="majorHAnsi" w:cstheme="majorHAnsi"/>
          <w:bCs/>
          <w:sz w:val="22"/>
          <w:szCs w:val="22"/>
          <w:lang w:eastAsia="en-US"/>
        </w:rPr>
        <w:t>Rachel Sackrowitz, Chenell Donadee, Aimee Skrtich</w:t>
      </w:r>
    </w:p>
    <w:p w14:paraId="0EB52A0E" w14:textId="763057EC" w:rsidR="00252CAB" w:rsidRPr="00252CAB" w:rsidRDefault="00252CAB" w:rsidP="009C2A20">
      <w:pPr>
        <w:spacing w:line="360" w:lineRule="auto"/>
        <w:rPr>
          <w:rFonts w:asciiTheme="majorHAnsi" w:eastAsia="Calibri" w:hAnsiTheme="majorHAnsi" w:cstheme="majorHAnsi"/>
          <w:bCs/>
          <w:sz w:val="22"/>
          <w:szCs w:val="22"/>
          <w:lang w:eastAsia="en-US"/>
        </w:rPr>
      </w:pPr>
      <w:r w:rsidRPr="00252CAB">
        <w:rPr>
          <w:rFonts w:asciiTheme="majorHAnsi" w:eastAsia="Calibri" w:hAnsiTheme="majorHAnsi" w:cstheme="majorHAnsi"/>
          <w:bCs/>
          <w:i/>
          <w:iCs/>
          <w:sz w:val="22"/>
          <w:szCs w:val="22"/>
          <w:lang w:eastAsia="en-US"/>
        </w:rPr>
        <w:t xml:space="preserve"> UPMC Wolff Center: </w:t>
      </w:r>
      <w:r w:rsidRPr="00252CAB">
        <w:rPr>
          <w:rFonts w:asciiTheme="majorHAnsi" w:eastAsia="Calibri" w:hAnsiTheme="majorHAnsi" w:cstheme="majorHAnsi"/>
          <w:bCs/>
          <w:sz w:val="22"/>
          <w:szCs w:val="22"/>
          <w:lang w:eastAsia="en-US"/>
        </w:rPr>
        <w:t>Tami Minnier, Mary Kay Wisniewski, Katelyn Mayak</w:t>
      </w:r>
    </w:p>
    <w:p w14:paraId="421C123B" w14:textId="68C82251" w:rsidR="00252CAB" w:rsidRPr="00252CAB" w:rsidRDefault="00252CAB" w:rsidP="009C2A20">
      <w:pPr>
        <w:spacing w:line="360" w:lineRule="auto"/>
        <w:rPr>
          <w:rFonts w:asciiTheme="majorHAnsi" w:eastAsia="Calibri" w:hAnsiTheme="majorHAnsi" w:cstheme="majorHAnsi"/>
          <w:bCs/>
          <w:sz w:val="22"/>
          <w:szCs w:val="22"/>
          <w:lang w:eastAsia="en-US"/>
        </w:rPr>
      </w:pPr>
      <w:r w:rsidRPr="00252CAB">
        <w:rPr>
          <w:rFonts w:asciiTheme="majorHAnsi" w:eastAsia="Calibri" w:hAnsiTheme="majorHAnsi" w:cstheme="majorHAnsi"/>
          <w:bCs/>
          <w:i/>
          <w:iCs/>
          <w:sz w:val="22"/>
          <w:szCs w:val="22"/>
          <w:lang w:eastAsia="en-US"/>
        </w:rPr>
        <w:t xml:space="preserve">UPMC eRecord Team: </w:t>
      </w:r>
      <w:r w:rsidRPr="00252CAB">
        <w:rPr>
          <w:rFonts w:asciiTheme="majorHAnsi" w:eastAsia="Calibri" w:hAnsiTheme="majorHAnsi" w:cstheme="majorHAnsi"/>
          <w:bCs/>
          <w:sz w:val="22"/>
          <w:szCs w:val="22"/>
          <w:lang w:eastAsia="en-US"/>
        </w:rPr>
        <w:t>Richard Ambrosino, Sherbrina Keen, Sue Della Toffalo, Martha Stambaugh, Ken Trimmer, Reno Perri, Sherry Casali, Rebecca Medva, Brent Massar, Ashley Beyerl, Jason Burkey, Sheryl Keeler, Maryalyce Lowery, Lynne Oncea, Jason Daugherty, Chanthou Sevilla, Amy Woelke, Julie Dice, Lisa Weber, Jason Roth, Cindy Ferringer, Deborah Beer, Jessica Fesz, Lillian Carpio</w:t>
      </w:r>
    </w:p>
    <w:p w14:paraId="367F218A" w14:textId="60D96C05" w:rsidR="00252CAB" w:rsidRPr="00252CAB" w:rsidRDefault="00252CAB" w:rsidP="009C2A20">
      <w:pPr>
        <w:spacing w:line="360" w:lineRule="auto"/>
        <w:rPr>
          <w:rFonts w:asciiTheme="majorHAnsi" w:eastAsia="Calibri" w:hAnsiTheme="majorHAnsi" w:cstheme="majorHAnsi"/>
          <w:bCs/>
          <w:sz w:val="22"/>
          <w:szCs w:val="22"/>
          <w:lang w:eastAsia="en-US"/>
        </w:rPr>
      </w:pPr>
      <w:r w:rsidRPr="00252CAB">
        <w:rPr>
          <w:rFonts w:asciiTheme="majorHAnsi" w:eastAsia="Calibri" w:hAnsiTheme="majorHAnsi" w:cstheme="majorHAnsi"/>
          <w:bCs/>
          <w:i/>
          <w:iCs/>
          <w:sz w:val="22"/>
          <w:szCs w:val="22"/>
          <w:lang w:eastAsia="en-US"/>
        </w:rPr>
        <w:t xml:space="preserve"> Data Collection/Curation Team: </w:t>
      </w:r>
      <w:r w:rsidRPr="00252CAB">
        <w:rPr>
          <w:rFonts w:asciiTheme="majorHAnsi" w:eastAsia="Calibri" w:hAnsiTheme="majorHAnsi" w:cstheme="majorHAnsi"/>
          <w:bCs/>
          <w:sz w:val="22"/>
          <w:szCs w:val="22"/>
          <w:lang w:eastAsia="en-US"/>
        </w:rPr>
        <w:t>Salim Malakouti (Computer Science, University of Pittsburgh), Edvin Music and Dan Ricketts (CRISMA Center), Andrew King (Biomedical Informatics, University of Pittsburgh), Gilles Clermont (Critical Care Medicine), Robert Bart (UPMC Health Services Division</w:t>
      </w:r>
      <w:r w:rsidRPr="00252CAB">
        <w:rPr>
          <w:rFonts w:asciiTheme="majorHAnsi" w:eastAsia="Calibri" w:hAnsiTheme="majorHAnsi" w:cstheme="majorHAnsi"/>
          <w:bCs/>
          <w:i/>
          <w:iCs/>
          <w:sz w:val="22"/>
          <w:szCs w:val="22"/>
          <w:lang w:eastAsia="en-US"/>
        </w:rPr>
        <w:t>)</w:t>
      </w:r>
    </w:p>
    <w:p w14:paraId="31453C69" w14:textId="1011D98E" w:rsidR="00252CAB" w:rsidRPr="00252CAB" w:rsidRDefault="00252CAB" w:rsidP="009C2A20">
      <w:pPr>
        <w:spacing w:line="360" w:lineRule="auto"/>
        <w:rPr>
          <w:rFonts w:asciiTheme="majorHAnsi" w:eastAsia="Calibri" w:hAnsiTheme="majorHAnsi" w:cstheme="majorHAnsi"/>
          <w:bCs/>
          <w:sz w:val="22"/>
          <w:szCs w:val="22"/>
          <w:lang w:eastAsia="en-US"/>
        </w:rPr>
      </w:pPr>
      <w:r w:rsidRPr="00252CAB">
        <w:rPr>
          <w:rFonts w:asciiTheme="majorHAnsi" w:eastAsia="Calibri" w:hAnsiTheme="majorHAnsi" w:cstheme="majorHAnsi"/>
          <w:bCs/>
          <w:i/>
          <w:iCs/>
          <w:sz w:val="22"/>
          <w:szCs w:val="22"/>
          <w:lang w:eastAsia="en-US"/>
        </w:rPr>
        <w:t xml:space="preserve"> UPMC Clinical Analytics: </w:t>
      </w:r>
      <w:r w:rsidRPr="00252CAB">
        <w:rPr>
          <w:rFonts w:asciiTheme="majorHAnsi" w:eastAsia="Calibri" w:hAnsiTheme="majorHAnsi" w:cstheme="majorHAnsi"/>
          <w:bCs/>
          <w:sz w:val="22"/>
          <w:szCs w:val="22"/>
          <w:lang w:eastAsia="en-US"/>
        </w:rPr>
        <w:t>Oscar Marroquin, Kevin Quinn, William Garrard, Kyle Kalchthaler</w:t>
      </w:r>
    </w:p>
    <w:p w14:paraId="421EA072" w14:textId="17D3D8FB" w:rsidR="00252CAB" w:rsidRPr="00252CAB" w:rsidRDefault="00252CAB" w:rsidP="009C2A20">
      <w:pPr>
        <w:spacing w:line="360" w:lineRule="auto"/>
        <w:rPr>
          <w:rFonts w:asciiTheme="majorHAnsi" w:eastAsia="Calibri" w:hAnsiTheme="majorHAnsi" w:cstheme="majorHAnsi"/>
          <w:bCs/>
          <w:sz w:val="22"/>
          <w:szCs w:val="22"/>
          <w:lang w:eastAsia="en-US"/>
        </w:rPr>
      </w:pPr>
      <w:r w:rsidRPr="00252CAB">
        <w:rPr>
          <w:rFonts w:asciiTheme="majorHAnsi" w:eastAsia="Calibri" w:hAnsiTheme="majorHAnsi" w:cstheme="majorHAnsi"/>
          <w:bCs/>
          <w:i/>
          <w:iCs/>
          <w:sz w:val="22"/>
          <w:szCs w:val="22"/>
          <w:lang w:eastAsia="en-US"/>
        </w:rPr>
        <w:t xml:space="preserve"> UPMC Office of Healthcare Innovation: </w:t>
      </w:r>
      <w:r w:rsidRPr="00252CAB">
        <w:rPr>
          <w:rFonts w:asciiTheme="majorHAnsi" w:eastAsia="Calibri" w:hAnsiTheme="majorHAnsi" w:cstheme="majorHAnsi"/>
          <w:bCs/>
          <w:sz w:val="22"/>
          <w:szCs w:val="22"/>
          <w:lang w:eastAsia="en-US"/>
        </w:rPr>
        <w:t>Derek Angus</w:t>
      </w:r>
    </w:p>
    <w:p w14:paraId="4B7C8F38" w14:textId="3537D818" w:rsidR="00252CAB" w:rsidRPr="00252CAB" w:rsidRDefault="00252CAB" w:rsidP="009C2A20">
      <w:pPr>
        <w:spacing w:line="360" w:lineRule="auto"/>
        <w:rPr>
          <w:rFonts w:asciiTheme="majorHAnsi" w:eastAsia="Calibri" w:hAnsiTheme="majorHAnsi" w:cstheme="majorHAnsi"/>
          <w:bCs/>
          <w:sz w:val="22"/>
          <w:szCs w:val="22"/>
          <w:lang w:eastAsia="en-US"/>
        </w:rPr>
      </w:pPr>
      <w:r w:rsidRPr="00252CAB">
        <w:rPr>
          <w:rFonts w:asciiTheme="majorHAnsi" w:eastAsia="Calibri" w:hAnsiTheme="majorHAnsi" w:cstheme="majorHAnsi"/>
          <w:bCs/>
          <w:i/>
          <w:iCs/>
          <w:sz w:val="22"/>
          <w:szCs w:val="22"/>
          <w:lang w:eastAsia="en-US"/>
        </w:rPr>
        <w:t xml:space="preserve"> Department of Emergency Medicine: </w:t>
      </w:r>
      <w:r w:rsidRPr="00252CAB">
        <w:rPr>
          <w:rFonts w:asciiTheme="majorHAnsi" w:eastAsia="Calibri" w:hAnsiTheme="majorHAnsi" w:cstheme="majorHAnsi"/>
          <w:bCs/>
          <w:sz w:val="22"/>
          <w:szCs w:val="22"/>
          <w:lang w:eastAsia="en-US"/>
        </w:rPr>
        <w:t>Alexandra Weissman, Donald Yealy, David Barton, Nadine Talia</w:t>
      </w:r>
    </w:p>
    <w:p w14:paraId="02D1FB99" w14:textId="3A69F26D" w:rsidR="00252CAB" w:rsidRPr="00252CAB" w:rsidRDefault="00252CAB" w:rsidP="009C2A20">
      <w:pPr>
        <w:spacing w:line="360" w:lineRule="auto"/>
        <w:rPr>
          <w:rFonts w:asciiTheme="majorHAnsi" w:eastAsia="Calibri" w:hAnsiTheme="majorHAnsi" w:cstheme="majorHAnsi"/>
          <w:bCs/>
          <w:sz w:val="22"/>
          <w:szCs w:val="22"/>
          <w:lang w:eastAsia="en-US"/>
        </w:rPr>
      </w:pPr>
      <w:r w:rsidRPr="00252CAB">
        <w:rPr>
          <w:rFonts w:asciiTheme="majorHAnsi" w:eastAsia="Calibri" w:hAnsiTheme="majorHAnsi" w:cstheme="majorHAnsi"/>
          <w:bCs/>
          <w:i/>
          <w:iCs/>
          <w:sz w:val="22"/>
          <w:szCs w:val="22"/>
          <w:lang w:eastAsia="en-US"/>
        </w:rPr>
        <w:t xml:space="preserve"> Department of Critical Care Medicine: </w:t>
      </w:r>
      <w:r w:rsidRPr="00252CAB">
        <w:rPr>
          <w:rFonts w:asciiTheme="majorHAnsi" w:eastAsia="Calibri" w:hAnsiTheme="majorHAnsi" w:cstheme="majorHAnsi"/>
          <w:bCs/>
          <w:sz w:val="22"/>
          <w:szCs w:val="22"/>
          <w:lang w:eastAsia="en-US"/>
        </w:rPr>
        <w:t>David Huang, Florian Mayr, Andrew Schoenling, Mark Andreae, Varun Shetty, Emily Brant, Brian Malley, Chenell Donadee, Derek Angus, Christopher Horvat, Christopher Seymour, Timothy Girard, Gilles Clermont, Rachel Sackrowitz, Robert Bart</w:t>
      </w:r>
    </w:p>
    <w:p w14:paraId="41FFAD8A" w14:textId="0D86140C" w:rsidR="00252CAB" w:rsidRPr="00252CAB" w:rsidRDefault="00252CAB" w:rsidP="009C2A20">
      <w:pPr>
        <w:spacing w:line="360" w:lineRule="auto"/>
        <w:rPr>
          <w:rFonts w:asciiTheme="majorHAnsi" w:eastAsia="Calibri" w:hAnsiTheme="majorHAnsi" w:cstheme="majorHAnsi"/>
          <w:bCs/>
          <w:sz w:val="22"/>
          <w:szCs w:val="22"/>
          <w:lang w:eastAsia="en-US"/>
        </w:rPr>
      </w:pPr>
      <w:r w:rsidRPr="00252CAB">
        <w:rPr>
          <w:rFonts w:asciiTheme="majorHAnsi" w:eastAsia="Calibri" w:hAnsiTheme="majorHAnsi" w:cstheme="majorHAnsi"/>
          <w:bCs/>
          <w:i/>
          <w:iCs/>
          <w:sz w:val="22"/>
          <w:szCs w:val="22"/>
          <w:lang w:eastAsia="en-US"/>
        </w:rPr>
        <w:lastRenderedPageBreak/>
        <w:t xml:space="preserve"> Division of Infectious Diseases: </w:t>
      </w:r>
      <w:r w:rsidRPr="00252CAB">
        <w:rPr>
          <w:rFonts w:asciiTheme="majorHAnsi" w:eastAsia="Calibri" w:hAnsiTheme="majorHAnsi" w:cstheme="majorHAnsi"/>
          <w:bCs/>
          <w:sz w:val="22"/>
          <w:szCs w:val="22"/>
          <w:lang w:eastAsia="en-US"/>
        </w:rPr>
        <w:t>Ghady Haidar</w:t>
      </w:r>
    </w:p>
    <w:p w14:paraId="38BDC12A" w14:textId="6B0CE552" w:rsidR="00252CAB" w:rsidRPr="00252CAB" w:rsidRDefault="00252CAB" w:rsidP="009C2A20">
      <w:pPr>
        <w:spacing w:line="360" w:lineRule="auto"/>
        <w:rPr>
          <w:rFonts w:asciiTheme="majorHAnsi" w:eastAsia="Calibri" w:hAnsiTheme="majorHAnsi" w:cstheme="majorHAnsi"/>
          <w:bCs/>
          <w:sz w:val="22"/>
          <w:szCs w:val="22"/>
          <w:lang w:eastAsia="en-US"/>
        </w:rPr>
      </w:pPr>
      <w:r w:rsidRPr="00252CAB">
        <w:rPr>
          <w:rFonts w:asciiTheme="majorHAnsi" w:eastAsia="Calibri" w:hAnsiTheme="majorHAnsi" w:cstheme="majorHAnsi"/>
          <w:bCs/>
          <w:i/>
          <w:iCs/>
          <w:sz w:val="22"/>
          <w:szCs w:val="22"/>
          <w:lang w:eastAsia="en-US"/>
        </w:rPr>
        <w:t xml:space="preserve"> Division of Pulmonary, Allergy, and Critical Care Medicine: </w:t>
      </w:r>
      <w:r w:rsidRPr="00252CAB">
        <w:rPr>
          <w:rFonts w:asciiTheme="majorHAnsi" w:eastAsia="Calibri" w:hAnsiTheme="majorHAnsi" w:cstheme="majorHAnsi"/>
          <w:bCs/>
          <w:sz w:val="22"/>
          <w:szCs w:val="22"/>
          <w:lang w:eastAsia="en-US"/>
        </w:rPr>
        <w:t>William Bain, Ian Barbash, Mark Brown, Antu Das, Meghan Fitzpatrick, Christopher Franz, Stefanie Hannan, Georgios Kitsios, Ritchie Koshy, Sophia Lieber, Emily Lyons, John McDyer, Bryan McVerry, Kaveh Moghbeli, Iulia Popescu, Brian Rosborough, Faraaz Shah, Tomeka Suber</w:t>
      </w:r>
    </w:p>
    <w:p w14:paraId="62A8434B" w14:textId="77777777" w:rsidR="00252CAB" w:rsidRPr="00252CAB" w:rsidRDefault="00252CAB" w:rsidP="009C2A20">
      <w:pPr>
        <w:spacing w:line="360" w:lineRule="auto"/>
        <w:rPr>
          <w:rFonts w:asciiTheme="majorHAnsi" w:eastAsia="Calibri" w:hAnsiTheme="majorHAnsi" w:cstheme="majorHAnsi"/>
          <w:bCs/>
          <w:sz w:val="22"/>
          <w:szCs w:val="22"/>
          <w:lang w:eastAsia="en-US"/>
        </w:rPr>
      </w:pPr>
      <w:r w:rsidRPr="00252CAB">
        <w:rPr>
          <w:rFonts w:asciiTheme="majorHAnsi" w:eastAsia="Calibri" w:hAnsiTheme="majorHAnsi" w:cstheme="majorHAnsi"/>
          <w:bCs/>
          <w:i/>
          <w:iCs/>
          <w:sz w:val="22"/>
          <w:szCs w:val="22"/>
          <w:lang w:eastAsia="en-US"/>
        </w:rPr>
        <w:t xml:space="preserve">Global Coalition for Adaptive Research (GCAR): </w:t>
      </w:r>
      <w:r w:rsidRPr="00252CAB">
        <w:rPr>
          <w:rFonts w:asciiTheme="majorHAnsi" w:eastAsia="Calibri" w:hAnsiTheme="majorHAnsi" w:cstheme="majorHAnsi"/>
          <w:bCs/>
          <w:sz w:val="22"/>
          <w:szCs w:val="22"/>
          <w:lang w:eastAsia="en-US"/>
        </w:rPr>
        <w:t>Meredith Buxton, Brian Alexander, Tracey Roberts</w:t>
      </w:r>
    </w:p>
    <w:p w14:paraId="36CA85C1" w14:textId="77777777" w:rsidR="00252CAB" w:rsidRPr="00252CAB" w:rsidRDefault="00252CAB" w:rsidP="009C2A20">
      <w:pPr>
        <w:spacing w:line="360" w:lineRule="auto"/>
        <w:rPr>
          <w:rFonts w:asciiTheme="majorHAnsi" w:eastAsia="Calibri" w:hAnsiTheme="majorHAnsi" w:cstheme="majorHAnsi"/>
          <w:bCs/>
          <w:sz w:val="22"/>
          <w:szCs w:val="22"/>
          <w:lang w:eastAsia="en-US"/>
        </w:rPr>
      </w:pPr>
      <w:r w:rsidRPr="00252CAB">
        <w:rPr>
          <w:rFonts w:asciiTheme="majorHAnsi" w:eastAsia="Calibri" w:hAnsiTheme="majorHAnsi" w:cstheme="majorHAnsi"/>
          <w:bCs/>
          <w:i/>
          <w:iCs/>
          <w:sz w:val="22"/>
          <w:szCs w:val="22"/>
          <w:lang w:eastAsia="en-US"/>
        </w:rPr>
        <w:t>UPMC Laboratory Services</w:t>
      </w:r>
      <w:r w:rsidRPr="00252CAB">
        <w:rPr>
          <w:rFonts w:asciiTheme="majorHAnsi" w:eastAsia="Calibri" w:hAnsiTheme="majorHAnsi" w:cstheme="majorHAnsi"/>
          <w:bCs/>
          <w:sz w:val="22"/>
          <w:szCs w:val="22"/>
          <w:lang w:eastAsia="en-US"/>
        </w:rPr>
        <w:t>:</w:t>
      </w:r>
      <w:r w:rsidRPr="00252CAB">
        <w:rPr>
          <w:rFonts w:asciiTheme="majorHAnsi" w:eastAsia="Calibri" w:hAnsiTheme="majorHAnsi" w:cstheme="majorHAnsi"/>
          <w:bCs/>
          <w:i/>
          <w:iCs/>
          <w:sz w:val="22"/>
          <w:szCs w:val="22"/>
          <w:lang w:eastAsia="en-US"/>
        </w:rPr>
        <w:t xml:space="preserve"> </w:t>
      </w:r>
      <w:r w:rsidRPr="00252CAB">
        <w:rPr>
          <w:rFonts w:asciiTheme="majorHAnsi" w:eastAsia="Calibri" w:hAnsiTheme="majorHAnsi" w:cstheme="majorHAnsi"/>
          <w:bCs/>
          <w:sz w:val="22"/>
          <w:szCs w:val="22"/>
          <w:lang w:eastAsia="en-US"/>
        </w:rPr>
        <w:t>Alan H. Wells</w:t>
      </w:r>
    </w:p>
    <w:p w14:paraId="5017B75D" w14:textId="77777777" w:rsidR="008D13CE" w:rsidRPr="00252CAB" w:rsidRDefault="008D13CE" w:rsidP="009C2A20">
      <w:pPr>
        <w:spacing w:line="360" w:lineRule="auto"/>
        <w:rPr>
          <w:rFonts w:asciiTheme="majorHAnsi" w:eastAsia="Calibri" w:hAnsiTheme="majorHAnsi" w:cstheme="majorHAnsi"/>
          <w:bCs/>
          <w:sz w:val="22"/>
          <w:szCs w:val="22"/>
          <w:lang w:eastAsia="en-US"/>
        </w:rPr>
      </w:pPr>
      <w:r w:rsidRPr="00252CAB">
        <w:rPr>
          <w:rFonts w:asciiTheme="majorHAnsi" w:eastAsia="Calibri" w:hAnsiTheme="majorHAnsi" w:cstheme="majorHAnsi"/>
          <w:bCs/>
          <w:i/>
          <w:iCs/>
          <w:sz w:val="22"/>
          <w:szCs w:val="22"/>
          <w:lang w:eastAsia="en-US"/>
        </w:rPr>
        <w:t xml:space="preserve">Berry Consultants: </w:t>
      </w:r>
      <w:r w:rsidRPr="00252CAB">
        <w:rPr>
          <w:rFonts w:asciiTheme="majorHAnsi" w:eastAsia="Calibri" w:hAnsiTheme="majorHAnsi" w:cstheme="majorHAnsi"/>
          <w:bCs/>
          <w:sz w:val="22"/>
          <w:szCs w:val="22"/>
          <w:lang w:eastAsia="en-US"/>
        </w:rPr>
        <w:t>Roger Lewis, Michelle Detry, Anna McGlothlin, Christina Saunders, Mark Fitzgerald, Ashish Sanil, Scott Berry</w:t>
      </w:r>
    </w:p>
    <w:p w14:paraId="6FFAA9E1" w14:textId="77777777" w:rsidR="00252CAB" w:rsidRPr="00252CAB" w:rsidRDefault="00252CAB" w:rsidP="009C2A20">
      <w:pPr>
        <w:spacing w:line="360" w:lineRule="auto"/>
        <w:rPr>
          <w:rFonts w:asciiTheme="majorHAnsi" w:eastAsia="Calibri" w:hAnsiTheme="majorHAnsi" w:cstheme="majorHAnsi"/>
          <w:bCs/>
          <w:sz w:val="22"/>
          <w:szCs w:val="22"/>
          <w:lang w:eastAsia="en-US"/>
        </w:rPr>
      </w:pPr>
    </w:p>
    <w:p w14:paraId="7E541A8A" w14:textId="77777777" w:rsidR="00252CAB" w:rsidRPr="00252CAB" w:rsidRDefault="00252CAB" w:rsidP="009C2A20">
      <w:pPr>
        <w:spacing w:line="360" w:lineRule="auto"/>
        <w:rPr>
          <w:rFonts w:asciiTheme="majorHAnsi" w:eastAsia="Calibri" w:hAnsiTheme="majorHAnsi" w:cstheme="majorHAnsi"/>
          <w:b/>
          <w:sz w:val="22"/>
          <w:szCs w:val="22"/>
          <w:lang w:val="en-AU" w:eastAsia="en-US"/>
        </w:rPr>
      </w:pPr>
      <w:bookmarkStart w:id="8" w:name="_Toc73456853"/>
      <w:r w:rsidRPr="00252CAB">
        <w:rPr>
          <w:rFonts w:asciiTheme="majorHAnsi" w:eastAsia="Calibri" w:hAnsiTheme="majorHAnsi" w:cstheme="majorHAnsi"/>
          <w:b/>
          <w:sz w:val="22"/>
          <w:szCs w:val="22"/>
          <w:lang w:val="en-AU" w:eastAsia="en-US"/>
        </w:rPr>
        <w:t>Clinical Trials Groups</w:t>
      </w:r>
      <w:bookmarkEnd w:id="8"/>
    </w:p>
    <w:p w14:paraId="7B8B1F6F" w14:textId="2F98D209" w:rsidR="00252CAB" w:rsidRPr="00252CAB" w:rsidRDefault="00252CAB" w:rsidP="009C2A20">
      <w:pPr>
        <w:spacing w:line="360" w:lineRule="auto"/>
        <w:rPr>
          <w:rFonts w:asciiTheme="majorHAnsi" w:eastAsia="Calibri" w:hAnsiTheme="majorHAnsi" w:cstheme="majorHAnsi"/>
          <w:bCs/>
          <w:sz w:val="22"/>
          <w:szCs w:val="22"/>
          <w:lang w:val="en-AU" w:eastAsia="en-US"/>
        </w:rPr>
      </w:pPr>
      <w:r w:rsidRPr="00252CAB">
        <w:rPr>
          <w:rFonts w:asciiTheme="majorHAnsi" w:eastAsia="Calibri" w:hAnsiTheme="majorHAnsi" w:cstheme="majorHAnsi"/>
          <w:bCs/>
          <w:sz w:val="22"/>
          <w:szCs w:val="22"/>
          <w:lang w:val="en-AU" w:eastAsia="en-US"/>
        </w:rPr>
        <w:t>The REMAP-CAP platform is supported by the Australian and New Zealand Intensive Care Society Clinical Trials Group, the Canadian Critical Care Trials Group, the Irish Critical Care Clinical Trials Network, the UK Critical Care Research Group</w:t>
      </w:r>
      <w:r w:rsidR="008D13CE">
        <w:rPr>
          <w:rFonts w:asciiTheme="majorHAnsi" w:eastAsia="Calibri" w:hAnsiTheme="majorHAnsi" w:cstheme="majorHAnsi"/>
          <w:bCs/>
          <w:sz w:val="22"/>
          <w:szCs w:val="22"/>
          <w:lang w:val="en-AU" w:eastAsia="en-US"/>
        </w:rPr>
        <w:t xml:space="preserve">, and </w:t>
      </w:r>
      <w:r w:rsidRPr="00252CAB">
        <w:rPr>
          <w:rFonts w:asciiTheme="majorHAnsi" w:eastAsia="Calibri" w:hAnsiTheme="majorHAnsi" w:cstheme="majorHAnsi"/>
          <w:bCs/>
          <w:sz w:val="22"/>
          <w:szCs w:val="22"/>
          <w:lang w:val="en-AU" w:eastAsia="en-US"/>
        </w:rPr>
        <w:t>the International Forum of Acute Care Trialists</w:t>
      </w:r>
      <w:r w:rsidR="008D13CE">
        <w:rPr>
          <w:rFonts w:asciiTheme="majorHAnsi" w:eastAsia="Calibri" w:hAnsiTheme="majorHAnsi" w:cstheme="majorHAnsi"/>
          <w:bCs/>
          <w:sz w:val="22"/>
          <w:szCs w:val="22"/>
          <w:lang w:val="en-AU" w:eastAsia="en-US"/>
        </w:rPr>
        <w:t xml:space="preserve">. </w:t>
      </w:r>
    </w:p>
    <w:p w14:paraId="2341D68B" w14:textId="77777777" w:rsidR="00252CAB" w:rsidRPr="00252CAB" w:rsidRDefault="00252CAB" w:rsidP="009C2A20">
      <w:pPr>
        <w:spacing w:line="360" w:lineRule="auto"/>
        <w:rPr>
          <w:rFonts w:asciiTheme="majorHAnsi" w:eastAsia="Calibri" w:hAnsiTheme="majorHAnsi" w:cstheme="majorHAnsi"/>
          <w:bCs/>
          <w:sz w:val="22"/>
          <w:szCs w:val="22"/>
          <w:lang w:val="en-AU" w:eastAsia="en-US"/>
        </w:rPr>
      </w:pPr>
    </w:p>
    <w:p w14:paraId="2FD057A8" w14:textId="77777777" w:rsidR="00252CAB" w:rsidRPr="00252CAB" w:rsidRDefault="00252CAB" w:rsidP="009C2A20">
      <w:pPr>
        <w:spacing w:line="360" w:lineRule="auto"/>
        <w:rPr>
          <w:rFonts w:asciiTheme="majorHAnsi" w:eastAsia="Calibri" w:hAnsiTheme="majorHAnsi" w:cstheme="majorHAnsi"/>
          <w:bCs/>
          <w:sz w:val="22"/>
          <w:szCs w:val="22"/>
          <w:lang w:val="en-AU" w:eastAsia="en-US"/>
        </w:rPr>
      </w:pPr>
      <w:r w:rsidRPr="00252CAB">
        <w:rPr>
          <w:rFonts w:asciiTheme="majorHAnsi" w:eastAsia="Calibri" w:hAnsiTheme="majorHAnsi" w:cstheme="majorHAnsi"/>
          <w:bCs/>
          <w:sz w:val="22"/>
          <w:szCs w:val="22"/>
          <w:lang w:val="en-AU" w:eastAsia="en-US"/>
        </w:rPr>
        <w:t xml:space="preserve">REMAP-CAP was supported in the UK by the NIHR Clinical Research Network and we acknowledge the contribution of Kate Gilmour, Karen Pearson,  Chris Siewerski,  Sally-Anne Hurford,  Emma Marsh,  Debbie Campbell, Penny Williams,  Kim Shirley, Meg Logan,  Jane Hanson, Anne Oliver, Mihaela Sutu,  Sheenagh Murphy,  Latha Aravindan,  Joanne Collins,  Holly Monaghan, Adam Unsworth, Seonaid Beddows,  Laura Ann Dawson,  Sarah Dyas, Adeeba Asghar,  Kate Donaldson, Tabitha Skinner,  Nhlanhla Mguni,  Natasha Muzengi,  Ji Luo, Joanna O’Reilly,  Chris Levett,  Alison Potter, David Porter, Teresa Lockett,  Jazz Bartholomew,  Clare Rook,   Hannah Williams, Alistair S Hall,  Hilary Campbell,  Holly Speight,  Sandra Halden, Susan Harrison, Mobeena Naz, Charles Rounds,  Kaatje Lomme,  Johnathan Sheffield,  William Van’t Hoff,  James D Williamson,  Catherine Birch,  Morwenna Brend,  Emma Chambers, , Sarah Crawshaw,  Chelsea Drake,  Heather Harper,  Stephen Lock,  Eleanor OKell,  Amber Hayes, Susan Walker,  Jayne Goodwin, Helen Hodgson, Yvette Ellis, Dawn Williamson, Madeleine Bayne, Shane Jackson, Rahim Byrne, Sonia McKenna, Alison Clinton, NIHR Urgent Public Health Group: </w:t>
      </w:r>
      <w:hyperlink r:id="rId9" w:anchor="Members" w:history="1">
        <w:r w:rsidRPr="00252CAB">
          <w:rPr>
            <w:rStyle w:val="Hyperlink"/>
            <w:rFonts w:asciiTheme="majorHAnsi" w:eastAsia="Calibri" w:hAnsiTheme="majorHAnsi" w:cstheme="majorHAnsi"/>
            <w:bCs/>
            <w:sz w:val="22"/>
            <w:szCs w:val="22"/>
            <w:u w:val="none"/>
            <w:lang w:val="en-AU" w:eastAsia="en-US"/>
          </w:rPr>
          <w:t>https://www.nihr.ac.uk/documents/urgent-public-health-group-members/24638#Members</w:t>
        </w:r>
      </w:hyperlink>
    </w:p>
    <w:p w14:paraId="66BF949B" w14:textId="10622208" w:rsidR="00252CAB" w:rsidRPr="00252CAB" w:rsidRDefault="008D13CE" w:rsidP="009C2A20">
      <w:pPr>
        <w:spacing w:line="360" w:lineRule="auto"/>
        <w:rPr>
          <w:rFonts w:asciiTheme="majorHAnsi" w:eastAsia="Calibri" w:hAnsiTheme="majorHAnsi" w:cstheme="majorHAnsi"/>
          <w:bCs/>
          <w:sz w:val="22"/>
          <w:szCs w:val="22"/>
          <w:lang w:eastAsia="en-US"/>
        </w:rPr>
      </w:pPr>
      <w:r w:rsidRPr="00252CAB">
        <w:rPr>
          <w:rFonts w:asciiTheme="majorHAnsi" w:eastAsia="Calibri" w:hAnsiTheme="majorHAnsi" w:cstheme="majorHAnsi"/>
          <w:bCs/>
          <w:sz w:val="22"/>
          <w:szCs w:val="22"/>
          <w:lang w:val="en-AU" w:eastAsia="en-US"/>
        </w:rPr>
        <w:t xml:space="preserve">REMAP-CAP was supported in Ireland by the Irish Critical Care Clinical Trials Network and we acknowledge the contribution of </w:t>
      </w:r>
      <w:r w:rsidRPr="00252CAB">
        <w:rPr>
          <w:rFonts w:asciiTheme="majorHAnsi" w:eastAsia="Calibri" w:hAnsiTheme="majorHAnsi" w:cstheme="majorHAnsi"/>
          <w:bCs/>
          <w:sz w:val="22"/>
          <w:szCs w:val="22"/>
          <w:lang w:eastAsia="en-US"/>
        </w:rPr>
        <w:t>Kate Ainscough, Kathy Brickell and Peter Doran.</w:t>
      </w:r>
    </w:p>
    <w:p w14:paraId="5E7E1151" w14:textId="77777777" w:rsidR="00252CAB" w:rsidRPr="00252CAB" w:rsidRDefault="00252CAB" w:rsidP="009C2A20">
      <w:pPr>
        <w:spacing w:line="360" w:lineRule="auto"/>
        <w:rPr>
          <w:rFonts w:asciiTheme="majorHAnsi" w:eastAsia="Calibri" w:hAnsiTheme="majorHAnsi" w:cstheme="majorHAnsi"/>
          <w:bCs/>
          <w:sz w:val="22"/>
          <w:szCs w:val="22"/>
          <w:lang w:val="en-AU" w:eastAsia="en-US"/>
        </w:rPr>
      </w:pPr>
    </w:p>
    <w:p w14:paraId="1B134672" w14:textId="1FC0542A" w:rsidR="00252CAB" w:rsidRPr="00252CAB" w:rsidRDefault="00252CAB" w:rsidP="009C2A20">
      <w:pPr>
        <w:spacing w:line="360" w:lineRule="auto"/>
        <w:rPr>
          <w:rFonts w:asciiTheme="majorHAnsi" w:eastAsia="Calibri" w:hAnsiTheme="majorHAnsi" w:cstheme="majorHAnsi"/>
          <w:bCs/>
          <w:sz w:val="22"/>
          <w:szCs w:val="22"/>
          <w:lang w:val="en-AU" w:eastAsia="en-US"/>
        </w:rPr>
      </w:pPr>
      <w:r w:rsidRPr="00252CAB">
        <w:rPr>
          <w:rFonts w:asciiTheme="majorHAnsi" w:eastAsia="Calibri" w:hAnsiTheme="majorHAnsi" w:cstheme="majorHAnsi"/>
          <w:bCs/>
          <w:sz w:val="22"/>
          <w:szCs w:val="22"/>
          <w:lang w:val="en-AU" w:eastAsia="en-US"/>
        </w:rPr>
        <w:t>REMAP-CAP was supported in France by the CRICS-TRIGGERSEP network.</w:t>
      </w:r>
    </w:p>
    <w:p w14:paraId="1B912BB0" w14:textId="77777777" w:rsidR="00252CAB" w:rsidRPr="00252CAB" w:rsidRDefault="00252CAB" w:rsidP="009C2A20">
      <w:pPr>
        <w:spacing w:line="360" w:lineRule="auto"/>
        <w:rPr>
          <w:rFonts w:asciiTheme="majorHAnsi" w:eastAsia="Calibri" w:hAnsiTheme="majorHAnsi" w:cstheme="majorHAnsi"/>
          <w:bCs/>
          <w:sz w:val="22"/>
          <w:szCs w:val="22"/>
          <w:lang w:eastAsia="en-US"/>
        </w:rPr>
      </w:pPr>
    </w:p>
    <w:p w14:paraId="2B45B650" w14:textId="77777777" w:rsidR="00252CAB" w:rsidRPr="00252CAB" w:rsidRDefault="00252CAB" w:rsidP="009C2A20">
      <w:pPr>
        <w:spacing w:line="360" w:lineRule="auto"/>
        <w:rPr>
          <w:rFonts w:asciiTheme="majorHAnsi" w:eastAsia="Calibri" w:hAnsiTheme="majorHAnsi" w:cstheme="majorHAnsi"/>
          <w:bCs/>
          <w:sz w:val="22"/>
          <w:szCs w:val="22"/>
          <w:lang w:val="en-AU" w:eastAsia="en-US"/>
        </w:rPr>
      </w:pPr>
      <w:r w:rsidRPr="00252CAB">
        <w:rPr>
          <w:rFonts w:asciiTheme="majorHAnsi" w:eastAsia="Calibri" w:hAnsiTheme="majorHAnsi" w:cstheme="majorHAnsi"/>
          <w:bCs/>
          <w:sz w:val="22"/>
          <w:szCs w:val="22"/>
          <w:lang w:eastAsia="en-US"/>
        </w:rPr>
        <w:lastRenderedPageBreak/>
        <w:t>REMAP-CAP was supported in the Netherlands by the Research Collaboration Critical Care the Netherlands (RCC-Net).</w:t>
      </w:r>
    </w:p>
    <w:p w14:paraId="2C6FD775" w14:textId="77777777" w:rsidR="00252CAB" w:rsidRPr="00252CAB" w:rsidRDefault="00252CAB" w:rsidP="009C2A20">
      <w:pPr>
        <w:spacing w:line="360" w:lineRule="auto"/>
        <w:rPr>
          <w:rFonts w:asciiTheme="majorHAnsi" w:eastAsia="Calibri" w:hAnsiTheme="majorHAnsi" w:cstheme="majorHAnsi"/>
          <w:bCs/>
          <w:sz w:val="22"/>
          <w:szCs w:val="22"/>
          <w:lang w:val="en-AU" w:eastAsia="en-US"/>
        </w:rPr>
      </w:pPr>
    </w:p>
    <w:p w14:paraId="66772799" w14:textId="46432F4A" w:rsidR="00B84795" w:rsidRPr="00BD1D43" w:rsidRDefault="00252CAB" w:rsidP="009C2A20">
      <w:pPr>
        <w:spacing w:line="360" w:lineRule="auto"/>
        <w:rPr>
          <w:rFonts w:asciiTheme="majorHAnsi" w:eastAsia="Calibri" w:hAnsiTheme="majorHAnsi" w:cstheme="majorHAnsi"/>
          <w:bCs/>
          <w:sz w:val="22"/>
          <w:szCs w:val="22"/>
          <w:lang w:val="en-AU" w:eastAsia="en-US"/>
        </w:rPr>
      </w:pPr>
      <w:r w:rsidRPr="00252CAB">
        <w:rPr>
          <w:rFonts w:asciiTheme="majorHAnsi" w:eastAsia="Calibri" w:hAnsiTheme="majorHAnsi" w:cstheme="majorHAnsi"/>
          <w:bCs/>
          <w:sz w:val="22"/>
          <w:szCs w:val="22"/>
          <w:lang w:val="en-AU" w:eastAsia="en-US"/>
        </w:rPr>
        <w:t>REMAP-CAP was supported in the United States by the Translational Breast Cancer Research Consortium, the UPMC Learning While Doing Program, and the Global Coalition for Adaptive Research</w:t>
      </w:r>
      <w:bookmarkStart w:id="9" w:name="_Toc73456765"/>
      <w:bookmarkStart w:id="10" w:name="_Toc73456865"/>
      <w:bookmarkEnd w:id="9"/>
      <w:bookmarkEnd w:id="10"/>
      <w:r w:rsidR="00B84795" w:rsidRPr="00F37253">
        <w:rPr>
          <w:rFonts w:asciiTheme="majorHAnsi" w:hAnsiTheme="majorHAnsi" w:cstheme="majorHAnsi"/>
          <w:sz w:val="22"/>
          <w:szCs w:val="22"/>
          <w:lang w:val="en-US"/>
        </w:rPr>
        <w:br w:type="page"/>
      </w:r>
    </w:p>
    <w:p w14:paraId="56C42DD0" w14:textId="678B335B" w:rsidR="00E61210" w:rsidRDefault="00E61210" w:rsidP="009F07E7">
      <w:pPr>
        <w:pStyle w:val="ADSCAP"/>
        <w:numPr>
          <w:ilvl w:val="0"/>
          <w:numId w:val="9"/>
        </w:numPr>
        <w:outlineLvl w:val="0"/>
        <w:rPr>
          <w:i w:val="0"/>
          <w:iCs/>
          <w:sz w:val="28"/>
          <w:szCs w:val="28"/>
        </w:rPr>
      </w:pPr>
      <w:bookmarkStart w:id="11" w:name="_Toc72762433"/>
      <w:bookmarkStart w:id="12" w:name="_Toc74659150"/>
      <w:r w:rsidRPr="00631027">
        <w:rPr>
          <w:i w:val="0"/>
          <w:iCs/>
          <w:sz w:val="28"/>
          <w:szCs w:val="28"/>
        </w:rPr>
        <w:lastRenderedPageBreak/>
        <w:t>Additional methods</w:t>
      </w:r>
      <w:bookmarkStart w:id="13" w:name="_Toc72762434"/>
      <w:bookmarkEnd w:id="11"/>
      <w:bookmarkEnd w:id="12"/>
    </w:p>
    <w:p w14:paraId="4F61D6FD" w14:textId="77777777" w:rsidR="00DF06D2" w:rsidRDefault="00DF06D2" w:rsidP="00C61C51">
      <w:pPr>
        <w:pStyle w:val="ADSCAP"/>
        <w:numPr>
          <w:ilvl w:val="1"/>
          <w:numId w:val="9"/>
        </w:numPr>
        <w:rPr>
          <w:sz w:val="24"/>
          <w:szCs w:val="24"/>
        </w:rPr>
      </w:pPr>
      <w:bookmarkStart w:id="14" w:name="_Toc74659151"/>
      <w:r w:rsidRPr="00631027">
        <w:rPr>
          <w:sz w:val="24"/>
          <w:szCs w:val="24"/>
        </w:rPr>
        <w:t>REMAP-CAP eligibility criteria for suspected or proven COVID-19</w:t>
      </w:r>
      <w:bookmarkEnd w:id="14"/>
    </w:p>
    <w:p w14:paraId="2354B7A2" w14:textId="77777777" w:rsidR="00C61C51" w:rsidRPr="00C61C51" w:rsidRDefault="00C61C51" w:rsidP="00C61C51">
      <w:pPr>
        <w:pStyle w:val="Heading4"/>
        <w:rPr>
          <w:rFonts w:asciiTheme="majorHAnsi" w:hAnsiTheme="majorHAnsi" w:cstheme="majorHAnsi"/>
          <w:sz w:val="22"/>
          <w:szCs w:val="22"/>
          <w:lang w:val="en-US"/>
        </w:rPr>
      </w:pPr>
      <w:r w:rsidRPr="00F37253">
        <w:rPr>
          <w:rFonts w:asciiTheme="majorHAnsi" w:hAnsiTheme="majorHAnsi" w:cstheme="majorHAnsi"/>
          <w:sz w:val="22"/>
          <w:szCs w:val="22"/>
          <w:lang w:val="en-US"/>
        </w:rPr>
        <w:t>Platform inclusion criteria:</w:t>
      </w:r>
    </w:p>
    <w:p w14:paraId="47DE0232" w14:textId="77777777" w:rsidR="00C61C51" w:rsidRDefault="00C61C51" w:rsidP="00C61C51">
      <w:pPr>
        <w:pStyle w:val="Default"/>
        <w:spacing w:line="360" w:lineRule="auto"/>
        <w:rPr>
          <w:rFonts w:asciiTheme="majorHAnsi" w:hAnsiTheme="majorHAnsi" w:cstheme="majorHAnsi"/>
          <w:sz w:val="22"/>
          <w:szCs w:val="22"/>
        </w:rPr>
      </w:pPr>
    </w:p>
    <w:p w14:paraId="0D0BA8E0" w14:textId="33F75207" w:rsidR="00C61C51" w:rsidRDefault="00C61C51" w:rsidP="00C61C51">
      <w:pPr>
        <w:pStyle w:val="Default"/>
        <w:spacing w:line="360" w:lineRule="auto"/>
        <w:rPr>
          <w:rFonts w:asciiTheme="majorHAnsi" w:hAnsiTheme="majorHAnsi" w:cstheme="majorHAnsi"/>
          <w:sz w:val="22"/>
          <w:szCs w:val="22"/>
        </w:rPr>
      </w:pPr>
      <w:r>
        <w:rPr>
          <w:rFonts w:asciiTheme="majorHAnsi" w:hAnsiTheme="majorHAnsi" w:cstheme="majorHAnsi"/>
          <w:sz w:val="22"/>
          <w:szCs w:val="22"/>
        </w:rPr>
        <w:t>During a pandemic, the platform inclusion criteria as listed in the Core Protocol (www.remapcap.org) are modified as described in the Pandemic Appendix to the Core Protocol (</w:t>
      </w:r>
      <w:hyperlink r:id="rId10" w:history="1">
        <w:r w:rsidRPr="004E7338">
          <w:rPr>
            <w:rStyle w:val="Hyperlink"/>
            <w:rFonts w:asciiTheme="majorHAnsi" w:hAnsiTheme="majorHAnsi" w:cstheme="majorHAnsi"/>
            <w:sz w:val="22"/>
            <w:szCs w:val="22"/>
          </w:rPr>
          <w:t>www.remapcap.org</w:t>
        </w:r>
      </w:hyperlink>
      <w:r>
        <w:rPr>
          <w:rFonts w:asciiTheme="majorHAnsi" w:hAnsiTheme="majorHAnsi" w:cstheme="majorHAnsi"/>
          <w:sz w:val="22"/>
          <w:szCs w:val="22"/>
        </w:rPr>
        <w:t>). As such, the COVID-19 platform level inclusion criteria are:</w:t>
      </w:r>
    </w:p>
    <w:p w14:paraId="32129988" w14:textId="77777777" w:rsidR="00C61C51" w:rsidRDefault="00C61C51" w:rsidP="00C61C51">
      <w:pPr>
        <w:pStyle w:val="Default"/>
        <w:spacing w:line="360" w:lineRule="auto"/>
        <w:rPr>
          <w:rFonts w:asciiTheme="majorHAnsi" w:hAnsiTheme="majorHAnsi" w:cstheme="majorHAnsi"/>
          <w:sz w:val="22"/>
          <w:szCs w:val="22"/>
        </w:rPr>
      </w:pPr>
    </w:p>
    <w:p w14:paraId="552CEB8D" w14:textId="77777777" w:rsidR="00C61C51" w:rsidRPr="00C61C51" w:rsidRDefault="00C61C51" w:rsidP="0017501A">
      <w:pPr>
        <w:pStyle w:val="Default"/>
        <w:spacing w:line="360" w:lineRule="auto"/>
        <w:rPr>
          <w:rFonts w:asciiTheme="majorHAnsi" w:hAnsiTheme="majorHAnsi" w:cstheme="majorHAnsi"/>
          <w:sz w:val="22"/>
          <w:szCs w:val="22"/>
        </w:rPr>
      </w:pPr>
      <w:r w:rsidRPr="00C61C51">
        <w:rPr>
          <w:rFonts w:asciiTheme="majorHAnsi" w:hAnsiTheme="majorHAnsi" w:cstheme="majorHAnsi"/>
          <w:sz w:val="22"/>
          <w:szCs w:val="22"/>
        </w:rPr>
        <w:t xml:space="preserve">In order to be eligible to participate in the pandemic aspects of REMAP-CAP, a patient must meet the following criteria: </w:t>
      </w:r>
    </w:p>
    <w:p w14:paraId="3182E16D" w14:textId="79FCAD96" w:rsidR="00C61C51" w:rsidRPr="0017501A" w:rsidRDefault="00C61C51" w:rsidP="00C61C51">
      <w:pPr>
        <w:pStyle w:val="Default"/>
        <w:numPr>
          <w:ilvl w:val="0"/>
          <w:numId w:val="10"/>
        </w:numPr>
        <w:spacing w:line="360" w:lineRule="auto"/>
        <w:rPr>
          <w:rFonts w:asciiTheme="majorHAnsi" w:hAnsiTheme="majorHAnsi" w:cstheme="majorHAnsi"/>
          <w:sz w:val="22"/>
          <w:szCs w:val="22"/>
        </w:rPr>
      </w:pPr>
      <w:r w:rsidRPr="00C61C51">
        <w:rPr>
          <w:rFonts w:asciiTheme="majorHAnsi" w:hAnsiTheme="majorHAnsi" w:cstheme="majorHAnsi"/>
          <w:sz w:val="22"/>
          <w:szCs w:val="22"/>
        </w:rPr>
        <w:t xml:space="preserve">Adult patient admitted to hospital with acute illness due to suspected or proven pandemic infection </w:t>
      </w:r>
    </w:p>
    <w:p w14:paraId="0DBA70A1" w14:textId="04AE65C5" w:rsidR="00DF06D2" w:rsidRDefault="00DF06D2" w:rsidP="00C61C51">
      <w:pPr>
        <w:pStyle w:val="ListParagraph"/>
        <w:numPr>
          <w:ilvl w:val="0"/>
          <w:numId w:val="4"/>
        </w:numPr>
        <w:rPr>
          <w:rFonts w:asciiTheme="majorHAnsi" w:hAnsiTheme="majorHAnsi" w:cstheme="majorHAnsi"/>
          <w:szCs w:val="22"/>
        </w:rPr>
      </w:pPr>
      <w:r w:rsidRPr="00C61C51">
        <w:rPr>
          <w:rFonts w:asciiTheme="majorHAnsi" w:hAnsiTheme="majorHAnsi" w:cstheme="majorHAnsi"/>
          <w:szCs w:val="22"/>
        </w:rPr>
        <w:t xml:space="preserve">Either </w:t>
      </w:r>
      <w:r>
        <w:rPr>
          <w:rFonts w:asciiTheme="majorHAnsi" w:hAnsiTheme="majorHAnsi" w:cstheme="majorHAnsi"/>
          <w:szCs w:val="22"/>
        </w:rPr>
        <w:t xml:space="preserve">Severe State or Moderate State patient. </w:t>
      </w:r>
      <w:r w:rsidRPr="00631027">
        <w:rPr>
          <w:rFonts w:asciiTheme="majorHAnsi" w:hAnsiTheme="majorHAnsi" w:cstheme="majorHAnsi"/>
          <w:szCs w:val="22"/>
        </w:rPr>
        <w:t>Patients were categorized into one of two states, which were mutually exclusive:</w:t>
      </w:r>
    </w:p>
    <w:p w14:paraId="447F8CF5" w14:textId="77777777" w:rsidR="00DF06D2" w:rsidRPr="00F37253" w:rsidRDefault="00DF06D2" w:rsidP="00C61C51">
      <w:pPr>
        <w:pStyle w:val="ListParagraph"/>
        <w:numPr>
          <w:ilvl w:val="1"/>
          <w:numId w:val="4"/>
        </w:numPr>
        <w:rPr>
          <w:rFonts w:asciiTheme="majorHAnsi" w:hAnsiTheme="majorHAnsi" w:cstheme="majorHAnsi"/>
          <w:szCs w:val="22"/>
        </w:rPr>
      </w:pPr>
      <w:r>
        <w:rPr>
          <w:rFonts w:asciiTheme="majorHAnsi" w:hAnsiTheme="majorHAnsi" w:cstheme="majorHAnsi"/>
          <w:szCs w:val="22"/>
        </w:rPr>
        <w:t>Severe State</w:t>
      </w:r>
      <w:r w:rsidRPr="00F37253">
        <w:rPr>
          <w:rFonts w:asciiTheme="majorHAnsi" w:hAnsiTheme="majorHAnsi" w:cstheme="majorHAnsi"/>
          <w:szCs w:val="22"/>
        </w:rPr>
        <w:t xml:space="preserve">, defined by receiving respiratory or cardiovascular organ failure support in an intensive care unit (ICU). </w:t>
      </w:r>
    </w:p>
    <w:p w14:paraId="6C4F5CE1" w14:textId="77777777" w:rsidR="00DF06D2" w:rsidRPr="00F37253" w:rsidRDefault="00DF06D2" w:rsidP="00C61C51">
      <w:pPr>
        <w:pStyle w:val="ListParagraph"/>
        <w:numPr>
          <w:ilvl w:val="2"/>
          <w:numId w:val="4"/>
        </w:numPr>
        <w:rPr>
          <w:rFonts w:asciiTheme="majorHAnsi" w:hAnsiTheme="majorHAnsi" w:cstheme="majorHAnsi"/>
          <w:szCs w:val="22"/>
        </w:rPr>
      </w:pPr>
      <w:r w:rsidRPr="00F37253">
        <w:rPr>
          <w:rFonts w:asciiTheme="majorHAnsi" w:hAnsiTheme="majorHAnsi" w:cstheme="majorHAnsi"/>
          <w:szCs w:val="22"/>
        </w:rPr>
        <w:t>Respiratory organ support is defined as invasive or non-invasive mechanical ventilation including via high flow nasal cannula if flow rate &gt;30 L/min and F</w:t>
      </w:r>
      <w:r w:rsidRPr="00F37253">
        <w:rPr>
          <w:rFonts w:asciiTheme="majorHAnsi" w:hAnsiTheme="majorHAnsi" w:cstheme="majorHAnsi"/>
          <w:smallCaps/>
          <w:szCs w:val="22"/>
        </w:rPr>
        <w:t>i</w:t>
      </w:r>
      <w:r w:rsidRPr="00F37253">
        <w:rPr>
          <w:rFonts w:asciiTheme="majorHAnsi" w:hAnsiTheme="majorHAnsi" w:cstheme="majorHAnsi"/>
          <w:szCs w:val="22"/>
        </w:rPr>
        <w:t>O</w:t>
      </w:r>
      <w:r w:rsidRPr="00F37253">
        <w:rPr>
          <w:rFonts w:asciiTheme="majorHAnsi" w:hAnsiTheme="majorHAnsi" w:cstheme="majorHAnsi"/>
          <w:szCs w:val="22"/>
          <w:vertAlign w:val="subscript"/>
        </w:rPr>
        <w:t>2</w:t>
      </w:r>
      <w:r w:rsidRPr="00F37253">
        <w:rPr>
          <w:rFonts w:asciiTheme="majorHAnsi" w:hAnsiTheme="majorHAnsi" w:cstheme="majorHAnsi"/>
          <w:szCs w:val="22"/>
        </w:rPr>
        <w:t xml:space="preserve"> &gt;0.4. If non-invasive ventilation would normally be provided but is being withheld, due to infection control concerns associated with aerosol generating procedures, then the patient still meets the severe disease state criteria.</w:t>
      </w:r>
    </w:p>
    <w:p w14:paraId="3BAB27B0" w14:textId="77777777" w:rsidR="00DF06D2" w:rsidRPr="00F37253" w:rsidRDefault="00DF06D2" w:rsidP="009F07E7">
      <w:pPr>
        <w:pStyle w:val="ListParagraph"/>
        <w:numPr>
          <w:ilvl w:val="2"/>
          <w:numId w:val="4"/>
        </w:numPr>
        <w:rPr>
          <w:rFonts w:asciiTheme="majorHAnsi" w:hAnsiTheme="majorHAnsi" w:cstheme="majorHAnsi"/>
          <w:szCs w:val="22"/>
        </w:rPr>
      </w:pPr>
      <w:r w:rsidRPr="00F37253">
        <w:rPr>
          <w:rFonts w:asciiTheme="majorHAnsi" w:hAnsiTheme="majorHAnsi" w:cstheme="majorHAnsi"/>
          <w:szCs w:val="22"/>
        </w:rPr>
        <w:t>Cardiovascular organ support was defined as the intravenous infusion of any vasopressor or inotrope.</w:t>
      </w:r>
    </w:p>
    <w:p w14:paraId="301E5FD5" w14:textId="77777777" w:rsidR="00DF06D2" w:rsidRDefault="00DF06D2" w:rsidP="009F07E7">
      <w:pPr>
        <w:pStyle w:val="ListParagraph"/>
        <w:numPr>
          <w:ilvl w:val="2"/>
          <w:numId w:val="4"/>
        </w:numPr>
        <w:rPr>
          <w:rFonts w:asciiTheme="majorHAnsi" w:hAnsiTheme="majorHAnsi" w:cstheme="majorHAnsi"/>
          <w:szCs w:val="22"/>
        </w:rPr>
      </w:pPr>
      <w:r w:rsidRPr="00F37253">
        <w:rPr>
          <w:rFonts w:asciiTheme="majorHAnsi" w:hAnsiTheme="majorHAnsi" w:cstheme="majorHAnsi"/>
          <w:szCs w:val="22"/>
        </w:rPr>
        <w:t>Pandemic surge capacity means that provision of advanced organ support may need to occur in locations that do not usually provide ICU-level care. Therefore, an ICU is defined as an area within the hospital that is repurposed so as to be able to deliver one or more of the qualifying organ failure</w:t>
      </w:r>
      <w:r>
        <w:rPr>
          <w:rFonts w:asciiTheme="majorHAnsi" w:hAnsiTheme="majorHAnsi" w:cstheme="majorHAnsi"/>
          <w:szCs w:val="22"/>
        </w:rPr>
        <w:t xml:space="preserve"> </w:t>
      </w:r>
      <w:r w:rsidRPr="00F37253">
        <w:rPr>
          <w:rFonts w:asciiTheme="majorHAnsi" w:hAnsiTheme="majorHAnsi" w:cstheme="majorHAnsi"/>
          <w:szCs w:val="22"/>
        </w:rPr>
        <w:t>supports (non-invasive ventilation, invasive ventilation, and vasopressor therapy)</w:t>
      </w:r>
    </w:p>
    <w:p w14:paraId="184F4081" w14:textId="5D108293" w:rsidR="00DF06D2" w:rsidRDefault="00DF06D2" w:rsidP="009F07E7">
      <w:pPr>
        <w:pStyle w:val="ListParagraph"/>
        <w:numPr>
          <w:ilvl w:val="1"/>
          <w:numId w:val="4"/>
        </w:numPr>
        <w:rPr>
          <w:rFonts w:asciiTheme="majorHAnsi" w:hAnsiTheme="majorHAnsi" w:cstheme="majorHAnsi"/>
          <w:szCs w:val="22"/>
        </w:rPr>
      </w:pPr>
      <w:r w:rsidRPr="000D1204">
        <w:rPr>
          <w:rFonts w:asciiTheme="majorHAnsi" w:hAnsiTheme="majorHAnsi" w:cstheme="majorHAnsi"/>
          <w:szCs w:val="22"/>
        </w:rPr>
        <w:t>Moderate State, defined by not</w:t>
      </w:r>
      <w:r>
        <w:rPr>
          <w:rFonts w:asciiTheme="majorHAnsi" w:hAnsiTheme="majorHAnsi" w:cstheme="majorHAnsi"/>
          <w:szCs w:val="22"/>
        </w:rPr>
        <w:t xml:space="preserve"> </w:t>
      </w:r>
      <w:r w:rsidRPr="00631027">
        <w:rPr>
          <w:rFonts w:asciiTheme="majorHAnsi" w:hAnsiTheme="majorHAnsi" w:cstheme="majorHAnsi"/>
          <w:szCs w:val="22"/>
        </w:rPr>
        <w:t>being admitted to an ICU, or</w:t>
      </w:r>
      <w:r>
        <w:rPr>
          <w:rFonts w:asciiTheme="majorHAnsi" w:hAnsiTheme="majorHAnsi" w:cstheme="majorHAnsi"/>
          <w:szCs w:val="22"/>
        </w:rPr>
        <w:t xml:space="preserve"> a</w:t>
      </w:r>
      <w:r w:rsidRPr="00631027">
        <w:rPr>
          <w:rFonts w:asciiTheme="majorHAnsi" w:hAnsiTheme="majorHAnsi" w:cstheme="majorHAnsi"/>
          <w:szCs w:val="22"/>
        </w:rPr>
        <w:t>dmitted to an ICU but not receiving organ support</w:t>
      </w:r>
      <w:r w:rsidR="000D1204">
        <w:rPr>
          <w:rFonts w:asciiTheme="majorHAnsi" w:hAnsiTheme="majorHAnsi" w:cstheme="majorHAnsi"/>
          <w:szCs w:val="22"/>
        </w:rPr>
        <w:t xml:space="preserve"> (</w:t>
      </w:r>
      <w:r w:rsidR="00780231">
        <w:rPr>
          <w:rFonts w:asciiTheme="majorHAnsi" w:hAnsiTheme="majorHAnsi" w:cstheme="majorHAnsi"/>
          <w:szCs w:val="22"/>
        </w:rPr>
        <w:t xml:space="preserve">organ support </w:t>
      </w:r>
      <w:r w:rsidR="000D1204">
        <w:rPr>
          <w:rFonts w:asciiTheme="majorHAnsi" w:hAnsiTheme="majorHAnsi" w:cstheme="majorHAnsi"/>
          <w:szCs w:val="22"/>
        </w:rPr>
        <w:t>defined as for the Severe State)</w:t>
      </w:r>
    </w:p>
    <w:p w14:paraId="336A4B56" w14:textId="4C9B0413" w:rsidR="00DF06D2" w:rsidRDefault="00DF06D2" w:rsidP="009C2A20">
      <w:pPr>
        <w:spacing w:line="360" w:lineRule="auto"/>
        <w:rPr>
          <w:rFonts w:asciiTheme="majorHAnsi" w:eastAsia="Calibri" w:hAnsiTheme="majorHAnsi" w:cstheme="majorHAnsi"/>
          <w:bCs/>
          <w:sz w:val="22"/>
          <w:szCs w:val="22"/>
          <w:lang w:eastAsia="en-US"/>
        </w:rPr>
      </w:pPr>
      <w:r w:rsidRPr="00252CAB">
        <w:rPr>
          <w:rFonts w:asciiTheme="majorHAnsi" w:eastAsia="Calibri" w:hAnsiTheme="majorHAnsi" w:cstheme="majorHAnsi"/>
          <w:bCs/>
          <w:sz w:val="22"/>
          <w:szCs w:val="22"/>
          <w:lang w:eastAsia="en-US"/>
        </w:rPr>
        <w:lastRenderedPageBreak/>
        <w:t xml:space="preserve">Patients were assigned to either </w:t>
      </w:r>
      <w:r w:rsidR="00C61C51">
        <w:rPr>
          <w:rFonts w:asciiTheme="majorHAnsi" w:eastAsia="Calibri" w:hAnsiTheme="majorHAnsi" w:cstheme="majorHAnsi"/>
          <w:bCs/>
          <w:sz w:val="22"/>
          <w:szCs w:val="22"/>
          <w:lang w:eastAsia="en-US"/>
        </w:rPr>
        <w:t>M</w:t>
      </w:r>
      <w:r w:rsidRPr="00252CAB">
        <w:rPr>
          <w:rFonts w:asciiTheme="majorHAnsi" w:eastAsia="Calibri" w:hAnsiTheme="majorHAnsi" w:cstheme="majorHAnsi"/>
          <w:bCs/>
          <w:sz w:val="22"/>
          <w:szCs w:val="22"/>
          <w:lang w:eastAsia="en-US"/>
        </w:rPr>
        <w:t xml:space="preserve">oderate </w:t>
      </w:r>
      <w:r w:rsidR="00C61C51">
        <w:rPr>
          <w:rFonts w:asciiTheme="majorHAnsi" w:eastAsia="Calibri" w:hAnsiTheme="majorHAnsi" w:cstheme="majorHAnsi"/>
          <w:bCs/>
          <w:sz w:val="22"/>
          <w:szCs w:val="22"/>
          <w:lang w:eastAsia="en-US"/>
        </w:rPr>
        <w:t xml:space="preserve">State </w:t>
      </w:r>
      <w:r w:rsidRPr="00252CAB">
        <w:rPr>
          <w:rFonts w:asciiTheme="majorHAnsi" w:eastAsia="Calibri" w:hAnsiTheme="majorHAnsi" w:cstheme="majorHAnsi"/>
          <w:bCs/>
          <w:sz w:val="22"/>
          <w:szCs w:val="22"/>
          <w:lang w:eastAsia="en-US"/>
        </w:rPr>
        <w:t xml:space="preserve">or </w:t>
      </w:r>
      <w:r w:rsidR="00C61C51">
        <w:rPr>
          <w:rFonts w:asciiTheme="majorHAnsi" w:eastAsia="Calibri" w:hAnsiTheme="majorHAnsi" w:cstheme="majorHAnsi"/>
          <w:bCs/>
          <w:sz w:val="22"/>
          <w:szCs w:val="22"/>
          <w:lang w:eastAsia="en-US"/>
        </w:rPr>
        <w:t>S</w:t>
      </w:r>
      <w:r w:rsidRPr="00252CAB">
        <w:rPr>
          <w:rFonts w:asciiTheme="majorHAnsi" w:eastAsia="Calibri" w:hAnsiTheme="majorHAnsi" w:cstheme="majorHAnsi"/>
          <w:bCs/>
          <w:sz w:val="22"/>
          <w:szCs w:val="22"/>
          <w:lang w:eastAsia="en-US"/>
        </w:rPr>
        <w:t xml:space="preserve">evere </w:t>
      </w:r>
      <w:r w:rsidR="00C61C51">
        <w:rPr>
          <w:rFonts w:asciiTheme="majorHAnsi" w:eastAsia="Calibri" w:hAnsiTheme="majorHAnsi" w:cstheme="majorHAnsi"/>
          <w:bCs/>
          <w:sz w:val="22"/>
          <w:szCs w:val="22"/>
          <w:lang w:eastAsia="en-US"/>
        </w:rPr>
        <w:t>S</w:t>
      </w:r>
      <w:r w:rsidRPr="00252CAB">
        <w:rPr>
          <w:rFonts w:asciiTheme="majorHAnsi" w:eastAsia="Calibri" w:hAnsiTheme="majorHAnsi" w:cstheme="majorHAnsi"/>
          <w:bCs/>
          <w:sz w:val="22"/>
          <w:szCs w:val="22"/>
          <w:lang w:eastAsia="en-US"/>
        </w:rPr>
        <w:t>tate at the time of assessment of edibility. Further details are provided in the Pandemic Appendix to the Core Protocol</w:t>
      </w:r>
      <w:r>
        <w:rPr>
          <w:rFonts w:asciiTheme="majorHAnsi" w:eastAsia="Calibri" w:hAnsiTheme="majorHAnsi" w:cstheme="majorHAnsi"/>
          <w:bCs/>
          <w:sz w:val="22"/>
          <w:szCs w:val="22"/>
          <w:lang w:eastAsia="en-US"/>
        </w:rPr>
        <w:t xml:space="preserve"> (</w:t>
      </w:r>
      <w:hyperlink r:id="rId11" w:history="1">
        <w:r w:rsidR="0017501A" w:rsidRPr="004E7338">
          <w:rPr>
            <w:rStyle w:val="Hyperlink"/>
            <w:rFonts w:asciiTheme="majorHAnsi" w:eastAsia="Calibri" w:hAnsiTheme="majorHAnsi" w:cstheme="majorHAnsi"/>
            <w:bCs/>
            <w:sz w:val="22"/>
            <w:szCs w:val="22"/>
            <w:lang w:eastAsia="en-US"/>
          </w:rPr>
          <w:t>www.remapcap.org</w:t>
        </w:r>
      </w:hyperlink>
      <w:r>
        <w:rPr>
          <w:rFonts w:asciiTheme="majorHAnsi" w:eastAsia="Calibri" w:hAnsiTheme="majorHAnsi" w:cstheme="majorHAnsi"/>
          <w:bCs/>
          <w:sz w:val="22"/>
          <w:szCs w:val="22"/>
          <w:lang w:eastAsia="en-US"/>
        </w:rPr>
        <w:t>).</w:t>
      </w:r>
    </w:p>
    <w:p w14:paraId="2040F10D" w14:textId="77777777" w:rsidR="0017501A" w:rsidRPr="00631027" w:rsidRDefault="0017501A" w:rsidP="009C2A20">
      <w:pPr>
        <w:spacing w:line="360" w:lineRule="auto"/>
        <w:rPr>
          <w:rFonts w:asciiTheme="majorHAnsi" w:hAnsiTheme="majorHAnsi" w:cstheme="majorHAnsi"/>
          <w:szCs w:val="22"/>
        </w:rPr>
      </w:pPr>
    </w:p>
    <w:p w14:paraId="0FD8FE1C" w14:textId="77777777" w:rsidR="00DF06D2" w:rsidRPr="00F37253" w:rsidRDefault="00DF06D2" w:rsidP="009C2A20">
      <w:pPr>
        <w:pStyle w:val="Heading4"/>
        <w:rPr>
          <w:rFonts w:asciiTheme="majorHAnsi" w:hAnsiTheme="majorHAnsi" w:cstheme="majorHAnsi"/>
          <w:sz w:val="22"/>
          <w:szCs w:val="22"/>
          <w:lang w:val="en-US"/>
        </w:rPr>
      </w:pPr>
      <w:bookmarkStart w:id="15" w:name="_Toc72762436"/>
      <w:r w:rsidRPr="00F37253">
        <w:rPr>
          <w:rFonts w:asciiTheme="majorHAnsi" w:hAnsiTheme="majorHAnsi" w:cstheme="majorHAnsi"/>
          <w:sz w:val="22"/>
          <w:szCs w:val="22"/>
          <w:lang w:val="en-US"/>
        </w:rPr>
        <w:t>Platform exclusion criteria:</w:t>
      </w:r>
      <w:bookmarkEnd w:id="15"/>
    </w:p>
    <w:p w14:paraId="12991FD0" w14:textId="61053244" w:rsidR="00DF06D2" w:rsidRPr="00F37253" w:rsidRDefault="00DF06D2" w:rsidP="009F07E7">
      <w:pPr>
        <w:pStyle w:val="ListParagraph"/>
        <w:numPr>
          <w:ilvl w:val="0"/>
          <w:numId w:val="3"/>
        </w:numPr>
        <w:rPr>
          <w:rFonts w:asciiTheme="majorHAnsi" w:hAnsiTheme="majorHAnsi" w:cstheme="majorHAnsi"/>
          <w:szCs w:val="22"/>
        </w:rPr>
      </w:pPr>
      <w:r w:rsidRPr="00F37253">
        <w:rPr>
          <w:rFonts w:asciiTheme="majorHAnsi" w:hAnsiTheme="majorHAnsi" w:cstheme="majorHAnsi"/>
          <w:szCs w:val="22"/>
        </w:rPr>
        <w:t>Death is deemed to be imminent and inevitable during the next 24 hours AND one or more of the</w:t>
      </w:r>
      <w:r w:rsidR="00C85CB9">
        <w:rPr>
          <w:rFonts w:asciiTheme="majorHAnsi" w:hAnsiTheme="majorHAnsi" w:cstheme="majorHAnsi"/>
          <w:szCs w:val="22"/>
        </w:rPr>
        <w:t xml:space="preserve"> </w:t>
      </w:r>
      <w:r>
        <w:rPr>
          <w:rFonts w:asciiTheme="majorHAnsi" w:hAnsiTheme="majorHAnsi" w:cstheme="majorHAnsi"/>
          <w:szCs w:val="22"/>
        </w:rPr>
        <w:t>participant</w:t>
      </w:r>
      <w:r w:rsidRPr="00F37253">
        <w:rPr>
          <w:rFonts w:asciiTheme="majorHAnsi" w:hAnsiTheme="majorHAnsi" w:cstheme="majorHAnsi"/>
          <w:szCs w:val="22"/>
        </w:rPr>
        <w:t>, substitute decision maker or attending physician are not committed to full active treatment</w:t>
      </w:r>
    </w:p>
    <w:p w14:paraId="1766256A" w14:textId="77777777" w:rsidR="00DF06D2" w:rsidRPr="00F37253" w:rsidRDefault="00DF06D2" w:rsidP="009F07E7">
      <w:pPr>
        <w:pStyle w:val="ListParagraph"/>
        <w:numPr>
          <w:ilvl w:val="0"/>
          <w:numId w:val="3"/>
        </w:numPr>
        <w:rPr>
          <w:rFonts w:asciiTheme="majorHAnsi" w:hAnsiTheme="majorHAnsi" w:cstheme="majorHAnsi"/>
          <w:szCs w:val="22"/>
        </w:rPr>
      </w:pPr>
      <w:r w:rsidRPr="00F37253">
        <w:rPr>
          <w:rFonts w:asciiTheme="majorHAnsi" w:hAnsiTheme="majorHAnsi" w:cstheme="majorHAnsi"/>
          <w:szCs w:val="22"/>
        </w:rPr>
        <w:t>Patient is expected to be discharged from hospital today or tomorrow</w:t>
      </w:r>
    </w:p>
    <w:p w14:paraId="44B6057C" w14:textId="77777777" w:rsidR="00DF06D2" w:rsidRPr="00F37253" w:rsidRDefault="00DF06D2" w:rsidP="009F07E7">
      <w:pPr>
        <w:pStyle w:val="ListParagraph"/>
        <w:numPr>
          <w:ilvl w:val="0"/>
          <w:numId w:val="3"/>
        </w:numPr>
        <w:rPr>
          <w:rFonts w:asciiTheme="majorHAnsi" w:hAnsiTheme="majorHAnsi" w:cstheme="majorHAnsi"/>
          <w:szCs w:val="22"/>
        </w:rPr>
      </w:pPr>
      <w:r w:rsidRPr="00F37253">
        <w:rPr>
          <w:rFonts w:asciiTheme="majorHAnsi" w:hAnsiTheme="majorHAnsi" w:cstheme="majorHAnsi"/>
          <w:szCs w:val="22"/>
        </w:rPr>
        <w:t>More than 14 days have elapsed while admitted to hospital with symptoms of an acute illness due to suspected or proven pandemic infection</w:t>
      </w:r>
    </w:p>
    <w:p w14:paraId="15FD45CF" w14:textId="77777777" w:rsidR="00DF06D2" w:rsidRPr="00F37253" w:rsidRDefault="00DF06D2" w:rsidP="009F07E7">
      <w:pPr>
        <w:pStyle w:val="ListParagraph"/>
        <w:numPr>
          <w:ilvl w:val="0"/>
          <w:numId w:val="3"/>
        </w:numPr>
        <w:rPr>
          <w:rFonts w:asciiTheme="majorHAnsi" w:hAnsiTheme="majorHAnsi" w:cstheme="majorHAnsi"/>
          <w:szCs w:val="22"/>
        </w:rPr>
      </w:pPr>
      <w:r w:rsidRPr="00F37253">
        <w:rPr>
          <w:rFonts w:asciiTheme="majorHAnsi" w:hAnsiTheme="majorHAnsi" w:cstheme="majorHAnsi"/>
          <w:szCs w:val="22"/>
        </w:rPr>
        <w:t>Previous participation in this REMAP within the last 90 days</w:t>
      </w:r>
    </w:p>
    <w:p w14:paraId="306BCEEC" w14:textId="77777777" w:rsidR="00DF06D2" w:rsidRDefault="00DF06D2" w:rsidP="009C2A20">
      <w:pPr>
        <w:pStyle w:val="Heading4"/>
        <w:rPr>
          <w:rFonts w:asciiTheme="majorHAnsi" w:hAnsiTheme="majorHAnsi" w:cstheme="majorHAnsi"/>
          <w:sz w:val="22"/>
          <w:szCs w:val="22"/>
          <w:lang w:val="en-US"/>
        </w:rPr>
      </w:pPr>
      <w:bookmarkStart w:id="16" w:name="_Toc72762437"/>
      <w:r w:rsidRPr="00F37253">
        <w:rPr>
          <w:rFonts w:asciiTheme="majorHAnsi" w:hAnsiTheme="majorHAnsi" w:cstheme="majorHAnsi"/>
          <w:sz w:val="22"/>
          <w:szCs w:val="22"/>
          <w:lang w:val="en-US"/>
        </w:rPr>
        <w:t>Immune Modulation Therapy domain specific inclusion criteria:</w:t>
      </w:r>
      <w:bookmarkEnd w:id="16"/>
    </w:p>
    <w:p w14:paraId="0B9FCE3E" w14:textId="77777777" w:rsidR="00C61C51" w:rsidRDefault="00C61C51" w:rsidP="00C61C51">
      <w:pPr>
        <w:pStyle w:val="ListParagraph"/>
        <w:numPr>
          <w:ilvl w:val="0"/>
          <w:numId w:val="4"/>
        </w:numPr>
        <w:rPr>
          <w:rFonts w:asciiTheme="majorHAnsi" w:hAnsiTheme="majorHAnsi" w:cstheme="majorHAnsi"/>
          <w:szCs w:val="22"/>
        </w:rPr>
      </w:pPr>
      <w:bookmarkStart w:id="17" w:name="_Toc72762438"/>
      <w:r w:rsidRPr="00F37253">
        <w:rPr>
          <w:rFonts w:asciiTheme="majorHAnsi" w:hAnsiTheme="majorHAnsi" w:cstheme="majorHAnsi"/>
          <w:szCs w:val="22"/>
        </w:rPr>
        <w:t>Adult patient admitted to hospital with acute illness due to suspected or proven pandemic (</w:t>
      </w:r>
      <w:r>
        <w:rPr>
          <w:rFonts w:asciiTheme="majorHAnsi" w:hAnsiTheme="majorHAnsi" w:cstheme="majorHAnsi"/>
          <w:szCs w:val="22"/>
        </w:rPr>
        <w:t>COVID</w:t>
      </w:r>
      <w:r w:rsidRPr="00F37253">
        <w:rPr>
          <w:rFonts w:asciiTheme="majorHAnsi" w:hAnsiTheme="majorHAnsi" w:cstheme="majorHAnsi"/>
          <w:szCs w:val="22"/>
        </w:rPr>
        <w:t>-19) infection</w:t>
      </w:r>
    </w:p>
    <w:p w14:paraId="0CB7DD38" w14:textId="77777777" w:rsidR="00C61C51" w:rsidRPr="00631027" w:rsidRDefault="00C61C51" w:rsidP="00C61C51">
      <w:pPr>
        <w:pStyle w:val="ListParagraph"/>
        <w:numPr>
          <w:ilvl w:val="0"/>
          <w:numId w:val="4"/>
        </w:numPr>
        <w:rPr>
          <w:rFonts w:asciiTheme="majorHAnsi" w:hAnsiTheme="majorHAnsi" w:cstheme="majorHAnsi"/>
          <w:szCs w:val="22"/>
        </w:rPr>
      </w:pPr>
      <w:r w:rsidRPr="00631027">
        <w:rPr>
          <w:rFonts w:asciiTheme="majorHAnsi" w:hAnsiTheme="majorHAnsi" w:cstheme="majorHAnsi"/>
          <w:szCs w:val="22"/>
        </w:rPr>
        <w:t>Microbiological testing for SARS-CoV-2 of upper or lower respiratory tract secretions or both has occurred or is intended to occur</w:t>
      </w:r>
    </w:p>
    <w:p w14:paraId="6EAE930D" w14:textId="77777777" w:rsidR="00DF06D2" w:rsidRPr="00F37253" w:rsidRDefault="00DF06D2" w:rsidP="009C2A20">
      <w:pPr>
        <w:pStyle w:val="Heading4"/>
        <w:rPr>
          <w:rFonts w:asciiTheme="majorHAnsi" w:hAnsiTheme="majorHAnsi" w:cstheme="majorHAnsi"/>
          <w:sz w:val="22"/>
          <w:szCs w:val="22"/>
          <w:lang w:val="en-US"/>
        </w:rPr>
      </w:pPr>
      <w:r w:rsidRPr="00F37253">
        <w:rPr>
          <w:rFonts w:asciiTheme="majorHAnsi" w:hAnsiTheme="majorHAnsi" w:cstheme="majorHAnsi"/>
          <w:sz w:val="22"/>
          <w:szCs w:val="22"/>
          <w:lang w:val="en-US"/>
        </w:rPr>
        <w:t>Immune Modulation Therapy domain specific exclusion criteria:</w:t>
      </w:r>
      <w:bookmarkEnd w:id="17"/>
    </w:p>
    <w:p w14:paraId="01FB0047" w14:textId="77777777" w:rsidR="0017501A" w:rsidRDefault="00DF06D2" w:rsidP="0017501A">
      <w:pPr>
        <w:pStyle w:val="NoSpacing"/>
        <w:numPr>
          <w:ilvl w:val="0"/>
          <w:numId w:val="13"/>
        </w:numPr>
        <w:spacing w:before="120" w:after="240" w:line="360" w:lineRule="auto"/>
        <w:contextualSpacing/>
        <w:rPr>
          <w:rFonts w:asciiTheme="majorHAnsi" w:hAnsiTheme="majorHAnsi" w:cstheme="majorHAnsi"/>
          <w:szCs w:val="22"/>
        </w:rPr>
      </w:pPr>
      <w:r w:rsidRPr="0017501A">
        <w:rPr>
          <w:rFonts w:asciiTheme="majorHAnsi" w:hAnsiTheme="majorHAnsi" w:cstheme="majorHAnsi"/>
          <w:szCs w:val="22"/>
        </w:rPr>
        <w:t>More than 24 hours has elapsed since ICU admission</w:t>
      </w:r>
    </w:p>
    <w:p w14:paraId="24E09BD2" w14:textId="77777777" w:rsidR="0017501A" w:rsidRDefault="00DF06D2" w:rsidP="0017501A">
      <w:pPr>
        <w:pStyle w:val="NoSpacing"/>
        <w:numPr>
          <w:ilvl w:val="0"/>
          <w:numId w:val="13"/>
        </w:numPr>
        <w:spacing w:before="120" w:after="240" w:line="360" w:lineRule="auto"/>
        <w:contextualSpacing/>
        <w:rPr>
          <w:rFonts w:asciiTheme="majorHAnsi" w:hAnsiTheme="majorHAnsi" w:cstheme="majorHAnsi"/>
          <w:szCs w:val="22"/>
        </w:rPr>
      </w:pPr>
      <w:r w:rsidRPr="0017501A">
        <w:rPr>
          <w:rFonts w:asciiTheme="majorHAnsi" w:hAnsiTheme="majorHAnsi" w:cstheme="majorHAnsi"/>
          <w:szCs w:val="22"/>
        </w:rPr>
        <w:t>Patient has already received any dose of one or more of any form of interferon, anakinra, tocilizumab, or sarilumab during this hospitalization or is on long-term therapy with any of these agents prior to this hospital admission</w:t>
      </w:r>
    </w:p>
    <w:p w14:paraId="101A4653" w14:textId="77777777" w:rsidR="0017501A" w:rsidRDefault="0017501A" w:rsidP="0017501A">
      <w:pPr>
        <w:pStyle w:val="NoSpacing"/>
        <w:numPr>
          <w:ilvl w:val="0"/>
          <w:numId w:val="13"/>
        </w:numPr>
        <w:spacing w:before="120" w:after="240" w:line="360" w:lineRule="auto"/>
        <w:contextualSpacing/>
        <w:rPr>
          <w:rFonts w:asciiTheme="majorHAnsi" w:hAnsiTheme="majorHAnsi" w:cstheme="majorHAnsi"/>
          <w:szCs w:val="22"/>
        </w:rPr>
      </w:pPr>
      <w:r w:rsidRPr="0017501A">
        <w:rPr>
          <w:rFonts w:asciiTheme="majorHAnsi" w:hAnsiTheme="majorHAnsi" w:cstheme="majorHAnsi"/>
          <w:szCs w:val="22"/>
        </w:rPr>
        <w:t>Known condition or treatment resulting in ongoing immune suppression including neutropenia prior to this hospitalization</w:t>
      </w:r>
    </w:p>
    <w:p w14:paraId="1AD7EB4D" w14:textId="77777777" w:rsidR="0017501A" w:rsidRDefault="0017501A" w:rsidP="0017501A">
      <w:pPr>
        <w:pStyle w:val="NoSpacing"/>
        <w:numPr>
          <w:ilvl w:val="0"/>
          <w:numId w:val="13"/>
        </w:numPr>
        <w:spacing w:before="120" w:after="240" w:line="360" w:lineRule="auto"/>
        <w:contextualSpacing/>
        <w:rPr>
          <w:rFonts w:asciiTheme="majorHAnsi" w:hAnsiTheme="majorHAnsi" w:cstheme="majorHAnsi"/>
          <w:szCs w:val="22"/>
        </w:rPr>
      </w:pPr>
      <w:r w:rsidRPr="0017501A">
        <w:rPr>
          <w:rFonts w:asciiTheme="majorHAnsi" w:hAnsiTheme="majorHAnsi" w:cstheme="majorHAnsi"/>
          <w:szCs w:val="22"/>
        </w:rPr>
        <w:t>Patient has been randomized in a trial evaluating an immune modulation agent for proven or suspected COVID-19 infection, where the protocol of that trial requires ongoing administration of study drug</w:t>
      </w:r>
    </w:p>
    <w:p w14:paraId="0733EC35" w14:textId="094AEFA3" w:rsidR="0017501A" w:rsidRPr="0017501A" w:rsidRDefault="0017501A" w:rsidP="0017501A">
      <w:pPr>
        <w:pStyle w:val="NoSpacing"/>
        <w:numPr>
          <w:ilvl w:val="0"/>
          <w:numId w:val="13"/>
        </w:numPr>
        <w:spacing w:before="120" w:after="240" w:line="360" w:lineRule="auto"/>
        <w:contextualSpacing/>
        <w:rPr>
          <w:rFonts w:asciiTheme="majorHAnsi" w:hAnsiTheme="majorHAnsi" w:cstheme="majorHAnsi"/>
          <w:szCs w:val="22"/>
        </w:rPr>
      </w:pPr>
      <w:r w:rsidRPr="0017501A">
        <w:rPr>
          <w:rFonts w:asciiTheme="majorHAnsi" w:hAnsiTheme="majorHAnsi" w:cstheme="majorHAnsi"/>
          <w:szCs w:val="22"/>
        </w:rPr>
        <w:t xml:space="preserve">The treating clinician believes that participation in the domain would not be in the best interests of the patient </w:t>
      </w:r>
    </w:p>
    <w:p w14:paraId="21341089" w14:textId="77777777" w:rsidR="00DF06D2" w:rsidRPr="00F37253" w:rsidRDefault="00DF06D2" w:rsidP="009C2A20">
      <w:pPr>
        <w:pStyle w:val="NoSpacing"/>
        <w:spacing w:before="120" w:after="240" w:line="360" w:lineRule="auto"/>
        <w:ind w:left="717"/>
        <w:contextualSpacing/>
        <w:rPr>
          <w:rFonts w:asciiTheme="majorHAnsi" w:hAnsiTheme="majorHAnsi" w:cstheme="majorHAnsi"/>
          <w:szCs w:val="22"/>
        </w:rPr>
      </w:pPr>
    </w:p>
    <w:p w14:paraId="656B1668" w14:textId="77777777" w:rsidR="00DF06D2" w:rsidRPr="00F37253" w:rsidRDefault="00DF06D2" w:rsidP="009C2A20">
      <w:pPr>
        <w:pStyle w:val="Heading4"/>
        <w:rPr>
          <w:rFonts w:asciiTheme="majorHAnsi" w:hAnsiTheme="majorHAnsi" w:cstheme="majorHAnsi"/>
          <w:sz w:val="22"/>
          <w:szCs w:val="22"/>
          <w:lang w:val="en-US"/>
        </w:rPr>
      </w:pPr>
      <w:bookmarkStart w:id="18" w:name="_Toc72762439"/>
      <w:r w:rsidRPr="00F37253">
        <w:rPr>
          <w:rFonts w:asciiTheme="majorHAnsi" w:hAnsiTheme="majorHAnsi" w:cstheme="majorHAnsi"/>
          <w:sz w:val="22"/>
          <w:szCs w:val="22"/>
          <w:lang w:val="en-US"/>
        </w:rPr>
        <w:lastRenderedPageBreak/>
        <w:t>Intervention specific exclusion criteria:</w:t>
      </w:r>
      <w:bookmarkEnd w:id="18"/>
    </w:p>
    <w:p w14:paraId="58478E4A" w14:textId="77777777" w:rsidR="00DF06D2" w:rsidRPr="00F37253" w:rsidRDefault="00DF06D2" w:rsidP="009F07E7">
      <w:pPr>
        <w:pStyle w:val="NoSpacing"/>
        <w:numPr>
          <w:ilvl w:val="1"/>
          <w:numId w:val="2"/>
        </w:numPr>
        <w:spacing w:before="120" w:after="240" w:line="360" w:lineRule="auto"/>
        <w:ind w:left="709" w:hanging="357"/>
        <w:contextualSpacing/>
        <w:rPr>
          <w:rFonts w:asciiTheme="majorHAnsi" w:hAnsiTheme="majorHAnsi" w:cstheme="majorHAnsi"/>
          <w:szCs w:val="22"/>
        </w:rPr>
      </w:pPr>
      <w:r w:rsidRPr="00F37253">
        <w:rPr>
          <w:rFonts w:asciiTheme="majorHAnsi" w:hAnsiTheme="majorHAnsi" w:cstheme="majorHAnsi"/>
          <w:szCs w:val="22"/>
        </w:rPr>
        <w:t>Known hypersensitivity to an agent specified as an intervention in this domain will exclude a patient from receiving that agent</w:t>
      </w:r>
    </w:p>
    <w:p w14:paraId="4C2A860C" w14:textId="77777777" w:rsidR="00DF06D2" w:rsidRPr="00F37253" w:rsidRDefault="00DF06D2" w:rsidP="009F07E7">
      <w:pPr>
        <w:pStyle w:val="NoSpacing"/>
        <w:numPr>
          <w:ilvl w:val="1"/>
          <w:numId w:val="2"/>
        </w:numPr>
        <w:spacing w:before="120" w:after="240" w:line="360" w:lineRule="auto"/>
        <w:ind w:left="709" w:hanging="357"/>
        <w:contextualSpacing/>
        <w:rPr>
          <w:rFonts w:asciiTheme="majorHAnsi" w:hAnsiTheme="majorHAnsi" w:cstheme="majorHAnsi"/>
          <w:szCs w:val="22"/>
        </w:rPr>
      </w:pPr>
      <w:r w:rsidRPr="00F37253">
        <w:rPr>
          <w:rFonts w:asciiTheme="majorHAnsi" w:hAnsiTheme="majorHAnsi" w:cstheme="majorHAnsi"/>
          <w:szCs w:val="22"/>
        </w:rPr>
        <w:t>Intention to prescribe systemic corticosteroids for any reason, other than participation in the Corticosteroid domain of this platform, will result in exclusion from receiving IFN-β1a</w:t>
      </w:r>
    </w:p>
    <w:p w14:paraId="16655A0C" w14:textId="77777777" w:rsidR="00DF06D2" w:rsidRPr="00F37253" w:rsidRDefault="00DF06D2" w:rsidP="009F07E7">
      <w:pPr>
        <w:pStyle w:val="NoSpacing"/>
        <w:numPr>
          <w:ilvl w:val="1"/>
          <w:numId w:val="2"/>
        </w:numPr>
        <w:spacing w:before="120" w:after="240" w:line="360" w:lineRule="auto"/>
        <w:ind w:left="709" w:hanging="357"/>
        <w:contextualSpacing/>
        <w:rPr>
          <w:rFonts w:asciiTheme="majorHAnsi" w:hAnsiTheme="majorHAnsi" w:cstheme="majorHAnsi"/>
          <w:szCs w:val="22"/>
        </w:rPr>
      </w:pPr>
      <w:r w:rsidRPr="00F37253">
        <w:rPr>
          <w:rFonts w:asciiTheme="majorHAnsi" w:hAnsiTheme="majorHAnsi" w:cstheme="majorHAnsi"/>
          <w:szCs w:val="22"/>
        </w:rPr>
        <w:t>Known hypersensitivity to proteins produced by E. coli will result in exclusion from receiving anakinra</w:t>
      </w:r>
    </w:p>
    <w:p w14:paraId="493C301D" w14:textId="77777777" w:rsidR="00DF06D2" w:rsidRPr="00F37253" w:rsidRDefault="00DF06D2" w:rsidP="009F07E7">
      <w:pPr>
        <w:pStyle w:val="NoSpacing"/>
        <w:numPr>
          <w:ilvl w:val="1"/>
          <w:numId w:val="2"/>
        </w:numPr>
        <w:spacing w:before="120" w:after="240" w:line="360" w:lineRule="auto"/>
        <w:ind w:left="709" w:hanging="357"/>
        <w:contextualSpacing/>
        <w:rPr>
          <w:rStyle w:val="xapple-converted-space"/>
          <w:rFonts w:asciiTheme="majorHAnsi" w:hAnsiTheme="majorHAnsi" w:cstheme="majorHAnsi"/>
          <w:szCs w:val="22"/>
        </w:rPr>
      </w:pPr>
      <w:r w:rsidRPr="00F37253">
        <w:rPr>
          <w:rFonts w:asciiTheme="majorHAnsi" w:hAnsiTheme="majorHAnsi" w:cstheme="majorHAnsi"/>
          <w:szCs w:val="22"/>
        </w:rPr>
        <w:t>Known or suspected pregnancy will result in exclusion from the anakinra, IFN-β1a, tocilizumab, and sarilumab interventions. It is normal clinical practice that women admitted who are in an age group in which pregnancy is possible will have a pregnancy test conducted. The results of such tests will be used to determine interpretation of this exclusion criteria.</w:t>
      </w:r>
      <w:r w:rsidRPr="00F37253">
        <w:rPr>
          <w:rStyle w:val="xapple-converted-space"/>
          <w:rFonts w:asciiTheme="majorHAnsi" w:eastAsia="Times New Roman" w:hAnsiTheme="majorHAnsi" w:cstheme="majorHAnsi"/>
          <w:szCs w:val="22"/>
        </w:rPr>
        <w:t> </w:t>
      </w:r>
    </w:p>
    <w:p w14:paraId="250E9364" w14:textId="77777777" w:rsidR="00DF06D2" w:rsidRPr="00F37253" w:rsidRDefault="00DF06D2" w:rsidP="009F07E7">
      <w:pPr>
        <w:pStyle w:val="NoSpacing"/>
        <w:numPr>
          <w:ilvl w:val="1"/>
          <w:numId w:val="2"/>
        </w:numPr>
        <w:spacing w:before="120" w:after="240" w:line="360" w:lineRule="auto"/>
        <w:ind w:left="709" w:hanging="357"/>
        <w:contextualSpacing/>
        <w:rPr>
          <w:rFonts w:asciiTheme="majorHAnsi" w:hAnsiTheme="majorHAnsi" w:cstheme="majorHAnsi"/>
          <w:szCs w:val="22"/>
        </w:rPr>
      </w:pPr>
      <w:r w:rsidRPr="00F37253">
        <w:rPr>
          <w:rFonts w:asciiTheme="majorHAnsi" w:hAnsiTheme="majorHAnsi" w:cstheme="majorHAnsi"/>
          <w:szCs w:val="22"/>
        </w:rPr>
        <w:t>A baseline alanine aminotransferase or an aspartate aminotransferase that is more than five times the upper limit of normal will result in exclusion from receiving tocilizumab or sarilumab</w:t>
      </w:r>
    </w:p>
    <w:p w14:paraId="3B39286A" w14:textId="77777777" w:rsidR="00DF06D2" w:rsidRPr="00B83042" w:rsidRDefault="00DF06D2" w:rsidP="009F07E7">
      <w:pPr>
        <w:pStyle w:val="NoSpacing"/>
        <w:numPr>
          <w:ilvl w:val="1"/>
          <w:numId w:val="2"/>
        </w:numPr>
        <w:spacing w:before="120" w:after="240" w:line="360" w:lineRule="auto"/>
        <w:ind w:left="709" w:hanging="357"/>
        <w:contextualSpacing/>
        <w:rPr>
          <w:rFonts w:asciiTheme="majorHAnsi" w:hAnsiTheme="majorHAnsi" w:cstheme="majorHAnsi"/>
          <w:szCs w:val="22"/>
        </w:rPr>
      </w:pPr>
      <w:r w:rsidRPr="00F37253">
        <w:rPr>
          <w:rFonts w:asciiTheme="majorHAnsi" w:hAnsiTheme="majorHAnsi" w:cstheme="majorHAnsi"/>
          <w:szCs w:val="22"/>
        </w:rPr>
        <w:t>A baseline platelet count &lt; 50 x 10</w:t>
      </w:r>
      <w:r w:rsidRPr="00F37253">
        <w:rPr>
          <w:rFonts w:asciiTheme="majorHAnsi" w:hAnsiTheme="majorHAnsi" w:cstheme="majorHAnsi"/>
          <w:szCs w:val="22"/>
          <w:vertAlign w:val="superscript"/>
        </w:rPr>
        <w:t xml:space="preserve">9 </w:t>
      </w:r>
      <w:r w:rsidRPr="00F37253">
        <w:rPr>
          <w:rFonts w:asciiTheme="majorHAnsi" w:hAnsiTheme="majorHAnsi" w:cstheme="majorHAnsi"/>
          <w:szCs w:val="22"/>
        </w:rPr>
        <w:t>/ L will result in exclusion from receiving tocilizumab or sarilumab</w:t>
      </w:r>
    </w:p>
    <w:p w14:paraId="1AD0301E" w14:textId="77777777" w:rsidR="00DF06D2" w:rsidRPr="00B83042" w:rsidRDefault="00DF06D2" w:rsidP="009F07E7">
      <w:pPr>
        <w:pStyle w:val="ADSCAP"/>
        <w:numPr>
          <w:ilvl w:val="1"/>
          <w:numId w:val="9"/>
        </w:numPr>
        <w:rPr>
          <w:sz w:val="24"/>
          <w:szCs w:val="24"/>
        </w:rPr>
      </w:pPr>
      <w:bookmarkStart w:id="19" w:name="_Toc74659152"/>
      <w:r w:rsidRPr="00B83042">
        <w:rPr>
          <w:sz w:val="24"/>
          <w:szCs w:val="24"/>
        </w:rPr>
        <w:t>Additional statistical methods</w:t>
      </w:r>
      <w:bookmarkEnd w:id="19"/>
    </w:p>
    <w:p w14:paraId="3FD2BEEC" w14:textId="77777777" w:rsidR="00DF06D2" w:rsidRPr="00F37253" w:rsidRDefault="00DF06D2" w:rsidP="009C2A20">
      <w:pPr>
        <w:pStyle w:val="Heading4"/>
        <w:rPr>
          <w:rFonts w:asciiTheme="majorHAnsi" w:hAnsiTheme="majorHAnsi" w:cstheme="majorHAnsi"/>
          <w:sz w:val="22"/>
          <w:szCs w:val="22"/>
          <w:lang w:val="en-US"/>
        </w:rPr>
      </w:pPr>
      <w:bookmarkStart w:id="20" w:name="_Toc72762441"/>
      <w:r w:rsidRPr="00F37253">
        <w:rPr>
          <w:rFonts w:asciiTheme="majorHAnsi" w:hAnsiTheme="majorHAnsi" w:cstheme="majorHAnsi"/>
          <w:sz w:val="22"/>
          <w:szCs w:val="22"/>
          <w:lang w:val="en-US"/>
        </w:rPr>
        <w:t>Secondary outcomes:</w:t>
      </w:r>
      <w:bookmarkEnd w:id="20"/>
    </w:p>
    <w:p w14:paraId="12F33D47" w14:textId="77777777" w:rsidR="00DF06D2" w:rsidRPr="00F37253" w:rsidRDefault="00DF06D2" w:rsidP="009F07E7">
      <w:pPr>
        <w:pStyle w:val="ListParagraph"/>
        <w:numPr>
          <w:ilvl w:val="0"/>
          <w:numId w:val="5"/>
        </w:numPr>
        <w:rPr>
          <w:rFonts w:asciiTheme="majorHAnsi" w:hAnsiTheme="majorHAnsi" w:cstheme="majorHAnsi"/>
          <w:color w:val="000000"/>
          <w:szCs w:val="22"/>
          <w:shd w:val="clear" w:color="auto" w:fill="FFFFFF"/>
        </w:rPr>
      </w:pPr>
      <w:r w:rsidRPr="00F37253">
        <w:rPr>
          <w:rFonts w:asciiTheme="majorHAnsi" w:hAnsiTheme="majorHAnsi" w:cstheme="majorHAnsi"/>
          <w:color w:val="000000"/>
          <w:szCs w:val="22"/>
          <w:shd w:val="clear" w:color="auto" w:fill="FFFFFF"/>
        </w:rPr>
        <w:t>Hospital mortality (dichotomous)</w:t>
      </w:r>
    </w:p>
    <w:p w14:paraId="18828298" w14:textId="77777777" w:rsidR="00DF06D2" w:rsidRPr="00F37253" w:rsidRDefault="00DF06D2" w:rsidP="009F07E7">
      <w:pPr>
        <w:pStyle w:val="ListParagraph"/>
        <w:numPr>
          <w:ilvl w:val="0"/>
          <w:numId w:val="5"/>
        </w:numPr>
        <w:rPr>
          <w:rFonts w:asciiTheme="majorHAnsi" w:hAnsiTheme="majorHAnsi" w:cstheme="majorHAnsi"/>
          <w:color w:val="000000"/>
          <w:szCs w:val="22"/>
          <w:shd w:val="clear" w:color="auto" w:fill="FFFFFF"/>
        </w:rPr>
      </w:pPr>
      <w:r w:rsidRPr="00F37253">
        <w:rPr>
          <w:rFonts w:asciiTheme="majorHAnsi" w:hAnsiTheme="majorHAnsi" w:cstheme="majorHAnsi"/>
          <w:color w:val="000000"/>
          <w:szCs w:val="22"/>
          <w:shd w:val="clear" w:color="auto" w:fill="FFFFFF"/>
        </w:rPr>
        <w:t>90-day survival (time to event)</w:t>
      </w:r>
    </w:p>
    <w:p w14:paraId="61D8C4BA" w14:textId="77777777" w:rsidR="00DF06D2" w:rsidRPr="00F37253" w:rsidRDefault="00DF06D2" w:rsidP="009F07E7">
      <w:pPr>
        <w:pStyle w:val="ListParagraph"/>
        <w:numPr>
          <w:ilvl w:val="0"/>
          <w:numId w:val="5"/>
        </w:numPr>
        <w:rPr>
          <w:rFonts w:asciiTheme="majorHAnsi" w:hAnsiTheme="majorHAnsi" w:cstheme="majorHAnsi"/>
          <w:color w:val="000000"/>
          <w:szCs w:val="22"/>
          <w:shd w:val="clear" w:color="auto" w:fill="FFFFFF"/>
        </w:rPr>
      </w:pPr>
      <w:r w:rsidRPr="00F37253">
        <w:rPr>
          <w:rFonts w:asciiTheme="majorHAnsi" w:hAnsiTheme="majorHAnsi" w:cstheme="majorHAnsi"/>
          <w:color w:val="000000"/>
          <w:szCs w:val="22"/>
          <w:shd w:val="clear" w:color="auto" w:fill="FFFFFF"/>
        </w:rPr>
        <w:t>Respiratory support-free days</w:t>
      </w:r>
    </w:p>
    <w:p w14:paraId="540006A9" w14:textId="77777777" w:rsidR="00DF06D2" w:rsidRPr="00F37253" w:rsidRDefault="00DF06D2" w:rsidP="009F07E7">
      <w:pPr>
        <w:pStyle w:val="ListParagraph"/>
        <w:numPr>
          <w:ilvl w:val="0"/>
          <w:numId w:val="5"/>
        </w:numPr>
        <w:rPr>
          <w:rFonts w:asciiTheme="majorHAnsi" w:hAnsiTheme="majorHAnsi" w:cstheme="majorHAnsi"/>
          <w:color w:val="000000"/>
          <w:szCs w:val="22"/>
          <w:shd w:val="clear" w:color="auto" w:fill="FFFFFF"/>
        </w:rPr>
      </w:pPr>
      <w:r w:rsidRPr="00F37253">
        <w:rPr>
          <w:rFonts w:asciiTheme="majorHAnsi" w:hAnsiTheme="majorHAnsi" w:cstheme="majorHAnsi"/>
          <w:color w:val="000000"/>
          <w:szCs w:val="22"/>
          <w:shd w:val="clear" w:color="auto" w:fill="FFFFFF"/>
        </w:rPr>
        <w:t>Cardiovascular support-free days</w:t>
      </w:r>
    </w:p>
    <w:p w14:paraId="200C5B3C" w14:textId="05472A37" w:rsidR="00DF06D2" w:rsidRPr="00F37253" w:rsidRDefault="00DF06D2" w:rsidP="009F07E7">
      <w:pPr>
        <w:pStyle w:val="ListParagraph"/>
        <w:numPr>
          <w:ilvl w:val="0"/>
          <w:numId w:val="5"/>
        </w:numPr>
        <w:rPr>
          <w:rFonts w:asciiTheme="majorHAnsi" w:hAnsiTheme="majorHAnsi" w:cstheme="majorHAnsi"/>
          <w:color w:val="000000"/>
          <w:szCs w:val="22"/>
          <w:shd w:val="clear" w:color="auto" w:fill="FFFFFF"/>
        </w:rPr>
      </w:pPr>
      <w:r w:rsidRPr="00F37253">
        <w:rPr>
          <w:rFonts w:asciiTheme="majorHAnsi" w:hAnsiTheme="majorHAnsi" w:cstheme="majorHAnsi"/>
          <w:color w:val="000000"/>
          <w:szCs w:val="22"/>
          <w:shd w:val="clear" w:color="auto" w:fill="FFFFFF"/>
        </w:rPr>
        <w:t>Time to ICU discharge</w:t>
      </w:r>
      <w:r w:rsidR="00BB600C">
        <w:rPr>
          <w:rFonts w:asciiTheme="majorHAnsi" w:hAnsiTheme="majorHAnsi" w:cstheme="majorHAnsi"/>
          <w:color w:val="000000"/>
          <w:szCs w:val="22"/>
          <w:shd w:val="clear" w:color="auto" w:fill="FFFFFF"/>
        </w:rPr>
        <w:t xml:space="preserve"> (censored at day 90)</w:t>
      </w:r>
    </w:p>
    <w:p w14:paraId="1514DE79" w14:textId="5F63274B" w:rsidR="00DF06D2" w:rsidRPr="00F37253" w:rsidRDefault="00DF06D2" w:rsidP="009F07E7">
      <w:pPr>
        <w:pStyle w:val="ListParagraph"/>
        <w:numPr>
          <w:ilvl w:val="0"/>
          <w:numId w:val="5"/>
        </w:numPr>
        <w:rPr>
          <w:rFonts w:asciiTheme="majorHAnsi" w:hAnsiTheme="majorHAnsi" w:cstheme="majorHAnsi"/>
          <w:color w:val="000000"/>
          <w:szCs w:val="22"/>
          <w:shd w:val="clear" w:color="auto" w:fill="FFFFFF"/>
        </w:rPr>
      </w:pPr>
      <w:r w:rsidRPr="00F37253">
        <w:rPr>
          <w:rFonts w:asciiTheme="majorHAnsi" w:hAnsiTheme="majorHAnsi" w:cstheme="majorHAnsi"/>
          <w:color w:val="000000"/>
          <w:szCs w:val="22"/>
          <w:shd w:val="clear" w:color="auto" w:fill="FFFFFF"/>
        </w:rPr>
        <w:t xml:space="preserve">Time to hospital discharge </w:t>
      </w:r>
      <w:r w:rsidR="00BB600C">
        <w:rPr>
          <w:rFonts w:asciiTheme="majorHAnsi" w:hAnsiTheme="majorHAnsi" w:cstheme="majorHAnsi"/>
          <w:color w:val="000000"/>
          <w:szCs w:val="22"/>
          <w:shd w:val="clear" w:color="auto" w:fill="FFFFFF"/>
        </w:rPr>
        <w:t>(censored at day 90)</w:t>
      </w:r>
    </w:p>
    <w:p w14:paraId="5CA77AFB" w14:textId="77777777" w:rsidR="00DF06D2" w:rsidRPr="00F37253" w:rsidRDefault="00DF06D2" w:rsidP="009F07E7">
      <w:pPr>
        <w:pStyle w:val="ListParagraph"/>
        <w:numPr>
          <w:ilvl w:val="0"/>
          <w:numId w:val="5"/>
        </w:numPr>
        <w:rPr>
          <w:rFonts w:asciiTheme="majorHAnsi" w:hAnsiTheme="majorHAnsi" w:cstheme="majorHAnsi"/>
          <w:szCs w:val="22"/>
        </w:rPr>
      </w:pPr>
      <w:r w:rsidRPr="00F37253">
        <w:rPr>
          <w:rFonts w:asciiTheme="majorHAnsi" w:hAnsiTheme="majorHAnsi" w:cstheme="majorHAnsi"/>
          <w:color w:val="000000"/>
          <w:szCs w:val="22"/>
          <w:shd w:val="clear" w:color="auto" w:fill="FFFFFF"/>
        </w:rPr>
        <w:t>WHO ordinal scale (range: 0-8, where 0 = no illness, 1-7 = increasing level of care, and 8 = death) assessed at day 14.</w:t>
      </w:r>
      <w:r w:rsidRPr="00F37253">
        <w:rPr>
          <w:rFonts w:asciiTheme="majorHAnsi" w:hAnsiTheme="majorHAnsi" w:cstheme="majorHAnsi"/>
          <w:color w:val="000000"/>
          <w:szCs w:val="22"/>
          <w:shd w:val="clear" w:color="auto" w:fill="FFFFFF"/>
        </w:rPr>
        <w:fldChar w:fldCharType="begin"/>
      </w:r>
      <w:r w:rsidRPr="00F37253">
        <w:rPr>
          <w:rFonts w:asciiTheme="majorHAnsi" w:hAnsiTheme="majorHAnsi" w:cstheme="majorHAnsi"/>
          <w:color w:val="000000"/>
          <w:szCs w:val="22"/>
          <w:shd w:val="clear" w:color="auto" w:fill="FFFFFF"/>
        </w:rPr>
        <w:instrText xml:space="preserve"> ADDIN EN.CITE &lt;EndNote&gt;&lt;Cite&gt;&lt;Author&gt;Characterisation&lt;/Author&gt;&lt;Year&gt;2020&lt;/Year&gt;&lt;RecNum&gt;35&lt;/RecNum&gt;&lt;DisplayText&gt;&lt;style face="superscript"&gt;1&lt;/style&gt;&lt;/DisplayText&gt;&lt;record&gt;&lt;rec-number&gt;35&lt;/rec-number&gt;&lt;foreign-keys&gt;&lt;key app="EN" db-id="5xeea9zv5d9dabepvr7pt2abwttzrepessrz" timestamp="1607798722"&gt;35&lt;/key&gt;&lt;/foreign-keys&gt;&lt;ref-type name="Journal Article"&gt;17&lt;/ref-type&gt;&lt;contributors&gt;&lt;authors&gt;&lt;author&gt;W. H. O. Working Group on the Clinical Characterisation&lt;/author&gt;&lt;author&gt;Management of Covid-infection&lt;/author&gt;&lt;/authors&gt;&lt;/contributors&gt;&lt;titles&gt;&lt;title&gt;A minimal common outcome measure set for COVID-19 clinical research&lt;/title&gt;&lt;secondary-title&gt;Lancet Infect Dis&lt;/secondary-title&gt;&lt;/titles&gt;&lt;periodical&gt;&lt;full-title&gt;Lancet Infect Dis&lt;/full-title&gt;&lt;/periodical&gt;&lt;pages&gt;e192-e197&lt;/pages&gt;&lt;volume&gt;20&lt;/volume&gt;&lt;number&gt;8&lt;/number&gt;&lt;edition&gt;2020/06/17&lt;/edition&gt;&lt;keywords&gt;&lt;keyword&gt;Betacoronavirus/*isolation &amp;amp; purification&lt;/keyword&gt;&lt;keyword&gt;Clinical Trials as Topic/*standards&lt;/keyword&gt;&lt;keyword&gt;Coronavirus Infections/*therapy&lt;/keyword&gt;&lt;keyword&gt;Humans&lt;/keyword&gt;&lt;keyword&gt;Outcome Assessment, Health Care/*standards&lt;/keyword&gt;&lt;keyword&gt;Pandemics&lt;/keyword&gt;&lt;keyword&gt;*Patient Outcome Assessment&lt;/keyword&gt;&lt;keyword&gt;Pneumonia, Viral/*therapy&lt;/keyword&gt;&lt;keyword&gt;Survival Analysis&lt;/keyword&gt;&lt;keyword&gt;*Treatment Outcome&lt;/keyword&gt;&lt;keyword&gt;Viral Load&lt;/keyword&gt;&lt;/keywords&gt;&lt;dates&gt;&lt;year&gt;2020&lt;/year&gt;&lt;pub-dates&gt;&lt;date&gt;Aug&lt;/date&gt;&lt;/pub-dates&gt;&lt;/dates&gt;&lt;isbn&gt;1474-4457 (Electronic)&amp;#xD;1473-3099 (Linking)&lt;/isbn&gt;&lt;accession-num&gt;32539990&lt;/accession-num&gt;&lt;urls&gt;&lt;related-urls&gt;&lt;url&gt;https://www.ncbi.nlm.nih.gov/pubmed/32539990&lt;/url&gt;&lt;/related-urls&gt;&lt;/urls&gt;&lt;custom2&gt;PMC7292605&lt;/custom2&gt;&lt;electronic-resource-num&gt;10.1016/S1473-3099(20)30483-7&lt;/electronic-resource-num&gt;&lt;/record&gt;&lt;/Cite&gt;&lt;/EndNote&gt;</w:instrText>
      </w:r>
      <w:r w:rsidRPr="00F37253">
        <w:rPr>
          <w:rFonts w:asciiTheme="majorHAnsi" w:hAnsiTheme="majorHAnsi" w:cstheme="majorHAnsi"/>
          <w:color w:val="000000"/>
          <w:szCs w:val="22"/>
          <w:shd w:val="clear" w:color="auto" w:fill="FFFFFF"/>
        </w:rPr>
        <w:fldChar w:fldCharType="separate"/>
      </w:r>
      <w:r w:rsidRPr="00F37253">
        <w:rPr>
          <w:rFonts w:asciiTheme="majorHAnsi" w:hAnsiTheme="majorHAnsi" w:cstheme="majorHAnsi"/>
          <w:noProof/>
          <w:color w:val="000000"/>
          <w:szCs w:val="22"/>
          <w:shd w:val="clear" w:color="auto" w:fill="FFFFFF"/>
          <w:vertAlign w:val="superscript"/>
        </w:rPr>
        <w:t>1</w:t>
      </w:r>
      <w:r w:rsidRPr="00F37253">
        <w:rPr>
          <w:rFonts w:asciiTheme="majorHAnsi" w:hAnsiTheme="majorHAnsi" w:cstheme="majorHAnsi"/>
          <w:color w:val="000000"/>
          <w:szCs w:val="22"/>
          <w:shd w:val="clear" w:color="auto" w:fill="FFFFFF"/>
        </w:rPr>
        <w:fldChar w:fldCharType="end"/>
      </w:r>
      <w:r w:rsidRPr="00F37253">
        <w:rPr>
          <w:rFonts w:asciiTheme="majorHAnsi" w:hAnsiTheme="majorHAnsi" w:cstheme="majorHAnsi"/>
          <w:color w:val="000000"/>
          <w:szCs w:val="22"/>
          <w:shd w:val="clear" w:color="auto" w:fill="FFFFFF"/>
        </w:rPr>
        <w:t xml:space="preserve"> In this analysis categories 0,1,2 have been condensed into one category for all patients discharge from hospital.</w:t>
      </w:r>
    </w:p>
    <w:p w14:paraId="2025E3C6" w14:textId="77777777" w:rsidR="00DF06D2" w:rsidRPr="00F37253" w:rsidRDefault="00DF06D2" w:rsidP="00C85CB9">
      <w:pPr>
        <w:pStyle w:val="ListParagraph"/>
        <w:numPr>
          <w:ilvl w:val="0"/>
          <w:numId w:val="5"/>
        </w:numPr>
        <w:rPr>
          <w:rFonts w:asciiTheme="majorHAnsi" w:hAnsiTheme="majorHAnsi" w:cstheme="majorHAnsi"/>
          <w:color w:val="000000"/>
          <w:szCs w:val="22"/>
          <w:shd w:val="clear" w:color="auto" w:fill="FFFFFF"/>
        </w:rPr>
      </w:pPr>
      <w:r w:rsidRPr="00F37253">
        <w:rPr>
          <w:rFonts w:asciiTheme="majorHAnsi" w:hAnsiTheme="majorHAnsi" w:cstheme="majorHAnsi"/>
          <w:color w:val="000000"/>
          <w:szCs w:val="22"/>
          <w:shd w:val="clear" w:color="auto" w:fill="FFFFFF"/>
        </w:rPr>
        <w:t>Progression to invasive mechanical ventilation, extracorporeal membrane oxygenation (ECMO), or death among those not ventilated at baseline</w:t>
      </w:r>
    </w:p>
    <w:p w14:paraId="2F28881A" w14:textId="786CA5AF" w:rsidR="00C85CB9" w:rsidRDefault="00C85CB9" w:rsidP="00C85CB9">
      <w:pPr>
        <w:pStyle w:val="Heading4"/>
        <w:rPr>
          <w:rFonts w:asciiTheme="majorHAnsi" w:hAnsiTheme="majorHAnsi" w:cstheme="majorHAnsi"/>
          <w:sz w:val="22"/>
          <w:szCs w:val="22"/>
          <w:lang w:val="en-US"/>
        </w:rPr>
      </w:pPr>
      <w:bookmarkStart w:id="21" w:name="_Toc72762442"/>
      <w:r>
        <w:rPr>
          <w:rFonts w:asciiTheme="majorHAnsi" w:hAnsiTheme="majorHAnsi" w:cstheme="majorHAnsi"/>
          <w:sz w:val="22"/>
          <w:szCs w:val="22"/>
          <w:lang w:val="en-US"/>
        </w:rPr>
        <w:t>Exploratory outcomes:</w:t>
      </w:r>
    </w:p>
    <w:p w14:paraId="79ED3742" w14:textId="65D35B91" w:rsidR="00C85CB9" w:rsidRPr="00C03677" w:rsidRDefault="00C85CB9" w:rsidP="00C85CB9">
      <w:pPr>
        <w:spacing w:line="360" w:lineRule="auto"/>
        <w:rPr>
          <w:rFonts w:asciiTheme="majorHAnsi" w:hAnsiTheme="majorHAnsi" w:cstheme="majorHAnsi"/>
          <w:sz w:val="22"/>
          <w:szCs w:val="22"/>
        </w:rPr>
      </w:pPr>
      <w:r w:rsidRPr="00C85CB9">
        <w:rPr>
          <w:rFonts w:asciiTheme="majorHAnsi" w:hAnsiTheme="majorHAnsi" w:cstheme="majorHAnsi"/>
          <w:sz w:val="22"/>
          <w:szCs w:val="22"/>
        </w:rPr>
        <w:t xml:space="preserve">In exploratory analyses, major thrombotic events (MTE) and death were analyzed as a composite outcome defined as myocardial infarction, pulmonary embolism, ischemic stroke, systemic arterial </w:t>
      </w:r>
      <w:r w:rsidRPr="00C03677">
        <w:rPr>
          <w:rFonts w:asciiTheme="majorHAnsi" w:hAnsiTheme="majorHAnsi" w:cstheme="majorHAnsi"/>
          <w:sz w:val="22"/>
          <w:szCs w:val="22"/>
        </w:rPr>
        <w:t>embolism, and in-hospital death up to day 90.</w:t>
      </w:r>
    </w:p>
    <w:p w14:paraId="689FEEAE" w14:textId="1F6635BE" w:rsidR="00DF06D2" w:rsidRPr="00C03677" w:rsidRDefault="00DF06D2" w:rsidP="009C2A20">
      <w:pPr>
        <w:pStyle w:val="Heading4"/>
        <w:rPr>
          <w:rFonts w:asciiTheme="majorHAnsi" w:hAnsiTheme="majorHAnsi" w:cstheme="majorHAnsi"/>
          <w:sz w:val="22"/>
          <w:szCs w:val="22"/>
          <w:lang w:val="en-US"/>
        </w:rPr>
      </w:pPr>
      <w:r w:rsidRPr="00C03677">
        <w:rPr>
          <w:rFonts w:asciiTheme="majorHAnsi" w:hAnsiTheme="majorHAnsi" w:cstheme="majorHAnsi"/>
          <w:sz w:val="22"/>
          <w:szCs w:val="22"/>
          <w:lang w:val="en-US"/>
        </w:rPr>
        <w:lastRenderedPageBreak/>
        <w:t>Analysis populations:</w:t>
      </w:r>
      <w:bookmarkEnd w:id="21"/>
    </w:p>
    <w:p w14:paraId="1B7BEBCF" w14:textId="77777777" w:rsidR="00025A66" w:rsidRPr="00C03677" w:rsidRDefault="00DF06D2" w:rsidP="009C2A20">
      <w:pPr>
        <w:autoSpaceDE w:val="0"/>
        <w:autoSpaceDN w:val="0"/>
        <w:adjustRightInd w:val="0"/>
        <w:spacing w:line="360" w:lineRule="auto"/>
        <w:rPr>
          <w:rFonts w:asciiTheme="majorHAnsi" w:eastAsiaTheme="minorHAnsi" w:hAnsiTheme="majorHAnsi" w:cstheme="majorHAnsi"/>
          <w:color w:val="000000"/>
          <w:sz w:val="22"/>
          <w:szCs w:val="22"/>
          <w:lang w:val="en-US" w:eastAsia="en-US"/>
        </w:rPr>
      </w:pPr>
      <w:r w:rsidRPr="00C03677">
        <w:rPr>
          <w:rFonts w:asciiTheme="majorHAnsi" w:eastAsiaTheme="minorHAnsi" w:hAnsiTheme="majorHAnsi" w:cstheme="majorHAnsi"/>
          <w:color w:val="000000"/>
          <w:sz w:val="22"/>
          <w:szCs w:val="22"/>
          <w:lang w:val="en-US" w:eastAsia="en-US"/>
        </w:rPr>
        <w:t xml:space="preserve">The SAP for the immune modulation domain analysis defines five analysis populations. </w:t>
      </w:r>
    </w:p>
    <w:p w14:paraId="5E3F6EFE" w14:textId="4291E2CF" w:rsidR="0036013E" w:rsidRPr="00C03677" w:rsidRDefault="00DF06D2" w:rsidP="0036013E">
      <w:pPr>
        <w:pStyle w:val="ListParagraph"/>
        <w:numPr>
          <w:ilvl w:val="1"/>
          <w:numId w:val="6"/>
        </w:numPr>
        <w:autoSpaceDE w:val="0"/>
        <w:autoSpaceDN w:val="0"/>
        <w:adjustRightInd w:val="0"/>
        <w:rPr>
          <w:rFonts w:asciiTheme="majorHAnsi" w:eastAsiaTheme="minorHAnsi" w:hAnsiTheme="majorHAnsi" w:cstheme="majorHAnsi"/>
          <w:color w:val="000000"/>
          <w:szCs w:val="22"/>
          <w:lang w:eastAsia="en-US"/>
        </w:rPr>
      </w:pPr>
      <w:r w:rsidRPr="00C03677">
        <w:rPr>
          <w:rFonts w:asciiTheme="majorHAnsi" w:eastAsiaTheme="minorHAnsi" w:hAnsiTheme="majorHAnsi" w:cstheme="majorHAnsi"/>
          <w:color w:val="000000"/>
          <w:szCs w:val="22"/>
          <w:lang w:eastAsia="en-US"/>
        </w:rPr>
        <w:t xml:space="preserve">The </w:t>
      </w:r>
      <w:r w:rsidR="00025A66" w:rsidRPr="00C03677">
        <w:rPr>
          <w:rFonts w:asciiTheme="majorHAnsi" w:eastAsiaTheme="minorHAnsi" w:hAnsiTheme="majorHAnsi" w:cstheme="majorHAnsi"/>
          <w:color w:val="000000"/>
          <w:szCs w:val="22"/>
          <w:lang w:eastAsia="en-US"/>
        </w:rPr>
        <w:t xml:space="preserve">primary </w:t>
      </w:r>
      <w:r w:rsidRPr="00C03677">
        <w:rPr>
          <w:rFonts w:asciiTheme="majorHAnsi" w:eastAsiaTheme="minorHAnsi" w:hAnsiTheme="majorHAnsi" w:cstheme="majorHAnsi"/>
          <w:color w:val="000000"/>
          <w:szCs w:val="22"/>
          <w:lang w:eastAsia="en-US"/>
        </w:rPr>
        <w:t xml:space="preserve">analysis </w:t>
      </w:r>
      <w:r w:rsidR="00025A66" w:rsidRPr="00C03677">
        <w:rPr>
          <w:rFonts w:asciiTheme="majorHAnsi" w:eastAsiaTheme="minorHAnsi" w:hAnsiTheme="majorHAnsi" w:cstheme="majorHAnsi"/>
          <w:color w:val="000000"/>
          <w:szCs w:val="22"/>
          <w:lang w:eastAsia="en-US"/>
        </w:rPr>
        <w:t xml:space="preserve">population includes </w:t>
      </w:r>
      <w:r w:rsidRPr="00C03677">
        <w:rPr>
          <w:rFonts w:asciiTheme="majorHAnsi" w:eastAsiaTheme="minorHAnsi" w:hAnsiTheme="majorHAnsi" w:cstheme="majorHAnsi"/>
          <w:color w:val="000000"/>
          <w:szCs w:val="22"/>
          <w:lang w:eastAsia="en-US"/>
        </w:rPr>
        <w:t xml:space="preserve">the REMAP-CAP COVID-19 severe and moderate intent-to-treat (ITT) population </w:t>
      </w:r>
    </w:p>
    <w:p w14:paraId="678A2C83" w14:textId="6086B1E5" w:rsidR="00884A42" w:rsidRPr="00097972" w:rsidRDefault="00884A42" w:rsidP="00884A42">
      <w:pPr>
        <w:pStyle w:val="ListParagraph"/>
        <w:numPr>
          <w:ilvl w:val="1"/>
          <w:numId w:val="6"/>
        </w:numPr>
        <w:autoSpaceDE w:val="0"/>
        <w:autoSpaceDN w:val="0"/>
        <w:adjustRightInd w:val="0"/>
        <w:rPr>
          <w:rFonts w:asciiTheme="majorHAnsi" w:eastAsiaTheme="minorHAnsi" w:hAnsiTheme="majorHAnsi" w:cstheme="majorHAnsi"/>
          <w:color w:val="000000"/>
          <w:szCs w:val="22"/>
          <w:lang w:eastAsia="en-US"/>
        </w:rPr>
      </w:pPr>
      <w:r w:rsidRPr="00C03677">
        <w:rPr>
          <w:rFonts w:asciiTheme="majorHAnsi" w:eastAsiaTheme="minorHAnsi" w:hAnsiTheme="majorHAnsi" w:cstheme="majorHAnsi"/>
          <w:color w:val="000000"/>
          <w:szCs w:val="22"/>
          <w:lang w:eastAsia="en-US"/>
        </w:rPr>
        <w:t>The Unblinded ITT population is defined as all severe patients randomized in one or more unblinded</w:t>
      </w:r>
      <w:r w:rsidR="00097972">
        <w:rPr>
          <w:rFonts w:asciiTheme="majorHAnsi" w:eastAsiaTheme="minorHAnsi" w:hAnsiTheme="majorHAnsi" w:cstheme="majorHAnsi"/>
          <w:color w:val="000000"/>
          <w:szCs w:val="22"/>
          <w:lang w:eastAsia="en-US"/>
        </w:rPr>
        <w:t xml:space="preserve"> </w:t>
      </w:r>
      <w:r w:rsidRPr="00097972">
        <w:rPr>
          <w:rFonts w:asciiTheme="majorHAnsi" w:eastAsiaTheme="minorHAnsi" w:hAnsiTheme="majorHAnsi" w:cstheme="majorHAnsi"/>
          <w:color w:val="000000"/>
          <w:szCs w:val="22"/>
          <w:lang w:eastAsia="en-US"/>
        </w:rPr>
        <w:t>domains within the pandemic stratum without a prior randomization in the moderate state. The</w:t>
      </w:r>
      <w:r w:rsidR="00097972">
        <w:rPr>
          <w:rFonts w:asciiTheme="majorHAnsi" w:eastAsiaTheme="minorHAnsi" w:hAnsiTheme="majorHAnsi" w:cstheme="majorHAnsi"/>
          <w:color w:val="000000"/>
          <w:szCs w:val="22"/>
          <w:lang w:eastAsia="en-US"/>
        </w:rPr>
        <w:t xml:space="preserve"> </w:t>
      </w:r>
      <w:r w:rsidRPr="00097972">
        <w:rPr>
          <w:rFonts w:asciiTheme="majorHAnsi" w:eastAsiaTheme="minorHAnsi" w:hAnsiTheme="majorHAnsi" w:cstheme="majorHAnsi"/>
          <w:color w:val="000000"/>
          <w:szCs w:val="22"/>
          <w:lang w:eastAsia="en-US"/>
        </w:rPr>
        <w:t>unblinded ITT population consists of 3848 patients randomized in the Immune Modulation Therapy,</w:t>
      </w:r>
      <w:r w:rsidR="00097972">
        <w:rPr>
          <w:rFonts w:asciiTheme="majorHAnsi" w:eastAsiaTheme="minorHAnsi" w:hAnsiTheme="majorHAnsi" w:cstheme="majorHAnsi"/>
          <w:color w:val="000000"/>
          <w:szCs w:val="22"/>
          <w:lang w:eastAsia="en-US"/>
        </w:rPr>
        <w:t xml:space="preserve"> </w:t>
      </w:r>
      <w:r w:rsidRPr="00097972">
        <w:rPr>
          <w:rFonts w:asciiTheme="majorHAnsi" w:eastAsiaTheme="minorHAnsi" w:hAnsiTheme="majorHAnsi" w:cstheme="majorHAnsi"/>
          <w:color w:val="000000"/>
          <w:szCs w:val="22"/>
          <w:lang w:eastAsia="en-US"/>
        </w:rPr>
        <w:t>Corticosteroid, Antiviral, Anticoagulation, or Immunoglobulin domains. There are 31 patients within</w:t>
      </w:r>
      <w:r w:rsidR="00097972">
        <w:rPr>
          <w:rFonts w:asciiTheme="majorHAnsi" w:eastAsiaTheme="minorHAnsi" w:hAnsiTheme="majorHAnsi" w:cstheme="majorHAnsi"/>
          <w:color w:val="000000"/>
          <w:szCs w:val="22"/>
          <w:lang w:eastAsia="en-US"/>
        </w:rPr>
        <w:t xml:space="preserve"> </w:t>
      </w:r>
      <w:r w:rsidRPr="00097972">
        <w:rPr>
          <w:rFonts w:asciiTheme="majorHAnsi" w:eastAsiaTheme="minorHAnsi" w:hAnsiTheme="majorHAnsi" w:cstheme="majorHAnsi"/>
          <w:color w:val="000000"/>
          <w:szCs w:val="22"/>
          <w:lang w:eastAsia="en-US"/>
        </w:rPr>
        <w:t>this population that are missing values of OSFD and in-hospital mortality.</w:t>
      </w:r>
    </w:p>
    <w:p w14:paraId="6139330D" w14:textId="52FFD352" w:rsidR="00884A42" w:rsidRPr="00C03677" w:rsidRDefault="00884A42" w:rsidP="00884A42">
      <w:pPr>
        <w:pStyle w:val="ListParagraph"/>
        <w:numPr>
          <w:ilvl w:val="1"/>
          <w:numId w:val="6"/>
        </w:numPr>
        <w:autoSpaceDE w:val="0"/>
        <w:autoSpaceDN w:val="0"/>
        <w:adjustRightInd w:val="0"/>
        <w:rPr>
          <w:rFonts w:asciiTheme="majorHAnsi" w:eastAsiaTheme="minorHAnsi" w:hAnsiTheme="majorHAnsi" w:cstheme="majorHAnsi"/>
          <w:color w:val="000000"/>
          <w:szCs w:val="22"/>
          <w:lang w:eastAsia="en-US"/>
        </w:rPr>
      </w:pPr>
      <w:r w:rsidRPr="00C03677">
        <w:rPr>
          <w:rFonts w:asciiTheme="majorHAnsi" w:eastAsiaTheme="minorHAnsi" w:hAnsiTheme="majorHAnsi" w:cstheme="majorHAnsi"/>
          <w:color w:val="000000"/>
          <w:szCs w:val="22"/>
          <w:lang w:eastAsia="en-US"/>
        </w:rPr>
        <w:t>The Unblinded non-negative COVID-19 population is defined as all patients in the Unblinded ITT population a</w:t>
      </w:r>
      <w:r w:rsidR="0036013E" w:rsidRPr="00C03677">
        <w:rPr>
          <w:rFonts w:asciiTheme="majorHAnsi" w:eastAsiaTheme="minorHAnsi" w:hAnsiTheme="majorHAnsi" w:cstheme="majorHAnsi"/>
          <w:color w:val="000000"/>
          <w:szCs w:val="22"/>
          <w:lang w:eastAsia="en-US"/>
        </w:rPr>
        <w:t>ft</w:t>
      </w:r>
      <w:r w:rsidRPr="00C03677">
        <w:rPr>
          <w:rFonts w:asciiTheme="majorHAnsi" w:eastAsiaTheme="minorHAnsi" w:hAnsiTheme="majorHAnsi" w:cstheme="majorHAnsi"/>
          <w:color w:val="000000"/>
          <w:szCs w:val="22"/>
          <w:lang w:eastAsia="en-US"/>
        </w:rPr>
        <w:t>er removing those with &gt;1 negative test for COVID-19 and no positive tests. The unblinded</w:t>
      </w:r>
      <w:r w:rsidR="0036013E" w:rsidRPr="00C03677">
        <w:rPr>
          <w:rFonts w:asciiTheme="majorHAnsi" w:eastAsiaTheme="minorHAnsi" w:hAnsiTheme="majorHAnsi" w:cstheme="majorHAnsi"/>
          <w:color w:val="000000"/>
          <w:szCs w:val="22"/>
          <w:lang w:eastAsia="en-US"/>
        </w:rPr>
        <w:t xml:space="preserve"> </w:t>
      </w:r>
      <w:r w:rsidRPr="00C03677">
        <w:rPr>
          <w:rFonts w:asciiTheme="majorHAnsi" w:eastAsiaTheme="minorHAnsi" w:hAnsiTheme="majorHAnsi" w:cstheme="majorHAnsi"/>
          <w:color w:val="000000"/>
          <w:szCs w:val="22"/>
          <w:lang w:eastAsia="en-US"/>
        </w:rPr>
        <w:t>ITT population restricted to non-negative COVID-19 consists of 3613 patients. There are 29 patients</w:t>
      </w:r>
      <w:r w:rsidR="0036013E" w:rsidRPr="00C03677">
        <w:rPr>
          <w:rFonts w:asciiTheme="majorHAnsi" w:eastAsiaTheme="minorHAnsi" w:hAnsiTheme="majorHAnsi" w:cstheme="majorHAnsi"/>
          <w:color w:val="000000"/>
          <w:szCs w:val="22"/>
          <w:lang w:eastAsia="en-US"/>
        </w:rPr>
        <w:t xml:space="preserve"> </w:t>
      </w:r>
      <w:r w:rsidRPr="00C03677">
        <w:rPr>
          <w:rFonts w:asciiTheme="majorHAnsi" w:eastAsiaTheme="minorHAnsi" w:hAnsiTheme="majorHAnsi" w:cstheme="majorHAnsi"/>
          <w:color w:val="000000"/>
          <w:szCs w:val="22"/>
          <w:lang w:eastAsia="en-US"/>
        </w:rPr>
        <w:t>within this population that are missing values of OSFD and in-hospital mortality.</w:t>
      </w:r>
    </w:p>
    <w:p w14:paraId="68DD746D" w14:textId="342246FA" w:rsidR="00884A42" w:rsidRPr="00097972" w:rsidRDefault="00884A42" w:rsidP="00884A42">
      <w:pPr>
        <w:pStyle w:val="ListParagraph"/>
        <w:numPr>
          <w:ilvl w:val="1"/>
          <w:numId w:val="6"/>
        </w:numPr>
        <w:autoSpaceDE w:val="0"/>
        <w:autoSpaceDN w:val="0"/>
        <w:adjustRightInd w:val="0"/>
        <w:rPr>
          <w:rFonts w:asciiTheme="majorHAnsi" w:eastAsiaTheme="minorHAnsi" w:hAnsiTheme="majorHAnsi" w:cstheme="majorHAnsi"/>
          <w:color w:val="000000"/>
          <w:szCs w:val="22"/>
          <w:lang w:eastAsia="en-US"/>
        </w:rPr>
      </w:pPr>
      <w:r w:rsidRPr="00C03677">
        <w:rPr>
          <w:rFonts w:asciiTheme="majorHAnsi" w:eastAsiaTheme="minorHAnsi" w:hAnsiTheme="majorHAnsi" w:cstheme="majorHAnsi"/>
          <w:color w:val="000000"/>
          <w:szCs w:val="22"/>
          <w:lang w:eastAsia="en-US"/>
        </w:rPr>
        <w:t>The Immune Modulation ITT population consists of patients in the Unblinded ITT population that</w:t>
      </w:r>
      <w:r w:rsidR="00097972">
        <w:rPr>
          <w:rFonts w:asciiTheme="majorHAnsi" w:eastAsiaTheme="minorHAnsi" w:hAnsiTheme="majorHAnsi" w:cstheme="majorHAnsi"/>
          <w:color w:val="000000"/>
          <w:szCs w:val="22"/>
          <w:lang w:eastAsia="en-US"/>
        </w:rPr>
        <w:t xml:space="preserve"> </w:t>
      </w:r>
      <w:r w:rsidRPr="00097972">
        <w:rPr>
          <w:rFonts w:asciiTheme="majorHAnsi" w:eastAsiaTheme="minorHAnsi" w:hAnsiTheme="majorHAnsi" w:cstheme="majorHAnsi"/>
          <w:color w:val="000000"/>
          <w:szCs w:val="22"/>
          <w:lang w:eastAsia="en-US"/>
        </w:rPr>
        <w:t>were randomized to the Immune Modulation domain within the pandemic stratum. The Immune</w:t>
      </w:r>
      <w:r w:rsidR="00097972">
        <w:rPr>
          <w:rFonts w:asciiTheme="majorHAnsi" w:eastAsiaTheme="minorHAnsi" w:hAnsiTheme="majorHAnsi" w:cstheme="majorHAnsi"/>
          <w:color w:val="000000"/>
          <w:szCs w:val="22"/>
          <w:lang w:eastAsia="en-US"/>
        </w:rPr>
        <w:t xml:space="preserve"> </w:t>
      </w:r>
      <w:r w:rsidRPr="00097972">
        <w:rPr>
          <w:rFonts w:asciiTheme="majorHAnsi" w:eastAsiaTheme="minorHAnsi" w:hAnsiTheme="majorHAnsi" w:cstheme="majorHAnsi"/>
          <w:color w:val="000000"/>
          <w:szCs w:val="22"/>
          <w:lang w:eastAsia="en-US"/>
        </w:rPr>
        <w:t>Modulation ITT population consists of 2226 patients. There are 19 patients within this population</w:t>
      </w:r>
      <w:r w:rsidR="00097972">
        <w:rPr>
          <w:rFonts w:asciiTheme="majorHAnsi" w:eastAsiaTheme="minorHAnsi" w:hAnsiTheme="majorHAnsi" w:cstheme="majorHAnsi"/>
          <w:color w:val="000000"/>
          <w:szCs w:val="22"/>
          <w:lang w:eastAsia="en-US"/>
        </w:rPr>
        <w:t xml:space="preserve"> </w:t>
      </w:r>
      <w:r w:rsidRPr="00097972">
        <w:rPr>
          <w:rFonts w:asciiTheme="majorHAnsi" w:eastAsiaTheme="minorHAnsi" w:hAnsiTheme="majorHAnsi" w:cstheme="majorHAnsi"/>
          <w:color w:val="000000"/>
          <w:szCs w:val="22"/>
          <w:lang w:eastAsia="en-US"/>
        </w:rPr>
        <w:t>that are missing values of OSFD and in-hospital mortality.</w:t>
      </w:r>
    </w:p>
    <w:p w14:paraId="2F505A08" w14:textId="78D4E44C" w:rsidR="00C03677" w:rsidRPr="00AA4597" w:rsidRDefault="00884A42" w:rsidP="009C2A20">
      <w:pPr>
        <w:pStyle w:val="ListParagraph"/>
        <w:numPr>
          <w:ilvl w:val="1"/>
          <w:numId w:val="6"/>
        </w:numPr>
        <w:autoSpaceDE w:val="0"/>
        <w:autoSpaceDN w:val="0"/>
        <w:adjustRightInd w:val="0"/>
        <w:rPr>
          <w:rFonts w:asciiTheme="majorHAnsi" w:eastAsiaTheme="minorHAnsi" w:hAnsiTheme="majorHAnsi" w:cstheme="majorHAnsi"/>
          <w:color w:val="000000"/>
          <w:szCs w:val="22"/>
          <w:lang w:eastAsia="en-US"/>
        </w:rPr>
      </w:pPr>
      <w:r w:rsidRPr="00C03677">
        <w:rPr>
          <w:rFonts w:asciiTheme="majorHAnsi" w:eastAsiaTheme="minorHAnsi" w:hAnsiTheme="majorHAnsi" w:cstheme="majorHAnsi"/>
          <w:color w:val="000000"/>
          <w:szCs w:val="22"/>
          <w:lang w:eastAsia="en-US"/>
        </w:rPr>
        <w:t>The Immune Modulation Per Protocol (PP) population consists of the patients in the Immune Modulation ITT population who have been treated as per protocol. The Immune Modulation per protocol</w:t>
      </w:r>
      <w:r w:rsidR="0036013E" w:rsidRPr="00C03677">
        <w:rPr>
          <w:rFonts w:asciiTheme="majorHAnsi" w:eastAsiaTheme="minorHAnsi" w:hAnsiTheme="majorHAnsi" w:cstheme="majorHAnsi"/>
          <w:color w:val="000000"/>
          <w:szCs w:val="22"/>
          <w:lang w:eastAsia="en-US"/>
        </w:rPr>
        <w:t xml:space="preserve"> </w:t>
      </w:r>
      <w:r w:rsidRPr="00C03677">
        <w:rPr>
          <w:rFonts w:asciiTheme="majorHAnsi" w:eastAsiaTheme="minorHAnsi" w:hAnsiTheme="majorHAnsi" w:cstheme="majorHAnsi"/>
          <w:color w:val="000000"/>
          <w:szCs w:val="22"/>
          <w:lang w:eastAsia="en-US"/>
        </w:rPr>
        <w:t>population consists of 2107 patients. There are 13 patients within this population that are missing</w:t>
      </w:r>
      <w:r w:rsidR="0036013E" w:rsidRPr="00C03677">
        <w:rPr>
          <w:rFonts w:asciiTheme="majorHAnsi" w:eastAsiaTheme="minorHAnsi" w:hAnsiTheme="majorHAnsi" w:cstheme="majorHAnsi"/>
          <w:color w:val="000000"/>
          <w:szCs w:val="22"/>
          <w:lang w:eastAsia="en-US"/>
        </w:rPr>
        <w:t xml:space="preserve"> </w:t>
      </w:r>
      <w:r w:rsidRPr="00C03677">
        <w:rPr>
          <w:rFonts w:asciiTheme="majorHAnsi" w:eastAsiaTheme="minorHAnsi" w:hAnsiTheme="majorHAnsi" w:cstheme="majorHAnsi"/>
          <w:color w:val="000000"/>
          <w:szCs w:val="22"/>
          <w:lang w:eastAsia="en-US"/>
        </w:rPr>
        <w:t>values of OSFD and in-hospital mortality.</w:t>
      </w:r>
    </w:p>
    <w:p w14:paraId="1B0E0E05" w14:textId="3B0E6677" w:rsidR="003F1786" w:rsidRDefault="00C03677" w:rsidP="009C2A20">
      <w:pPr>
        <w:spacing w:line="360" w:lineRule="auto"/>
        <w:rPr>
          <w:rFonts w:asciiTheme="majorHAnsi" w:hAnsiTheme="majorHAnsi" w:cstheme="majorHAnsi"/>
          <w:sz w:val="22"/>
          <w:szCs w:val="22"/>
          <w:lang w:val="en-US"/>
        </w:rPr>
      </w:pPr>
      <w:r w:rsidRPr="00C03677">
        <w:rPr>
          <w:rFonts w:asciiTheme="majorHAnsi" w:hAnsiTheme="majorHAnsi" w:cstheme="majorHAnsi"/>
          <w:sz w:val="22"/>
          <w:szCs w:val="22"/>
          <w:lang w:val="en-US"/>
        </w:rPr>
        <w:t>20 patients had randomizations in both Moderate and Severe state. All of them had known OSFD outcomes for both states. These patients thus each contribute 2 outcomes to the model.</w:t>
      </w:r>
    </w:p>
    <w:p w14:paraId="234F7A2A" w14:textId="77777777" w:rsidR="00C03677" w:rsidRPr="00C03677" w:rsidRDefault="00C03677" w:rsidP="009C2A20">
      <w:pPr>
        <w:spacing w:line="360" w:lineRule="auto"/>
        <w:rPr>
          <w:rFonts w:asciiTheme="majorHAnsi" w:eastAsiaTheme="minorHAnsi" w:hAnsiTheme="majorHAnsi" w:cstheme="majorHAnsi"/>
          <w:color w:val="000000"/>
          <w:sz w:val="22"/>
          <w:szCs w:val="22"/>
          <w:lang w:eastAsia="en-US"/>
        </w:rPr>
      </w:pPr>
    </w:p>
    <w:p w14:paraId="2986B13A" w14:textId="100AEC03" w:rsidR="003F1786" w:rsidRPr="00CC4795" w:rsidRDefault="003F1786" w:rsidP="009C2A20">
      <w:pPr>
        <w:pStyle w:val="Heading4"/>
        <w:rPr>
          <w:rFonts w:asciiTheme="majorHAnsi" w:hAnsiTheme="majorHAnsi" w:cstheme="majorHAnsi"/>
          <w:sz w:val="22"/>
          <w:szCs w:val="22"/>
          <w:lang w:val="en-US"/>
        </w:rPr>
      </w:pPr>
      <w:r>
        <w:rPr>
          <w:rFonts w:asciiTheme="majorHAnsi" w:hAnsiTheme="majorHAnsi" w:cstheme="majorHAnsi"/>
          <w:sz w:val="22"/>
          <w:szCs w:val="22"/>
          <w:lang w:val="en-US"/>
        </w:rPr>
        <w:t>Data management and summaries</w:t>
      </w:r>
      <w:r w:rsidRPr="00CC4795">
        <w:rPr>
          <w:rFonts w:asciiTheme="majorHAnsi" w:hAnsiTheme="majorHAnsi" w:cstheme="majorHAnsi"/>
          <w:sz w:val="22"/>
          <w:szCs w:val="22"/>
          <w:lang w:val="en-US"/>
        </w:rPr>
        <w:t>:</w:t>
      </w:r>
    </w:p>
    <w:p w14:paraId="0079DC41" w14:textId="07C0F8A2" w:rsidR="003F1786" w:rsidRDefault="003F1786" w:rsidP="009C2A20">
      <w:pPr>
        <w:spacing w:line="360" w:lineRule="auto"/>
        <w:rPr>
          <w:rFonts w:asciiTheme="majorHAnsi" w:eastAsiaTheme="minorHAnsi" w:hAnsiTheme="majorHAnsi" w:cstheme="majorHAnsi"/>
          <w:color w:val="000000"/>
          <w:sz w:val="22"/>
          <w:szCs w:val="22"/>
          <w:lang w:val="en-US" w:eastAsia="en-US"/>
        </w:rPr>
      </w:pPr>
      <w:r w:rsidRPr="003F1786">
        <w:rPr>
          <w:rFonts w:asciiTheme="majorHAnsi" w:eastAsiaTheme="minorHAnsi" w:hAnsiTheme="majorHAnsi" w:cstheme="majorHAnsi"/>
          <w:color w:val="000000"/>
          <w:sz w:val="22"/>
          <w:szCs w:val="22"/>
          <w:lang w:val="en-US" w:eastAsia="en-US"/>
        </w:rPr>
        <w:t>Data management</w:t>
      </w:r>
      <w:r>
        <w:rPr>
          <w:rFonts w:asciiTheme="majorHAnsi" w:eastAsiaTheme="minorHAnsi" w:hAnsiTheme="majorHAnsi" w:cstheme="majorHAnsi"/>
          <w:color w:val="000000"/>
          <w:sz w:val="22"/>
          <w:szCs w:val="22"/>
          <w:lang w:val="en-US" w:eastAsia="en-US"/>
        </w:rPr>
        <w:t xml:space="preserve"> </w:t>
      </w:r>
      <w:r w:rsidRPr="003F1786">
        <w:rPr>
          <w:rFonts w:asciiTheme="majorHAnsi" w:eastAsiaTheme="minorHAnsi" w:hAnsiTheme="majorHAnsi" w:cstheme="majorHAnsi"/>
          <w:color w:val="000000"/>
          <w:sz w:val="22"/>
          <w:szCs w:val="22"/>
          <w:lang w:val="en-US" w:eastAsia="en-US"/>
        </w:rPr>
        <w:t>and summaries were created with the use</w:t>
      </w:r>
      <w:r>
        <w:rPr>
          <w:rFonts w:asciiTheme="majorHAnsi" w:eastAsiaTheme="minorHAnsi" w:hAnsiTheme="majorHAnsi" w:cstheme="majorHAnsi"/>
          <w:color w:val="000000"/>
          <w:sz w:val="22"/>
          <w:szCs w:val="22"/>
          <w:lang w:val="en-US" w:eastAsia="en-US"/>
        </w:rPr>
        <w:t xml:space="preserve"> </w:t>
      </w:r>
      <w:r w:rsidRPr="003F1786">
        <w:rPr>
          <w:rFonts w:asciiTheme="majorHAnsi" w:eastAsiaTheme="minorHAnsi" w:hAnsiTheme="majorHAnsi" w:cstheme="majorHAnsi"/>
          <w:color w:val="000000"/>
          <w:sz w:val="22"/>
          <w:szCs w:val="22"/>
          <w:lang w:val="en-US" w:eastAsia="en-US"/>
        </w:rPr>
        <w:t>of R software, version 3.6.0; the primary analysis</w:t>
      </w:r>
      <w:r>
        <w:rPr>
          <w:rFonts w:asciiTheme="majorHAnsi" w:eastAsiaTheme="minorHAnsi" w:hAnsiTheme="majorHAnsi" w:cstheme="majorHAnsi"/>
          <w:color w:val="000000"/>
          <w:sz w:val="22"/>
          <w:szCs w:val="22"/>
          <w:lang w:val="en-US" w:eastAsia="en-US"/>
        </w:rPr>
        <w:t xml:space="preserve"> </w:t>
      </w:r>
      <w:r w:rsidRPr="003F1786">
        <w:rPr>
          <w:rFonts w:asciiTheme="majorHAnsi" w:eastAsiaTheme="minorHAnsi" w:hAnsiTheme="majorHAnsi" w:cstheme="majorHAnsi"/>
          <w:color w:val="000000"/>
          <w:sz w:val="22"/>
          <w:szCs w:val="22"/>
          <w:lang w:val="en-US" w:eastAsia="en-US"/>
        </w:rPr>
        <w:t>was computed with R software, version 4.0.0, with</w:t>
      </w:r>
      <w:r>
        <w:rPr>
          <w:rFonts w:asciiTheme="majorHAnsi" w:eastAsiaTheme="minorHAnsi" w:hAnsiTheme="majorHAnsi" w:cstheme="majorHAnsi"/>
          <w:color w:val="000000"/>
          <w:sz w:val="22"/>
          <w:szCs w:val="22"/>
          <w:lang w:val="en-US" w:eastAsia="en-US"/>
        </w:rPr>
        <w:t xml:space="preserve"> </w:t>
      </w:r>
      <w:r w:rsidRPr="003F1786">
        <w:rPr>
          <w:rFonts w:asciiTheme="majorHAnsi" w:eastAsiaTheme="minorHAnsi" w:hAnsiTheme="majorHAnsi" w:cstheme="majorHAnsi"/>
          <w:color w:val="000000"/>
          <w:sz w:val="22"/>
          <w:szCs w:val="22"/>
          <w:lang w:val="en-US" w:eastAsia="en-US"/>
        </w:rPr>
        <w:t>the use of the rstan package, version 2.21.1. Additional</w:t>
      </w:r>
      <w:r>
        <w:rPr>
          <w:rFonts w:asciiTheme="majorHAnsi" w:eastAsiaTheme="minorHAnsi" w:hAnsiTheme="majorHAnsi" w:cstheme="majorHAnsi"/>
          <w:color w:val="000000"/>
          <w:sz w:val="22"/>
          <w:szCs w:val="22"/>
          <w:lang w:val="en-US" w:eastAsia="en-US"/>
        </w:rPr>
        <w:t xml:space="preserve"> </w:t>
      </w:r>
      <w:r w:rsidRPr="003F1786">
        <w:rPr>
          <w:rFonts w:asciiTheme="majorHAnsi" w:eastAsiaTheme="minorHAnsi" w:hAnsiTheme="majorHAnsi" w:cstheme="majorHAnsi"/>
          <w:color w:val="000000"/>
          <w:sz w:val="22"/>
          <w:szCs w:val="22"/>
          <w:lang w:val="en-US" w:eastAsia="en-US"/>
        </w:rPr>
        <w:t>data management and analyses were</w:t>
      </w:r>
      <w:r>
        <w:rPr>
          <w:rFonts w:asciiTheme="majorHAnsi" w:eastAsiaTheme="minorHAnsi" w:hAnsiTheme="majorHAnsi" w:cstheme="majorHAnsi"/>
          <w:color w:val="000000"/>
          <w:sz w:val="22"/>
          <w:szCs w:val="22"/>
          <w:lang w:val="en-US" w:eastAsia="en-US"/>
        </w:rPr>
        <w:t xml:space="preserve"> </w:t>
      </w:r>
      <w:r w:rsidRPr="003F1786">
        <w:rPr>
          <w:rFonts w:asciiTheme="majorHAnsi" w:eastAsiaTheme="minorHAnsi" w:hAnsiTheme="majorHAnsi" w:cstheme="majorHAnsi"/>
          <w:color w:val="000000"/>
          <w:sz w:val="22"/>
          <w:szCs w:val="22"/>
          <w:lang w:val="en-US" w:eastAsia="en-US"/>
        </w:rPr>
        <w:t>performed with SQL Server 2016; SPSS software,</w:t>
      </w:r>
      <w:r>
        <w:rPr>
          <w:rFonts w:asciiTheme="majorHAnsi" w:eastAsiaTheme="minorHAnsi" w:hAnsiTheme="majorHAnsi" w:cstheme="majorHAnsi"/>
          <w:color w:val="000000"/>
          <w:sz w:val="22"/>
          <w:szCs w:val="22"/>
          <w:lang w:val="en-US" w:eastAsia="en-US"/>
        </w:rPr>
        <w:t xml:space="preserve"> </w:t>
      </w:r>
      <w:r w:rsidRPr="003F1786">
        <w:rPr>
          <w:rFonts w:asciiTheme="majorHAnsi" w:eastAsiaTheme="minorHAnsi" w:hAnsiTheme="majorHAnsi" w:cstheme="majorHAnsi"/>
          <w:color w:val="000000"/>
          <w:sz w:val="22"/>
          <w:szCs w:val="22"/>
          <w:lang w:val="en-US" w:eastAsia="en-US"/>
        </w:rPr>
        <w:t>version 26; and Stata software, version 14.2.</w:t>
      </w:r>
    </w:p>
    <w:p w14:paraId="6803C6AE" w14:textId="77777777" w:rsidR="00DF06D2" w:rsidRPr="00DF06D2" w:rsidRDefault="00DF06D2" w:rsidP="009C2A20">
      <w:pPr>
        <w:spacing w:line="360" w:lineRule="auto"/>
        <w:rPr>
          <w:rFonts w:asciiTheme="majorHAnsi" w:hAnsiTheme="majorHAnsi" w:cstheme="majorHAnsi"/>
          <w:sz w:val="22"/>
          <w:szCs w:val="22"/>
          <w:lang w:val="en-US"/>
        </w:rPr>
      </w:pPr>
    </w:p>
    <w:p w14:paraId="68FA083F" w14:textId="39BA9977" w:rsidR="00EA31E7" w:rsidRDefault="00DF06D2" w:rsidP="009F07E7">
      <w:pPr>
        <w:pStyle w:val="ADSCAP"/>
        <w:numPr>
          <w:ilvl w:val="0"/>
          <w:numId w:val="9"/>
        </w:numPr>
        <w:outlineLvl w:val="0"/>
        <w:rPr>
          <w:i w:val="0"/>
          <w:iCs/>
          <w:sz w:val="28"/>
          <w:szCs w:val="28"/>
        </w:rPr>
      </w:pPr>
      <w:bookmarkStart w:id="22" w:name="_Toc74659153"/>
      <w:r>
        <w:rPr>
          <w:i w:val="0"/>
          <w:iCs/>
          <w:sz w:val="28"/>
          <w:szCs w:val="28"/>
        </w:rPr>
        <w:lastRenderedPageBreak/>
        <w:t>Additional results and analyses</w:t>
      </w:r>
      <w:bookmarkEnd w:id="13"/>
      <w:bookmarkEnd w:id="22"/>
    </w:p>
    <w:p w14:paraId="558EF28E" w14:textId="350AC928" w:rsidR="00FF6CF4" w:rsidRPr="00FF6CF4" w:rsidRDefault="00FF6CF4" w:rsidP="009F07E7">
      <w:pPr>
        <w:pStyle w:val="ADSCAP"/>
        <w:numPr>
          <w:ilvl w:val="1"/>
          <w:numId w:val="9"/>
        </w:numPr>
        <w:rPr>
          <w:i w:val="0"/>
          <w:iCs/>
          <w:sz w:val="24"/>
          <w:szCs w:val="24"/>
        </w:rPr>
      </w:pPr>
      <w:bookmarkStart w:id="23" w:name="_Toc74659154"/>
      <w:r w:rsidRPr="00FF6CF4">
        <w:rPr>
          <w:i w:val="0"/>
          <w:iCs/>
          <w:sz w:val="24"/>
          <w:szCs w:val="24"/>
        </w:rPr>
        <w:t>Site participation and exclusions</w:t>
      </w:r>
      <w:bookmarkEnd w:id="23"/>
    </w:p>
    <w:p w14:paraId="0F853D33" w14:textId="77777777" w:rsidR="00FF6CF4" w:rsidRPr="00330AA0" w:rsidRDefault="00FF6CF4" w:rsidP="009C2A20">
      <w:pPr>
        <w:spacing w:line="360" w:lineRule="auto"/>
        <w:rPr>
          <w:rFonts w:asciiTheme="majorHAnsi" w:eastAsiaTheme="majorEastAsia" w:hAnsiTheme="majorHAnsi" w:cstheme="majorHAnsi"/>
          <w:b/>
          <w:bCs/>
          <w:i/>
          <w:iCs/>
          <w:color w:val="2F5496" w:themeColor="accent1" w:themeShade="BF"/>
          <w:sz w:val="22"/>
          <w:szCs w:val="22"/>
          <w:lang w:val="en-US"/>
        </w:rPr>
      </w:pPr>
      <w:bookmarkStart w:id="24" w:name="_Toc72762444"/>
      <w:r w:rsidRPr="00330AA0">
        <w:rPr>
          <w:rFonts w:asciiTheme="majorHAnsi" w:hAnsiTheme="majorHAnsi" w:cstheme="majorHAnsi"/>
          <w:i/>
          <w:iCs/>
          <w:color w:val="2F5496" w:themeColor="accent1" w:themeShade="BF"/>
          <w:sz w:val="22"/>
          <w:szCs w:val="22"/>
          <w:lang w:val="en-US"/>
        </w:rPr>
        <w:t>Site Participation in the Immune Modulation Domain</w:t>
      </w:r>
      <w:bookmarkEnd w:id="24"/>
      <w:r>
        <w:rPr>
          <w:rFonts w:asciiTheme="majorHAnsi" w:hAnsiTheme="majorHAnsi" w:cstheme="majorHAnsi"/>
          <w:i/>
          <w:iCs/>
          <w:color w:val="2F5496" w:themeColor="accent1" w:themeShade="BF"/>
          <w:sz w:val="22"/>
          <w:szCs w:val="22"/>
          <w:lang w:val="en-US"/>
        </w:rPr>
        <w:t>:</w:t>
      </w:r>
    </w:p>
    <w:p w14:paraId="05897CA9" w14:textId="77777777" w:rsidR="00FF6CF4" w:rsidRPr="00F37253" w:rsidRDefault="00FF6CF4" w:rsidP="009C2A20">
      <w:pPr>
        <w:spacing w:line="360" w:lineRule="auto"/>
        <w:rPr>
          <w:rFonts w:asciiTheme="majorHAnsi" w:hAnsiTheme="majorHAnsi" w:cstheme="majorHAnsi"/>
          <w:sz w:val="22"/>
          <w:szCs w:val="22"/>
          <w:lang w:val="en-US"/>
        </w:rPr>
      </w:pPr>
    </w:p>
    <w:p w14:paraId="06801C8A" w14:textId="77777777" w:rsidR="00FF6CF4" w:rsidRPr="00F37253" w:rsidRDefault="00FF6CF4" w:rsidP="009C2A20">
      <w:pPr>
        <w:spacing w:line="360" w:lineRule="auto"/>
        <w:rPr>
          <w:rStyle w:val="normaltextrun"/>
          <w:rFonts w:asciiTheme="majorHAnsi" w:hAnsiTheme="majorHAnsi" w:cstheme="majorHAnsi"/>
          <w:color w:val="000000"/>
          <w:sz w:val="22"/>
          <w:szCs w:val="22"/>
          <w:lang w:val="en-US"/>
        </w:rPr>
      </w:pPr>
      <w:r w:rsidRPr="00F37253">
        <w:rPr>
          <w:rStyle w:val="normaltextrun"/>
          <w:rFonts w:asciiTheme="majorHAnsi" w:hAnsiTheme="majorHAnsi" w:cstheme="majorHAnsi"/>
          <w:color w:val="000000"/>
          <w:sz w:val="22"/>
          <w:szCs w:val="22"/>
          <w:lang w:val="en-US"/>
        </w:rPr>
        <w:t>During the study period, April 19 2020 to April 10 2021, 127 sites were open for enrolment in the Immune Modulation Therapy domain. There were 4 sites open for recruitment in the Moderate state (3 UK, 1 Australia) and 123 sites for recruitment in the Severe State (110 UK, 11 Netherlands, 3 Ireland, 2 Australia, 2 New-Zealand, 1 Canada, 1 Finland, 1 Italy, 1 Saudi-Arabia).</w:t>
      </w:r>
    </w:p>
    <w:p w14:paraId="7BD395FF" w14:textId="77777777" w:rsidR="00FF6CF4" w:rsidRPr="00F37253" w:rsidRDefault="00FF6CF4" w:rsidP="009C2A20">
      <w:pPr>
        <w:spacing w:line="360" w:lineRule="auto"/>
        <w:rPr>
          <w:rFonts w:asciiTheme="majorHAnsi" w:hAnsiTheme="majorHAnsi" w:cstheme="majorHAnsi"/>
          <w:sz w:val="22"/>
          <w:szCs w:val="22"/>
          <w:lang w:val="en-US"/>
        </w:rPr>
      </w:pPr>
      <w:r w:rsidRPr="00F37253">
        <w:rPr>
          <w:rStyle w:val="eop"/>
          <w:rFonts w:asciiTheme="majorHAnsi" w:hAnsiTheme="majorHAnsi" w:cstheme="majorHAnsi"/>
          <w:color w:val="000000"/>
          <w:sz w:val="22"/>
          <w:szCs w:val="22"/>
          <w:lang w:val="en-US"/>
        </w:rPr>
        <w:t> </w:t>
      </w:r>
    </w:p>
    <w:p w14:paraId="30AD3C43" w14:textId="6B81378C" w:rsidR="00FF6CF4" w:rsidRPr="00F37253" w:rsidRDefault="00FF6CF4" w:rsidP="005C798D">
      <w:pPr>
        <w:pStyle w:val="Heading4"/>
        <w:rPr>
          <w:rFonts w:asciiTheme="majorHAnsi" w:hAnsiTheme="majorHAnsi" w:cstheme="majorHAnsi"/>
          <w:sz w:val="22"/>
          <w:szCs w:val="22"/>
          <w:lang w:val="en-US"/>
        </w:rPr>
      </w:pPr>
      <w:bookmarkStart w:id="25" w:name="_Toc72762445"/>
      <w:r w:rsidRPr="00F37253">
        <w:rPr>
          <w:rFonts w:asciiTheme="majorHAnsi" w:hAnsiTheme="majorHAnsi" w:cstheme="majorHAnsi"/>
          <w:sz w:val="22"/>
          <w:szCs w:val="22"/>
          <w:lang w:val="en-US"/>
        </w:rPr>
        <w:t>Platform exclusions:</w:t>
      </w:r>
      <w:bookmarkEnd w:id="25"/>
    </w:p>
    <w:p w14:paraId="00EDB62D" w14:textId="6812E6F4" w:rsidR="00FF6CF4" w:rsidRPr="00F37253" w:rsidRDefault="00FF6CF4" w:rsidP="009C2A20">
      <w:pPr>
        <w:spacing w:line="360" w:lineRule="auto"/>
        <w:rPr>
          <w:rFonts w:asciiTheme="majorHAnsi" w:hAnsiTheme="majorHAnsi" w:cstheme="majorHAnsi"/>
          <w:sz w:val="22"/>
          <w:szCs w:val="22"/>
          <w:lang w:val="en-US"/>
        </w:rPr>
      </w:pPr>
      <w:r w:rsidRPr="00F37253">
        <w:rPr>
          <w:rFonts w:asciiTheme="majorHAnsi" w:hAnsiTheme="majorHAnsi" w:cstheme="majorHAnsi"/>
          <w:sz w:val="22"/>
          <w:szCs w:val="22"/>
          <w:lang w:val="en-US"/>
        </w:rPr>
        <w:t xml:space="preserve">From the patient flow </w:t>
      </w:r>
      <w:r w:rsidR="005C798D">
        <w:rPr>
          <w:rFonts w:asciiTheme="majorHAnsi" w:hAnsiTheme="majorHAnsi" w:cstheme="majorHAnsi"/>
          <w:sz w:val="22"/>
          <w:szCs w:val="22"/>
          <w:lang w:val="en-US"/>
        </w:rPr>
        <w:t>(F</w:t>
      </w:r>
      <w:r w:rsidRPr="00F37253">
        <w:rPr>
          <w:rFonts w:asciiTheme="majorHAnsi" w:hAnsiTheme="majorHAnsi" w:cstheme="majorHAnsi"/>
          <w:sz w:val="22"/>
          <w:szCs w:val="22"/>
          <w:lang w:val="en-US"/>
        </w:rPr>
        <w:t>igure 1</w:t>
      </w:r>
      <w:r w:rsidR="005C798D">
        <w:rPr>
          <w:rFonts w:asciiTheme="majorHAnsi" w:hAnsiTheme="majorHAnsi" w:cstheme="majorHAnsi"/>
          <w:sz w:val="22"/>
          <w:szCs w:val="22"/>
          <w:lang w:val="en-US"/>
        </w:rPr>
        <w:t xml:space="preserve"> main manuscript):</w:t>
      </w:r>
    </w:p>
    <w:p w14:paraId="3A729C0A" w14:textId="77777777" w:rsidR="00FF6CF4" w:rsidRPr="00330AA0" w:rsidRDefault="00FF6CF4" w:rsidP="009C2A20">
      <w:pPr>
        <w:spacing w:line="360" w:lineRule="auto"/>
        <w:rPr>
          <w:rFonts w:asciiTheme="majorHAnsi" w:hAnsiTheme="majorHAnsi" w:cstheme="majorHAnsi"/>
          <w:sz w:val="22"/>
          <w:szCs w:val="22"/>
          <w:lang w:val="en-US"/>
        </w:rPr>
      </w:pPr>
      <w:r w:rsidRPr="00330AA0">
        <w:rPr>
          <w:rFonts w:asciiTheme="majorHAnsi" w:hAnsiTheme="majorHAnsi" w:cstheme="majorHAnsi"/>
          <w:b/>
          <w:bCs/>
          <w:sz w:val="22"/>
          <w:szCs w:val="22"/>
          <w:lang w:val="en-US"/>
        </w:rPr>
        <w:t>7695 participants were excluded</w:t>
      </w:r>
      <w:r w:rsidRPr="00330AA0">
        <w:rPr>
          <w:rFonts w:asciiTheme="majorHAnsi" w:hAnsiTheme="majorHAnsi" w:cstheme="majorHAnsi"/>
          <w:sz w:val="22"/>
          <w:szCs w:val="22"/>
          <w:lang w:val="en-US"/>
        </w:rPr>
        <w:t xml:space="preserve"> from the REMAP-CAP platform:</w:t>
      </w:r>
    </w:p>
    <w:p w14:paraId="59D8EE3E" w14:textId="77777777" w:rsidR="00FF6CF4" w:rsidRPr="00330AA0" w:rsidRDefault="00FF6CF4" w:rsidP="009F07E7">
      <w:pPr>
        <w:pStyle w:val="ListParagraph"/>
        <w:numPr>
          <w:ilvl w:val="0"/>
          <w:numId w:val="8"/>
        </w:numPr>
        <w:rPr>
          <w:rFonts w:asciiTheme="majorHAnsi" w:hAnsiTheme="majorHAnsi" w:cstheme="majorHAnsi"/>
          <w:szCs w:val="22"/>
        </w:rPr>
      </w:pPr>
      <w:r w:rsidRPr="00330AA0">
        <w:rPr>
          <w:rFonts w:asciiTheme="majorHAnsi" w:hAnsiTheme="majorHAnsi" w:cstheme="majorHAnsi"/>
          <w:b/>
          <w:bCs/>
          <w:szCs w:val="22"/>
        </w:rPr>
        <w:t>5963</w:t>
      </w:r>
      <w:r w:rsidRPr="00330AA0">
        <w:rPr>
          <w:rFonts w:asciiTheme="majorHAnsi" w:hAnsiTheme="majorHAnsi" w:cstheme="majorHAnsi"/>
          <w:szCs w:val="22"/>
        </w:rPr>
        <w:t xml:space="preserve"> participants were ineligible for the platform</w:t>
      </w:r>
    </w:p>
    <w:p w14:paraId="7238B82E" w14:textId="77777777" w:rsidR="00FF6CF4" w:rsidRDefault="00FF6CF4" w:rsidP="009F07E7">
      <w:pPr>
        <w:pStyle w:val="ListParagraph"/>
        <w:numPr>
          <w:ilvl w:val="0"/>
          <w:numId w:val="8"/>
        </w:numPr>
        <w:rPr>
          <w:rFonts w:asciiTheme="majorHAnsi" w:hAnsiTheme="majorHAnsi" w:cstheme="majorHAnsi"/>
          <w:szCs w:val="22"/>
        </w:rPr>
      </w:pPr>
      <w:r w:rsidRPr="00330AA0">
        <w:rPr>
          <w:rFonts w:asciiTheme="majorHAnsi" w:hAnsiTheme="majorHAnsi" w:cstheme="majorHAnsi"/>
          <w:szCs w:val="22"/>
        </w:rPr>
        <w:t xml:space="preserve">Of </w:t>
      </w:r>
      <w:r w:rsidRPr="00330AA0">
        <w:rPr>
          <w:rFonts w:asciiTheme="majorHAnsi" w:hAnsiTheme="majorHAnsi" w:cstheme="majorHAnsi"/>
          <w:b/>
          <w:bCs/>
          <w:szCs w:val="22"/>
        </w:rPr>
        <w:t>1089</w:t>
      </w:r>
      <w:r w:rsidRPr="00330AA0">
        <w:rPr>
          <w:rFonts w:asciiTheme="majorHAnsi" w:hAnsiTheme="majorHAnsi" w:cstheme="majorHAnsi"/>
          <w:szCs w:val="22"/>
        </w:rPr>
        <w:t xml:space="preserve"> participants, the site was </w:t>
      </w:r>
      <w:r w:rsidRPr="00330AA0">
        <w:rPr>
          <w:rFonts w:asciiTheme="majorHAnsi" w:hAnsiTheme="majorHAnsi" w:cstheme="majorHAnsi"/>
          <w:szCs w:val="22"/>
          <w:u w:val="single"/>
        </w:rPr>
        <w:t>not active</w:t>
      </w:r>
      <w:r w:rsidRPr="00330AA0">
        <w:rPr>
          <w:rFonts w:asciiTheme="majorHAnsi" w:hAnsiTheme="majorHAnsi" w:cstheme="majorHAnsi"/>
          <w:szCs w:val="22"/>
        </w:rPr>
        <w:t xml:space="preserve"> for COVID-19 Immune Modulation </w:t>
      </w:r>
      <w:r>
        <w:rPr>
          <w:rFonts w:asciiTheme="majorHAnsi" w:hAnsiTheme="majorHAnsi" w:cstheme="majorHAnsi"/>
          <w:szCs w:val="22"/>
        </w:rPr>
        <w:t>Therapy d</w:t>
      </w:r>
      <w:r w:rsidRPr="00330AA0">
        <w:rPr>
          <w:rFonts w:asciiTheme="majorHAnsi" w:hAnsiTheme="majorHAnsi" w:cstheme="majorHAnsi"/>
          <w:szCs w:val="22"/>
        </w:rPr>
        <w:t>omain and they were not enrolled in another domain</w:t>
      </w:r>
    </w:p>
    <w:p w14:paraId="04FEBFFD" w14:textId="77777777" w:rsidR="00FF6CF4" w:rsidRDefault="00FF6CF4" w:rsidP="009F07E7">
      <w:pPr>
        <w:pStyle w:val="ListParagraph"/>
        <w:numPr>
          <w:ilvl w:val="0"/>
          <w:numId w:val="8"/>
        </w:numPr>
        <w:rPr>
          <w:rFonts w:asciiTheme="majorHAnsi" w:hAnsiTheme="majorHAnsi" w:cstheme="majorHAnsi"/>
          <w:szCs w:val="22"/>
        </w:rPr>
      </w:pPr>
      <w:r>
        <w:rPr>
          <w:rFonts w:asciiTheme="majorHAnsi" w:hAnsiTheme="majorHAnsi" w:cstheme="majorHAnsi"/>
          <w:szCs w:val="22"/>
        </w:rPr>
        <w:t xml:space="preserve">Of </w:t>
      </w:r>
      <w:r w:rsidRPr="00330AA0">
        <w:rPr>
          <w:rFonts w:asciiTheme="majorHAnsi" w:hAnsiTheme="majorHAnsi" w:cstheme="majorHAnsi"/>
          <w:b/>
          <w:bCs/>
          <w:szCs w:val="22"/>
        </w:rPr>
        <w:t>643</w:t>
      </w:r>
      <w:r>
        <w:rPr>
          <w:rFonts w:asciiTheme="majorHAnsi" w:hAnsiTheme="majorHAnsi" w:cstheme="majorHAnsi"/>
          <w:szCs w:val="22"/>
        </w:rPr>
        <w:t xml:space="preserve"> participants, the site was </w:t>
      </w:r>
      <w:r w:rsidRPr="00330AA0">
        <w:rPr>
          <w:rFonts w:asciiTheme="majorHAnsi" w:hAnsiTheme="majorHAnsi" w:cstheme="majorHAnsi"/>
          <w:szCs w:val="22"/>
          <w:u w:val="single"/>
        </w:rPr>
        <w:t>active</w:t>
      </w:r>
      <w:r>
        <w:rPr>
          <w:rFonts w:asciiTheme="majorHAnsi" w:hAnsiTheme="majorHAnsi" w:cstheme="majorHAnsi"/>
          <w:szCs w:val="22"/>
        </w:rPr>
        <w:t xml:space="preserve"> for the COVID-19 Immune Modulation Therapy domain and they were not enrolled in another domain. They were excluded from the Immune Modulation Therapy domain for the following reasons (participants</w:t>
      </w:r>
      <w:r w:rsidRPr="00F05C96">
        <w:rPr>
          <w:rFonts w:asciiTheme="majorHAnsi" w:hAnsiTheme="majorHAnsi" w:cstheme="majorHAnsi"/>
          <w:szCs w:val="22"/>
        </w:rPr>
        <w:t xml:space="preserve"> could be excluded for more than one reason</w:t>
      </w:r>
      <w:r>
        <w:rPr>
          <w:rFonts w:asciiTheme="majorHAnsi" w:hAnsiTheme="majorHAnsi" w:cstheme="majorHAnsi"/>
          <w:szCs w:val="22"/>
        </w:rPr>
        <w:t>):</w:t>
      </w:r>
    </w:p>
    <w:p w14:paraId="3C180961" w14:textId="77777777" w:rsidR="00FF6CF4" w:rsidRDefault="00FF6CF4" w:rsidP="009F07E7">
      <w:pPr>
        <w:pStyle w:val="ListParagraph"/>
        <w:numPr>
          <w:ilvl w:val="1"/>
          <w:numId w:val="8"/>
        </w:numPr>
        <w:rPr>
          <w:rFonts w:asciiTheme="majorHAnsi" w:hAnsiTheme="majorHAnsi" w:cstheme="majorHAnsi"/>
          <w:szCs w:val="22"/>
        </w:rPr>
      </w:pPr>
      <w:r w:rsidRPr="00330AA0">
        <w:rPr>
          <w:rFonts w:asciiTheme="majorHAnsi" w:hAnsiTheme="majorHAnsi" w:cstheme="majorHAnsi"/>
          <w:szCs w:val="22"/>
        </w:rPr>
        <w:t>4</w:t>
      </w:r>
      <w:r>
        <w:rPr>
          <w:rFonts w:asciiTheme="majorHAnsi" w:hAnsiTheme="majorHAnsi" w:cstheme="majorHAnsi"/>
          <w:szCs w:val="22"/>
        </w:rPr>
        <w:t xml:space="preserve">  </w:t>
      </w:r>
      <w:r w:rsidRPr="00330AA0">
        <w:rPr>
          <w:rFonts w:asciiTheme="majorHAnsi" w:hAnsiTheme="majorHAnsi" w:cstheme="majorHAnsi"/>
          <w:szCs w:val="22"/>
        </w:rPr>
        <w:t>COVID-19 not confirmed, or testing not done and not intended</w:t>
      </w:r>
    </w:p>
    <w:p w14:paraId="26D4947C" w14:textId="77777777" w:rsidR="00FF6CF4" w:rsidRDefault="00FF6CF4" w:rsidP="009F07E7">
      <w:pPr>
        <w:pStyle w:val="ListParagraph"/>
        <w:numPr>
          <w:ilvl w:val="1"/>
          <w:numId w:val="8"/>
        </w:numPr>
        <w:rPr>
          <w:rFonts w:asciiTheme="majorHAnsi" w:hAnsiTheme="majorHAnsi" w:cstheme="majorHAnsi"/>
          <w:szCs w:val="22"/>
        </w:rPr>
      </w:pPr>
      <w:r w:rsidRPr="00330AA0">
        <w:rPr>
          <w:rFonts w:asciiTheme="majorHAnsi" w:hAnsiTheme="majorHAnsi" w:cstheme="majorHAnsi"/>
          <w:szCs w:val="22"/>
        </w:rPr>
        <w:t>237 More than 24 hours since ICU admission</w:t>
      </w:r>
    </w:p>
    <w:p w14:paraId="44512DDE" w14:textId="77777777" w:rsidR="00FF6CF4" w:rsidRDefault="00FF6CF4" w:rsidP="009F07E7">
      <w:pPr>
        <w:pStyle w:val="ListParagraph"/>
        <w:numPr>
          <w:ilvl w:val="1"/>
          <w:numId w:val="8"/>
        </w:numPr>
        <w:rPr>
          <w:rFonts w:asciiTheme="majorHAnsi" w:hAnsiTheme="majorHAnsi" w:cstheme="majorHAnsi"/>
          <w:szCs w:val="22"/>
        </w:rPr>
      </w:pPr>
      <w:r w:rsidRPr="00330AA0">
        <w:rPr>
          <w:rFonts w:asciiTheme="majorHAnsi" w:hAnsiTheme="majorHAnsi" w:cstheme="majorHAnsi"/>
          <w:szCs w:val="22"/>
        </w:rPr>
        <w:t>41</w:t>
      </w:r>
      <w:r>
        <w:rPr>
          <w:rFonts w:asciiTheme="majorHAnsi" w:hAnsiTheme="majorHAnsi" w:cstheme="majorHAnsi"/>
          <w:szCs w:val="22"/>
        </w:rPr>
        <w:t xml:space="preserve"> </w:t>
      </w:r>
      <w:r w:rsidRPr="00330AA0">
        <w:rPr>
          <w:rFonts w:asciiTheme="majorHAnsi" w:hAnsiTheme="majorHAnsi" w:cstheme="majorHAnsi"/>
          <w:szCs w:val="22"/>
        </w:rPr>
        <w:t>Received an immune modulator during this hospital admission</w:t>
      </w:r>
    </w:p>
    <w:p w14:paraId="7959744D" w14:textId="77777777" w:rsidR="00FF6CF4" w:rsidRDefault="00FF6CF4" w:rsidP="009F07E7">
      <w:pPr>
        <w:pStyle w:val="ListParagraph"/>
        <w:numPr>
          <w:ilvl w:val="1"/>
          <w:numId w:val="8"/>
        </w:numPr>
        <w:rPr>
          <w:rFonts w:asciiTheme="majorHAnsi" w:hAnsiTheme="majorHAnsi" w:cstheme="majorHAnsi"/>
          <w:szCs w:val="22"/>
        </w:rPr>
      </w:pPr>
      <w:r w:rsidRPr="00330AA0">
        <w:rPr>
          <w:rFonts w:asciiTheme="majorHAnsi" w:hAnsiTheme="majorHAnsi" w:cstheme="majorHAnsi"/>
          <w:szCs w:val="22"/>
        </w:rPr>
        <w:t xml:space="preserve">3 </w:t>
      </w:r>
      <w:r>
        <w:rPr>
          <w:rFonts w:asciiTheme="majorHAnsi" w:hAnsiTheme="majorHAnsi" w:cstheme="majorHAnsi"/>
          <w:szCs w:val="22"/>
        </w:rPr>
        <w:t xml:space="preserve"> </w:t>
      </w:r>
      <w:r w:rsidRPr="00330AA0">
        <w:rPr>
          <w:rFonts w:asciiTheme="majorHAnsi" w:hAnsiTheme="majorHAnsi" w:cstheme="majorHAnsi"/>
          <w:szCs w:val="22"/>
        </w:rPr>
        <w:t>Receiving long-term therapy with an immune modulating agent</w:t>
      </w:r>
    </w:p>
    <w:p w14:paraId="77CF9D9D" w14:textId="77777777" w:rsidR="00FF6CF4" w:rsidRDefault="00FF6CF4" w:rsidP="009F07E7">
      <w:pPr>
        <w:pStyle w:val="ListParagraph"/>
        <w:numPr>
          <w:ilvl w:val="1"/>
          <w:numId w:val="8"/>
        </w:numPr>
        <w:rPr>
          <w:rFonts w:asciiTheme="majorHAnsi" w:hAnsiTheme="majorHAnsi" w:cstheme="majorHAnsi"/>
          <w:szCs w:val="22"/>
        </w:rPr>
      </w:pPr>
      <w:r w:rsidRPr="00330AA0">
        <w:rPr>
          <w:rFonts w:asciiTheme="majorHAnsi" w:hAnsiTheme="majorHAnsi" w:cstheme="majorHAnsi"/>
          <w:szCs w:val="22"/>
        </w:rPr>
        <w:t>65 Known condition resulting in immune suppression</w:t>
      </w:r>
    </w:p>
    <w:p w14:paraId="72DE82BF" w14:textId="77777777" w:rsidR="00FF6CF4" w:rsidRDefault="00FF6CF4" w:rsidP="009F07E7">
      <w:pPr>
        <w:pStyle w:val="ListParagraph"/>
        <w:numPr>
          <w:ilvl w:val="1"/>
          <w:numId w:val="8"/>
        </w:numPr>
        <w:rPr>
          <w:rFonts w:asciiTheme="majorHAnsi" w:hAnsiTheme="majorHAnsi" w:cstheme="majorHAnsi"/>
          <w:szCs w:val="22"/>
        </w:rPr>
      </w:pPr>
      <w:r w:rsidRPr="00330AA0">
        <w:rPr>
          <w:rFonts w:asciiTheme="majorHAnsi" w:hAnsiTheme="majorHAnsi" w:cstheme="majorHAnsi"/>
          <w:szCs w:val="22"/>
        </w:rPr>
        <w:t>20 Enrolled in another tria</w:t>
      </w:r>
      <w:r>
        <w:rPr>
          <w:rFonts w:asciiTheme="majorHAnsi" w:hAnsiTheme="majorHAnsi" w:cstheme="majorHAnsi"/>
          <w:szCs w:val="22"/>
        </w:rPr>
        <w:t>l</w:t>
      </w:r>
    </w:p>
    <w:p w14:paraId="5D4ADD2F" w14:textId="77777777" w:rsidR="00FF6CF4" w:rsidRDefault="00FF6CF4" w:rsidP="009F07E7">
      <w:pPr>
        <w:pStyle w:val="ListParagraph"/>
        <w:numPr>
          <w:ilvl w:val="1"/>
          <w:numId w:val="8"/>
        </w:numPr>
        <w:rPr>
          <w:rFonts w:asciiTheme="majorHAnsi" w:hAnsiTheme="majorHAnsi" w:cstheme="majorHAnsi"/>
          <w:szCs w:val="22"/>
        </w:rPr>
      </w:pPr>
      <w:r w:rsidRPr="00330AA0">
        <w:rPr>
          <w:rFonts w:asciiTheme="majorHAnsi" w:hAnsiTheme="majorHAnsi" w:cstheme="majorHAnsi"/>
          <w:szCs w:val="22"/>
        </w:rPr>
        <w:t>89 Contraindication to agents in domain ^</w:t>
      </w:r>
    </w:p>
    <w:p w14:paraId="1C144166" w14:textId="77777777" w:rsidR="00FF6CF4" w:rsidRDefault="00FF6CF4" w:rsidP="009F07E7">
      <w:pPr>
        <w:pStyle w:val="ListParagraph"/>
        <w:numPr>
          <w:ilvl w:val="1"/>
          <w:numId w:val="8"/>
        </w:numPr>
        <w:rPr>
          <w:rFonts w:asciiTheme="majorHAnsi" w:hAnsiTheme="majorHAnsi" w:cstheme="majorHAnsi"/>
          <w:szCs w:val="22"/>
        </w:rPr>
      </w:pPr>
      <w:r w:rsidRPr="00330AA0">
        <w:rPr>
          <w:rFonts w:asciiTheme="majorHAnsi" w:hAnsiTheme="majorHAnsi" w:cstheme="majorHAnsi"/>
          <w:szCs w:val="22"/>
        </w:rPr>
        <w:t>64 Not considered in patient’s best interests</w:t>
      </w:r>
    </w:p>
    <w:p w14:paraId="6EC9C879" w14:textId="6A9BBD21" w:rsidR="00FF6CF4" w:rsidRDefault="00FF6CF4" w:rsidP="009F07E7">
      <w:pPr>
        <w:pStyle w:val="ListParagraph"/>
        <w:numPr>
          <w:ilvl w:val="1"/>
          <w:numId w:val="8"/>
        </w:numPr>
        <w:rPr>
          <w:rFonts w:asciiTheme="majorHAnsi" w:hAnsiTheme="majorHAnsi" w:cstheme="majorHAnsi"/>
          <w:szCs w:val="22"/>
        </w:rPr>
      </w:pPr>
      <w:r w:rsidRPr="00330AA0">
        <w:rPr>
          <w:rFonts w:asciiTheme="majorHAnsi" w:hAnsiTheme="majorHAnsi" w:cstheme="majorHAnsi"/>
          <w:szCs w:val="22"/>
        </w:rPr>
        <w:t>246 Prospective consent declined or not obtained</w:t>
      </w:r>
    </w:p>
    <w:p w14:paraId="73B37E31" w14:textId="77777777" w:rsidR="0036013E" w:rsidRPr="0036013E" w:rsidRDefault="0036013E" w:rsidP="0036013E">
      <w:pPr>
        <w:rPr>
          <w:rFonts w:asciiTheme="majorHAnsi" w:hAnsiTheme="majorHAnsi" w:cstheme="majorHAnsi"/>
          <w:szCs w:val="22"/>
        </w:rPr>
      </w:pPr>
    </w:p>
    <w:p w14:paraId="009CA746" w14:textId="1F4D936E" w:rsidR="00FF6CF4" w:rsidRPr="00FF6CF4" w:rsidRDefault="00FF6CF4" w:rsidP="009F07E7">
      <w:pPr>
        <w:pStyle w:val="ADSCAP"/>
        <w:numPr>
          <w:ilvl w:val="1"/>
          <w:numId w:val="9"/>
        </w:numPr>
        <w:rPr>
          <w:i w:val="0"/>
          <w:iCs/>
          <w:sz w:val="24"/>
          <w:szCs w:val="24"/>
        </w:rPr>
      </w:pPr>
      <w:bookmarkStart w:id="26" w:name="_Toc74659155"/>
      <w:r w:rsidRPr="00FF6CF4">
        <w:rPr>
          <w:i w:val="0"/>
          <w:iCs/>
          <w:sz w:val="24"/>
          <w:szCs w:val="24"/>
        </w:rPr>
        <w:lastRenderedPageBreak/>
        <w:t>Additional analyses</w:t>
      </w:r>
      <w:bookmarkEnd w:id="26"/>
    </w:p>
    <w:p w14:paraId="2C63790B" w14:textId="70AA6170" w:rsidR="007727EB" w:rsidRDefault="00FF6CF4" w:rsidP="002D7D6F">
      <w:pPr>
        <w:pStyle w:val="ADSCAP"/>
        <w:numPr>
          <w:ilvl w:val="2"/>
          <w:numId w:val="9"/>
        </w:numPr>
        <w:outlineLvl w:val="9"/>
        <w:rPr>
          <w:sz w:val="24"/>
          <w:szCs w:val="24"/>
        </w:rPr>
      </w:pPr>
      <w:r w:rsidRPr="00FF6CF4">
        <w:rPr>
          <w:sz w:val="24"/>
          <w:szCs w:val="24"/>
        </w:rPr>
        <w:t>Statistical analysis plan</w:t>
      </w:r>
    </w:p>
    <w:p w14:paraId="36296B4A" w14:textId="28804228" w:rsidR="005C318F" w:rsidRPr="005C318F" w:rsidRDefault="005C318F" w:rsidP="009C2A20">
      <w:pPr>
        <w:spacing w:line="360" w:lineRule="auto"/>
        <w:jc w:val="both"/>
        <w:rPr>
          <w:rFonts w:asciiTheme="majorHAnsi" w:hAnsiTheme="majorHAnsi" w:cstheme="majorHAnsi"/>
          <w:sz w:val="22"/>
          <w:szCs w:val="22"/>
          <w:lang w:val="en-US"/>
        </w:rPr>
      </w:pPr>
      <w:r w:rsidRPr="00F37253">
        <w:rPr>
          <w:rFonts w:asciiTheme="majorHAnsi" w:hAnsiTheme="majorHAnsi" w:cstheme="majorHAnsi"/>
          <w:sz w:val="22"/>
          <w:szCs w:val="22"/>
          <w:lang w:val="en-US"/>
        </w:rPr>
        <w:t>The full additional analyses and data specified in the statistical analysis plan are provided in the “REMAP-CAP Unblinded Analysis Report” at the end of this supplement</w:t>
      </w:r>
      <w:r>
        <w:rPr>
          <w:rFonts w:asciiTheme="majorHAnsi" w:hAnsiTheme="majorHAnsi" w:cstheme="majorHAnsi"/>
          <w:sz w:val="22"/>
          <w:szCs w:val="22"/>
          <w:lang w:val="en-US"/>
        </w:rPr>
        <w:t xml:space="preserve"> (Appendix 1)</w:t>
      </w:r>
      <w:r w:rsidRPr="00F37253">
        <w:rPr>
          <w:rFonts w:asciiTheme="majorHAnsi" w:hAnsiTheme="majorHAnsi" w:cstheme="majorHAnsi"/>
          <w:sz w:val="22"/>
          <w:szCs w:val="22"/>
          <w:lang w:val="en-US"/>
        </w:rPr>
        <w:t xml:space="preserve">. </w:t>
      </w:r>
    </w:p>
    <w:p w14:paraId="3D002347" w14:textId="22E536A3" w:rsidR="005C318F" w:rsidRPr="00E1373B" w:rsidRDefault="003F1786" w:rsidP="002D7D6F">
      <w:pPr>
        <w:pStyle w:val="ADSCAP"/>
        <w:numPr>
          <w:ilvl w:val="2"/>
          <w:numId w:val="9"/>
        </w:numPr>
        <w:outlineLvl w:val="9"/>
        <w:rPr>
          <w:sz w:val="24"/>
          <w:szCs w:val="24"/>
        </w:rPr>
      </w:pPr>
      <w:r>
        <w:rPr>
          <w:sz w:val="24"/>
          <w:szCs w:val="24"/>
        </w:rPr>
        <w:t>Summary of r</w:t>
      </w:r>
      <w:r w:rsidR="005C318F">
        <w:rPr>
          <w:sz w:val="24"/>
          <w:szCs w:val="24"/>
        </w:rPr>
        <w:t xml:space="preserve">esults of </w:t>
      </w:r>
      <w:r w:rsidR="005C318F" w:rsidRPr="005C318F">
        <w:rPr>
          <w:sz w:val="24"/>
          <w:szCs w:val="24"/>
          <w:lang w:val="en-GB"/>
        </w:rPr>
        <w:t>interferon-β1a</w:t>
      </w:r>
    </w:p>
    <w:p w14:paraId="01D3B03B" w14:textId="6D6B8225" w:rsidR="00E1373B" w:rsidRPr="00F37253" w:rsidRDefault="00E1373B" w:rsidP="009C2A20">
      <w:pPr>
        <w:spacing w:line="360" w:lineRule="auto"/>
        <w:jc w:val="both"/>
        <w:rPr>
          <w:rFonts w:asciiTheme="majorHAnsi" w:hAnsiTheme="majorHAnsi" w:cstheme="majorHAnsi"/>
          <w:sz w:val="22"/>
          <w:szCs w:val="22"/>
          <w:lang w:val="en-US"/>
        </w:rPr>
      </w:pPr>
      <w:r w:rsidRPr="00F37253">
        <w:rPr>
          <w:rFonts w:asciiTheme="majorHAnsi" w:hAnsiTheme="majorHAnsi" w:cstheme="majorHAnsi"/>
          <w:sz w:val="22"/>
          <w:szCs w:val="22"/>
          <w:lang w:val="en-US"/>
        </w:rPr>
        <w:t>I</w:t>
      </w:r>
      <w:r w:rsidR="00342A17">
        <w:rPr>
          <w:rFonts w:asciiTheme="majorHAnsi" w:hAnsiTheme="majorHAnsi" w:cstheme="majorHAnsi"/>
          <w:sz w:val="22"/>
          <w:szCs w:val="22"/>
          <w:lang w:val="en-US"/>
        </w:rPr>
        <w:t>t is i</w:t>
      </w:r>
      <w:r w:rsidRPr="00F37253">
        <w:rPr>
          <w:rFonts w:asciiTheme="majorHAnsi" w:hAnsiTheme="majorHAnsi" w:cstheme="majorHAnsi"/>
          <w:sz w:val="22"/>
          <w:szCs w:val="22"/>
          <w:lang w:val="en-US"/>
        </w:rPr>
        <w:t xml:space="preserve">mportant to note that </w:t>
      </w:r>
      <w:r w:rsidRPr="00F37253">
        <w:rPr>
          <w:rFonts w:asciiTheme="majorHAnsi" w:hAnsiTheme="majorHAnsi" w:cstheme="majorHAnsi"/>
          <w:color w:val="000000"/>
          <w:sz w:val="22"/>
          <w:szCs w:val="22"/>
          <w:shd w:val="clear" w:color="auto" w:fill="FFFFFF"/>
          <w:lang w:val="en-US"/>
        </w:rPr>
        <w:t xml:space="preserve">because </w:t>
      </w:r>
      <w:r>
        <w:rPr>
          <w:rFonts w:asciiTheme="majorHAnsi" w:hAnsiTheme="majorHAnsi" w:cstheme="majorHAnsi"/>
          <w:color w:val="000000" w:themeColor="text1"/>
          <w:sz w:val="22"/>
          <w:szCs w:val="22"/>
          <w:lang w:val="en-US"/>
        </w:rPr>
        <w:t>any clinical</w:t>
      </w:r>
      <w:r w:rsidRPr="00F37253">
        <w:rPr>
          <w:rFonts w:asciiTheme="majorHAnsi" w:hAnsiTheme="majorHAnsi" w:cstheme="majorHAnsi"/>
          <w:color w:val="000000" w:themeColor="text1"/>
          <w:sz w:val="22"/>
          <w:szCs w:val="22"/>
          <w:lang w:val="en-US"/>
        </w:rPr>
        <w:t xml:space="preserve"> use of corticosteroids was an exclusion criterion for interferon-</w:t>
      </w:r>
      <w:r w:rsidRPr="00F37253">
        <w:rPr>
          <w:rFonts w:asciiTheme="majorHAnsi" w:hAnsiTheme="majorHAnsi" w:cstheme="majorHAnsi"/>
          <w:sz w:val="22"/>
          <w:szCs w:val="22"/>
          <w:lang w:val="en-US"/>
        </w:rPr>
        <w:t>ß</w:t>
      </w:r>
      <w:r w:rsidRPr="00F37253">
        <w:rPr>
          <w:rFonts w:asciiTheme="majorHAnsi" w:hAnsiTheme="majorHAnsi" w:cstheme="majorHAnsi"/>
          <w:color w:val="000000" w:themeColor="text1"/>
          <w:sz w:val="22"/>
          <w:szCs w:val="22"/>
          <w:lang w:val="en-US"/>
        </w:rPr>
        <w:t>1a assignment</w:t>
      </w:r>
      <w:r>
        <w:rPr>
          <w:rFonts w:asciiTheme="majorHAnsi" w:hAnsiTheme="majorHAnsi" w:cstheme="majorHAnsi"/>
          <w:color w:val="000000" w:themeColor="text1"/>
          <w:sz w:val="22"/>
          <w:szCs w:val="22"/>
          <w:lang w:val="en-US"/>
        </w:rPr>
        <w:t>, recruitment was extremely low after corticosteroids became standard of care (June 17, 2020)</w:t>
      </w:r>
      <w:r w:rsidRPr="00F37253">
        <w:rPr>
          <w:rFonts w:asciiTheme="majorHAnsi" w:hAnsiTheme="majorHAnsi" w:cstheme="majorHAnsi"/>
          <w:color w:val="000000" w:themeColor="text1"/>
          <w:sz w:val="22"/>
          <w:szCs w:val="22"/>
          <w:lang w:val="en-US"/>
        </w:rPr>
        <w:t xml:space="preserve">. The full data on the </w:t>
      </w:r>
      <w:r w:rsidRPr="00F37253">
        <w:rPr>
          <w:rFonts w:asciiTheme="majorHAnsi" w:hAnsiTheme="majorHAnsi" w:cstheme="majorHAnsi"/>
          <w:sz w:val="22"/>
          <w:szCs w:val="22"/>
          <w:lang w:val="en-US"/>
        </w:rPr>
        <w:t>interferon-ß1a treatment arm is provided in the</w:t>
      </w:r>
      <w:r>
        <w:rPr>
          <w:rFonts w:asciiTheme="majorHAnsi" w:hAnsiTheme="majorHAnsi" w:cstheme="majorHAnsi"/>
          <w:sz w:val="22"/>
          <w:szCs w:val="22"/>
          <w:lang w:val="en-US"/>
        </w:rPr>
        <w:t xml:space="preserve"> </w:t>
      </w:r>
      <w:r w:rsidRPr="00F37253">
        <w:rPr>
          <w:rFonts w:asciiTheme="majorHAnsi" w:hAnsiTheme="majorHAnsi" w:cstheme="majorHAnsi"/>
          <w:sz w:val="22"/>
          <w:szCs w:val="22"/>
          <w:lang w:val="en-US"/>
        </w:rPr>
        <w:t>“</w:t>
      </w:r>
      <w:r w:rsidR="002C0650">
        <w:rPr>
          <w:rFonts w:asciiTheme="majorHAnsi" w:hAnsiTheme="majorHAnsi" w:cstheme="majorHAnsi"/>
          <w:sz w:val="22"/>
          <w:szCs w:val="22"/>
          <w:lang w:val="en-US"/>
        </w:rPr>
        <w:t>ITSC Secondary Analysis Report</w:t>
      </w:r>
      <w:r w:rsidRPr="00F37253">
        <w:rPr>
          <w:rFonts w:asciiTheme="majorHAnsi" w:hAnsiTheme="majorHAnsi" w:cstheme="majorHAnsi"/>
          <w:sz w:val="22"/>
          <w:szCs w:val="22"/>
          <w:lang w:val="en-US"/>
        </w:rPr>
        <w:t xml:space="preserve">” at the end of this supplement. </w:t>
      </w:r>
    </w:p>
    <w:p w14:paraId="311C73DE" w14:textId="77777777" w:rsidR="00E1373B" w:rsidRPr="00F37253" w:rsidRDefault="00E1373B" w:rsidP="009C2A20">
      <w:pPr>
        <w:spacing w:line="360" w:lineRule="auto"/>
        <w:rPr>
          <w:rFonts w:asciiTheme="majorHAnsi" w:hAnsiTheme="majorHAnsi" w:cstheme="majorHAnsi"/>
          <w:sz w:val="22"/>
          <w:szCs w:val="22"/>
          <w:lang w:val="en-US"/>
        </w:rPr>
      </w:pPr>
    </w:p>
    <w:p w14:paraId="70671EDD" w14:textId="72274A1A" w:rsidR="00E1373B" w:rsidRPr="00E1373B" w:rsidRDefault="00E1373B" w:rsidP="009C2A20">
      <w:pPr>
        <w:spacing w:line="360" w:lineRule="auto"/>
        <w:rPr>
          <w:rFonts w:asciiTheme="majorHAnsi" w:hAnsiTheme="majorHAnsi" w:cstheme="majorHAnsi"/>
          <w:sz w:val="22"/>
          <w:szCs w:val="22"/>
          <w:lang w:val="en-US"/>
        </w:rPr>
      </w:pPr>
      <w:r w:rsidRPr="00F37253">
        <w:rPr>
          <w:rFonts w:asciiTheme="majorHAnsi" w:hAnsiTheme="majorHAnsi" w:cstheme="majorHAnsi"/>
          <w:sz w:val="22"/>
          <w:szCs w:val="22"/>
          <w:lang w:val="en-US"/>
        </w:rPr>
        <w:t xml:space="preserve">A total of </w:t>
      </w:r>
      <w:r>
        <w:rPr>
          <w:rFonts w:asciiTheme="majorHAnsi" w:hAnsiTheme="majorHAnsi" w:cstheme="majorHAnsi"/>
          <w:sz w:val="22"/>
          <w:szCs w:val="22"/>
          <w:lang w:val="en-US"/>
        </w:rPr>
        <w:t>21</w:t>
      </w:r>
      <w:r w:rsidRPr="00F37253">
        <w:rPr>
          <w:rFonts w:asciiTheme="majorHAnsi" w:hAnsiTheme="majorHAnsi" w:cstheme="majorHAnsi"/>
          <w:sz w:val="22"/>
          <w:szCs w:val="22"/>
          <w:lang w:val="en-US"/>
        </w:rPr>
        <w:t xml:space="preserve"> patients were randomized to </w:t>
      </w:r>
      <w:r w:rsidRPr="00F37253">
        <w:rPr>
          <w:rFonts w:asciiTheme="majorHAnsi" w:hAnsiTheme="majorHAnsi" w:cstheme="majorHAnsi"/>
          <w:color w:val="000000" w:themeColor="text1"/>
          <w:sz w:val="22"/>
          <w:szCs w:val="22"/>
          <w:lang w:val="en-US"/>
        </w:rPr>
        <w:t xml:space="preserve">interferon-ß1a treatment. </w:t>
      </w:r>
      <w:r w:rsidR="00454B72">
        <w:rPr>
          <w:rFonts w:asciiTheme="majorHAnsi" w:hAnsiTheme="majorHAnsi" w:cstheme="majorHAnsi"/>
          <w:color w:val="000000" w:themeColor="text1"/>
          <w:sz w:val="22"/>
          <w:szCs w:val="22"/>
          <w:lang w:val="en-US"/>
        </w:rPr>
        <w:t xml:space="preserve">After withdrawal of consent for two patients, results are available for 19 patients. </w:t>
      </w:r>
      <w:r w:rsidRPr="00F37253">
        <w:rPr>
          <w:rFonts w:asciiTheme="majorHAnsi" w:hAnsiTheme="majorHAnsi" w:cstheme="majorHAnsi"/>
          <w:sz w:val="22"/>
          <w:szCs w:val="22"/>
          <w:lang w:val="en-US"/>
        </w:rPr>
        <w:t xml:space="preserve">Median organ support-free days was 0 (IQR -1,13.50) for the interferon-ß1a treatment arm and 0 (IQR -1, 15) for the control group. Compared to control, the median adjusted odds ratio (primary model) for interferon-ß1a was 1.67 (95%CrI 0.49, 5.73) yielding a 79.4% posterior probability of superiority. The hospital mortality was 36.8% for interferon-ß1a and 36.9% for control. Compared with control, median adjusted odds ratio for hospital survival was 1.72 (95%CrI 0.48, 6.58) for interferon-ß1a yielding a 77.4% posterior probability of being superior to control. </w:t>
      </w:r>
    </w:p>
    <w:p w14:paraId="5B529BF2" w14:textId="46E75B05" w:rsidR="00E84889" w:rsidRPr="00565CA7" w:rsidRDefault="00E1373B" w:rsidP="002D7D6F">
      <w:pPr>
        <w:pStyle w:val="ADSCAP"/>
        <w:numPr>
          <w:ilvl w:val="2"/>
          <w:numId w:val="9"/>
        </w:numPr>
        <w:outlineLvl w:val="9"/>
        <w:rPr>
          <w:sz w:val="24"/>
          <w:szCs w:val="24"/>
        </w:rPr>
      </w:pPr>
      <w:r w:rsidRPr="00565CA7">
        <w:rPr>
          <w:sz w:val="24"/>
          <w:szCs w:val="24"/>
          <w:lang w:val="en-GB"/>
        </w:rPr>
        <w:t>Moderate State participants</w:t>
      </w:r>
    </w:p>
    <w:p w14:paraId="3FF614F4" w14:textId="52DCE3E5" w:rsidR="00FE7F7F" w:rsidRPr="00F37253" w:rsidRDefault="00565CA7" w:rsidP="009C2A20">
      <w:pPr>
        <w:spacing w:line="360" w:lineRule="auto"/>
        <w:rPr>
          <w:rFonts w:asciiTheme="majorHAnsi" w:hAnsiTheme="majorHAnsi" w:cstheme="majorHAnsi"/>
          <w:sz w:val="22"/>
          <w:szCs w:val="22"/>
          <w:lang w:val="en-US"/>
        </w:rPr>
      </w:pPr>
      <w:r>
        <w:rPr>
          <w:rFonts w:asciiTheme="majorHAnsi" w:hAnsiTheme="majorHAnsi" w:cstheme="majorHAnsi"/>
          <w:sz w:val="22"/>
          <w:szCs w:val="22"/>
          <w:lang w:val="en-US"/>
        </w:rPr>
        <w:t xml:space="preserve">Only five participants were </w:t>
      </w:r>
      <w:r w:rsidRPr="00565CA7">
        <w:rPr>
          <w:rFonts w:asciiTheme="majorHAnsi" w:hAnsiTheme="majorHAnsi" w:cstheme="majorHAnsi"/>
          <w:sz w:val="22"/>
          <w:szCs w:val="22"/>
          <w:lang w:val="en-US"/>
        </w:rPr>
        <w:t xml:space="preserve">randomized to </w:t>
      </w:r>
      <w:r>
        <w:rPr>
          <w:rFonts w:asciiTheme="majorHAnsi" w:hAnsiTheme="majorHAnsi" w:cstheme="majorHAnsi"/>
          <w:sz w:val="22"/>
          <w:szCs w:val="22"/>
          <w:lang w:val="en-US"/>
        </w:rPr>
        <w:t>an intervention in the</w:t>
      </w:r>
      <w:r w:rsidRPr="00565CA7">
        <w:rPr>
          <w:rFonts w:asciiTheme="majorHAnsi" w:hAnsiTheme="majorHAnsi" w:cstheme="majorHAnsi"/>
          <w:sz w:val="22"/>
          <w:szCs w:val="22"/>
          <w:lang w:val="en-US"/>
        </w:rPr>
        <w:t xml:space="preserve"> Immune Modulation </w:t>
      </w:r>
      <w:r>
        <w:rPr>
          <w:rFonts w:asciiTheme="majorHAnsi" w:hAnsiTheme="majorHAnsi" w:cstheme="majorHAnsi"/>
          <w:sz w:val="22"/>
          <w:szCs w:val="22"/>
          <w:lang w:val="en-US"/>
        </w:rPr>
        <w:t>Therapy d</w:t>
      </w:r>
      <w:r w:rsidRPr="00565CA7">
        <w:rPr>
          <w:rFonts w:asciiTheme="majorHAnsi" w:hAnsiTheme="majorHAnsi" w:cstheme="majorHAnsi"/>
          <w:sz w:val="22"/>
          <w:szCs w:val="22"/>
          <w:lang w:val="en-US"/>
        </w:rPr>
        <w:t>omain</w:t>
      </w:r>
      <w:r>
        <w:rPr>
          <w:rFonts w:asciiTheme="majorHAnsi" w:hAnsiTheme="majorHAnsi" w:cstheme="majorHAnsi"/>
          <w:sz w:val="22"/>
          <w:szCs w:val="22"/>
          <w:lang w:val="en-US"/>
        </w:rPr>
        <w:t xml:space="preserve"> (three to control and two to anakinra). For Moderate State participants progressing to Severe State, and </w:t>
      </w:r>
      <w:r w:rsidRPr="00565CA7">
        <w:rPr>
          <w:rFonts w:asciiTheme="majorHAnsi" w:hAnsiTheme="majorHAnsi" w:cstheme="majorHAnsi"/>
          <w:sz w:val="22"/>
          <w:szCs w:val="22"/>
          <w:lang w:val="en-US"/>
        </w:rPr>
        <w:t xml:space="preserve">who had already received an allocation in the Moderate </w:t>
      </w:r>
      <w:r>
        <w:rPr>
          <w:rFonts w:asciiTheme="majorHAnsi" w:hAnsiTheme="majorHAnsi" w:cstheme="majorHAnsi"/>
          <w:sz w:val="22"/>
          <w:szCs w:val="22"/>
          <w:lang w:val="en-US"/>
        </w:rPr>
        <w:t>State, c</w:t>
      </w:r>
      <w:r w:rsidRPr="00565CA7">
        <w:rPr>
          <w:rFonts w:asciiTheme="majorHAnsi" w:hAnsiTheme="majorHAnsi" w:cstheme="majorHAnsi"/>
          <w:sz w:val="22"/>
          <w:szCs w:val="22"/>
          <w:lang w:val="en-US"/>
        </w:rPr>
        <w:t>ommencement of organ support in ICU was used instead of date and time of ICU admission</w:t>
      </w:r>
      <w:r>
        <w:rPr>
          <w:rFonts w:asciiTheme="majorHAnsi" w:hAnsiTheme="majorHAnsi" w:cstheme="majorHAnsi"/>
          <w:sz w:val="22"/>
          <w:szCs w:val="22"/>
          <w:lang w:val="en-US"/>
        </w:rPr>
        <w:t xml:space="preserve"> to indicate the transition in State. Baseline characteristics of these patients are shown in Table S1b. These patients were included in the primary model, but not in any secondary model. The results are not presented separately.</w:t>
      </w:r>
    </w:p>
    <w:p w14:paraId="3900D161" w14:textId="77777777" w:rsidR="00702257" w:rsidRDefault="00702257" w:rsidP="009C2A20">
      <w:pPr>
        <w:spacing w:line="360" w:lineRule="auto"/>
        <w:rPr>
          <w:rFonts w:asciiTheme="majorHAnsi" w:hAnsiTheme="majorHAnsi" w:cstheme="majorHAnsi"/>
          <w:sz w:val="22"/>
          <w:szCs w:val="22"/>
          <w:lang w:val="en-US"/>
        </w:rPr>
      </w:pPr>
      <w:r>
        <w:rPr>
          <w:rFonts w:asciiTheme="majorHAnsi" w:hAnsiTheme="majorHAnsi" w:cstheme="majorHAnsi"/>
          <w:sz w:val="22"/>
          <w:szCs w:val="22"/>
          <w:lang w:val="en-US"/>
        </w:rPr>
        <w:br w:type="page"/>
      </w:r>
    </w:p>
    <w:p w14:paraId="3E5B081F" w14:textId="1B07BCED" w:rsidR="00E84889" w:rsidRDefault="00E84889" w:rsidP="005153A6">
      <w:pPr>
        <w:pStyle w:val="Heading2"/>
        <w:rPr>
          <w:rFonts w:asciiTheme="minorHAnsi" w:eastAsiaTheme="minorEastAsia" w:hAnsiTheme="minorHAnsi" w:cstheme="majorHAnsi"/>
          <w:sz w:val="24"/>
          <w:szCs w:val="24"/>
          <w:lang w:val="en-US"/>
        </w:rPr>
      </w:pPr>
      <w:bookmarkStart w:id="27" w:name="_Toc74659156"/>
      <w:r w:rsidRPr="005153A6">
        <w:rPr>
          <w:rFonts w:asciiTheme="minorHAnsi" w:eastAsiaTheme="minorEastAsia" w:hAnsiTheme="minorHAnsi" w:cstheme="majorHAnsi"/>
          <w:sz w:val="24"/>
          <w:szCs w:val="24"/>
          <w:lang w:val="en-US"/>
        </w:rPr>
        <w:lastRenderedPageBreak/>
        <w:t>Table S1: Baseline Characteristics by disease state</w:t>
      </w:r>
      <w:bookmarkEnd w:id="27"/>
    </w:p>
    <w:p w14:paraId="12E79BB4" w14:textId="77777777" w:rsidR="00007908" w:rsidRPr="00007908" w:rsidRDefault="00007908" w:rsidP="00007908">
      <w:pPr>
        <w:rPr>
          <w:rFonts w:eastAsiaTheme="minorEastAsia"/>
          <w:lang w:val="en-US"/>
        </w:rPr>
      </w:pPr>
    </w:p>
    <w:tbl>
      <w:tblPr>
        <w:tblW w:w="5000" w:type="pct"/>
        <w:tblLook w:val="0420" w:firstRow="1" w:lastRow="0" w:firstColumn="0" w:lastColumn="0" w:noHBand="0" w:noVBand="1"/>
      </w:tblPr>
      <w:tblGrid>
        <w:gridCol w:w="2647"/>
        <w:gridCol w:w="1066"/>
        <w:gridCol w:w="1066"/>
        <w:gridCol w:w="1151"/>
        <w:gridCol w:w="1066"/>
        <w:gridCol w:w="996"/>
        <w:gridCol w:w="972"/>
        <w:gridCol w:w="56"/>
      </w:tblGrid>
      <w:tr w:rsidR="00236B40" w:rsidRPr="00007908" w14:paraId="1DC6C4EE" w14:textId="77777777" w:rsidTr="00BB21F9">
        <w:trPr>
          <w:cantSplit/>
          <w:trHeight w:val="268"/>
          <w:tblHeader/>
        </w:trPr>
        <w:tc>
          <w:tcPr>
            <w:tcW w:w="5000" w:type="pct"/>
            <w:gridSpan w:val="8"/>
            <w:tcBorders>
              <w:top w:val="single" w:sz="12" w:space="0" w:color="auto"/>
              <w:bottom w:val="single" w:sz="12" w:space="0" w:color="auto"/>
            </w:tcBorders>
            <w:shd w:val="clear" w:color="auto" w:fill="FFFFFF"/>
          </w:tcPr>
          <w:p w14:paraId="18D08E3F" w14:textId="6887DE0F" w:rsidR="00236B40" w:rsidRPr="00007908" w:rsidRDefault="00236B40" w:rsidP="00236B40">
            <w:pPr>
              <w:rPr>
                <w:rFonts w:asciiTheme="minorHAnsi" w:hAnsiTheme="minorHAnsi" w:cstheme="majorHAnsi"/>
                <w:b/>
                <w:bCs/>
                <w:sz w:val="18"/>
                <w:szCs w:val="18"/>
                <w:lang w:val="en-US"/>
              </w:rPr>
            </w:pPr>
            <w:r w:rsidRPr="00007908">
              <w:rPr>
                <w:rFonts w:asciiTheme="minorHAnsi" w:hAnsiTheme="minorHAnsi" w:cstheme="majorHAnsi"/>
                <w:b/>
                <w:bCs/>
                <w:sz w:val="18"/>
                <w:szCs w:val="18"/>
                <w:lang w:val="en-US"/>
              </w:rPr>
              <w:t>Table S1a. Participant Characteristics at Baseline (Severe State)*</w:t>
            </w:r>
          </w:p>
        </w:tc>
      </w:tr>
      <w:tr w:rsidR="00236B40" w:rsidRPr="00007908" w14:paraId="0AC5EFC2" w14:textId="77777777" w:rsidTr="00BB21F9">
        <w:trPr>
          <w:gridAfter w:val="1"/>
          <w:wAfter w:w="32" w:type="pct"/>
          <w:cantSplit/>
          <w:trHeight w:val="536"/>
          <w:tblHeader/>
        </w:trPr>
        <w:tc>
          <w:tcPr>
            <w:tcW w:w="1467" w:type="pct"/>
            <w:tcBorders>
              <w:top w:val="single" w:sz="12" w:space="0" w:color="auto"/>
            </w:tcBorders>
            <w:shd w:val="clear" w:color="auto" w:fill="FFFFFF"/>
            <w:tcMar>
              <w:top w:w="0" w:type="dxa"/>
              <w:left w:w="0" w:type="dxa"/>
              <w:bottom w:w="0" w:type="dxa"/>
              <w:right w:w="0" w:type="dxa"/>
            </w:tcMar>
            <w:vAlign w:val="center"/>
          </w:tcPr>
          <w:p w14:paraId="6D7D9827" w14:textId="77777777" w:rsidR="00236B40" w:rsidRPr="00007908" w:rsidRDefault="00236B40" w:rsidP="00507544">
            <w:pPr>
              <w:rPr>
                <w:rFonts w:asciiTheme="minorHAnsi" w:hAnsiTheme="minorHAnsi" w:cstheme="majorHAnsi"/>
                <w:sz w:val="18"/>
                <w:szCs w:val="18"/>
                <w:lang w:val="en-US"/>
              </w:rPr>
            </w:pPr>
          </w:p>
        </w:tc>
        <w:tc>
          <w:tcPr>
            <w:tcW w:w="591" w:type="pct"/>
            <w:tcBorders>
              <w:top w:val="single" w:sz="12" w:space="0" w:color="auto"/>
              <w:bottom w:val="single" w:sz="4" w:space="0" w:color="auto"/>
            </w:tcBorders>
            <w:shd w:val="clear" w:color="auto" w:fill="FFFFFF"/>
            <w:tcMar>
              <w:top w:w="0" w:type="dxa"/>
              <w:left w:w="0" w:type="dxa"/>
              <w:bottom w:w="0" w:type="dxa"/>
              <w:right w:w="0" w:type="dxa"/>
            </w:tcMar>
          </w:tcPr>
          <w:p w14:paraId="443825E4" w14:textId="77777777" w:rsidR="00236B40" w:rsidRPr="00007908" w:rsidRDefault="00236B40" w:rsidP="00236B40">
            <w:pPr>
              <w:jc w:val="center"/>
              <w:rPr>
                <w:rFonts w:asciiTheme="minorHAnsi" w:hAnsiTheme="minorHAnsi" w:cstheme="majorHAnsi"/>
                <w:b/>
                <w:bCs/>
                <w:sz w:val="18"/>
                <w:szCs w:val="18"/>
                <w:lang w:val="en-US"/>
              </w:rPr>
            </w:pPr>
            <w:r w:rsidRPr="00007908">
              <w:rPr>
                <w:rFonts w:asciiTheme="minorHAnsi" w:hAnsiTheme="minorHAnsi" w:cstheme="majorHAnsi"/>
                <w:b/>
                <w:bCs/>
                <w:sz w:val="18"/>
                <w:szCs w:val="18"/>
                <w:lang w:val="en-US"/>
              </w:rPr>
              <w:t>Tocilizumab</w:t>
            </w:r>
          </w:p>
          <w:p w14:paraId="53FC4127" w14:textId="391270DF" w:rsidR="00236B40" w:rsidRPr="00007908" w:rsidRDefault="00236B40" w:rsidP="00236B40">
            <w:pPr>
              <w:jc w:val="center"/>
              <w:rPr>
                <w:rFonts w:asciiTheme="minorHAnsi" w:hAnsiTheme="minorHAnsi" w:cstheme="majorHAnsi"/>
                <w:b/>
                <w:bCs/>
                <w:sz w:val="18"/>
                <w:szCs w:val="18"/>
                <w:lang w:val="en-US"/>
              </w:rPr>
            </w:pPr>
            <w:r w:rsidRPr="00007908">
              <w:rPr>
                <w:rFonts w:asciiTheme="minorHAnsi" w:hAnsiTheme="minorHAnsi" w:cstheme="majorHAnsi"/>
                <w:b/>
                <w:bCs/>
                <w:sz w:val="18"/>
                <w:szCs w:val="18"/>
                <w:lang w:val="en-US"/>
              </w:rPr>
              <w:t>(</w:t>
            </w:r>
            <w:r w:rsidRPr="00007908">
              <w:rPr>
                <w:rFonts w:asciiTheme="minorHAnsi" w:hAnsiTheme="minorHAnsi" w:cstheme="majorHAnsi"/>
                <w:b/>
                <w:bCs/>
                <w:i/>
                <w:sz w:val="18"/>
                <w:szCs w:val="18"/>
                <w:lang w:val="en-US"/>
              </w:rPr>
              <w:t>n</w:t>
            </w:r>
            <w:r w:rsidRPr="00007908">
              <w:rPr>
                <w:rFonts w:asciiTheme="minorHAnsi" w:hAnsiTheme="minorHAnsi" w:cstheme="majorHAnsi"/>
                <w:b/>
                <w:bCs/>
                <w:sz w:val="18"/>
                <w:szCs w:val="18"/>
                <w:lang w:val="en-US"/>
              </w:rPr>
              <w:t xml:space="preserve"> = 952)</w:t>
            </w:r>
          </w:p>
        </w:tc>
        <w:tc>
          <w:tcPr>
            <w:tcW w:w="591" w:type="pct"/>
            <w:tcBorders>
              <w:top w:val="single" w:sz="12" w:space="0" w:color="auto"/>
              <w:bottom w:val="single" w:sz="4" w:space="0" w:color="auto"/>
            </w:tcBorders>
            <w:shd w:val="clear" w:color="auto" w:fill="FFFFFF"/>
            <w:tcMar>
              <w:top w:w="0" w:type="dxa"/>
              <w:left w:w="0" w:type="dxa"/>
              <w:bottom w:w="0" w:type="dxa"/>
              <w:right w:w="0" w:type="dxa"/>
            </w:tcMar>
          </w:tcPr>
          <w:p w14:paraId="1380FB13" w14:textId="77777777" w:rsidR="00236B40" w:rsidRPr="00007908" w:rsidRDefault="00236B40" w:rsidP="00236B40">
            <w:pPr>
              <w:jc w:val="center"/>
              <w:rPr>
                <w:rFonts w:asciiTheme="minorHAnsi" w:hAnsiTheme="minorHAnsi" w:cstheme="majorHAnsi"/>
                <w:b/>
                <w:bCs/>
                <w:sz w:val="18"/>
                <w:szCs w:val="18"/>
                <w:lang w:val="en-US"/>
              </w:rPr>
            </w:pPr>
            <w:r w:rsidRPr="00007908">
              <w:rPr>
                <w:rFonts w:asciiTheme="minorHAnsi" w:hAnsiTheme="minorHAnsi" w:cstheme="majorHAnsi"/>
                <w:b/>
                <w:bCs/>
                <w:sz w:val="18"/>
                <w:szCs w:val="18"/>
                <w:lang w:val="en-US"/>
              </w:rPr>
              <w:t>Sarilumab</w:t>
            </w:r>
          </w:p>
          <w:p w14:paraId="63B46CDF" w14:textId="562CB622" w:rsidR="00236B40" w:rsidRPr="00007908" w:rsidRDefault="00236B40" w:rsidP="00236B40">
            <w:pPr>
              <w:jc w:val="center"/>
              <w:rPr>
                <w:rFonts w:asciiTheme="minorHAnsi" w:hAnsiTheme="minorHAnsi" w:cstheme="majorHAnsi"/>
                <w:b/>
                <w:bCs/>
                <w:sz w:val="18"/>
                <w:szCs w:val="18"/>
                <w:lang w:val="en-US"/>
              </w:rPr>
            </w:pPr>
            <w:r w:rsidRPr="00007908">
              <w:rPr>
                <w:rFonts w:asciiTheme="minorHAnsi" w:hAnsiTheme="minorHAnsi" w:cstheme="majorHAnsi"/>
                <w:b/>
                <w:bCs/>
                <w:sz w:val="18"/>
                <w:szCs w:val="18"/>
                <w:lang w:val="en-US"/>
              </w:rPr>
              <w:t>(</w:t>
            </w:r>
            <w:r w:rsidRPr="00007908">
              <w:rPr>
                <w:rFonts w:asciiTheme="minorHAnsi" w:hAnsiTheme="minorHAnsi" w:cstheme="majorHAnsi"/>
                <w:b/>
                <w:bCs/>
                <w:i/>
                <w:sz w:val="18"/>
                <w:szCs w:val="18"/>
                <w:lang w:val="en-US"/>
              </w:rPr>
              <w:t>n</w:t>
            </w:r>
            <w:r w:rsidRPr="00007908">
              <w:rPr>
                <w:rFonts w:asciiTheme="minorHAnsi" w:hAnsiTheme="minorHAnsi" w:cstheme="majorHAnsi"/>
                <w:b/>
                <w:bCs/>
                <w:sz w:val="18"/>
                <w:szCs w:val="18"/>
                <w:lang w:val="en-US"/>
              </w:rPr>
              <w:t xml:space="preserve"> = 485)</w:t>
            </w:r>
          </w:p>
        </w:tc>
        <w:tc>
          <w:tcPr>
            <w:tcW w:w="638" w:type="pct"/>
            <w:tcBorders>
              <w:top w:val="single" w:sz="12" w:space="0" w:color="auto"/>
              <w:bottom w:val="single" w:sz="4" w:space="0" w:color="auto"/>
            </w:tcBorders>
            <w:shd w:val="clear" w:color="auto" w:fill="FFFFFF"/>
          </w:tcPr>
          <w:p w14:paraId="0C5412F7" w14:textId="77777777" w:rsidR="00236B40" w:rsidRPr="00007908" w:rsidRDefault="00236B40" w:rsidP="00236B40">
            <w:pPr>
              <w:jc w:val="center"/>
              <w:rPr>
                <w:rFonts w:asciiTheme="minorHAnsi" w:hAnsiTheme="minorHAnsi" w:cstheme="majorHAnsi"/>
                <w:b/>
                <w:bCs/>
                <w:sz w:val="18"/>
                <w:szCs w:val="18"/>
                <w:lang w:val="en-US"/>
              </w:rPr>
            </w:pPr>
            <w:r w:rsidRPr="00007908">
              <w:rPr>
                <w:rFonts w:asciiTheme="minorHAnsi" w:hAnsiTheme="minorHAnsi" w:cstheme="majorHAnsi"/>
                <w:b/>
                <w:bCs/>
                <w:sz w:val="18"/>
                <w:szCs w:val="18"/>
                <w:lang w:val="en-US"/>
              </w:rPr>
              <w:t>Anakinra</w:t>
            </w:r>
          </w:p>
          <w:p w14:paraId="6AC94DBC" w14:textId="106854B1" w:rsidR="00236B40" w:rsidRPr="00007908" w:rsidRDefault="00236B40" w:rsidP="00236B40">
            <w:pPr>
              <w:jc w:val="center"/>
              <w:rPr>
                <w:rFonts w:asciiTheme="minorHAnsi" w:hAnsiTheme="minorHAnsi" w:cstheme="majorHAnsi"/>
                <w:b/>
                <w:bCs/>
                <w:sz w:val="18"/>
                <w:szCs w:val="18"/>
                <w:lang w:val="en-US"/>
              </w:rPr>
            </w:pPr>
            <w:r w:rsidRPr="00007908">
              <w:rPr>
                <w:rFonts w:asciiTheme="minorHAnsi" w:hAnsiTheme="minorHAnsi" w:cstheme="majorHAnsi"/>
                <w:b/>
                <w:bCs/>
                <w:sz w:val="18"/>
                <w:szCs w:val="18"/>
                <w:lang w:val="en-US"/>
              </w:rPr>
              <w:t>(</w:t>
            </w:r>
            <w:r w:rsidRPr="00007908">
              <w:rPr>
                <w:rFonts w:asciiTheme="minorHAnsi" w:hAnsiTheme="minorHAnsi" w:cstheme="majorHAnsi"/>
                <w:b/>
                <w:bCs/>
                <w:i/>
                <w:iCs/>
                <w:sz w:val="18"/>
                <w:szCs w:val="18"/>
                <w:lang w:val="en-US"/>
              </w:rPr>
              <w:t>n</w:t>
            </w:r>
            <w:r w:rsidRPr="00007908">
              <w:rPr>
                <w:rFonts w:asciiTheme="minorHAnsi" w:hAnsiTheme="minorHAnsi" w:cstheme="majorHAnsi"/>
                <w:b/>
                <w:bCs/>
                <w:sz w:val="18"/>
                <w:szCs w:val="18"/>
                <w:lang w:val="en-US"/>
              </w:rPr>
              <w:t xml:space="preserve"> = 373)</w:t>
            </w:r>
          </w:p>
        </w:tc>
        <w:tc>
          <w:tcPr>
            <w:tcW w:w="591" w:type="pct"/>
            <w:tcBorders>
              <w:top w:val="single" w:sz="12" w:space="0" w:color="auto"/>
              <w:bottom w:val="single" w:sz="4" w:space="0" w:color="auto"/>
            </w:tcBorders>
            <w:shd w:val="clear" w:color="auto" w:fill="FFFFFF"/>
          </w:tcPr>
          <w:p w14:paraId="0D85BE4E" w14:textId="77777777" w:rsidR="00236B40" w:rsidRPr="00007908" w:rsidRDefault="00236B40" w:rsidP="00236B40">
            <w:pPr>
              <w:jc w:val="center"/>
              <w:rPr>
                <w:rFonts w:asciiTheme="minorHAnsi" w:hAnsiTheme="minorHAnsi" w:cstheme="majorHAnsi"/>
                <w:b/>
                <w:bCs/>
                <w:sz w:val="18"/>
                <w:szCs w:val="18"/>
                <w:lang w:val="en-US"/>
              </w:rPr>
            </w:pPr>
            <w:r w:rsidRPr="00007908">
              <w:rPr>
                <w:rFonts w:asciiTheme="minorHAnsi" w:hAnsiTheme="minorHAnsi" w:cstheme="majorHAnsi"/>
                <w:b/>
                <w:bCs/>
                <w:sz w:val="18"/>
                <w:szCs w:val="18"/>
                <w:lang w:val="en-US"/>
              </w:rPr>
              <w:t>Interferon-β-1a</w:t>
            </w:r>
          </w:p>
          <w:p w14:paraId="7B2DB7BA" w14:textId="5EE26C0F" w:rsidR="00236B40" w:rsidRPr="00007908" w:rsidRDefault="00236B40" w:rsidP="00236B40">
            <w:pPr>
              <w:jc w:val="center"/>
              <w:rPr>
                <w:rFonts w:asciiTheme="minorHAnsi" w:hAnsiTheme="minorHAnsi" w:cstheme="majorHAnsi"/>
                <w:b/>
                <w:bCs/>
                <w:sz w:val="18"/>
                <w:szCs w:val="18"/>
                <w:lang w:val="en-US"/>
              </w:rPr>
            </w:pPr>
            <w:r w:rsidRPr="00007908">
              <w:rPr>
                <w:rFonts w:asciiTheme="minorHAnsi" w:hAnsiTheme="minorHAnsi" w:cstheme="majorHAnsi"/>
                <w:b/>
                <w:bCs/>
                <w:sz w:val="18"/>
                <w:szCs w:val="18"/>
                <w:lang w:val="en-US"/>
              </w:rPr>
              <w:t>(</w:t>
            </w:r>
            <w:r w:rsidRPr="00007908">
              <w:rPr>
                <w:rFonts w:asciiTheme="minorHAnsi" w:hAnsiTheme="minorHAnsi" w:cstheme="majorHAnsi"/>
                <w:b/>
                <w:bCs/>
                <w:i/>
                <w:iCs/>
                <w:sz w:val="18"/>
                <w:szCs w:val="18"/>
                <w:lang w:val="en-US"/>
              </w:rPr>
              <w:t>n</w:t>
            </w:r>
            <w:r w:rsidRPr="00007908">
              <w:rPr>
                <w:rFonts w:asciiTheme="minorHAnsi" w:hAnsiTheme="minorHAnsi" w:cstheme="majorHAnsi"/>
                <w:b/>
                <w:bCs/>
                <w:sz w:val="18"/>
                <w:szCs w:val="18"/>
                <w:lang w:val="en-US"/>
              </w:rPr>
              <w:t xml:space="preserve"> = 19)</w:t>
            </w:r>
          </w:p>
        </w:tc>
        <w:tc>
          <w:tcPr>
            <w:tcW w:w="552" w:type="pct"/>
            <w:tcBorders>
              <w:top w:val="single" w:sz="12" w:space="0" w:color="auto"/>
              <w:bottom w:val="single" w:sz="4" w:space="0" w:color="auto"/>
            </w:tcBorders>
            <w:shd w:val="clear" w:color="auto" w:fill="FFFFFF"/>
          </w:tcPr>
          <w:p w14:paraId="3924BB66" w14:textId="77777777" w:rsidR="00236B40" w:rsidRPr="00007908" w:rsidRDefault="00236B40" w:rsidP="00236B40">
            <w:pPr>
              <w:jc w:val="center"/>
              <w:rPr>
                <w:rFonts w:asciiTheme="minorHAnsi" w:hAnsiTheme="minorHAnsi" w:cstheme="majorHAnsi"/>
                <w:b/>
                <w:bCs/>
                <w:sz w:val="18"/>
                <w:szCs w:val="18"/>
                <w:lang w:val="en-US"/>
              </w:rPr>
            </w:pPr>
            <w:r w:rsidRPr="00007908">
              <w:rPr>
                <w:rFonts w:asciiTheme="minorHAnsi" w:hAnsiTheme="minorHAnsi" w:cstheme="majorHAnsi"/>
                <w:b/>
                <w:bCs/>
                <w:sz w:val="18"/>
                <w:szCs w:val="18"/>
                <w:lang w:val="en-US"/>
              </w:rPr>
              <w:t>Control</w:t>
            </w:r>
          </w:p>
          <w:p w14:paraId="61C824B5" w14:textId="51361052" w:rsidR="00236B40" w:rsidRPr="00007908" w:rsidRDefault="00236B40" w:rsidP="00236B40">
            <w:pPr>
              <w:jc w:val="center"/>
              <w:rPr>
                <w:rFonts w:asciiTheme="minorHAnsi" w:hAnsiTheme="minorHAnsi" w:cstheme="majorHAnsi"/>
                <w:b/>
                <w:bCs/>
                <w:sz w:val="18"/>
                <w:szCs w:val="18"/>
                <w:lang w:val="en-US"/>
              </w:rPr>
            </w:pPr>
            <w:r w:rsidRPr="00007908">
              <w:rPr>
                <w:rFonts w:asciiTheme="minorHAnsi" w:hAnsiTheme="minorHAnsi" w:cstheme="majorHAnsi"/>
                <w:b/>
                <w:bCs/>
                <w:sz w:val="18"/>
                <w:szCs w:val="18"/>
                <w:lang w:val="en-US"/>
              </w:rPr>
              <w:t>(</w:t>
            </w:r>
            <w:r w:rsidRPr="00007908">
              <w:rPr>
                <w:rFonts w:asciiTheme="minorHAnsi" w:hAnsiTheme="minorHAnsi" w:cstheme="majorHAnsi"/>
                <w:b/>
                <w:bCs/>
                <w:i/>
                <w:iCs/>
                <w:sz w:val="18"/>
                <w:szCs w:val="18"/>
                <w:lang w:val="en-US"/>
              </w:rPr>
              <w:t>n</w:t>
            </w:r>
            <w:r w:rsidRPr="00007908">
              <w:rPr>
                <w:rFonts w:asciiTheme="minorHAnsi" w:hAnsiTheme="minorHAnsi" w:cstheme="majorHAnsi"/>
                <w:b/>
                <w:bCs/>
                <w:sz w:val="18"/>
                <w:szCs w:val="18"/>
                <w:lang w:val="en-US"/>
              </w:rPr>
              <w:t xml:space="preserve"> = 406)</w:t>
            </w:r>
          </w:p>
        </w:tc>
        <w:tc>
          <w:tcPr>
            <w:tcW w:w="539" w:type="pct"/>
            <w:tcBorders>
              <w:top w:val="single" w:sz="12" w:space="0" w:color="auto"/>
              <w:bottom w:val="single" w:sz="4" w:space="0" w:color="auto"/>
            </w:tcBorders>
            <w:shd w:val="clear" w:color="auto" w:fill="FFFFFF"/>
            <w:tcMar>
              <w:top w:w="0" w:type="dxa"/>
              <w:left w:w="0" w:type="dxa"/>
              <w:bottom w:w="0" w:type="dxa"/>
              <w:right w:w="0" w:type="dxa"/>
            </w:tcMar>
          </w:tcPr>
          <w:p w14:paraId="23EE6497" w14:textId="13EDC96D" w:rsidR="00236B40" w:rsidRPr="00007908" w:rsidRDefault="00236B40" w:rsidP="00236B40">
            <w:pPr>
              <w:jc w:val="center"/>
              <w:rPr>
                <w:rFonts w:asciiTheme="minorHAnsi" w:hAnsiTheme="minorHAnsi" w:cstheme="majorHAnsi"/>
                <w:b/>
                <w:bCs/>
                <w:sz w:val="18"/>
                <w:szCs w:val="18"/>
                <w:vertAlign w:val="superscript"/>
                <w:lang w:val="en-US"/>
              </w:rPr>
            </w:pPr>
            <w:r w:rsidRPr="00007908">
              <w:rPr>
                <w:rFonts w:asciiTheme="minorHAnsi" w:hAnsiTheme="minorHAnsi" w:cstheme="majorHAnsi"/>
                <w:b/>
                <w:bCs/>
                <w:sz w:val="18"/>
                <w:szCs w:val="18"/>
                <w:lang w:val="en-US"/>
              </w:rPr>
              <w:t>All Patients</w:t>
            </w:r>
          </w:p>
          <w:p w14:paraId="0B95BED0" w14:textId="77777777" w:rsidR="00236B40" w:rsidRPr="00007908" w:rsidRDefault="00236B40" w:rsidP="00236B40">
            <w:pPr>
              <w:jc w:val="center"/>
              <w:rPr>
                <w:rFonts w:asciiTheme="minorHAnsi" w:hAnsiTheme="minorHAnsi" w:cstheme="majorHAnsi"/>
                <w:b/>
                <w:bCs/>
                <w:sz w:val="18"/>
                <w:szCs w:val="18"/>
                <w:lang w:val="en-US"/>
              </w:rPr>
            </w:pPr>
            <w:r w:rsidRPr="00007908">
              <w:rPr>
                <w:rFonts w:asciiTheme="minorHAnsi" w:hAnsiTheme="minorHAnsi" w:cstheme="majorHAnsi"/>
                <w:b/>
                <w:bCs/>
                <w:sz w:val="18"/>
                <w:szCs w:val="18"/>
                <w:lang w:val="en-US"/>
              </w:rPr>
              <w:t>(</w:t>
            </w:r>
            <w:r w:rsidRPr="00007908">
              <w:rPr>
                <w:rFonts w:asciiTheme="minorHAnsi" w:hAnsiTheme="minorHAnsi" w:cstheme="majorHAnsi"/>
                <w:b/>
                <w:bCs/>
                <w:i/>
                <w:iCs/>
                <w:sz w:val="18"/>
                <w:szCs w:val="18"/>
                <w:lang w:val="en-US"/>
              </w:rPr>
              <w:t>n</w:t>
            </w:r>
            <w:r w:rsidRPr="00007908">
              <w:rPr>
                <w:rFonts w:asciiTheme="minorHAnsi" w:hAnsiTheme="minorHAnsi" w:cstheme="majorHAnsi"/>
                <w:b/>
                <w:bCs/>
                <w:sz w:val="18"/>
                <w:szCs w:val="18"/>
                <w:lang w:val="en-US"/>
              </w:rPr>
              <w:t xml:space="preserve"> = 2235)</w:t>
            </w:r>
          </w:p>
        </w:tc>
      </w:tr>
      <w:tr w:rsidR="00236B40" w:rsidRPr="00007908" w14:paraId="201E9CCE" w14:textId="77777777" w:rsidTr="00BB21F9">
        <w:trPr>
          <w:gridAfter w:val="1"/>
          <w:wAfter w:w="32" w:type="pct"/>
          <w:cantSplit/>
          <w:trHeight w:val="268"/>
        </w:trPr>
        <w:tc>
          <w:tcPr>
            <w:tcW w:w="1467" w:type="pct"/>
            <w:shd w:val="clear" w:color="auto" w:fill="FFFFFF"/>
            <w:tcMar>
              <w:top w:w="0" w:type="dxa"/>
              <w:left w:w="0" w:type="dxa"/>
              <w:bottom w:w="0" w:type="dxa"/>
              <w:right w:w="0" w:type="dxa"/>
            </w:tcMar>
            <w:vAlign w:val="center"/>
          </w:tcPr>
          <w:p w14:paraId="668B8FCF"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Age - mean (SD), years</w:t>
            </w:r>
          </w:p>
        </w:tc>
        <w:tc>
          <w:tcPr>
            <w:tcW w:w="591" w:type="pct"/>
            <w:shd w:val="clear" w:color="auto" w:fill="FFFFFF"/>
            <w:tcMar>
              <w:top w:w="0" w:type="dxa"/>
              <w:left w:w="0" w:type="dxa"/>
              <w:bottom w:w="0" w:type="dxa"/>
              <w:right w:w="0" w:type="dxa"/>
            </w:tcMar>
            <w:vAlign w:val="center"/>
          </w:tcPr>
          <w:p w14:paraId="3DD951CB" w14:textId="7C4A8ADA"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60.8 (12.2)</w:t>
            </w:r>
          </w:p>
        </w:tc>
        <w:tc>
          <w:tcPr>
            <w:tcW w:w="591" w:type="pct"/>
            <w:shd w:val="clear" w:color="auto" w:fill="FFFFFF"/>
            <w:tcMar>
              <w:top w:w="0" w:type="dxa"/>
              <w:left w:w="0" w:type="dxa"/>
              <w:bottom w:w="0" w:type="dxa"/>
              <w:right w:w="0" w:type="dxa"/>
            </w:tcMar>
            <w:vAlign w:val="center"/>
          </w:tcPr>
          <w:p w14:paraId="55239FA1" w14:textId="52BDD6EA"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59.0 (13.2)</w:t>
            </w:r>
          </w:p>
        </w:tc>
        <w:tc>
          <w:tcPr>
            <w:tcW w:w="638" w:type="pct"/>
            <w:shd w:val="clear" w:color="auto" w:fill="FFFFFF"/>
            <w:vAlign w:val="center"/>
          </w:tcPr>
          <w:p w14:paraId="52AFB6E2" w14:textId="57EAA373"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59.8 (11.9)</w:t>
            </w:r>
          </w:p>
        </w:tc>
        <w:tc>
          <w:tcPr>
            <w:tcW w:w="591" w:type="pct"/>
            <w:shd w:val="clear" w:color="auto" w:fill="FFFFFF"/>
            <w:vAlign w:val="center"/>
          </w:tcPr>
          <w:p w14:paraId="3A07DC4F" w14:textId="5F8D67D0"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64.1 (8.7)</w:t>
            </w:r>
          </w:p>
        </w:tc>
        <w:tc>
          <w:tcPr>
            <w:tcW w:w="552" w:type="pct"/>
            <w:shd w:val="clear" w:color="auto" w:fill="FFFFFF"/>
            <w:vAlign w:val="center"/>
          </w:tcPr>
          <w:p w14:paraId="51C0D38E" w14:textId="2D394529"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61.1 (12.9)</w:t>
            </w:r>
          </w:p>
        </w:tc>
        <w:tc>
          <w:tcPr>
            <w:tcW w:w="539" w:type="pct"/>
            <w:shd w:val="clear" w:color="auto" w:fill="FFFFFF"/>
            <w:tcMar>
              <w:top w:w="0" w:type="dxa"/>
              <w:left w:w="0" w:type="dxa"/>
              <w:bottom w:w="0" w:type="dxa"/>
              <w:right w:w="0" w:type="dxa"/>
            </w:tcMar>
            <w:vAlign w:val="center"/>
          </w:tcPr>
          <w:p w14:paraId="5A9BA53B" w14:textId="6FBEACEA"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60.3 (12.5)</w:t>
            </w:r>
          </w:p>
        </w:tc>
      </w:tr>
      <w:tr w:rsidR="00236B40" w:rsidRPr="00007908" w14:paraId="72AAFB9C" w14:textId="77777777" w:rsidTr="00BB21F9">
        <w:trPr>
          <w:gridAfter w:val="1"/>
          <w:wAfter w:w="32" w:type="pct"/>
          <w:cantSplit/>
          <w:trHeight w:val="268"/>
        </w:trPr>
        <w:tc>
          <w:tcPr>
            <w:tcW w:w="1467" w:type="pct"/>
            <w:shd w:val="clear" w:color="auto" w:fill="FFFFFF"/>
            <w:tcMar>
              <w:top w:w="0" w:type="dxa"/>
              <w:left w:w="0" w:type="dxa"/>
              <w:bottom w:w="0" w:type="dxa"/>
              <w:right w:w="0" w:type="dxa"/>
            </w:tcMar>
            <w:vAlign w:val="center"/>
          </w:tcPr>
          <w:p w14:paraId="5172528B"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Male sex - n (%)</w:t>
            </w:r>
          </w:p>
        </w:tc>
        <w:tc>
          <w:tcPr>
            <w:tcW w:w="591" w:type="pct"/>
            <w:shd w:val="clear" w:color="auto" w:fill="FFFFFF"/>
            <w:tcMar>
              <w:top w:w="0" w:type="dxa"/>
              <w:left w:w="0" w:type="dxa"/>
              <w:bottom w:w="0" w:type="dxa"/>
              <w:right w:w="0" w:type="dxa"/>
            </w:tcMar>
            <w:vAlign w:val="center"/>
          </w:tcPr>
          <w:p w14:paraId="7C7C3829" w14:textId="4ED48C20"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656 (68.9)</w:t>
            </w:r>
          </w:p>
        </w:tc>
        <w:tc>
          <w:tcPr>
            <w:tcW w:w="591" w:type="pct"/>
            <w:shd w:val="clear" w:color="auto" w:fill="FFFFFF"/>
            <w:tcMar>
              <w:top w:w="0" w:type="dxa"/>
              <w:left w:w="0" w:type="dxa"/>
              <w:bottom w:w="0" w:type="dxa"/>
              <w:right w:w="0" w:type="dxa"/>
            </w:tcMar>
            <w:vAlign w:val="center"/>
          </w:tcPr>
          <w:p w14:paraId="448389E9" w14:textId="4B10813D"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326 (67.2)</w:t>
            </w:r>
          </w:p>
        </w:tc>
        <w:tc>
          <w:tcPr>
            <w:tcW w:w="638" w:type="pct"/>
            <w:shd w:val="clear" w:color="auto" w:fill="FFFFFF"/>
            <w:vAlign w:val="center"/>
          </w:tcPr>
          <w:p w14:paraId="054E83CB" w14:textId="533AE44A"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269 (72.1)</w:t>
            </w:r>
          </w:p>
        </w:tc>
        <w:tc>
          <w:tcPr>
            <w:tcW w:w="591" w:type="pct"/>
            <w:shd w:val="clear" w:color="auto" w:fill="FFFFFF"/>
            <w:vAlign w:val="center"/>
          </w:tcPr>
          <w:p w14:paraId="3022B58C" w14:textId="1554D0A3"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14 (73.7)</w:t>
            </w:r>
          </w:p>
        </w:tc>
        <w:tc>
          <w:tcPr>
            <w:tcW w:w="552" w:type="pct"/>
            <w:shd w:val="clear" w:color="auto" w:fill="FFFFFF"/>
            <w:vAlign w:val="center"/>
          </w:tcPr>
          <w:p w14:paraId="01CC414E" w14:textId="091F034D"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285 (70.2)</w:t>
            </w:r>
          </w:p>
        </w:tc>
        <w:tc>
          <w:tcPr>
            <w:tcW w:w="539" w:type="pct"/>
            <w:shd w:val="clear" w:color="auto" w:fill="FFFFFF"/>
            <w:tcMar>
              <w:top w:w="0" w:type="dxa"/>
              <w:left w:w="0" w:type="dxa"/>
              <w:bottom w:w="0" w:type="dxa"/>
              <w:right w:w="0" w:type="dxa"/>
            </w:tcMar>
            <w:vAlign w:val="center"/>
          </w:tcPr>
          <w:p w14:paraId="3E9B9B8B" w14:textId="71CDF8DD"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1550 (69.4)</w:t>
            </w:r>
          </w:p>
        </w:tc>
      </w:tr>
      <w:tr w:rsidR="00236B40" w:rsidRPr="00007908" w14:paraId="18F6C251" w14:textId="77777777" w:rsidTr="00BB21F9">
        <w:trPr>
          <w:gridAfter w:val="1"/>
          <w:wAfter w:w="32" w:type="pct"/>
          <w:cantSplit/>
          <w:trHeight w:val="268"/>
        </w:trPr>
        <w:tc>
          <w:tcPr>
            <w:tcW w:w="1467" w:type="pct"/>
            <w:shd w:val="clear" w:color="auto" w:fill="FFFFFF"/>
            <w:tcMar>
              <w:top w:w="0" w:type="dxa"/>
              <w:left w:w="0" w:type="dxa"/>
              <w:bottom w:w="0" w:type="dxa"/>
              <w:right w:w="0" w:type="dxa"/>
            </w:tcMar>
            <w:vAlign w:val="center"/>
          </w:tcPr>
          <w:p w14:paraId="248380E4"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Race / Ethnicity </w:t>
            </w:r>
            <w:r w:rsidRPr="00007908">
              <w:rPr>
                <w:rFonts w:asciiTheme="minorHAnsi" w:hAnsiTheme="minorHAnsi" w:cstheme="majorHAnsi"/>
                <w:sz w:val="18"/>
                <w:szCs w:val="18"/>
                <w:vertAlign w:val="superscript"/>
                <w:lang w:val="en-US"/>
              </w:rPr>
              <w:t>a</w:t>
            </w:r>
            <w:r w:rsidRPr="00007908">
              <w:rPr>
                <w:rFonts w:asciiTheme="minorHAnsi" w:hAnsiTheme="minorHAnsi" w:cstheme="majorHAnsi"/>
                <w:sz w:val="18"/>
                <w:szCs w:val="18"/>
                <w:lang w:val="en-US"/>
              </w:rPr>
              <w:t xml:space="preserve"> - n / N (%)</w:t>
            </w:r>
          </w:p>
        </w:tc>
        <w:tc>
          <w:tcPr>
            <w:tcW w:w="591" w:type="pct"/>
            <w:shd w:val="clear" w:color="auto" w:fill="FFFFFF"/>
            <w:tcMar>
              <w:top w:w="0" w:type="dxa"/>
              <w:left w:w="0" w:type="dxa"/>
              <w:bottom w:w="0" w:type="dxa"/>
              <w:right w:w="0" w:type="dxa"/>
            </w:tcMar>
            <w:vAlign w:val="center"/>
          </w:tcPr>
          <w:p w14:paraId="3379097D" w14:textId="77777777" w:rsidR="00236B40" w:rsidRPr="00007908" w:rsidRDefault="00236B40" w:rsidP="00507544">
            <w:pPr>
              <w:jc w:val="center"/>
              <w:rPr>
                <w:rFonts w:asciiTheme="minorHAnsi" w:hAnsiTheme="minorHAnsi" w:cstheme="majorHAnsi"/>
                <w:sz w:val="18"/>
                <w:szCs w:val="18"/>
                <w:lang w:val="en-US"/>
              </w:rPr>
            </w:pPr>
          </w:p>
        </w:tc>
        <w:tc>
          <w:tcPr>
            <w:tcW w:w="591" w:type="pct"/>
            <w:shd w:val="clear" w:color="auto" w:fill="FFFFFF"/>
            <w:tcMar>
              <w:top w:w="0" w:type="dxa"/>
              <w:left w:w="0" w:type="dxa"/>
              <w:bottom w:w="0" w:type="dxa"/>
              <w:right w:w="0" w:type="dxa"/>
            </w:tcMar>
            <w:vAlign w:val="center"/>
          </w:tcPr>
          <w:p w14:paraId="456DCC50" w14:textId="77777777" w:rsidR="00236B40" w:rsidRPr="00007908" w:rsidRDefault="00236B40" w:rsidP="00507544">
            <w:pPr>
              <w:jc w:val="center"/>
              <w:rPr>
                <w:rFonts w:asciiTheme="minorHAnsi" w:hAnsiTheme="minorHAnsi" w:cstheme="majorHAnsi"/>
                <w:sz w:val="18"/>
                <w:szCs w:val="18"/>
                <w:lang w:val="en-US"/>
              </w:rPr>
            </w:pPr>
          </w:p>
        </w:tc>
        <w:tc>
          <w:tcPr>
            <w:tcW w:w="638" w:type="pct"/>
            <w:shd w:val="clear" w:color="auto" w:fill="FFFFFF"/>
            <w:vAlign w:val="center"/>
          </w:tcPr>
          <w:p w14:paraId="2043F2FB" w14:textId="77777777" w:rsidR="00236B40" w:rsidRPr="00007908" w:rsidRDefault="00236B40" w:rsidP="00507544">
            <w:pPr>
              <w:jc w:val="center"/>
              <w:rPr>
                <w:rFonts w:asciiTheme="minorHAnsi" w:hAnsiTheme="minorHAnsi" w:cstheme="majorHAnsi"/>
                <w:sz w:val="18"/>
                <w:szCs w:val="18"/>
                <w:lang w:val="en-US"/>
              </w:rPr>
            </w:pPr>
          </w:p>
        </w:tc>
        <w:tc>
          <w:tcPr>
            <w:tcW w:w="591" w:type="pct"/>
            <w:shd w:val="clear" w:color="auto" w:fill="FFFFFF"/>
            <w:vAlign w:val="center"/>
          </w:tcPr>
          <w:p w14:paraId="69CD3975" w14:textId="77777777" w:rsidR="00236B40" w:rsidRPr="00007908" w:rsidRDefault="00236B40" w:rsidP="00507544">
            <w:pPr>
              <w:jc w:val="center"/>
              <w:rPr>
                <w:rFonts w:asciiTheme="minorHAnsi" w:hAnsiTheme="minorHAnsi" w:cstheme="majorHAnsi"/>
                <w:sz w:val="18"/>
                <w:szCs w:val="18"/>
                <w:lang w:val="en-US"/>
              </w:rPr>
            </w:pPr>
          </w:p>
        </w:tc>
        <w:tc>
          <w:tcPr>
            <w:tcW w:w="552" w:type="pct"/>
            <w:shd w:val="clear" w:color="auto" w:fill="FFFFFF"/>
            <w:vAlign w:val="center"/>
          </w:tcPr>
          <w:p w14:paraId="4854E35F" w14:textId="77777777" w:rsidR="00236B40" w:rsidRPr="00007908" w:rsidRDefault="00236B40" w:rsidP="00507544">
            <w:pPr>
              <w:jc w:val="center"/>
              <w:rPr>
                <w:rFonts w:asciiTheme="minorHAnsi" w:hAnsiTheme="minorHAnsi" w:cstheme="majorHAnsi"/>
                <w:sz w:val="18"/>
                <w:szCs w:val="18"/>
                <w:lang w:val="en-US"/>
              </w:rPr>
            </w:pPr>
          </w:p>
        </w:tc>
        <w:tc>
          <w:tcPr>
            <w:tcW w:w="539" w:type="pct"/>
            <w:shd w:val="clear" w:color="auto" w:fill="FFFFFF"/>
            <w:tcMar>
              <w:top w:w="0" w:type="dxa"/>
              <w:left w:w="0" w:type="dxa"/>
              <w:bottom w:w="0" w:type="dxa"/>
              <w:right w:w="0" w:type="dxa"/>
            </w:tcMar>
            <w:vAlign w:val="center"/>
          </w:tcPr>
          <w:p w14:paraId="01223924" w14:textId="45581FCE" w:rsidR="00236B40" w:rsidRPr="00007908" w:rsidRDefault="00236B40" w:rsidP="00507544">
            <w:pPr>
              <w:jc w:val="center"/>
              <w:rPr>
                <w:rFonts w:asciiTheme="minorHAnsi" w:hAnsiTheme="minorHAnsi" w:cstheme="majorHAnsi"/>
                <w:sz w:val="18"/>
                <w:szCs w:val="18"/>
                <w:lang w:val="en-US"/>
              </w:rPr>
            </w:pPr>
          </w:p>
        </w:tc>
      </w:tr>
      <w:tr w:rsidR="00236B40" w:rsidRPr="00007908" w14:paraId="31C5A539" w14:textId="77777777" w:rsidTr="00BB21F9">
        <w:trPr>
          <w:gridAfter w:val="1"/>
          <w:wAfter w:w="32" w:type="pct"/>
          <w:cantSplit/>
          <w:trHeight w:val="268"/>
        </w:trPr>
        <w:tc>
          <w:tcPr>
            <w:tcW w:w="1467" w:type="pct"/>
            <w:shd w:val="clear" w:color="auto" w:fill="FFFFFF"/>
            <w:tcMar>
              <w:top w:w="0" w:type="dxa"/>
              <w:left w:w="0" w:type="dxa"/>
              <w:bottom w:w="0" w:type="dxa"/>
              <w:right w:w="0" w:type="dxa"/>
            </w:tcMar>
            <w:vAlign w:val="center"/>
          </w:tcPr>
          <w:p w14:paraId="4D8965A8"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White</w:t>
            </w:r>
          </w:p>
        </w:tc>
        <w:tc>
          <w:tcPr>
            <w:tcW w:w="591" w:type="pct"/>
            <w:shd w:val="clear" w:color="auto" w:fill="FFFFFF"/>
            <w:tcMar>
              <w:top w:w="0" w:type="dxa"/>
              <w:left w:w="0" w:type="dxa"/>
              <w:bottom w:w="0" w:type="dxa"/>
              <w:right w:w="0" w:type="dxa"/>
            </w:tcMar>
            <w:vAlign w:val="center"/>
          </w:tcPr>
          <w:p w14:paraId="4AA26D25" w14:textId="71D4CA50"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515 / 724 (71.1)</w:t>
            </w:r>
          </w:p>
        </w:tc>
        <w:tc>
          <w:tcPr>
            <w:tcW w:w="591" w:type="pct"/>
            <w:shd w:val="clear" w:color="auto" w:fill="FFFFFF"/>
            <w:tcMar>
              <w:top w:w="0" w:type="dxa"/>
              <w:left w:w="0" w:type="dxa"/>
              <w:bottom w:w="0" w:type="dxa"/>
              <w:right w:w="0" w:type="dxa"/>
            </w:tcMar>
            <w:vAlign w:val="center"/>
          </w:tcPr>
          <w:p w14:paraId="5441FE6E" w14:textId="0B625BBF"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368 / 453 (81.2)</w:t>
            </w:r>
          </w:p>
        </w:tc>
        <w:tc>
          <w:tcPr>
            <w:tcW w:w="638" w:type="pct"/>
            <w:shd w:val="clear" w:color="auto" w:fill="FFFFFF"/>
            <w:vAlign w:val="center"/>
          </w:tcPr>
          <w:p w14:paraId="02CAA193" w14:textId="57666B74"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184 / 254 (72.4)</w:t>
            </w:r>
          </w:p>
        </w:tc>
        <w:tc>
          <w:tcPr>
            <w:tcW w:w="591" w:type="pct"/>
            <w:shd w:val="clear" w:color="auto" w:fill="FFFFFF"/>
            <w:vAlign w:val="center"/>
          </w:tcPr>
          <w:p w14:paraId="32A52F30" w14:textId="0F351C68"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13 / 18 (72.2)</w:t>
            </w:r>
          </w:p>
        </w:tc>
        <w:tc>
          <w:tcPr>
            <w:tcW w:w="552" w:type="pct"/>
            <w:shd w:val="clear" w:color="auto" w:fill="FFFFFF"/>
            <w:vAlign w:val="center"/>
          </w:tcPr>
          <w:p w14:paraId="4D0AE083" w14:textId="05CE4671"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234 / 317 (73.8)</w:t>
            </w:r>
          </w:p>
        </w:tc>
        <w:tc>
          <w:tcPr>
            <w:tcW w:w="539" w:type="pct"/>
            <w:shd w:val="clear" w:color="auto" w:fill="FFFFFF"/>
            <w:tcMar>
              <w:top w:w="0" w:type="dxa"/>
              <w:left w:w="0" w:type="dxa"/>
              <w:bottom w:w="0" w:type="dxa"/>
              <w:right w:w="0" w:type="dxa"/>
            </w:tcMar>
            <w:vAlign w:val="center"/>
          </w:tcPr>
          <w:p w14:paraId="0610136B" w14:textId="170D68CF"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1314 / 1766 (74.4)</w:t>
            </w:r>
          </w:p>
        </w:tc>
      </w:tr>
      <w:tr w:rsidR="00236B40" w:rsidRPr="00007908" w14:paraId="6F2D086A" w14:textId="77777777" w:rsidTr="00BB21F9">
        <w:trPr>
          <w:gridAfter w:val="1"/>
          <w:wAfter w:w="32" w:type="pct"/>
          <w:cantSplit/>
          <w:trHeight w:val="268"/>
        </w:trPr>
        <w:tc>
          <w:tcPr>
            <w:tcW w:w="1467" w:type="pct"/>
            <w:shd w:val="clear" w:color="auto" w:fill="FFFFFF"/>
            <w:tcMar>
              <w:top w:w="0" w:type="dxa"/>
              <w:left w:w="0" w:type="dxa"/>
              <w:bottom w:w="0" w:type="dxa"/>
              <w:right w:w="0" w:type="dxa"/>
            </w:tcMar>
            <w:vAlign w:val="center"/>
          </w:tcPr>
          <w:p w14:paraId="06603BC6"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Asian</w:t>
            </w:r>
          </w:p>
        </w:tc>
        <w:tc>
          <w:tcPr>
            <w:tcW w:w="591" w:type="pct"/>
            <w:shd w:val="clear" w:color="auto" w:fill="FFFFFF"/>
            <w:tcMar>
              <w:top w:w="0" w:type="dxa"/>
              <w:left w:w="0" w:type="dxa"/>
              <w:bottom w:w="0" w:type="dxa"/>
              <w:right w:w="0" w:type="dxa"/>
            </w:tcMar>
            <w:vAlign w:val="center"/>
          </w:tcPr>
          <w:p w14:paraId="5775C968" w14:textId="038F7E6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123 / 724 (17.0)</w:t>
            </w:r>
          </w:p>
        </w:tc>
        <w:tc>
          <w:tcPr>
            <w:tcW w:w="591" w:type="pct"/>
            <w:shd w:val="clear" w:color="auto" w:fill="FFFFFF"/>
            <w:tcMar>
              <w:top w:w="0" w:type="dxa"/>
              <w:left w:w="0" w:type="dxa"/>
              <w:bottom w:w="0" w:type="dxa"/>
              <w:right w:w="0" w:type="dxa"/>
            </w:tcMar>
            <w:vAlign w:val="center"/>
          </w:tcPr>
          <w:p w14:paraId="5CBC8195" w14:textId="32F0E6DF"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53 / 453 (11.7)</w:t>
            </w:r>
          </w:p>
        </w:tc>
        <w:tc>
          <w:tcPr>
            <w:tcW w:w="638" w:type="pct"/>
            <w:shd w:val="clear" w:color="auto" w:fill="FFFFFF"/>
            <w:vAlign w:val="center"/>
          </w:tcPr>
          <w:p w14:paraId="46C4130F" w14:textId="5ED5CE5A"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39 / 254 (15.4)</w:t>
            </w:r>
          </w:p>
        </w:tc>
        <w:tc>
          <w:tcPr>
            <w:tcW w:w="591" w:type="pct"/>
            <w:shd w:val="clear" w:color="auto" w:fill="FFFFFF"/>
            <w:vAlign w:val="center"/>
          </w:tcPr>
          <w:p w14:paraId="6B1C0FCC" w14:textId="4B5A4EA0"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3 / 18 (16.7)</w:t>
            </w:r>
          </w:p>
        </w:tc>
        <w:tc>
          <w:tcPr>
            <w:tcW w:w="552" w:type="pct"/>
            <w:shd w:val="clear" w:color="auto" w:fill="FFFFFF"/>
            <w:vAlign w:val="center"/>
          </w:tcPr>
          <w:p w14:paraId="6ECAC8F9" w14:textId="557109A2"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53 / 317 (16.7)</w:t>
            </w:r>
          </w:p>
        </w:tc>
        <w:tc>
          <w:tcPr>
            <w:tcW w:w="539" w:type="pct"/>
            <w:shd w:val="clear" w:color="auto" w:fill="FFFFFF"/>
            <w:tcMar>
              <w:top w:w="0" w:type="dxa"/>
              <w:left w:w="0" w:type="dxa"/>
              <w:bottom w:w="0" w:type="dxa"/>
              <w:right w:w="0" w:type="dxa"/>
            </w:tcMar>
            <w:vAlign w:val="center"/>
          </w:tcPr>
          <w:p w14:paraId="2E96EDC9" w14:textId="126A3333"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271 / 1766 (15.3)</w:t>
            </w:r>
          </w:p>
        </w:tc>
      </w:tr>
      <w:tr w:rsidR="00236B40" w:rsidRPr="00007908" w14:paraId="3C378542" w14:textId="77777777" w:rsidTr="00BB21F9">
        <w:trPr>
          <w:gridAfter w:val="1"/>
          <w:wAfter w:w="32" w:type="pct"/>
          <w:cantSplit/>
          <w:trHeight w:val="268"/>
        </w:trPr>
        <w:tc>
          <w:tcPr>
            <w:tcW w:w="1467" w:type="pct"/>
            <w:shd w:val="clear" w:color="auto" w:fill="FFFFFF"/>
            <w:tcMar>
              <w:top w:w="0" w:type="dxa"/>
              <w:left w:w="0" w:type="dxa"/>
              <w:bottom w:w="0" w:type="dxa"/>
              <w:right w:w="0" w:type="dxa"/>
            </w:tcMar>
            <w:vAlign w:val="center"/>
          </w:tcPr>
          <w:p w14:paraId="2DA8C6E4"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Black</w:t>
            </w:r>
          </w:p>
        </w:tc>
        <w:tc>
          <w:tcPr>
            <w:tcW w:w="591" w:type="pct"/>
            <w:shd w:val="clear" w:color="auto" w:fill="FFFFFF"/>
            <w:tcMar>
              <w:top w:w="0" w:type="dxa"/>
              <w:left w:w="0" w:type="dxa"/>
              <w:bottom w:w="0" w:type="dxa"/>
              <w:right w:w="0" w:type="dxa"/>
            </w:tcMar>
            <w:vAlign w:val="center"/>
          </w:tcPr>
          <w:p w14:paraId="20C6FB5A" w14:textId="62873A99"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38 / 724 (5.2)</w:t>
            </w:r>
          </w:p>
        </w:tc>
        <w:tc>
          <w:tcPr>
            <w:tcW w:w="591" w:type="pct"/>
            <w:shd w:val="clear" w:color="auto" w:fill="FFFFFF"/>
            <w:tcMar>
              <w:top w:w="0" w:type="dxa"/>
              <w:left w:w="0" w:type="dxa"/>
              <w:bottom w:w="0" w:type="dxa"/>
              <w:right w:w="0" w:type="dxa"/>
            </w:tcMar>
            <w:vAlign w:val="center"/>
          </w:tcPr>
          <w:p w14:paraId="0CA566D1" w14:textId="78DFDDB0"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9 / 453 (2.0)</w:t>
            </w:r>
          </w:p>
        </w:tc>
        <w:tc>
          <w:tcPr>
            <w:tcW w:w="638" w:type="pct"/>
            <w:shd w:val="clear" w:color="auto" w:fill="FFFFFF"/>
            <w:vAlign w:val="center"/>
          </w:tcPr>
          <w:p w14:paraId="40661F77" w14:textId="3F48AE89"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9 / 254 (3.5)</w:t>
            </w:r>
          </w:p>
        </w:tc>
        <w:tc>
          <w:tcPr>
            <w:tcW w:w="591" w:type="pct"/>
            <w:shd w:val="clear" w:color="auto" w:fill="FFFFFF"/>
            <w:vAlign w:val="center"/>
          </w:tcPr>
          <w:p w14:paraId="28D1F345" w14:textId="625C9283"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 / 18 (5.6)</w:t>
            </w:r>
          </w:p>
        </w:tc>
        <w:tc>
          <w:tcPr>
            <w:tcW w:w="552" w:type="pct"/>
            <w:shd w:val="clear" w:color="auto" w:fill="FFFFFF"/>
            <w:vAlign w:val="center"/>
          </w:tcPr>
          <w:p w14:paraId="5D3813A4" w14:textId="6C8B689C"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10 / 317 (3.2)</w:t>
            </w:r>
          </w:p>
        </w:tc>
        <w:tc>
          <w:tcPr>
            <w:tcW w:w="539" w:type="pct"/>
            <w:shd w:val="clear" w:color="auto" w:fill="FFFFFF"/>
            <w:tcMar>
              <w:top w:w="0" w:type="dxa"/>
              <w:left w:w="0" w:type="dxa"/>
              <w:bottom w:w="0" w:type="dxa"/>
              <w:right w:w="0" w:type="dxa"/>
            </w:tcMar>
            <w:vAlign w:val="center"/>
          </w:tcPr>
          <w:p w14:paraId="196E6C25" w14:textId="608FBAC6"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67 / 1766 (3.8)</w:t>
            </w:r>
          </w:p>
        </w:tc>
      </w:tr>
      <w:tr w:rsidR="00236B40" w:rsidRPr="00007908" w14:paraId="72B88A85" w14:textId="77777777" w:rsidTr="00BB21F9">
        <w:trPr>
          <w:gridAfter w:val="1"/>
          <w:wAfter w:w="32" w:type="pct"/>
          <w:cantSplit/>
          <w:trHeight w:val="268"/>
        </w:trPr>
        <w:tc>
          <w:tcPr>
            <w:tcW w:w="1467" w:type="pct"/>
            <w:shd w:val="clear" w:color="auto" w:fill="FFFFFF"/>
            <w:tcMar>
              <w:top w:w="0" w:type="dxa"/>
              <w:left w:w="0" w:type="dxa"/>
              <w:bottom w:w="0" w:type="dxa"/>
              <w:right w:w="0" w:type="dxa"/>
            </w:tcMar>
            <w:vAlign w:val="center"/>
          </w:tcPr>
          <w:p w14:paraId="39000932"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Mixed</w:t>
            </w:r>
          </w:p>
        </w:tc>
        <w:tc>
          <w:tcPr>
            <w:tcW w:w="591" w:type="pct"/>
            <w:shd w:val="clear" w:color="auto" w:fill="FFFFFF"/>
            <w:tcMar>
              <w:top w:w="0" w:type="dxa"/>
              <w:left w:w="0" w:type="dxa"/>
              <w:bottom w:w="0" w:type="dxa"/>
              <w:right w:w="0" w:type="dxa"/>
            </w:tcMar>
            <w:vAlign w:val="center"/>
          </w:tcPr>
          <w:p w14:paraId="761E762B" w14:textId="146D9624"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13 / 724 (1.8)</w:t>
            </w:r>
          </w:p>
        </w:tc>
        <w:tc>
          <w:tcPr>
            <w:tcW w:w="591" w:type="pct"/>
            <w:shd w:val="clear" w:color="auto" w:fill="FFFFFF"/>
            <w:tcMar>
              <w:top w:w="0" w:type="dxa"/>
              <w:left w:w="0" w:type="dxa"/>
              <w:bottom w:w="0" w:type="dxa"/>
              <w:right w:w="0" w:type="dxa"/>
            </w:tcMar>
            <w:vAlign w:val="center"/>
          </w:tcPr>
          <w:p w14:paraId="09A84E7A" w14:textId="4B25A1CB"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 / 453 (0.2)</w:t>
            </w:r>
          </w:p>
        </w:tc>
        <w:tc>
          <w:tcPr>
            <w:tcW w:w="638" w:type="pct"/>
            <w:shd w:val="clear" w:color="auto" w:fill="FFFFFF"/>
            <w:vAlign w:val="center"/>
          </w:tcPr>
          <w:p w14:paraId="18D765BB" w14:textId="7DBCC3DB"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6 / 254 (2.4)</w:t>
            </w:r>
          </w:p>
        </w:tc>
        <w:tc>
          <w:tcPr>
            <w:tcW w:w="591" w:type="pct"/>
            <w:shd w:val="clear" w:color="auto" w:fill="FFFFFF"/>
            <w:vAlign w:val="center"/>
          </w:tcPr>
          <w:p w14:paraId="1A666E62" w14:textId="4DB2A3F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 / 18 (0.0)</w:t>
            </w:r>
          </w:p>
        </w:tc>
        <w:tc>
          <w:tcPr>
            <w:tcW w:w="552" w:type="pct"/>
            <w:shd w:val="clear" w:color="auto" w:fill="FFFFFF"/>
            <w:vAlign w:val="center"/>
          </w:tcPr>
          <w:p w14:paraId="4EE7E561" w14:textId="3B3923EE"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6 / 317 (1.9)</w:t>
            </w:r>
          </w:p>
        </w:tc>
        <w:tc>
          <w:tcPr>
            <w:tcW w:w="539" w:type="pct"/>
            <w:shd w:val="clear" w:color="auto" w:fill="FFFFFF"/>
            <w:tcMar>
              <w:top w:w="0" w:type="dxa"/>
              <w:left w:w="0" w:type="dxa"/>
              <w:bottom w:w="0" w:type="dxa"/>
              <w:right w:w="0" w:type="dxa"/>
            </w:tcMar>
            <w:vAlign w:val="center"/>
          </w:tcPr>
          <w:p w14:paraId="66A568F6" w14:textId="00F7FF08"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26 / 1766 (1.5)</w:t>
            </w:r>
          </w:p>
        </w:tc>
      </w:tr>
      <w:tr w:rsidR="00236B40" w:rsidRPr="00007908" w14:paraId="41011896" w14:textId="77777777" w:rsidTr="00BB21F9">
        <w:trPr>
          <w:gridAfter w:val="1"/>
          <w:wAfter w:w="32" w:type="pct"/>
          <w:cantSplit/>
          <w:trHeight w:val="268"/>
        </w:trPr>
        <w:tc>
          <w:tcPr>
            <w:tcW w:w="1467" w:type="pct"/>
            <w:shd w:val="clear" w:color="auto" w:fill="FFFFFF"/>
            <w:tcMar>
              <w:top w:w="0" w:type="dxa"/>
              <w:left w:w="0" w:type="dxa"/>
              <w:bottom w:w="0" w:type="dxa"/>
              <w:right w:w="0" w:type="dxa"/>
            </w:tcMar>
            <w:vAlign w:val="center"/>
          </w:tcPr>
          <w:p w14:paraId="2CA6F266"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Other</w:t>
            </w:r>
          </w:p>
        </w:tc>
        <w:tc>
          <w:tcPr>
            <w:tcW w:w="591" w:type="pct"/>
            <w:shd w:val="clear" w:color="auto" w:fill="FFFFFF"/>
            <w:tcMar>
              <w:top w:w="0" w:type="dxa"/>
              <w:left w:w="0" w:type="dxa"/>
              <w:bottom w:w="0" w:type="dxa"/>
              <w:right w:w="0" w:type="dxa"/>
            </w:tcMar>
            <w:vAlign w:val="center"/>
          </w:tcPr>
          <w:p w14:paraId="7DDE4E1F" w14:textId="59491ADD"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35 / 724 (4.8)</w:t>
            </w:r>
          </w:p>
        </w:tc>
        <w:tc>
          <w:tcPr>
            <w:tcW w:w="591" w:type="pct"/>
            <w:shd w:val="clear" w:color="auto" w:fill="FFFFFF"/>
            <w:tcMar>
              <w:top w:w="0" w:type="dxa"/>
              <w:left w:w="0" w:type="dxa"/>
              <w:bottom w:w="0" w:type="dxa"/>
              <w:right w:w="0" w:type="dxa"/>
            </w:tcMar>
            <w:vAlign w:val="center"/>
          </w:tcPr>
          <w:p w14:paraId="5467EE93" w14:textId="64986BD8"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22 / 453 (4.9)</w:t>
            </w:r>
          </w:p>
        </w:tc>
        <w:tc>
          <w:tcPr>
            <w:tcW w:w="638" w:type="pct"/>
            <w:shd w:val="clear" w:color="auto" w:fill="FFFFFF"/>
            <w:vAlign w:val="center"/>
          </w:tcPr>
          <w:p w14:paraId="32386C39" w14:textId="466E3C53"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16 / 254 (6.3)</w:t>
            </w:r>
          </w:p>
        </w:tc>
        <w:tc>
          <w:tcPr>
            <w:tcW w:w="591" w:type="pct"/>
            <w:shd w:val="clear" w:color="auto" w:fill="FFFFFF"/>
            <w:vAlign w:val="center"/>
          </w:tcPr>
          <w:p w14:paraId="399C92FC" w14:textId="0E0D037D"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 / 18 (5.6)</w:t>
            </w:r>
          </w:p>
        </w:tc>
        <w:tc>
          <w:tcPr>
            <w:tcW w:w="552" w:type="pct"/>
            <w:shd w:val="clear" w:color="auto" w:fill="FFFFFF"/>
            <w:vAlign w:val="center"/>
          </w:tcPr>
          <w:p w14:paraId="0AC3F351" w14:textId="1A2433A9"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14 / 317 (4.4)</w:t>
            </w:r>
          </w:p>
        </w:tc>
        <w:tc>
          <w:tcPr>
            <w:tcW w:w="539" w:type="pct"/>
            <w:shd w:val="clear" w:color="auto" w:fill="FFFFFF"/>
            <w:tcMar>
              <w:top w:w="0" w:type="dxa"/>
              <w:left w:w="0" w:type="dxa"/>
              <w:bottom w:w="0" w:type="dxa"/>
              <w:right w:w="0" w:type="dxa"/>
            </w:tcMar>
            <w:vAlign w:val="center"/>
          </w:tcPr>
          <w:p w14:paraId="46BFA3F0" w14:textId="171BAABF"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88 / 1766 (5.0)</w:t>
            </w:r>
          </w:p>
        </w:tc>
      </w:tr>
      <w:tr w:rsidR="00236B40" w:rsidRPr="00007908" w14:paraId="32629BF8" w14:textId="77777777" w:rsidTr="00BB21F9">
        <w:trPr>
          <w:gridAfter w:val="1"/>
          <w:wAfter w:w="32" w:type="pct"/>
          <w:cantSplit/>
          <w:trHeight w:val="536"/>
        </w:trPr>
        <w:tc>
          <w:tcPr>
            <w:tcW w:w="1467" w:type="pct"/>
            <w:shd w:val="clear" w:color="auto" w:fill="FFFFFF"/>
            <w:tcMar>
              <w:top w:w="0" w:type="dxa"/>
              <w:left w:w="0" w:type="dxa"/>
              <w:bottom w:w="0" w:type="dxa"/>
              <w:right w:w="0" w:type="dxa"/>
            </w:tcMar>
            <w:vAlign w:val="center"/>
          </w:tcPr>
          <w:p w14:paraId="621909A2"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Body-mass index </w:t>
            </w:r>
            <w:r w:rsidRPr="00007908">
              <w:rPr>
                <w:rFonts w:asciiTheme="minorHAnsi" w:hAnsiTheme="minorHAnsi" w:cstheme="majorHAnsi"/>
                <w:sz w:val="18"/>
                <w:szCs w:val="18"/>
                <w:vertAlign w:val="superscript"/>
                <w:lang w:val="en-US"/>
              </w:rPr>
              <w:t>b</w:t>
            </w:r>
            <w:r w:rsidRPr="00007908">
              <w:rPr>
                <w:rFonts w:asciiTheme="minorHAnsi" w:hAnsiTheme="minorHAnsi" w:cstheme="majorHAnsi"/>
                <w:sz w:val="18"/>
                <w:szCs w:val="18"/>
                <w:lang w:val="en-US"/>
              </w:rPr>
              <w:t xml:space="preserve"> - median (IQR), kg/m</w:t>
            </w:r>
            <w:r w:rsidRPr="00007908">
              <w:rPr>
                <w:rFonts w:asciiTheme="minorHAnsi" w:hAnsiTheme="minorHAnsi" w:cstheme="majorHAnsi"/>
                <w:sz w:val="18"/>
                <w:szCs w:val="18"/>
                <w:vertAlign w:val="superscript"/>
                <w:lang w:val="en-US"/>
              </w:rPr>
              <w:t>2</w:t>
            </w:r>
          </w:p>
        </w:tc>
        <w:tc>
          <w:tcPr>
            <w:tcW w:w="591" w:type="pct"/>
            <w:shd w:val="clear" w:color="auto" w:fill="FFFFFF"/>
            <w:tcMar>
              <w:top w:w="0" w:type="dxa"/>
              <w:left w:w="0" w:type="dxa"/>
              <w:bottom w:w="0" w:type="dxa"/>
              <w:right w:w="0" w:type="dxa"/>
            </w:tcMar>
            <w:vAlign w:val="center"/>
          </w:tcPr>
          <w:p w14:paraId="244B82E4"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30.4 (26.6 - 34.9)</w:t>
            </w:r>
          </w:p>
          <w:p w14:paraId="094229AF" w14:textId="7FE92C4E"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862)</w:t>
            </w:r>
          </w:p>
        </w:tc>
        <w:tc>
          <w:tcPr>
            <w:tcW w:w="591" w:type="pct"/>
            <w:shd w:val="clear" w:color="auto" w:fill="FFFFFF"/>
            <w:tcMar>
              <w:top w:w="0" w:type="dxa"/>
              <w:left w:w="0" w:type="dxa"/>
              <w:bottom w:w="0" w:type="dxa"/>
              <w:right w:w="0" w:type="dxa"/>
            </w:tcMar>
            <w:vAlign w:val="center"/>
          </w:tcPr>
          <w:p w14:paraId="2F55B77B"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31.2 (27.7 - 36.3)</w:t>
            </w:r>
          </w:p>
          <w:p w14:paraId="72D4A2B0" w14:textId="066CA900"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419)</w:t>
            </w:r>
          </w:p>
        </w:tc>
        <w:tc>
          <w:tcPr>
            <w:tcW w:w="638" w:type="pct"/>
            <w:shd w:val="clear" w:color="auto" w:fill="FFFFFF"/>
            <w:vAlign w:val="center"/>
          </w:tcPr>
          <w:p w14:paraId="119C2B23"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29.7 (26.3 - 35.3)</w:t>
            </w:r>
          </w:p>
          <w:p w14:paraId="514D3E59" w14:textId="2F2F91CB"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332)</w:t>
            </w:r>
          </w:p>
        </w:tc>
        <w:tc>
          <w:tcPr>
            <w:tcW w:w="591" w:type="pct"/>
            <w:shd w:val="clear" w:color="auto" w:fill="FFFFFF"/>
            <w:vAlign w:val="center"/>
          </w:tcPr>
          <w:p w14:paraId="4EF8D570"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30.1 (26.9 - 35.1)</w:t>
            </w:r>
          </w:p>
          <w:p w14:paraId="74B82C70" w14:textId="3B210879"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19)</w:t>
            </w:r>
          </w:p>
        </w:tc>
        <w:tc>
          <w:tcPr>
            <w:tcW w:w="552" w:type="pct"/>
            <w:shd w:val="clear" w:color="auto" w:fill="FFFFFF"/>
            <w:vAlign w:val="center"/>
          </w:tcPr>
          <w:p w14:paraId="79DE97D5"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30.9 (27.1 - 34.9)</w:t>
            </w:r>
          </w:p>
          <w:p w14:paraId="0E9034B7" w14:textId="6B73C47B"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385)</w:t>
            </w:r>
          </w:p>
        </w:tc>
        <w:tc>
          <w:tcPr>
            <w:tcW w:w="539" w:type="pct"/>
            <w:shd w:val="clear" w:color="auto" w:fill="FFFFFF"/>
            <w:tcMar>
              <w:top w:w="0" w:type="dxa"/>
              <w:left w:w="0" w:type="dxa"/>
              <w:bottom w:w="0" w:type="dxa"/>
              <w:right w:w="0" w:type="dxa"/>
            </w:tcMar>
            <w:vAlign w:val="center"/>
          </w:tcPr>
          <w:p w14:paraId="588DC377" w14:textId="05ECED8D"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30.5 (26.8 - 35.3)</w:t>
            </w:r>
          </w:p>
          <w:p w14:paraId="519092F5"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2017)</w:t>
            </w:r>
          </w:p>
        </w:tc>
      </w:tr>
      <w:tr w:rsidR="00236B40" w:rsidRPr="00007908" w14:paraId="7022BCC6" w14:textId="77777777" w:rsidTr="00BB21F9">
        <w:trPr>
          <w:gridAfter w:val="1"/>
          <w:wAfter w:w="32" w:type="pct"/>
          <w:cantSplit/>
          <w:trHeight w:val="536"/>
        </w:trPr>
        <w:tc>
          <w:tcPr>
            <w:tcW w:w="1467" w:type="pct"/>
            <w:shd w:val="clear" w:color="auto" w:fill="FFFFFF"/>
            <w:tcMar>
              <w:top w:w="0" w:type="dxa"/>
              <w:left w:w="0" w:type="dxa"/>
              <w:bottom w:w="0" w:type="dxa"/>
              <w:right w:w="0" w:type="dxa"/>
            </w:tcMar>
            <w:vAlign w:val="center"/>
          </w:tcPr>
          <w:p w14:paraId="0C064034"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APACHE II score </w:t>
            </w:r>
            <w:r w:rsidRPr="00007908">
              <w:rPr>
                <w:rFonts w:asciiTheme="minorHAnsi" w:hAnsiTheme="minorHAnsi" w:cstheme="majorHAnsi"/>
                <w:sz w:val="18"/>
                <w:szCs w:val="18"/>
                <w:vertAlign w:val="superscript"/>
                <w:lang w:val="en-US"/>
              </w:rPr>
              <w:t>c</w:t>
            </w:r>
            <w:r w:rsidRPr="00007908">
              <w:rPr>
                <w:rFonts w:asciiTheme="minorHAnsi" w:hAnsiTheme="minorHAnsi" w:cstheme="majorHAnsi"/>
                <w:sz w:val="18"/>
                <w:szCs w:val="18"/>
                <w:lang w:val="en-US"/>
              </w:rPr>
              <w:t xml:space="preserve"> - median (IQR)</w:t>
            </w:r>
          </w:p>
        </w:tc>
        <w:tc>
          <w:tcPr>
            <w:tcW w:w="591" w:type="pct"/>
            <w:shd w:val="clear" w:color="auto" w:fill="FFFFFF"/>
            <w:tcMar>
              <w:top w:w="0" w:type="dxa"/>
              <w:left w:w="0" w:type="dxa"/>
              <w:bottom w:w="0" w:type="dxa"/>
              <w:right w:w="0" w:type="dxa"/>
            </w:tcMar>
            <w:vAlign w:val="center"/>
          </w:tcPr>
          <w:p w14:paraId="7D4EDB2D"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13.0 (8.0 - 19.0)</w:t>
            </w:r>
          </w:p>
          <w:p w14:paraId="4129DA92" w14:textId="553B49A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934)</w:t>
            </w:r>
          </w:p>
        </w:tc>
        <w:tc>
          <w:tcPr>
            <w:tcW w:w="591" w:type="pct"/>
            <w:shd w:val="clear" w:color="auto" w:fill="FFFFFF"/>
            <w:tcMar>
              <w:top w:w="0" w:type="dxa"/>
              <w:left w:w="0" w:type="dxa"/>
              <w:bottom w:w="0" w:type="dxa"/>
              <w:right w:w="0" w:type="dxa"/>
            </w:tcMar>
            <w:vAlign w:val="center"/>
          </w:tcPr>
          <w:p w14:paraId="5E8572B1"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12.0 (7.0 - 20.0)</w:t>
            </w:r>
          </w:p>
          <w:p w14:paraId="53BAAAF8" w14:textId="408DE723"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475)</w:t>
            </w:r>
          </w:p>
        </w:tc>
        <w:tc>
          <w:tcPr>
            <w:tcW w:w="638" w:type="pct"/>
            <w:shd w:val="clear" w:color="auto" w:fill="FFFFFF"/>
            <w:vAlign w:val="center"/>
          </w:tcPr>
          <w:p w14:paraId="1EE906B4"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13.0 (8.0 - 19.0)</w:t>
            </w:r>
          </w:p>
          <w:p w14:paraId="4F600B25" w14:textId="6CB2EAD3"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365)</w:t>
            </w:r>
          </w:p>
        </w:tc>
        <w:tc>
          <w:tcPr>
            <w:tcW w:w="591" w:type="pct"/>
            <w:shd w:val="clear" w:color="auto" w:fill="FFFFFF"/>
            <w:vAlign w:val="center"/>
          </w:tcPr>
          <w:p w14:paraId="26E78CC7"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13.0 (7.0 - 21.5)</w:t>
            </w:r>
          </w:p>
          <w:p w14:paraId="1E039089" w14:textId="1C1065F8"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19)</w:t>
            </w:r>
          </w:p>
        </w:tc>
        <w:tc>
          <w:tcPr>
            <w:tcW w:w="552" w:type="pct"/>
            <w:shd w:val="clear" w:color="auto" w:fill="FFFFFF"/>
            <w:vAlign w:val="center"/>
          </w:tcPr>
          <w:p w14:paraId="5345977F"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12.0 (8.0 - 18.0)</w:t>
            </w:r>
          </w:p>
          <w:p w14:paraId="1DA2AF33" w14:textId="2FD1C3DF"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394)</w:t>
            </w:r>
          </w:p>
        </w:tc>
        <w:tc>
          <w:tcPr>
            <w:tcW w:w="539" w:type="pct"/>
            <w:shd w:val="clear" w:color="auto" w:fill="FFFFFF"/>
            <w:tcMar>
              <w:top w:w="0" w:type="dxa"/>
              <w:left w:w="0" w:type="dxa"/>
              <w:bottom w:w="0" w:type="dxa"/>
              <w:right w:w="0" w:type="dxa"/>
            </w:tcMar>
            <w:vAlign w:val="center"/>
          </w:tcPr>
          <w:p w14:paraId="09CC8AF3" w14:textId="61645823"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13.0 (8.0 - 19.0)</w:t>
            </w:r>
          </w:p>
          <w:p w14:paraId="06FB4214"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2187)</w:t>
            </w:r>
          </w:p>
        </w:tc>
      </w:tr>
      <w:tr w:rsidR="00236B40" w:rsidRPr="00007908" w14:paraId="59FC7D73" w14:textId="77777777" w:rsidTr="00BB21F9">
        <w:trPr>
          <w:gridAfter w:val="1"/>
          <w:wAfter w:w="32" w:type="pct"/>
          <w:cantSplit/>
          <w:trHeight w:val="268"/>
        </w:trPr>
        <w:tc>
          <w:tcPr>
            <w:tcW w:w="1467" w:type="pct"/>
            <w:shd w:val="clear" w:color="auto" w:fill="FFFFFF"/>
            <w:tcMar>
              <w:top w:w="0" w:type="dxa"/>
              <w:left w:w="0" w:type="dxa"/>
              <w:bottom w:w="0" w:type="dxa"/>
              <w:right w:w="0" w:type="dxa"/>
            </w:tcMar>
            <w:vAlign w:val="center"/>
          </w:tcPr>
          <w:p w14:paraId="7FB0EB04"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Confirmed SARS-CoV-2 infection </w:t>
            </w:r>
            <w:r w:rsidRPr="00007908">
              <w:rPr>
                <w:rFonts w:asciiTheme="minorHAnsi" w:hAnsiTheme="minorHAnsi" w:cstheme="majorHAnsi"/>
                <w:sz w:val="18"/>
                <w:szCs w:val="18"/>
                <w:vertAlign w:val="superscript"/>
                <w:lang w:val="en-US"/>
              </w:rPr>
              <w:t>d</w:t>
            </w:r>
            <w:r w:rsidRPr="00007908">
              <w:rPr>
                <w:rFonts w:asciiTheme="minorHAnsi" w:hAnsiTheme="minorHAnsi" w:cstheme="majorHAnsi"/>
                <w:sz w:val="18"/>
                <w:szCs w:val="18"/>
                <w:lang w:val="en-US"/>
              </w:rPr>
              <w:t xml:space="preserve"> - n / N (%)</w:t>
            </w:r>
          </w:p>
        </w:tc>
        <w:tc>
          <w:tcPr>
            <w:tcW w:w="591" w:type="pct"/>
            <w:shd w:val="clear" w:color="auto" w:fill="FFFFFF"/>
            <w:tcMar>
              <w:top w:w="0" w:type="dxa"/>
              <w:left w:w="0" w:type="dxa"/>
              <w:bottom w:w="0" w:type="dxa"/>
              <w:right w:w="0" w:type="dxa"/>
            </w:tcMar>
            <w:vAlign w:val="center"/>
          </w:tcPr>
          <w:p w14:paraId="283416C8" w14:textId="3C248CFF"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802 / 942 (85.1)</w:t>
            </w:r>
          </w:p>
        </w:tc>
        <w:tc>
          <w:tcPr>
            <w:tcW w:w="591" w:type="pct"/>
            <w:shd w:val="clear" w:color="auto" w:fill="FFFFFF"/>
            <w:tcMar>
              <w:top w:w="0" w:type="dxa"/>
              <w:left w:w="0" w:type="dxa"/>
              <w:bottom w:w="0" w:type="dxa"/>
              <w:right w:w="0" w:type="dxa"/>
            </w:tcMar>
            <w:vAlign w:val="center"/>
          </w:tcPr>
          <w:p w14:paraId="715AB0A6" w14:textId="6141EB6D"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429 / 484 (88.6)</w:t>
            </w:r>
          </w:p>
        </w:tc>
        <w:tc>
          <w:tcPr>
            <w:tcW w:w="638" w:type="pct"/>
            <w:shd w:val="clear" w:color="auto" w:fill="FFFFFF"/>
            <w:vAlign w:val="center"/>
          </w:tcPr>
          <w:p w14:paraId="3F37C0C6" w14:textId="38F197CE"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319 / 369 (86.4)</w:t>
            </w:r>
          </w:p>
        </w:tc>
        <w:tc>
          <w:tcPr>
            <w:tcW w:w="591" w:type="pct"/>
            <w:shd w:val="clear" w:color="auto" w:fill="FFFFFF"/>
            <w:vAlign w:val="center"/>
          </w:tcPr>
          <w:p w14:paraId="58EB3821" w14:textId="27598032"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15 / 19 (78.9)</w:t>
            </w:r>
          </w:p>
        </w:tc>
        <w:tc>
          <w:tcPr>
            <w:tcW w:w="552" w:type="pct"/>
            <w:shd w:val="clear" w:color="auto" w:fill="FFFFFF"/>
            <w:vAlign w:val="center"/>
          </w:tcPr>
          <w:p w14:paraId="66BD1F0D" w14:textId="1D540899"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348 / 406 (85.7)</w:t>
            </w:r>
          </w:p>
        </w:tc>
        <w:tc>
          <w:tcPr>
            <w:tcW w:w="539" w:type="pct"/>
            <w:shd w:val="clear" w:color="auto" w:fill="FFFFFF"/>
            <w:tcMar>
              <w:top w:w="0" w:type="dxa"/>
              <w:left w:w="0" w:type="dxa"/>
              <w:bottom w:w="0" w:type="dxa"/>
              <w:right w:w="0" w:type="dxa"/>
            </w:tcMar>
            <w:vAlign w:val="center"/>
          </w:tcPr>
          <w:p w14:paraId="52D53FC6" w14:textId="572810AF"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1913 / 2220 (86.2)</w:t>
            </w:r>
          </w:p>
        </w:tc>
      </w:tr>
      <w:tr w:rsidR="00236B40" w:rsidRPr="00007908" w14:paraId="0D1FF0BA" w14:textId="77777777" w:rsidTr="00BB21F9">
        <w:trPr>
          <w:gridAfter w:val="1"/>
          <w:wAfter w:w="32" w:type="pct"/>
          <w:cantSplit/>
          <w:trHeight w:val="268"/>
        </w:trPr>
        <w:tc>
          <w:tcPr>
            <w:tcW w:w="1467" w:type="pct"/>
            <w:shd w:val="clear" w:color="auto" w:fill="FFFFFF"/>
            <w:tcMar>
              <w:top w:w="0" w:type="dxa"/>
              <w:left w:w="0" w:type="dxa"/>
              <w:bottom w:w="0" w:type="dxa"/>
              <w:right w:w="0" w:type="dxa"/>
            </w:tcMar>
            <w:vAlign w:val="center"/>
          </w:tcPr>
          <w:p w14:paraId="46657B8B"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Preexisting condition - n / N (%)</w:t>
            </w:r>
          </w:p>
        </w:tc>
        <w:tc>
          <w:tcPr>
            <w:tcW w:w="591" w:type="pct"/>
            <w:shd w:val="clear" w:color="auto" w:fill="FFFFFF"/>
            <w:tcMar>
              <w:top w:w="0" w:type="dxa"/>
              <w:left w:w="0" w:type="dxa"/>
              <w:bottom w:w="0" w:type="dxa"/>
              <w:right w:w="0" w:type="dxa"/>
            </w:tcMar>
            <w:vAlign w:val="center"/>
          </w:tcPr>
          <w:p w14:paraId="6E9AA769" w14:textId="77777777" w:rsidR="00236B40" w:rsidRPr="00007908" w:rsidRDefault="00236B40" w:rsidP="00507544">
            <w:pPr>
              <w:jc w:val="center"/>
              <w:rPr>
                <w:rFonts w:asciiTheme="minorHAnsi" w:hAnsiTheme="minorHAnsi" w:cstheme="majorHAnsi"/>
                <w:sz w:val="18"/>
                <w:szCs w:val="18"/>
                <w:lang w:val="en-US"/>
              </w:rPr>
            </w:pPr>
          </w:p>
        </w:tc>
        <w:tc>
          <w:tcPr>
            <w:tcW w:w="591" w:type="pct"/>
            <w:shd w:val="clear" w:color="auto" w:fill="FFFFFF"/>
            <w:tcMar>
              <w:top w:w="0" w:type="dxa"/>
              <w:left w:w="0" w:type="dxa"/>
              <w:bottom w:w="0" w:type="dxa"/>
              <w:right w:w="0" w:type="dxa"/>
            </w:tcMar>
            <w:vAlign w:val="center"/>
          </w:tcPr>
          <w:p w14:paraId="3E154C60" w14:textId="77777777" w:rsidR="00236B40" w:rsidRPr="00007908" w:rsidRDefault="00236B40" w:rsidP="00507544">
            <w:pPr>
              <w:jc w:val="center"/>
              <w:rPr>
                <w:rFonts w:asciiTheme="minorHAnsi" w:hAnsiTheme="minorHAnsi" w:cstheme="majorHAnsi"/>
                <w:sz w:val="18"/>
                <w:szCs w:val="18"/>
                <w:lang w:val="en-US"/>
              </w:rPr>
            </w:pPr>
          </w:p>
        </w:tc>
        <w:tc>
          <w:tcPr>
            <w:tcW w:w="638" w:type="pct"/>
            <w:shd w:val="clear" w:color="auto" w:fill="FFFFFF"/>
            <w:vAlign w:val="center"/>
          </w:tcPr>
          <w:p w14:paraId="521FC1A3" w14:textId="77777777" w:rsidR="00236B40" w:rsidRPr="00007908" w:rsidRDefault="00236B40" w:rsidP="00507544">
            <w:pPr>
              <w:jc w:val="center"/>
              <w:rPr>
                <w:rFonts w:asciiTheme="minorHAnsi" w:hAnsiTheme="minorHAnsi" w:cstheme="majorHAnsi"/>
                <w:sz w:val="18"/>
                <w:szCs w:val="18"/>
                <w:lang w:val="en-US"/>
              </w:rPr>
            </w:pPr>
          </w:p>
        </w:tc>
        <w:tc>
          <w:tcPr>
            <w:tcW w:w="591" w:type="pct"/>
            <w:shd w:val="clear" w:color="auto" w:fill="FFFFFF"/>
            <w:vAlign w:val="center"/>
          </w:tcPr>
          <w:p w14:paraId="27545DFD" w14:textId="77777777" w:rsidR="00236B40" w:rsidRPr="00007908" w:rsidRDefault="00236B40" w:rsidP="00507544">
            <w:pPr>
              <w:jc w:val="center"/>
              <w:rPr>
                <w:rFonts w:asciiTheme="minorHAnsi" w:hAnsiTheme="minorHAnsi" w:cstheme="majorHAnsi"/>
                <w:sz w:val="18"/>
                <w:szCs w:val="18"/>
                <w:lang w:val="en-US"/>
              </w:rPr>
            </w:pPr>
          </w:p>
        </w:tc>
        <w:tc>
          <w:tcPr>
            <w:tcW w:w="552" w:type="pct"/>
            <w:shd w:val="clear" w:color="auto" w:fill="FFFFFF"/>
            <w:vAlign w:val="center"/>
          </w:tcPr>
          <w:p w14:paraId="10E52E0D" w14:textId="77777777" w:rsidR="00236B40" w:rsidRPr="00007908" w:rsidRDefault="00236B40" w:rsidP="00507544">
            <w:pPr>
              <w:jc w:val="center"/>
              <w:rPr>
                <w:rFonts w:asciiTheme="minorHAnsi" w:hAnsiTheme="minorHAnsi" w:cstheme="majorHAnsi"/>
                <w:sz w:val="18"/>
                <w:szCs w:val="18"/>
                <w:lang w:val="en-US"/>
              </w:rPr>
            </w:pPr>
          </w:p>
        </w:tc>
        <w:tc>
          <w:tcPr>
            <w:tcW w:w="539" w:type="pct"/>
            <w:shd w:val="clear" w:color="auto" w:fill="FFFFFF"/>
            <w:tcMar>
              <w:top w:w="0" w:type="dxa"/>
              <w:left w:w="0" w:type="dxa"/>
              <w:bottom w:w="0" w:type="dxa"/>
              <w:right w:w="0" w:type="dxa"/>
            </w:tcMar>
            <w:vAlign w:val="center"/>
          </w:tcPr>
          <w:p w14:paraId="6AA6693B" w14:textId="3AB804E6" w:rsidR="00236B40" w:rsidRPr="00007908" w:rsidRDefault="00236B40" w:rsidP="00507544">
            <w:pPr>
              <w:jc w:val="center"/>
              <w:rPr>
                <w:rFonts w:asciiTheme="minorHAnsi" w:hAnsiTheme="minorHAnsi" w:cstheme="majorHAnsi"/>
                <w:sz w:val="18"/>
                <w:szCs w:val="18"/>
                <w:lang w:val="en-US"/>
              </w:rPr>
            </w:pPr>
          </w:p>
        </w:tc>
      </w:tr>
      <w:tr w:rsidR="00236B40" w:rsidRPr="00007908" w14:paraId="22EB4C74" w14:textId="77777777" w:rsidTr="00BB21F9">
        <w:trPr>
          <w:gridAfter w:val="1"/>
          <w:wAfter w:w="32" w:type="pct"/>
          <w:cantSplit/>
          <w:trHeight w:val="268"/>
        </w:trPr>
        <w:tc>
          <w:tcPr>
            <w:tcW w:w="1467" w:type="pct"/>
            <w:shd w:val="clear" w:color="auto" w:fill="FFFFFF"/>
            <w:tcMar>
              <w:top w:w="0" w:type="dxa"/>
              <w:left w:w="0" w:type="dxa"/>
              <w:bottom w:w="0" w:type="dxa"/>
              <w:right w:w="0" w:type="dxa"/>
            </w:tcMar>
            <w:vAlign w:val="center"/>
          </w:tcPr>
          <w:p w14:paraId="1D62BF74"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Diabetes</w:t>
            </w:r>
          </w:p>
        </w:tc>
        <w:tc>
          <w:tcPr>
            <w:tcW w:w="591" w:type="pct"/>
            <w:shd w:val="clear" w:color="auto" w:fill="FFFFFF"/>
            <w:tcMar>
              <w:top w:w="0" w:type="dxa"/>
              <w:left w:w="0" w:type="dxa"/>
              <w:bottom w:w="0" w:type="dxa"/>
              <w:right w:w="0" w:type="dxa"/>
            </w:tcMar>
            <w:vAlign w:val="center"/>
          </w:tcPr>
          <w:p w14:paraId="671FB28B" w14:textId="2F97C725"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281 / 949 (29.6)</w:t>
            </w:r>
          </w:p>
        </w:tc>
        <w:tc>
          <w:tcPr>
            <w:tcW w:w="591" w:type="pct"/>
            <w:shd w:val="clear" w:color="auto" w:fill="FFFFFF"/>
            <w:tcMar>
              <w:top w:w="0" w:type="dxa"/>
              <w:left w:w="0" w:type="dxa"/>
              <w:bottom w:w="0" w:type="dxa"/>
              <w:right w:w="0" w:type="dxa"/>
            </w:tcMar>
            <w:vAlign w:val="center"/>
          </w:tcPr>
          <w:p w14:paraId="4611612D" w14:textId="6CBFAD22"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108 / 484 (22.3)</w:t>
            </w:r>
          </w:p>
        </w:tc>
        <w:tc>
          <w:tcPr>
            <w:tcW w:w="638" w:type="pct"/>
            <w:shd w:val="clear" w:color="auto" w:fill="FFFFFF"/>
            <w:vAlign w:val="center"/>
          </w:tcPr>
          <w:p w14:paraId="23C9DDA8" w14:textId="1061D143"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125 / 370 (33.8)</w:t>
            </w:r>
          </w:p>
        </w:tc>
        <w:tc>
          <w:tcPr>
            <w:tcW w:w="591" w:type="pct"/>
            <w:shd w:val="clear" w:color="auto" w:fill="FFFFFF"/>
            <w:vAlign w:val="center"/>
          </w:tcPr>
          <w:p w14:paraId="12493580" w14:textId="13A5BE00"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7 / 19 (36.8)</w:t>
            </w:r>
          </w:p>
        </w:tc>
        <w:tc>
          <w:tcPr>
            <w:tcW w:w="552" w:type="pct"/>
            <w:shd w:val="clear" w:color="auto" w:fill="FFFFFF"/>
            <w:vAlign w:val="center"/>
          </w:tcPr>
          <w:p w14:paraId="66CF1B19" w14:textId="3BDA8D1B"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152 / 406 (37.4)</w:t>
            </w:r>
          </w:p>
        </w:tc>
        <w:tc>
          <w:tcPr>
            <w:tcW w:w="539" w:type="pct"/>
            <w:shd w:val="clear" w:color="auto" w:fill="FFFFFF"/>
            <w:tcMar>
              <w:top w:w="0" w:type="dxa"/>
              <w:left w:w="0" w:type="dxa"/>
              <w:bottom w:w="0" w:type="dxa"/>
              <w:right w:w="0" w:type="dxa"/>
            </w:tcMar>
            <w:vAlign w:val="center"/>
          </w:tcPr>
          <w:p w14:paraId="1D961D35" w14:textId="73DB38B0"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673 / 2228 (30.2)</w:t>
            </w:r>
          </w:p>
        </w:tc>
      </w:tr>
      <w:tr w:rsidR="00236B40" w:rsidRPr="00007908" w14:paraId="53E6123B" w14:textId="77777777" w:rsidTr="00BB21F9">
        <w:trPr>
          <w:gridAfter w:val="1"/>
          <w:wAfter w:w="32" w:type="pct"/>
          <w:cantSplit/>
          <w:trHeight w:val="268"/>
        </w:trPr>
        <w:tc>
          <w:tcPr>
            <w:tcW w:w="1467" w:type="pct"/>
            <w:shd w:val="clear" w:color="auto" w:fill="FFFFFF"/>
            <w:tcMar>
              <w:top w:w="0" w:type="dxa"/>
              <w:left w:w="0" w:type="dxa"/>
              <w:bottom w:w="0" w:type="dxa"/>
              <w:right w:w="0" w:type="dxa"/>
            </w:tcMar>
            <w:vAlign w:val="center"/>
          </w:tcPr>
          <w:p w14:paraId="37E0BB95"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Respiratory disease</w:t>
            </w:r>
          </w:p>
        </w:tc>
        <w:tc>
          <w:tcPr>
            <w:tcW w:w="591" w:type="pct"/>
            <w:shd w:val="clear" w:color="auto" w:fill="FFFFFF"/>
            <w:tcMar>
              <w:top w:w="0" w:type="dxa"/>
              <w:left w:w="0" w:type="dxa"/>
              <w:bottom w:w="0" w:type="dxa"/>
              <w:right w:w="0" w:type="dxa"/>
            </w:tcMar>
            <w:vAlign w:val="center"/>
          </w:tcPr>
          <w:p w14:paraId="7DD8AB62" w14:textId="5876C47D"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218 / 949 (23.0)</w:t>
            </w:r>
          </w:p>
        </w:tc>
        <w:tc>
          <w:tcPr>
            <w:tcW w:w="591" w:type="pct"/>
            <w:shd w:val="clear" w:color="auto" w:fill="FFFFFF"/>
            <w:tcMar>
              <w:top w:w="0" w:type="dxa"/>
              <w:left w:w="0" w:type="dxa"/>
              <w:bottom w:w="0" w:type="dxa"/>
              <w:right w:w="0" w:type="dxa"/>
            </w:tcMar>
            <w:vAlign w:val="center"/>
          </w:tcPr>
          <w:p w14:paraId="7C33CEA7" w14:textId="5F5CDBFB"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117 / 484 (24.2)</w:t>
            </w:r>
          </w:p>
        </w:tc>
        <w:tc>
          <w:tcPr>
            <w:tcW w:w="638" w:type="pct"/>
            <w:shd w:val="clear" w:color="auto" w:fill="FFFFFF"/>
            <w:vAlign w:val="center"/>
          </w:tcPr>
          <w:p w14:paraId="6A8BC6D7" w14:textId="08700D98"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81 / 370 (21.9)</w:t>
            </w:r>
          </w:p>
        </w:tc>
        <w:tc>
          <w:tcPr>
            <w:tcW w:w="591" w:type="pct"/>
            <w:shd w:val="clear" w:color="auto" w:fill="FFFFFF"/>
            <w:vAlign w:val="center"/>
          </w:tcPr>
          <w:p w14:paraId="0F580EC9" w14:textId="4DC638CA"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3 / 19 (15.8)</w:t>
            </w:r>
          </w:p>
        </w:tc>
        <w:tc>
          <w:tcPr>
            <w:tcW w:w="552" w:type="pct"/>
            <w:shd w:val="clear" w:color="auto" w:fill="FFFFFF"/>
            <w:vAlign w:val="center"/>
          </w:tcPr>
          <w:p w14:paraId="2CAE6AC2" w14:textId="4A640F23"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100 / 406 (24.6)</w:t>
            </w:r>
          </w:p>
        </w:tc>
        <w:tc>
          <w:tcPr>
            <w:tcW w:w="539" w:type="pct"/>
            <w:shd w:val="clear" w:color="auto" w:fill="FFFFFF"/>
            <w:tcMar>
              <w:top w:w="0" w:type="dxa"/>
              <w:left w:w="0" w:type="dxa"/>
              <w:bottom w:w="0" w:type="dxa"/>
              <w:right w:w="0" w:type="dxa"/>
            </w:tcMar>
            <w:vAlign w:val="center"/>
          </w:tcPr>
          <w:p w14:paraId="403BDEFB" w14:textId="64FDB284"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519 / 2228 (23.3)</w:t>
            </w:r>
          </w:p>
        </w:tc>
      </w:tr>
      <w:tr w:rsidR="00236B40" w:rsidRPr="00007908" w14:paraId="7714D24F" w14:textId="77777777" w:rsidTr="00BB21F9">
        <w:trPr>
          <w:gridAfter w:val="1"/>
          <w:wAfter w:w="32" w:type="pct"/>
          <w:cantSplit/>
          <w:trHeight w:val="268"/>
        </w:trPr>
        <w:tc>
          <w:tcPr>
            <w:tcW w:w="1467" w:type="pct"/>
            <w:shd w:val="clear" w:color="auto" w:fill="FFFFFF"/>
            <w:tcMar>
              <w:top w:w="0" w:type="dxa"/>
              <w:left w:w="0" w:type="dxa"/>
              <w:bottom w:w="0" w:type="dxa"/>
              <w:right w:w="0" w:type="dxa"/>
            </w:tcMar>
            <w:vAlign w:val="center"/>
          </w:tcPr>
          <w:p w14:paraId="3C56537A"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Asthma/COPD</w:t>
            </w:r>
          </w:p>
        </w:tc>
        <w:tc>
          <w:tcPr>
            <w:tcW w:w="591" w:type="pct"/>
            <w:shd w:val="clear" w:color="auto" w:fill="FFFFFF"/>
            <w:tcMar>
              <w:top w:w="0" w:type="dxa"/>
              <w:left w:w="0" w:type="dxa"/>
              <w:bottom w:w="0" w:type="dxa"/>
              <w:right w:w="0" w:type="dxa"/>
            </w:tcMar>
            <w:vAlign w:val="center"/>
          </w:tcPr>
          <w:p w14:paraId="195D5F86" w14:textId="487D7C8B"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183 / 949 (19.3)</w:t>
            </w:r>
          </w:p>
        </w:tc>
        <w:tc>
          <w:tcPr>
            <w:tcW w:w="591" w:type="pct"/>
            <w:shd w:val="clear" w:color="auto" w:fill="FFFFFF"/>
            <w:tcMar>
              <w:top w:w="0" w:type="dxa"/>
              <w:left w:w="0" w:type="dxa"/>
              <w:bottom w:w="0" w:type="dxa"/>
              <w:right w:w="0" w:type="dxa"/>
            </w:tcMar>
            <w:vAlign w:val="center"/>
          </w:tcPr>
          <w:p w14:paraId="2E264576" w14:textId="111FAE33"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99 / 484 (20.5)</w:t>
            </w:r>
          </w:p>
        </w:tc>
        <w:tc>
          <w:tcPr>
            <w:tcW w:w="638" w:type="pct"/>
            <w:shd w:val="clear" w:color="auto" w:fill="FFFFFF"/>
            <w:vAlign w:val="center"/>
          </w:tcPr>
          <w:p w14:paraId="0D439909" w14:textId="076A9BDE"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67 / 370 (18.1)</w:t>
            </w:r>
          </w:p>
        </w:tc>
        <w:tc>
          <w:tcPr>
            <w:tcW w:w="591" w:type="pct"/>
            <w:shd w:val="clear" w:color="auto" w:fill="FFFFFF"/>
            <w:vAlign w:val="center"/>
          </w:tcPr>
          <w:p w14:paraId="7552A796" w14:textId="1FEA561D"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 / 19 (10.5)</w:t>
            </w:r>
          </w:p>
        </w:tc>
        <w:tc>
          <w:tcPr>
            <w:tcW w:w="552" w:type="pct"/>
            <w:shd w:val="clear" w:color="auto" w:fill="FFFFFF"/>
            <w:vAlign w:val="center"/>
          </w:tcPr>
          <w:p w14:paraId="21808BBF" w14:textId="7BA592BE"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89 / 406 (21.9)</w:t>
            </w:r>
          </w:p>
        </w:tc>
        <w:tc>
          <w:tcPr>
            <w:tcW w:w="539" w:type="pct"/>
            <w:shd w:val="clear" w:color="auto" w:fill="FFFFFF"/>
            <w:tcMar>
              <w:top w:w="0" w:type="dxa"/>
              <w:left w:w="0" w:type="dxa"/>
              <w:bottom w:w="0" w:type="dxa"/>
              <w:right w:w="0" w:type="dxa"/>
            </w:tcMar>
            <w:vAlign w:val="center"/>
          </w:tcPr>
          <w:p w14:paraId="7EF423F8" w14:textId="383AE63B"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440 / 2228 (19.7)</w:t>
            </w:r>
          </w:p>
        </w:tc>
      </w:tr>
      <w:tr w:rsidR="00236B40" w:rsidRPr="00007908" w14:paraId="6BEE2787" w14:textId="77777777" w:rsidTr="00BB21F9">
        <w:trPr>
          <w:gridAfter w:val="1"/>
          <w:wAfter w:w="32" w:type="pct"/>
          <w:cantSplit/>
          <w:trHeight w:val="268"/>
        </w:trPr>
        <w:tc>
          <w:tcPr>
            <w:tcW w:w="1467" w:type="pct"/>
            <w:shd w:val="clear" w:color="auto" w:fill="FFFFFF"/>
            <w:tcMar>
              <w:top w:w="0" w:type="dxa"/>
              <w:left w:w="0" w:type="dxa"/>
              <w:bottom w:w="0" w:type="dxa"/>
              <w:right w:w="0" w:type="dxa"/>
            </w:tcMar>
            <w:vAlign w:val="center"/>
          </w:tcPr>
          <w:p w14:paraId="74D50C38"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Other</w:t>
            </w:r>
          </w:p>
        </w:tc>
        <w:tc>
          <w:tcPr>
            <w:tcW w:w="591" w:type="pct"/>
            <w:shd w:val="clear" w:color="auto" w:fill="FFFFFF"/>
            <w:tcMar>
              <w:top w:w="0" w:type="dxa"/>
              <w:left w:w="0" w:type="dxa"/>
              <w:bottom w:w="0" w:type="dxa"/>
              <w:right w:w="0" w:type="dxa"/>
            </w:tcMar>
            <w:vAlign w:val="center"/>
          </w:tcPr>
          <w:p w14:paraId="15E7A35F" w14:textId="7BF64E6E"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40 / 949 (4.2)</w:t>
            </w:r>
          </w:p>
        </w:tc>
        <w:tc>
          <w:tcPr>
            <w:tcW w:w="591" w:type="pct"/>
            <w:shd w:val="clear" w:color="auto" w:fill="FFFFFF"/>
            <w:tcMar>
              <w:top w:w="0" w:type="dxa"/>
              <w:left w:w="0" w:type="dxa"/>
              <w:bottom w:w="0" w:type="dxa"/>
              <w:right w:w="0" w:type="dxa"/>
            </w:tcMar>
            <w:vAlign w:val="center"/>
          </w:tcPr>
          <w:p w14:paraId="727329E8" w14:textId="332BBF22"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26 / 484 (5.4)</w:t>
            </w:r>
          </w:p>
        </w:tc>
        <w:tc>
          <w:tcPr>
            <w:tcW w:w="638" w:type="pct"/>
            <w:shd w:val="clear" w:color="auto" w:fill="FFFFFF"/>
            <w:vAlign w:val="center"/>
          </w:tcPr>
          <w:p w14:paraId="471BA48A" w14:textId="305047DB"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17 / 370 (4.6)</w:t>
            </w:r>
          </w:p>
        </w:tc>
        <w:tc>
          <w:tcPr>
            <w:tcW w:w="591" w:type="pct"/>
            <w:shd w:val="clear" w:color="auto" w:fill="FFFFFF"/>
            <w:vAlign w:val="center"/>
          </w:tcPr>
          <w:p w14:paraId="0A841455" w14:textId="12E1617F"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 / 19 (10.5)</w:t>
            </w:r>
          </w:p>
        </w:tc>
        <w:tc>
          <w:tcPr>
            <w:tcW w:w="552" w:type="pct"/>
            <w:shd w:val="clear" w:color="auto" w:fill="FFFFFF"/>
            <w:vAlign w:val="center"/>
          </w:tcPr>
          <w:p w14:paraId="07EE1A2C" w14:textId="19FB8BD8"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17 / 406 (4.2)</w:t>
            </w:r>
          </w:p>
        </w:tc>
        <w:tc>
          <w:tcPr>
            <w:tcW w:w="539" w:type="pct"/>
            <w:shd w:val="clear" w:color="auto" w:fill="FFFFFF"/>
            <w:tcMar>
              <w:top w:w="0" w:type="dxa"/>
              <w:left w:w="0" w:type="dxa"/>
              <w:bottom w:w="0" w:type="dxa"/>
              <w:right w:w="0" w:type="dxa"/>
            </w:tcMar>
            <w:vAlign w:val="center"/>
          </w:tcPr>
          <w:p w14:paraId="080CBE53" w14:textId="662E7365"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102 / 2228 (4.6)</w:t>
            </w:r>
          </w:p>
        </w:tc>
      </w:tr>
      <w:tr w:rsidR="00236B40" w:rsidRPr="00007908" w14:paraId="4462E4D3" w14:textId="77777777" w:rsidTr="00BB21F9">
        <w:trPr>
          <w:gridAfter w:val="1"/>
          <w:wAfter w:w="32" w:type="pct"/>
          <w:cantSplit/>
          <w:trHeight w:val="268"/>
        </w:trPr>
        <w:tc>
          <w:tcPr>
            <w:tcW w:w="1467" w:type="pct"/>
            <w:shd w:val="clear" w:color="auto" w:fill="FFFFFF"/>
            <w:tcMar>
              <w:top w:w="0" w:type="dxa"/>
              <w:left w:w="0" w:type="dxa"/>
              <w:bottom w:w="0" w:type="dxa"/>
              <w:right w:w="0" w:type="dxa"/>
            </w:tcMar>
            <w:vAlign w:val="center"/>
          </w:tcPr>
          <w:p w14:paraId="2A6F5AC8"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Kidney disease</w:t>
            </w:r>
          </w:p>
        </w:tc>
        <w:tc>
          <w:tcPr>
            <w:tcW w:w="591" w:type="pct"/>
            <w:shd w:val="clear" w:color="auto" w:fill="FFFFFF"/>
            <w:tcMar>
              <w:top w:w="0" w:type="dxa"/>
              <w:left w:w="0" w:type="dxa"/>
              <w:bottom w:w="0" w:type="dxa"/>
              <w:right w:w="0" w:type="dxa"/>
            </w:tcMar>
            <w:vAlign w:val="center"/>
          </w:tcPr>
          <w:p w14:paraId="01B9CDD0" w14:textId="6B65FCCE"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66 / 866 (3.2)</w:t>
            </w:r>
          </w:p>
        </w:tc>
        <w:tc>
          <w:tcPr>
            <w:tcW w:w="591" w:type="pct"/>
            <w:shd w:val="clear" w:color="auto" w:fill="FFFFFF"/>
            <w:tcMar>
              <w:top w:w="0" w:type="dxa"/>
              <w:left w:w="0" w:type="dxa"/>
              <w:bottom w:w="0" w:type="dxa"/>
              <w:right w:w="0" w:type="dxa"/>
            </w:tcMar>
            <w:vAlign w:val="center"/>
          </w:tcPr>
          <w:p w14:paraId="50195797" w14:textId="42A069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30 / 446 (1.5)</w:t>
            </w:r>
          </w:p>
        </w:tc>
        <w:tc>
          <w:tcPr>
            <w:tcW w:w="638" w:type="pct"/>
            <w:shd w:val="clear" w:color="auto" w:fill="FFFFFF"/>
            <w:vAlign w:val="center"/>
          </w:tcPr>
          <w:p w14:paraId="77420A14" w14:textId="1EFAD32C"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22 / 340 (1.1)</w:t>
            </w:r>
          </w:p>
        </w:tc>
        <w:tc>
          <w:tcPr>
            <w:tcW w:w="591" w:type="pct"/>
            <w:shd w:val="clear" w:color="auto" w:fill="FFFFFF"/>
            <w:vAlign w:val="center"/>
          </w:tcPr>
          <w:p w14:paraId="3B89AA63" w14:textId="178409C4"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 / 17 (0.0)</w:t>
            </w:r>
          </w:p>
        </w:tc>
        <w:tc>
          <w:tcPr>
            <w:tcW w:w="552" w:type="pct"/>
            <w:shd w:val="clear" w:color="auto" w:fill="FFFFFF"/>
            <w:vAlign w:val="center"/>
          </w:tcPr>
          <w:p w14:paraId="37EE4376" w14:textId="6230AB05"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43 / 377 (2.1)</w:t>
            </w:r>
          </w:p>
        </w:tc>
        <w:tc>
          <w:tcPr>
            <w:tcW w:w="539" w:type="pct"/>
            <w:shd w:val="clear" w:color="auto" w:fill="FFFFFF"/>
            <w:tcMar>
              <w:top w:w="0" w:type="dxa"/>
              <w:left w:w="0" w:type="dxa"/>
              <w:bottom w:w="0" w:type="dxa"/>
              <w:right w:w="0" w:type="dxa"/>
            </w:tcMar>
            <w:vAlign w:val="center"/>
          </w:tcPr>
          <w:p w14:paraId="2B5A5B07" w14:textId="6E6F05F0"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162 / 2046 (7.9)</w:t>
            </w:r>
          </w:p>
        </w:tc>
      </w:tr>
      <w:tr w:rsidR="00236B40" w:rsidRPr="00007908" w14:paraId="1ACA0625" w14:textId="77777777" w:rsidTr="00BB21F9">
        <w:trPr>
          <w:gridAfter w:val="1"/>
          <w:wAfter w:w="32" w:type="pct"/>
          <w:cantSplit/>
          <w:trHeight w:val="268"/>
        </w:trPr>
        <w:tc>
          <w:tcPr>
            <w:tcW w:w="1467" w:type="pct"/>
            <w:shd w:val="clear" w:color="auto" w:fill="FFFFFF"/>
            <w:tcMar>
              <w:top w:w="0" w:type="dxa"/>
              <w:left w:w="0" w:type="dxa"/>
              <w:bottom w:w="0" w:type="dxa"/>
              <w:right w:w="0" w:type="dxa"/>
            </w:tcMar>
            <w:vAlign w:val="center"/>
          </w:tcPr>
          <w:p w14:paraId="20F13EDB"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Severe cardiovascular disease</w:t>
            </w:r>
          </w:p>
        </w:tc>
        <w:tc>
          <w:tcPr>
            <w:tcW w:w="591" w:type="pct"/>
            <w:shd w:val="clear" w:color="auto" w:fill="FFFFFF"/>
            <w:tcMar>
              <w:top w:w="0" w:type="dxa"/>
              <w:left w:w="0" w:type="dxa"/>
              <w:bottom w:w="0" w:type="dxa"/>
              <w:right w:w="0" w:type="dxa"/>
            </w:tcMar>
            <w:vAlign w:val="center"/>
          </w:tcPr>
          <w:p w14:paraId="7AB559B3" w14:textId="3F776252"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86 / 930 (9.2)</w:t>
            </w:r>
          </w:p>
        </w:tc>
        <w:tc>
          <w:tcPr>
            <w:tcW w:w="591" w:type="pct"/>
            <w:shd w:val="clear" w:color="auto" w:fill="FFFFFF"/>
            <w:tcMar>
              <w:top w:w="0" w:type="dxa"/>
              <w:left w:w="0" w:type="dxa"/>
              <w:bottom w:w="0" w:type="dxa"/>
              <w:right w:w="0" w:type="dxa"/>
            </w:tcMar>
            <w:vAlign w:val="center"/>
          </w:tcPr>
          <w:p w14:paraId="1A3F2529" w14:textId="6203AD84"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33 / 474 (7.0)</w:t>
            </w:r>
          </w:p>
        </w:tc>
        <w:tc>
          <w:tcPr>
            <w:tcW w:w="638" w:type="pct"/>
            <w:shd w:val="clear" w:color="auto" w:fill="FFFFFF"/>
            <w:vAlign w:val="center"/>
          </w:tcPr>
          <w:p w14:paraId="03815690" w14:textId="422496F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41 / 367 (11.2)</w:t>
            </w:r>
          </w:p>
        </w:tc>
        <w:tc>
          <w:tcPr>
            <w:tcW w:w="591" w:type="pct"/>
            <w:shd w:val="clear" w:color="auto" w:fill="FFFFFF"/>
            <w:vAlign w:val="center"/>
          </w:tcPr>
          <w:p w14:paraId="13E27C6D" w14:textId="10C05ECB"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 / 19 (5.3)</w:t>
            </w:r>
          </w:p>
        </w:tc>
        <w:tc>
          <w:tcPr>
            <w:tcW w:w="552" w:type="pct"/>
            <w:shd w:val="clear" w:color="auto" w:fill="FFFFFF"/>
            <w:vAlign w:val="center"/>
          </w:tcPr>
          <w:p w14:paraId="4B9FD86F" w14:textId="001DB896"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47 / 401 (11.7)</w:t>
            </w:r>
          </w:p>
        </w:tc>
        <w:tc>
          <w:tcPr>
            <w:tcW w:w="539" w:type="pct"/>
            <w:shd w:val="clear" w:color="auto" w:fill="FFFFFF"/>
            <w:tcMar>
              <w:top w:w="0" w:type="dxa"/>
              <w:left w:w="0" w:type="dxa"/>
              <w:bottom w:w="0" w:type="dxa"/>
              <w:right w:w="0" w:type="dxa"/>
            </w:tcMar>
            <w:vAlign w:val="center"/>
          </w:tcPr>
          <w:p w14:paraId="72CC1838" w14:textId="24D653D2"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208 / 2191 (9.5)</w:t>
            </w:r>
          </w:p>
        </w:tc>
      </w:tr>
      <w:tr w:rsidR="00236B40" w:rsidRPr="00007908" w14:paraId="3B6E32AA" w14:textId="77777777" w:rsidTr="00BB21F9">
        <w:trPr>
          <w:gridAfter w:val="1"/>
          <w:wAfter w:w="32" w:type="pct"/>
          <w:cantSplit/>
          <w:trHeight w:val="268"/>
        </w:trPr>
        <w:tc>
          <w:tcPr>
            <w:tcW w:w="1467" w:type="pct"/>
            <w:shd w:val="clear" w:color="auto" w:fill="FFFFFF"/>
            <w:tcMar>
              <w:top w:w="0" w:type="dxa"/>
              <w:left w:w="0" w:type="dxa"/>
              <w:bottom w:w="0" w:type="dxa"/>
              <w:right w:w="0" w:type="dxa"/>
            </w:tcMar>
            <w:vAlign w:val="center"/>
          </w:tcPr>
          <w:p w14:paraId="535A7F33"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Any immunosuppressive condition</w:t>
            </w:r>
          </w:p>
        </w:tc>
        <w:tc>
          <w:tcPr>
            <w:tcW w:w="591" w:type="pct"/>
            <w:shd w:val="clear" w:color="auto" w:fill="FFFFFF"/>
            <w:tcMar>
              <w:top w:w="0" w:type="dxa"/>
              <w:left w:w="0" w:type="dxa"/>
              <w:bottom w:w="0" w:type="dxa"/>
              <w:right w:w="0" w:type="dxa"/>
            </w:tcMar>
            <w:vAlign w:val="center"/>
          </w:tcPr>
          <w:p w14:paraId="7FAF7DB4" w14:textId="3F015C26"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25 / 948 (2.6)</w:t>
            </w:r>
          </w:p>
        </w:tc>
        <w:tc>
          <w:tcPr>
            <w:tcW w:w="591" w:type="pct"/>
            <w:shd w:val="clear" w:color="auto" w:fill="FFFFFF"/>
            <w:tcMar>
              <w:top w:w="0" w:type="dxa"/>
              <w:left w:w="0" w:type="dxa"/>
              <w:bottom w:w="0" w:type="dxa"/>
              <w:right w:w="0" w:type="dxa"/>
            </w:tcMar>
            <w:vAlign w:val="center"/>
          </w:tcPr>
          <w:p w14:paraId="0A7665AB" w14:textId="323905CE"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11 / 484 (2.3)</w:t>
            </w:r>
          </w:p>
        </w:tc>
        <w:tc>
          <w:tcPr>
            <w:tcW w:w="638" w:type="pct"/>
            <w:shd w:val="clear" w:color="auto" w:fill="FFFFFF"/>
            <w:vAlign w:val="center"/>
          </w:tcPr>
          <w:p w14:paraId="7B270D96" w14:textId="50A08E2C"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6 / 370 (1.6)</w:t>
            </w:r>
          </w:p>
        </w:tc>
        <w:tc>
          <w:tcPr>
            <w:tcW w:w="591" w:type="pct"/>
            <w:shd w:val="clear" w:color="auto" w:fill="FFFFFF"/>
            <w:vAlign w:val="center"/>
          </w:tcPr>
          <w:p w14:paraId="244123BD" w14:textId="3A7AFBC3"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 / 19 (0.0)</w:t>
            </w:r>
          </w:p>
        </w:tc>
        <w:tc>
          <w:tcPr>
            <w:tcW w:w="552" w:type="pct"/>
            <w:shd w:val="clear" w:color="auto" w:fill="FFFFFF"/>
            <w:vAlign w:val="center"/>
          </w:tcPr>
          <w:p w14:paraId="61FE4BD9" w14:textId="0F3EF6D6"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18 / 406 (4.4)</w:t>
            </w:r>
          </w:p>
        </w:tc>
        <w:tc>
          <w:tcPr>
            <w:tcW w:w="539" w:type="pct"/>
            <w:shd w:val="clear" w:color="auto" w:fill="FFFFFF"/>
            <w:tcMar>
              <w:top w:w="0" w:type="dxa"/>
              <w:left w:w="0" w:type="dxa"/>
              <w:bottom w:w="0" w:type="dxa"/>
              <w:right w:w="0" w:type="dxa"/>
            </w:tcMar>
            <w:vAlign w:val="center"/>
          </w:tcPr>
          <w:p w14:paraId="7204C108" w14:textId="2230A0CF"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60 / 2227 (2.7)</w:t>
            </w:r>
          </w:p>
        </w:tc>
      </w:tr>
      <w:tr w:rsidR="00236B40" w:rsidRPr="00007908" w14:paraId="55E230B4" w14:textId="77777777" w:rsidTr="00BB21F9">
        <w:trPr>
          <w:gridAfter w:val="1"/>
          <w:wAfter w:w="32" w:type="pct"/>
          <w:cantSplit/>
          <w:trHeight w:val="268"/>
        </w:trPr>
        <w:tc>
          <w:tcPr>
            <w:tcW w:w="1467" w:type="pct"/>
            <w:shd w:val="clear" w:color="auto" w:fill="FFFFFF"/>
            <w:tcMar>
              <w:top w:w="0" w:type="dxa"/>
              <w:left w:w="0" w:type="dxa"/>
              <w:bottom w:w="0" w:type="dxa"/>
              <w:right w:w="0" w:type="dxa"/>
            </w:tcMar>
            <w:vAlign w:val="center"/>
          </w:tcPr>
          <w:p w14:paraId="0D9A66D2"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Cancer</w:t>
            </w:r>
          </w:p>
        </w:tc>
        <w:tc>
          <w:tcPr>
            <w:tcW w:w="591" w:type="pct"/>
            <w:shd w:val="clear" w:color="auto" w:fill="FFFFFF"/>
            <w:tcMar>
              <w:top w:w="0" w:type="dxa"/>
              <w:left w:w="0" w:type="dxa"/>
              <w:bottom w:w="0" w:type="dxa"/>
              <w:right w:w="0" w:type="dxa"/>
            </w:tcMar>
            <w:vAlign w:val="center"/>
          </w:tcPr>
          <w:p w14:paraId="5164603E" w14:textId="1B193026"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7 / 948 (0.7)</w:t>
            </w:r>
          </w:p>
        </w:tc>
        <w:tc>
          <w:tcPr>
            <w:tcW w:w="591" w:type="pct"/>
            <w:shd w:val="clear" w:color="auto" w:fill="FFFFFF"/>
            <w:tcMar>
              <w:top w:w="0" w:type="dxa"/>
              <w:left w:w="0" w:type="dxa"/>
              <w:bottom w:w="0" w:type="dxa"/>
              <w:right w:w="0" w:type="dxa"/>
            </w:tcMar>
            <w:vAlign w:val="center"/>
          </w:tcPr>
          <w:p w14:paraId="12CCFA07" w14:textId="3058E025"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3 / 484 (0.6)</w:t>
            </w:r>
          </w:p>
        </w:tc>
        <w:tc>
          <w:tcPr>
            <w:tcW w:w="638" w:type="pct"/>
            <w:shd w:val="clear" w:color="auto" w:fill="FFFFFF"/>
            <w:vAlign w:val="center"/>
          </w:tcPr>
          <w:p w14:paraId="5CA0874D" w14:textId="5C9BCA13"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3 / 370 (0.8)</w:t>
            </w:r>
          </w:p>
        </w:tc>
        <w:tc>
          <w:tcPr>
            <w:tcW w:w="591" w:type="pct"/>
            <w:shd w:val="clear" w:color="auto" w:fill="FFFFFF"/>
            <w:vAlign w:val="center"/>
          </w:tcPr>
          <w:p w14:paraId="15738DFC" w14:textId="5FA4248D"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 / 19 (0.0)</w:t>
            </w:r>
          </w:p>
        </w:tc>
        <w:tc>
          <w:tcPr>
            <w:tcW w:w="552" w:type="pct"/>
            <w:shd w:val="clear" w:color="auto" w:fill="FFFFFF"/>
            <w:vAlign w:val="center"/>
          </w:tcPr>
          <w:p w14:paraId="5C5DE178" w14:textId="7D9026E3"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10 / 406 (2.5)</w:t>
            </w:r>
          </w:p>
        </w:tc>
        <w:tc>
          <w:tcPr>
            <w:tcW w:w="539" w:type="pct"/>
            <w:shd w:val="clear" w:color="auto" w:fill="FFFFFF"/>
            <w:tcMar>
              <w:top w:w="0" w:type="dxa"/>
              <w:left w:w="0" w:type="dxa"/>
              <w:bottom w:w="0" w:type="dxa"/>
              <w:right w:w="0" w:type="dxa"/>
            </w:tcMar>
            <w:vAlign w:val="center"/>
          </w:tcPr>
          <w:p w14:paraId="0D1ABD70" w14:textId="19FEA479"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23 / 2227 (1.0)</w:t>
            </w:r>
          </w:p>
        </w:tc>
      </w:tr>
      <w:tr w:rsidR="00236B40" w:rsidRPr="00007908" w14:paraId="6A1EB093" w14:textId="77777777" w:rsidTr="00BB21F9">
        <w:trPr>
          <w:gridAfter w:val="1"/>
          <w:wAfter w:w="32" w:type="pct"/>
          <w:cantSplit/>
          <w:trHeight w:val="268"/>
        </w:trPr>
        <w:tc>
          <w:tcPr>
            <w:tcW w:w="1467" w:type="pct"/>
            <w:shd w:val="clear" w:color="auto" w:fill="FFFFFF"/>
            <w:tcMar>
              <w:top w:w="0" w:type="dxa"/>
              <w:left w:w="0" w:type="dxa"/>
              <w:bottom w:w="0" w:type="dxa"/>
              <w:right w:w="0" w:type="dxa"/>
            </w:tcMar>
            <w:vAlign w:val="center"/>
          </w:tcPr>
          <w:p w14:paraId="61733A03"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Chronic immunosuppressive therapy</w:t>
            </w:r>
          </w:p>
        </w:tc>
        <w:tc>
          <w:tcPr>
            <w:tcW w:w="591" w:type="pct"/>
            <w:shd w:val="clear" w:color="auto" w:fill="FFFFFF"/>
            <w:tcMar>
              <w:top w:w="0" w:type="dxa"/>
              <w:left w:w="0" w:type="dxa"/>
              <w:bottom w:w="0" w:type="dxa"/>
              <w:right w:w="0" w:type="dxa"/>
            </w:tcMar>
            <w:vAlign w:val="center"/>
          </w:tcPr>
          <w:p w14:paraId="462704A5" w14:textId="371B1369"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10 / 949 (1.1)</w:t>
            </w:r>
          </w:p>
        </w:tc>
        <w:tc>
          <w:tcPr>
            <w:tcW w:w="591" w:type="pct"/>
            <w:shd w:val="clear" w:color="auto" w:fill="FFFFFF"/>
            <w:tcMar>
              <w:top w:w="0" w:type="dxa"/>
              <w:left w:w="0" w:type="dxa"/>
              <w:bottom w:w="0" w:type="dxa"/>
              <w:right w:w="0" w:type="dxa"/>
            </w:tcMar>
            <w:vAlign w:val="center"/>
          </w:tcPr>
          <w:p w14:paraId="61EA1ACF" w14:textId="24C462FC"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8 / 484 (1.7)</w:t>
            </w:r>
          </w:p>
        </w:tc>
        <w:tc>
          <w:tcPr>
            <w:tcW w:w="638" w:type="pct"/>
            <w:shd w:val="clear" w:color="auto" w:fill="FFFFFF"/>
            <w:vAlign w:val="center"/>
          </w:tcPr>
          <w:p w14:paraId="6D13747A" w14:textId="1D162E19"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4 / 370 (1.1)</w:t>
            </w:r>
          </w:p>
        </w:tc>
        <w:tc>
          <w:tcPr>
            <w:tcW w:w="591" w:type="pct"/>
            <w:shd w:val="clear" w:color="auto" w:fill="FFFFFF"/>
            <w:vAlign w:val="center"/>
          </w:tcPr>
          <w:p w14:paraId="1E686123" w14:textId="76F332AC"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 / 19 (0.0)</w:t>
            </w:r>
          </w:p>
        </w:tc>
        <w:tc>
          <w:tcPr>
            <w:tcW w:w="552" w:type="pct"/>
            <w:shd w:val="clear" w:color="auto" w:fill="FFFFFF"/>
            <w:vAlign w:val="center"/>
          </w:tcPr>
          <w:p w14:paraId="409E5182" w14:textId="1E30D50C"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7 / 406 (1.7)</w:t>
            </w:r>
          </w:p>
        </w:tc>
        <w:tc>
          <w:tcPr>
            <w:tcW w:w="539" w:type="pct"/>
            <w:shd w:val="clear" w:color="auto" w:fill="FFFFFF"/>
            <w:tcMar>
              <w:top w:w="0" w:type="dxa"/>
              <w:left w:w="0" w:type="dxa"/>
              <w:bottom w:w="0" w:type="dxa"/>
              <w:right w:w="0" w:type="dxa"/>
            </w:tcMar>
            <w:vAlign w:val="center"/>
          </w:tcPr>
          <w:p w14:paraId="25633616" w14:textId="4F55DD73"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29 / 2228 (1.3)</w:t>
            </w:r>
          </w:p>
        </w:tc>
      </w:tr>
      <w:tr w:rsidR="00236B40" w:rsidRPr="00007908" w14:paraId="120ACAB6" w14:textId="77777777" w:rsidTr="00BB21F9">
        <w:trPr>
          <w:gridAfter w:val="1"/>
          <w:wAfter w:w="32" w:type="pct"/>
          <w:cantSplit/>
          <w:trHeight w:val="268"/>
        </w:trPr>
        <w:tc>
          <w:tcPr>
            <w:tcW w:w="1467" w:type="pct"/>
            <w:shd w:val="clear" w:color="auto" w:fill="FFFFFF"/>
            <w:tcMar>
              <w:top w:w="0" w:type="dxa"/>
              <w:left w:w="0" w:type="dxa"/>
              <w:bottom w:w="0" w:type="dxa"/>
              <w:right w:w="0" w:type="dxa"/>
            </w:tcMar>
            <w:vAlign w:val="center"/>
          </w:tcPr>
          <w:p w14:paraId="3668D54A"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Other</w:t>
            </w:r>
          </w:p>
        </w:tc>
        <w:tc>
          <w:tcPr>
            <w:tcW w:w="591" w:type="pct"/>
            <w:shd w:val="clear" w:color="auto" w:fill="FFFFFF"/>
            <w:tcMar>
              <w:top w:w="0" w:type="dxa"/>
              <w:left w:w="0" w:type="dxa"/>
              <w:bottom w:w="0" w:type="dxa"/>
              <w:right w:w="0" w:type="dxa"/>
            </w:tcMar>
            <w:vAlign w:val="center"/>
          </w:tcPr>
          <w:p w14:paraId="06B7F2A7" w14:textId="6AEBD629"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13 / 948 (1.4)</w:t>
            </w:r>
          </w:p>
        </w:tc>
        <w:tc>
          <w:tcPr>
            <w:tcW w:w="591" w:type="pct"/>
            <w:shd w:val="clear" w:color="auto" w:fill="FFFFFF"/>
            <w:tcMar>
              <w:top w:w="0" w:type="dxa"/>
              <w:left w:w="0" w:type="dxa"/>
              <w:bottom w:w="0" w:type="dxa"/>
              <w:right w:w="0" w:type="dxa"/>
            </w:tcMar>
            <w:vAlign w:val="center"/>
          </w:tcPr>
          <w:p w14:paraId="59E4ACD6" w14:textId="7483CF76"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 / 484 (0.4)</w:t>
            </w:r>
          </w:p>
        </w:tc>
        <w:tc>
          <w:tcPr>
            <w:tcW w:w="638" w:type="pct"/>
            <w:shd w:val="clear" w:color="auto" w:fill="FFFFFF"/>
            <w:vAlign w:val="center"/>
          </w:tcPr>
          <w:p w14:paraId="34C7621D" w14:textId="7FBAE9B5"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3 / 370 (0.8)</w:t>
            </w:r>
          </w:p>
        </w:tc>
        <w:tc>
          <w:tcPr>
            <w:tcW w:w="591" w:type="pct"/>
            <w:shd w:val="clear" w:color="auto" w:fill="FFFFFF"/>
            <w:vAlign w:val="center"/>
          </w:tcPr>
          <w:p w14:paraId="600BBA3D" w14:textId="40A4D118"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 / 19 (0.0)</w:t>
            </w:r>
          </w:p>
        </w:tc>
        <w:tc>
          <w:tcPr>
            <w:tcW w:w="552" w:type="pct"/>
            <w:shd w:val="clear" w:color="auto" w:fill="FFFFFF"/>
            <w:vAlign w:val="center"/>
          </w:tcPr>
          <w:p w14:paraId="4FBA9585" w14:textId="5269FFB4"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5 / 406 (1.2)</w:t>
            </w:r>
          </w:p>
        </w:tc>
        <w:tc>
          <w:tcPr>
            <w:tcW w:w="539" w:type="pct"/>
            <w:shd w:val="clear" w:color="auto" w:fill="FFFFFF"/>
            <w:tcMar>
              <w:top w:w="0" w:type="dxa"/>
              <w:left w:w="0" w:type="dxa"/>
              <w:bottom w:w="0" w:type="dxa"/>
              <w:right w:w="0" w:type="dxa"/>
            </w:tcMar>
            <w:vAlign w:val="center"/>
          </w:tcPr>
          <w:p w14:paraId="3CF4AFD8" w14:textId="7E61BDF4"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23 / 2227 (1.0)</w:t>
            </w:r>
          </w:p>
        </w:tc>
      </w:tr>
      <w:tr w:rsidR="00236B40" w:rsidRPr="00007908" w14:paraId="3B7ECE74" w14:textId="77777777" w:rsidTr="00BB21F9">
        <w:trPr>
          <w:gridAfter w:val="1"/>
          <w:wAfter w:w="32" w:type="pct"/>
          <w:cantSplit/>
          <w:trHeight w:val="268"/>
        </w:trPr>
        <w:tc>
          <w:tcPr>
            <w:tcW w:w="1467" w:type="pct"/>
            <w:shd w:val="clear" w:color="auto" w:fill="FFFFFF"/>
            <w:tcMar>
              <w:top w:w="0" w:type="dxa"/>
              <w:left w:w="0" w:type="dxa"/>
              <w:bottom w:w="0" w:type="dxa"/>
              <w:right w:w="0" w:type="dxa"/>
            </w:tcMar>
            <w:vAlign w:val="center"/>
          </w:tcPr>
          <w:p w14:paraId="430F6868"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Liver cirrhosis / failure</w:t>
            </w:r>
          </w:p>
        </w:tc>
        <w:tc>
          <w:tcPr>
            <w:tcW w:w="591" w:type="pct"/>
            <w:shd w:val="clear" w:color="auto" w:fill="FFFFFF"/>
            <w:tcMar>
              <w:top w:w="0" w:type="dxa"/>
              <w:left w:w="0" w:type="dxa"/>
              <w:bottom w:w="0" w:type="dxa"/>
              <w:right w:w="0" w:type="dxa"/>
            </w:tcMar>
            <w:vAlign w:val="center"/>
          </w:tcPr>
          <w:p w14:paraId="4AF36A85" w14:textId="0DF667CE"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3 / 930 (0.3)</w:t>
            </w:r>
          </w:p>
        </w:tc>
        <w:tc>
          <w:tcPr>
            <w:tcW w:w="591" w:type="pct"/>
            <w:shd w:val="clear" w:color="auto" w:fill="FFFFFF"/>
            <w:tcMar>
              <w:top w:w="0" w:type="dxa"/>
              <w:left w:w="0" w:type="dxa"/>
              <w:bottom w:w="0" w:type="dxa"/>
              <w:right w:w="0" w:type="dxa"/>
            </w:tcMar>
            <w:vAlign w:val="center"/>
          </w:tcPr>
          <w:p w14:paraId="774A583D" w14:textId="40F8F465"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 / 474 (0.0)</w:t>
            </w:r>
          </w:p>
        </w:tc>
        <w:tc>
          <w:tcPr>
            <w:tcW w:w="638" w:type="pct"/>
            <w:shd w:val="clear" w:color="auto" w:fill="FFFFFF"/>
            <w:vAlign w:val="center"/>
          </w:tcPr>
          <w:p w14:paraId="7A2819E3" w14:textId="29C4A720"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 / 370 (0.3)</w:t>
            </w:r>
          </w:p>
        </w:tc>
        <w:tc>
          <w:tcPr>
            <w:tcW w:w="591" w:type="pct"/>
            <w:shd w:val="clear" w:color="auto" w:fill="FFFFFF"/>
            <w:vAlign w:val="center"/>
          </w:tcPr>
          <w:p w14:paraId="6F7611DF" w14:textId="784C47B2"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 / 19 (5.3)</w:t>
            </w:r>
          </w:p>
        </w:tc>
        <w:tc>
          <w:tcPr>
            <w:tcW w:w="552" w:type="pct"/>
            <w:shd w:val="clear" w:color="auto" w:fill="FFFFFF"/>
            <w:vAlign w:val="center"/>
          </w:tcPr>
          <w:p w14:paraId="587BF195" w14:textId="47838E22"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 / 401 (0.5)</w:t>
            </w:r>
          </w:p>
        </w:tc>
        <w:tc>
          <w:tcPr>
            <w:tcW w:w="539" w:type="pct"/>
            <w:shd w:val="clear" w:color="auto" w:fill="FFFFFF"/>
            <w:tcMar>
              <w:top w:w="0" w:type="dxa"/>
              <w:left w:w="0" w:type="dxa"/>
              <w:bottom w:w="0" w:type="dxa"/>
              <w:right w:w="0" w:type="dxa"/>
            </w:tcMar>
            <w:vAlign w:val="center"/>
          </w:tcPr>
          <w:p w14:paraId="1F989452" w14:textId="3E4ABFD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7 / 2191 (0.3)</w:t>
            </w:r>
          </w:p>
        </w:tc>
      </w:tr>
      <w:tr w:rsidR="00236B40" w:rsidRPr="00007908" w14:paraId="54E56042" w14:textId="77777777" w:rsidTr="00BB21F9">
        <w:trPr>
          <w:gridAfter w:val="1"/>
          <w:wAfter w:w="32" w:type="pct"/>
          <w:cantSplit/>
          <w:trHeight w:val="285"/>
        </w:trPr>
        <w:tc>
          <w:tcPr>
            <w:tcW w:w="1467" w:type="pct"/>
            <w:shd w:val="clear" w:color="auto" w:fill="FFFFFF"/>
            <w:tcMar>
              <w:top w:w="0" w:type="dxa"/>
              <w:left w:w="0" w:type="dxa"/>
              <w:bottom w:w="0" w:type="dxa"/>
              <w:right w:w="0" w:type="dxa"/>
            </w:tcMar>
            <w:vAlign w:val="center"/>
          </w:tcPr>
          <w:p w14:paraId="0AC3089E"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Time to enrollment - median (IQR)</w:t>
            </w:r>
          </w:p>
        </w:tc>
        <w:tc>
          <w:tcPr>
            <w:tcW w:w="591" w:type="pct"/>
            <w:shd w:val="clear" w:color="auto" w:fill="FFFFFF"/>
            <w:tcMar>
              <w:top w:w="0" w:type="dxa"/>
              <w:left w:w="0" w:type="dxa"/>
              <w:bottom w:w="0" w:type="dxa"/>
              <w:right w:w="0" w:type="dxa"/>
            </w:tcMar>
            <w:vAlign w:val="center"/>
          </w:tcPr>
          <w:p w14:paraId="4627459D" w14:textId="77777777" w:rsidR="00236B40" w:rsidRPr="00007908" w:rsidRDefault="00236B40" w:rsidP="00507544">
            <w:pPr>
              <w:jc w:val="center"/>
              <w:rPr>
                <w:rFonts w:asciiTheme="minorHAnsi" w:hAnsiTheme="minorHAnsi" w:cstheme="majorHAnsi"/>
                <w:sz w:val="18"/>
                <w:szCs w:val="18"/>
                <w:lang w:val="en-US"/>
              </w:rPr>
            </w:pPr>
          </w:p>
        </w:tc>
        <w:tc>
          <w:tcPr>
            <w:tcW w:w="591" w:type="pct"/>
            <w:shd w:val="clear" w:color="auto" w:fill="FFFFFF"/>
            <w:tcMar>
              <w:top w:w="0" w:type="dxa"/>
              <w:left w:w="0" w:type="dxa"/>
              <w:bottom w:w="0" w:type="dxa"/>
              <w:right w:w="0" w:type="dxa"/>
            </w:tcMar>
            <w:vAlign w:val="center"/>
          </w:tcPr>
          <w:p w14:paraId="6BA68428" w14:textId="77777777" w:rsidR="00236B40" w:rsidRPr="00007908" w:rsidRDefault="00236B40" w:rsidP="00507544">
            <w:pPr>
              <w:jc w:val="center"/>
              <w:rPr>
                <w:rFonts w:asciiTheme="minorHAnsi" w:hAnsiTheme="minorHAnsi" w:cstheme="majorHAnsi"/>
                <w:sz w:val="18"/>
                <w:szCs w:val="18"/>
                <w:lang w:val="en-US"/>
              </w:rPr>
            </w:pPr>
          </w:p>
        </w:tc>
        <w:tc>
          <w:tcPr>
            <w:tcW w:w="638" w:type="pct"/>
            <w:shd w:val="clear" w:color="auto" w:fill="FFFFFF"/>
            <w:vAlign w:val="center"/>
          </w:tcPr>
          <w:p w14:paraId="6E28D07D" w14:textId="77777777" w:rsidR="00236B40" w:rsidRPr="00007908" w:rsidRDefault="00236B40" w:rsidP="00507544">
            <w:pPr>
              <w:jc w:val="center"/>
              <w:rPr>
                <w:rFonts w:asciiTheme="minorHAnsi" w:hAnsiTheme="minorHAnsi" w:cstheme="majorHAnsi"/>
                <w:sz w:val="18"/>
                <w:szCs w:val="18"/>
                <w:lang w:val="en-US"/>
              </w:rPr>
            </w:pPr>
          </w:p>
        </w:tc>
        <w:tc>
          <w:tcPr>
            <w:tcW w:w="591" w:type="pct"/>
            <w:shd w:val="clear" w:color="auto" w:fill="FFFFFF"/>
            <w:vAlign w:val="center"/>
          </w:tcPr>
          <w:p w14:paraId="2ED34339" w14:textId="77777777" w:rsidR="00236B40" w:rsidRPr="00007908" w:rsidRDefault="00236B40" w:rsidP="00507544">
            <w:pPr>
              <w:jc w:val="center"/>
              <w:rPr>
                <w:rFonts w:asciiTheme="minorHAnsi" w:hAnsiTheme="minorHAnsi" w:cstheme="majorHAnsi"/>
                <w:sz w:val="18"/>
                <w:szCs w:val="18"/>
                <w:lang w:val="en-US"/>
              </w:rPr>
            </w:pPr>
          </w:p>
        </w:tc>
        <w:tc>
          <w:tcPr>
            <w:tcW w:w="552" w:type="pct"/>
            <w:shd w:val="clear" w:color="auto" w:fill="FFFFFF"/>
            <w:vAlign w:val="center"/>
          </w:tcPr>
          <w:p w14:paraId="78C7CF0E" w14:textId="77777777" w:rsidR="00236B40" w:rsidRPr="00007908" w:rsidRDefault="00236B40" w:rsidP="00507544">
            <w:pPr>
              <w:jc w:val="center"/>
              <w:rPr>
                <w:rFonts w:asciiTheme="minorHAnsi" w:hAnsiTheme="minorHAnsi" w:cstheme="majorHAnsi"/>
                <w:sz w:val="18"/>
                <w:szCs w:val="18"/>
                <w:lang w:val="en-US"/>
              </w:rPr>
            </w:pPr>
          </w:p>
        </w:tc>
        <w:tc>
          <w:tcPr>
            <w:tcW w:w="539" w:type="pct"/>
            <w:shd w:val="clear" w:color="auto" w:fill="FFFFFF"/>
            <w:tcMar>
              <w:top w:w="0" w:type="dxa"/>
              <w:left w:w="0" w:type="dxa"/>
              <w:bottom w:w="0" w:type="dxa"/>
              <w:right w:w="0" w:type="dxa"/>
            </w:tcMar>
            <w:vAlign w:val="center"/>
          </w:tcPr>
          <w:p w14:paraId="79C6A643" w14:textId="4164F522" w:rsidR="00236B40" w:rsidRPr="00007908" w:rsidRDefault="00236B40" w:rsidP="00507544">
            <w:pPr>
              <w:jc w:val="center"/>
              <w:rPr>
                <w:rFonts w:asciiTheme="minorHAnsi" w:hAnsiTheme="minorHAnsi" w:cstheme="majorHAnsi"/>
                <w:sz w:val="18"/>
                <w:szCs w:val="18"/>
                <w:lang w:val="en-US"/>
              </w:rPr>
            </w:pPr>
          </w:p>
        </w:tc>
      </w:tr>
      <w:tr w:rsidR="00236B40" w:rsidRPr="00007908" w14:paraId="6D3CE80B" w14:textId="77777777" w:rsidTr="00BB21F9">
        <w:trPr>
          <w:gridAfter w:val="1"/>
          <w:wAfter w:w="32" w:type="pct"/>
          <w:cantSplit/>
          <w:trHeight w:val="268"/>
        </w:trPr>
        <w:tc>
          <w:tcPr>
            <w:tcW w:w="1467" w:type="pct"/>
            <w:shd w:val="clear" w:color="auto" w:fill="FFFFFF"/>
            <w:tcMar>
              <w:top w:w="0" w:type="dxa"/>
              <w:left w:w="0" w:type="dxa"/>
              <w:bottom w:w="0" w:type="dxa"/>
              <w:right w:w="0" w:type="dxa"/>
            </w:tcMar>
            <w:vAlign w:val="center"/>
          </w:tcPr>
          <w:p w14:paraId="7EAAB0FE"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From hospital admission - days</w:t>
            </w:r>
          </w:p>
        </w:tc>
        <w:tc>
          <w:tcPr>
            <w:tcW w:w="591" w:type="pct"/>
            <w:shd w:val="clear" w:color="auto" w:fill="FFFFFF"/>
            <w:tcMar>
              <w:top w:w="0" w:type="dxa"/>
              <w:left w:w="0" w:type="dxa"/>
              <w:bottom w:w="0" w:type="dxa"/>
              <w:right w:w="0" w:type="dxa"/>
            </w:tcMar>
            <w:vAlign w:val="center"/>
          </w:tcPr>
          <w:p w14:paraId="5AA6A721" w14:textId="21676609"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1.4 (0.9 - 3.3)</w:t>
            </w:r>
          </w:p>
        </w:tc>
        <w:tc>
          <w:tcPr>
            <w:tcW w:w="591" w:type="pct"/>
            <w:shd w:val="clear" w:color="auto" w:fill="FFFFFF"/>
            <w:tcMar>
              <w:top w:w="0" w:type="dxa"/>
              <w:left w:w="0" w:type="dxa"/>
              <w:bottom w:w="0" w:type="dxa"/>
              <w:right w:w="0" w:type="dxa"/>
            </w:tcMar>
            <w:vAlign w:val="center"/>
          </w:tcPr>
          <w:p w14:paraId="46668C68" w14:textId="16C2302D"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1.6 (0.9 - 3.5)</w:t>
            </w:r>
          </w:p>
        </w:tc>
        <w:tc>
          <w:tcPr>
            <w:tcW w:w="638" w:type="pct"/>
            <w:shd w:val="clear" w:color="auto" w:fill="FFFFFF"/>
            <w:vAlign w:val="center"/>
          </w:tcPr>
          <w:p w14:paraId="67254F71" w14:textId="32BEFE13"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1.6 (0.9 - 3.8)</w:t>
            </w:r>
          </w:p>
        </w:tc>
        <w:tc>
          <w:tcPr>
            <w:tcW w:w="591" w:type="pct"/>
            <w:shd w:val="clear" w:color="auto" w:fill="FFFFFF"/>
            <w:vAlign w:val="center"/>
          </w:tcPr>
          <w:p w14:paraId="1D657DD7" w14:textId="6425DC91"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1.7 (0.9 - 3.6)</w:t>
            </w:r>
          </w:p>
        </w:tc>
        <w:tc>
          <w:tcPr>
            <w:tcW w:w="552" w:type="pct"/>
            <w:shd w:val="clear" w:color="auto" w:fill="FFFFFF"/>
            <w:vAlign w:val="center"/>
          </w:tcPr>
          <w:p w14:paraId="775A807D" w14:textId="1CF07DDA"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1.2 (0.8 - 2.8)</w:t>
            </w:r>
          </w:p>
        </w:tc>
        <w:tc>
          <w:tcPr>
            <w:tcW w:w="539" w:type="pct"/>
            <w:shd w:val="clear" w:color="auto" w:fill="FFFFFF"/>
            <w:tcMar>
              <w:top w:w="0" w:type="dxa"/>
              <w:left w:w="0" w:type="dxa"/>
              <w:bottom w:w="0" w:type="dxa"/>
              <w:right w:w="0" w:type="dxa"/>
            </w:tcMar>
            <w:vAlign w:val="center"/>
          </w:tcPr>
          <w:p w14:paraId="59996823" w14:textId="45E9D923"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1.4 (0.9 - 3.2)</w:t>
            </w:r>
          </w:p>
        </w:tc>
      </w:tr>
      <w:tr w:rsidR="00236B40" w:rsidRPr="00007908" w14:paraId="49DEC08F" w14:textId="77777777" w:rsidTr="00BB21F9">
        <w:trPr>
          <w:gridAfter w:val="1"/>
          <w:wAfter w:w="32" w:type="pct"/>
          <w:cantSplit/>
          <w:trHeight w:val="268"/>
        </w:trPr>
        <w:tc>
          <w:tcPr>
            <w:tcW w:w="1467" w:type="pct"/>
            <w:shd w:val="clear" w:color="auto" w:fill="FFFFFF"/>
            <w:tcMar>
              <w:top w:w="0" w:type="dxa"/>
              <w:left w:w="0" w:type="dxa"/>
              <w:bottom w:w="0" w:type="dxa"/>
              <w:right w:w="0" w:type="dxa"/>
            </w:tcMar>
            <w:vAlign w:val="center"/>
          </w:tcPr>
          <w:p w14:paraId="549EEC53"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From ICU admission - hours</w:t>
            </w:r>
          </w:p>
        </w:tc>
        <w:tc>
          <w:tcPr>
            <w:tcW w:w="591" w:type="pct"/>
            <w:shd w:val="clear" w:color="auto" w:fill="FFFFFF"/>
            <w:tcMar>
              <w:top w:w="0" w:type="dxa"/>
              <w:left w:w="0" w:type="dxa"/>
              <w:bottom w:w="0" w:type="dxa"/>
              <w:right w:w="0" w:type="dxa"/>
            </w:tcMar>
            <w:vAlign w:val="center"/>
          </w:tcPr>
          <w:p w14:paraId="0EABA265" w14:textId="1B8B9353"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13.4 (6.9 - 19.1)</w:t>
            </w:r>
          </w:p>
        </w:tc>
        <w:tc>
          <w:tcPr>
            <w:tcW w:w="591" w:type="pct"/>
            <w:shd w:val="clear" w:color="auto" w:fill="FFFFFF"/>
            <w:tcMar>
              <w:top w:w="0" w:type="dxa"/>
              <w:left w:w="0" w:type="dxa"/>
              <w:bottom w:w="0" w:type="dxa"/>
              <w:right w:w="0" w:type="dxa"/>
            </w:tcMar>
            <w:vAlign w:val="center"/>
          </w:tcPr>
          <w:p w14:paraId="6981B975" w14:textId="549F992A"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15.1 (7.8 - 19.9)</w:t>
            </w:r>
          </w:p>
        </w:tc>
        <w:tc>
          <w:tcPr>
            <w:tcW w:w="638" w:type="pct"/>
            <w:shd w:val="clear" w:color="auto" w:fill="FFFFFF"/>
            <w:vAlign w:val="center"/>
          </w:tcPr>
          <w:p w14:paraId="30B4A342" w14:textId="09C3BB13"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13.6 (7.3 - 19.7)</w:t>
            </w:r>
          </w:p>
        </w:tc>
        <w:tc>
          <w:tcPr>
            <w:tcW w:w="591" w:type="pct"/>
            <w:shd w:val="clear" w:color="auto" w:fill="FFFFFF"/>
            <w:vAlign w:val="center"/>
          </w:tcPr>
          <w:p w14:paraId="1CE7E815" w14:textId="34EC8113"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7.7 (5.3 - 17.3)</w:t>
            </w:r>
          </w:p>
        </w:tc>
        <w:tc>
          <w:tcPr>
            <w:tcW w:w="552" w:type="pct"/>
            <w:shd w:val="clear" w:color="auto" w:fill="FFFFFF"/>
            <w:vAlign w:val="center"/>
          </w:tcPr>
          <w:p w14:paraId="3071F993" w14:textId="5118E352"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14.0 (6.8 - 19.5)</w:t>
            </w:r>
          </w:p>
        </w:tc>
        <w:tc>
          <w:tcPr>
            <w:tcW w:w="539" w:type="pct"/>
            <w:shd w:val="clear" w:color="auto" w:fill="FFFFFF"/>
            <w:tcMar>
              <w:top w:w="0" w:type="dxa"/>
              <w:left w:w="0" w:type="dxa"/>
              <w:bottom w:w="0" w:type="dxa"/>
              <w:right w:w="0" w:type="dxa"/>
            </w:tcMar>
            <w:vAlign w:val="center"/>
          </w:tcPr>
          <w:p w14:paraId="07BF1D96" w14:textId="122645FA"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14.0 (7.0 - 19.5)</w:t>
            </w:r>
          </w:p>
        </w:tc>
      </w:tr>
      <w:tr w:rsidR="00236B40" w:rsidRPr="00007908" w14:paraId="048F1E04" w14:textId="77777777" w:rsidTr="00BB21F9">
        <w:trPr>
          <w:gridAfter w:val="1"/>
          <w:wAfter w:w="32" w:type="pct"/>
          <w:cantSplit/>
          <w:trHeight w:val="268"/>
        </w:trPr>
        <w:tc>
          <w:tcPr>
            <w:tcW w:w="1467" w:type="pct"/>
            <w:shd w:val="clear" w:color="auto" w:fill="FFFFFF"/>
            <w:tcMar>
              <w:top w:w="0" w:type="dxa"/>
              <w:left w:w="0" w:type="dxa"/>
              <w:bottom w:w="0" w:type="dxa"/>
              <w:right w:w="0" w:type="dxa"/>
            </w:tcMar>
            <w:vAlign w:val="center"/>
          </w:tcPr>
          <w:p w14:paraId="018E0937"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Acute respiratory support - n (%)</w:t>
            </w:r>
          </w:p>
        </w:tc>
        <w:tc>
          <w:tcPr>
            <w:tcW w:w="591" w:type="pct"/>
            <w:shd w:val="clear" w:color="auto" w:fill="FFFFFF"/>
            <w:tcMar>
              <w:top w:w="0" w:type="dxa"/>
              <w:left w:w="0" w:type="dxa"/>
              <w:bottom w:w="0" w:type="dxa"/>
              <w:right w:w="0" w:type="dxa"/>
            </w:tcMar>
            <w:vAlign w:val="center"/>
          </w:tcPr>
          <w:p w14:paraId="5B08A866" w14:textId="77777777" w:rsidR="00236B40" w:rsidRPr="00007908" w:rsidRDefault="00236B40" w:rsidP="00507544">
            <w:pPr>
              <w:jc w:val="center"/>
              <w:rPr>
                <w:rFonts w:asciiTheme="minorHAnsi" w:hAnsiTheme="minorHAnsi" w:cstheme="majorHAnsi"/>
                <w:sz w:val="18"/>
                <w:szCs w:val="18"/>
                <w:lang w:val="en-US"/>
              </w:rPr>
            </w:pPr>
          </w:p>
        </w:tc>
        <w:tc>
          <w:tcPr>
            <w:tcW w:w="591" w:type="pct"/>
            <w:shd w:val="clear" w:color="auto" w:fill="FFFFFF"/>
            <w:tcMar>
              <w:top w:w="0" w:type="dxa"/>
              <w:left w:w="0" w:type="dxa"/>
              <w:bottom w:w="0" w:type="dxa"/>
              <w:right w:w="0" w:type="dxa"/>
            </w:tcMar>
            <w:vAlign w:val="center"/>
          </w:tcPr>
          <w:p w14:paraId="763131DC" w14:textId="77777777" w:rsidR="00236B40" w:rsidRPr="00007908" w:rsidRDefault="00236B40" w:rsidP="00507544">
            <w:pPr>
              <w:jc w:val="center"/>
              <w:rPr>
                <w:rFonts w:asciiTheme="minorHAnsi" w:hAnsiTheme="minorHAnsi" w:cstheme="majorHAnsi"/>
                <w:sz w:val="18"/>
                <w:szCs w:val="18"/>
                <w:lang w:val="en-US"/>
              </w:rPr>
            </w:pPr>
          </w:p>
        </w:tc>
        <w:tc>
          <w:tcPr>
            <w:tcW w:w="638" w:type="pct"/>
            <w:shd w:val="clear" w:color="auto" w:fill="FFFFFF"/>
            <w:vAlign w:val="center"/>
          </w:tcPr>
          <w:p w14:paraId="5852B8D6" w14:textId="77777777" w:rsidR="00236B40" w:rsidRPr="00007908" w:rsidRDefault="00236B40" w:rsidP="00507544">
            <w:pPr>
              <w:jc w:val="center"/>
              <w:rPr>
                <w:rFonts w:asciiTheme="minorHAnsi" w:hAnsiTheme="minorHAnsi" w:cstheme="majorHAnsi"/>
                <w:sz w:val="18"/>
                <w:szCs w:val="18"/>
                <w:lang w:val="en-US"/>
              </w:rPr>
            </w:pPr>
          </w:p>
        </w:tc>
        <w:tc>
          <w:tcPr>
            <w:tcW w:w="591" w:type="pct"/>
            <w:shd w:val="clear" w:color="auto" w:fill="FFFFFF"/>
            <w:vAlign w:val="center"/>
          </w:tcPr>
          <w:p w14:paraId="7889C394" w14:textId="77777777" w:rsidR="00236B40" w:rsidRPr="00007908" w:rsidRDefault="00236B40" w:rsidP="00507544">
            <w:pPr>
              <w:jc w:val="center"/>
              <w:rPr>
                <w:rFonts w:asciiTheme="minorHAnsi" w:hAnsiTheme="minorHAnsi" w:cstheme="majorHAnsi"/>
                <w:sz w:val="18"/>
                <w:szCs w:val="18"/>
                <w:lang w:val="en-US"/>
              </w:rPr>
            </w:pPr>
          </w:p>
        </w:tc>
        <w:tc>
          <w:tcPr>
            <w:tcW w:w="552" w:type="pct"/>
            <w:shd w:val="clear" w:color="auto" w:fill="FFFFFF"/>
            <w:vAlign w:val="center"/>
          </w:tcPr>
          <w:p w14:paraId="19DDF5AC" w14:textId="77777777" w:rsidR="00236B40" w:rsidRPr="00007908" w:rsidRDefault="00236B40" w:rsidP="00507544">
            <w:pPr>
              <w:jc w:val="center"/>
              <w:rPr>
                <w:rFonts w:asciiTheme="minorHAnsi" w:hAnsiTheme="minorHAnsi" w:cstheme="majorHAnsi"/>
                <w:sz w:val="18"/>
                <w:szCs w:val="18"/>
                <w:lang w:val="en-US"/>
              </w:rPr>
            </w:pPr>
          </w:p>
        </w:tc>
        <w:tc>
          <w:tcPr>
            <w:tcW w:w="539" w:type="pct"/>
            <w:shd w:val="clear" w:color="auto" w:fill="FFFFFF"/>
            <w:tcMar>
              <w:top w:w="0" w:type="dxa"/>
              <w:left w:w="0" w:type="dxa"/>
              <w:bottom w:w="0" w:type="dxa"/>
              <w:right w:w="0" w:type="dxa"/>
            </w:tcMar>
            <w:vAlign w:val="center"/>
          </w:tcPr>
          <w:p w14:paraId="5820FCCD" w14:textId="694B92A2" w:rsidR="00236B40" w:rsidRPr="00007908" w:rsidRDefault="00236B40" w:rsidP="00507544">
            <w:pPr>
              <w:jc w:val="center"/>
              <w:rPr>
                <w:rFonts w:asciiTheme="minorHAnsi" w:hAnsiTheme="minorHAnsi" w:cstheme="majorHAnsi"/>
                <w:sz w:val="18"/>
                <w:szCs w:val="18"/>
                <w:lang w:val="en-US"/>
              </w:rPr>
            </w:pPr>
          </w:p>
        </w:tc>
      </w:tr>
      <w:tr w:rsidR="00236B40" w:rsidRPr="00007908" w14:paraId="246618BC" w14:textId="77777777" w:rsidTr="00BB21F9">
        <w:trPr>
          <w:gridAfter w:val="1"/>
          <w:wAfter w:w="32" w:type="pct"/>
          <w:cantSplit/>
          <w:trHeight w:val="268"/>
        </w:trPr>
        <w:tc>
          <w:tcPr>
            <w:tcW w:w="1467" w:type="pct"/>
            <w:shd w:val="clear" w:color="auto" w:fill="FFFFFF"/>
            <w:tcMar>
              <w:top w:w="0" w:type="dxa"/>
              <w:left w:w="0" w:type="dxa"/>
              <w:bottom w:w="0" w:type="dxa"/>
              <w:right w:w="0" w:type="dxa"/>
            </w:tcMar>
            <w:vAlign w:val="center"/>
          </w:tcPr>
          <w:p w14:paraId="017F3541"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None / supplemental oxygen only</w:t>
            </w:r>
          </w:p>
        </w:tc>
        <w:tc>
          <w:tcPr>
            <w:tcW w:w="591" w:type="pct"/>
            <w:shd w:val="clear" w:color="auto" w:fill="FFFFFF"/>
            <w:tcMar>
              <w:top w:w="0" w:type="dxa"/>
              <w:left w:w="0" w:type="dxa"/>
              <w:bottom w:w="0" w:type="dxa"/>
              <w:right w:w="0" w:type="dxa"/>
            </w:tcMar>
            <w:vAlign w:val="center"/>
          </w:tcPr>
          <w:p w14:paraId="6B66125A" w14:textId="70208014"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 (0.1)</w:t>
            </w:r>
          </w:p>
        </w:tc>
        <w:tc>
          <w:tcPr>
            <w:tcW w:w="591" w:type="pct"/>
            <w:shd w:val="clear" w:color="auto" w:fill="FFFFFF"/>
            <w:tcMar>
              <w:top w:w="0" w:type="dxa"/>
              <w:left w:w="0" w:type="dxa"/>
              <w:bottom w:w="0" w:type="dxa"/>
              <w:right w:w="0" w:type="dxa"/>
            </w:tcMar>
            <w:vAlign w:val="center"/>
          </w:tcPr>
          <w:p w14:paraId="45DAEC09" w14:textId="29DE78BA"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 (0.0)</w:t>
            </w:r>
          </w:p>
        </w:tc>
        <w:tc>
          <w:tcPr>
            <w:tcW w:w="638" w:type="pct"/>
            <w:shd w:val="clear" w:color="auto" w:fill="FFFFFF"/>
            <w:vAlign w:val="center"/>
          </w:tcPr>
          <w:p w14:paraId="7A9DF5B3" w14:textId="56CA3BFB"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 (0.3)</w:t>
            </w:r>
          </w:p>
        </w:tc>
        <w:tc>
          <w:tcPr>
            <w:tcW w:w="591" w:type="pct"/>
            <w:shd w:val="clear" w:color="auto" w:fill="FFFFFF"/>
            <w:vAlign w:val="center"/>
          </w:tcPr>
          <w:p w14:paraId="18E7CB77" w14:textId="276BDFCE"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 (0.0)</w:t>
            </w:r>
          </w:p>
        </w:tc>
        <w:tc>
          <w:tcPr>
            <w:tcW w:w="552" w:type="pct"/>
            <w:shd w:val="clear" w:color="auto" w:fill="FFFFFF"/>
            <w:vAlign w:val="center"/>
          </w:tcPr>
          <w:p w14:paraId="279851E9" w14:textId="42D5936F"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 (0.5)</w:t>
            </w:r>
          </w:p>
        </w:tc>
        <w:tc>
          <w:tcPr>
            <w:tcW w:w="539" w:type="pct"/>
            <w:shd w:val="clear" w:color="auto" w:fill="FFFFFF"/>
            <w:tcMar>
              <w:top w:w="0" w:type="dxa"/>
              <w:left w:w="0" w:type="dxa"/>
              <w:bottom w:w="0" w:type="dxa"/>
              <w:right w:w="0" w:type="dxa"/>
            </w:tcMar>
            <w:vAlign w:val="center"/>
          </w:tcPr>
          <w:p w14:paraId="0F755C64" w14:textId="64C1FD93"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4 (0.2)</w:t>
            </w:r>
          </w:p>
        </w:tc>
      </w:tr>
      <w:tr w:rsidR="00236B40" w:rsidRPr="00007908" w14:paraId="2F754345" w14:textId="77777777" w:rsidTr="00BB21F9">
        <w:trPr>
          <w:gridAfter w:val="1"/>
          <w:wAfter w:w="32" w:type="pct"/>
          <w:cantSplit/>
          <w:trHeight w:val="268"/>
        </w:trPr>
        <w:tc>
          <w:tcPr>
            <w:tcW w:w="1467" w:type="pct"/>
            <w:shd w:val="clear" w:color="auto" w:fill="FFFFFF"/>
            <w:tcMar>
              <w:top w:w="0" w:type="dxa"/>
              <w:left w:w="0" w:type="dxa"/>
              <w:bottom w:w="0" w:type="dxa"/>
              <w:right w:w="0" w:type="dxa"/>
            </w:tcMar>
            <w:vAlign w:val="center"/>
          </w:tcPr>
          <w:p w14:paraId="7BCFA4CF"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High-flow nasal cannula</w:t>
            </w:r>
          </w:p>
        </w:tc>
        <w:tc>
          <w:tcPr>
            <w:tcW w:w="591" w:type="pct"/>
            <w:shd w:val="clear" w:color="auto" w:fill="FFFFFF"/>
            <w:tcMar>
              <w:top w:w="0" w:type="dxa"/>
              <w:left w:w="0" w:type="dxa"/>
              <w:bottom w:w="0" w:type="dxa"/>
              <w:right w:w="0" w:type="dxa"/>
            </w:tcMar>
            <w:vAlign w:val="center"/>
          </w:tcPr>
          <w:p w14:paraId="5D75DE4F" w14:textId="7075B095"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226 (23.7)</w:t>
            </w:r>
          </w:p>
        </w:tc>
        <w:tc>
          <w:tcPr>
            <w:tcW w:w="591" w:type="pct"/>
            <w:shd w:val="clear" w:color="auto" w:fill="FFFFFF"/>
            <w:tcMar>
              <w:top w:w="0" w:type="dxa"/>
              <w:left w:w="0" w:type="dxa"/>
              <w:bottom w:w="0" w:type="dxa"/>
              <w:right w:w="0" w:type="dxa"/>
            </w:tcMar>
            <w:vAlign w:val="center"/>
          </w:tcPr>
          <w:p w14:paraId="0DDE65C1" w14:textId="6E0440A8"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96 (19.8)</w:t>
            </w:r>
          </w:p>
        </w:tc>
        <w:tc>
          <w:tcPr>
            <w:tcW w:w="638" w:type="pct"/>
            <w:shd w:val="clear" w:color="auto" w:fill="FFFFFF"/>
            <w:vAlign w:val="center"/>
          </w:tcPr>
          <w:p w14:paraId="27F2438E" w14:textId="3431690A"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101 (27.1)</w:t>
            </w:r>
          </w:p>
        </w:tc>
        <w:tc>
          <w:tcPr>
            <w:tcW w:w="591" w:type="pct"/>
            <w:shd w:val="clear" w:color="auto" w:fill="FFFFFF"/>
            <w:vAlign w:val="center"/>
          </w:tcPr>
          <w:p w14:paraId="14165908" w14:textId="66976FC9"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3 (15.8)</w:t>
            </w:r>
          </w:p>
        </w:tc>
        <w:tc>
          <w:tcPr>
            <w:tcW w:w="552" w:type="pct"/>
            <w:shd w:val="clear" w:color="auto" w:fill="FFFFFF"/>
            <w:vAlign w:val="center"/>
          </w:tcPr>
          <w:p w14:paraId="08A35A01" w14:textId="1685F094"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110 (27.1)</w:t>
            </w:r>
          </w:p>
        </w:tc>
        <w:tc>
          <w:tcPr>
            <w:tcW w:w="539" w:type="pct"/>
            <w:shd w:val="clear" w:color="auto" w:fill="FFFFFF"/>
            <w:tcMar>
              <w:top w:w="0" w:type="dxa"/>
              <w:left w:w="0" w:type="dxa"/>
              <w:bottom w:w="0" w:type="dxa"/>
              <w:right w:w="0" w:type="dxa"/>
            </w:tcMar>
            <w:vAlign w:val="center"/>
          </w:tcPr>
          <w:p w14:paraId="38625575" w14:textId="3FFAA7C0"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536 (24.0)</w:t>
            </w:r>
          </w:p>
        </w:tc>
      </w:tr>
      <w:tr w:rsidR="00236B40" w:rsidRPr="00007908" w14:paraId="37701960" w14:textId="77777777" w:rsidTr="00BB21F9">
        <w:trPr>
          <w:gridAfter w:val="1"/>
          <w:wAfter w:w="32" w:type="pct"/>
          <w:cantSplit/>
          <w:trHeight w:val="268"/>
        </w:trPr>
        <w:tc>
          <w:tcPr>
            <w:tcW w:w="1467" w:type="pct"/>
            <w:shd w:val="clear" w:color="auto" w:fill="FFFFFF"/>
            <w:tcMar>
              <w:top w:w="0" w:type="dxa"/>
              <w:left w:w="0" w:type="dxa"/>
              <w:bottom w:w="0" w:type="dxa"/>
              <w:right w:w="0" w:type="dxa"/>
            </w:tcMar>
            <w:vAlign w:val="center"/>
          </w:tcPr>
          <w:p w14:paraId="40A278C5"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Noninvasive ventilation only</w:t>
            </w:r>
          </w:p>
        </w:tc>
        <w:tc>
          <w:tcPr>
            <w:tcW w:w="591" w:type="pct"/>
            <w:shd w:val="clear" w:color="auto" w:fill="FFFFFF"/>
            <w:tcMar>
              <w:top w:w="0" w:type="dxa"/>
              <w:left w:w="0" w:type="dxa"/>
              <w:bottom w:w="0" w:type="dxa"/>
              <w:right w:w="0" w:type="dxa"/>
            </w:tcMar>
            <w:vAlign w:val="center"/>
          </w:tcPr>
          <w:p w14:paraId="7E4FFC1D" w14:textId="5AA852FA"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404 (42.4)</w:t>
            </w:r>
          </w:p>
        </w:tc>
        <w:tc>
          <w:tcPr>
            <w:tcW w:w="591" w:type="pct"/>
            <w:shd w:val="clear" w:color="auto" w:fill="FFFFFF"/>
            <w:tcMar>
              <w:top w:w="0" w:type="dxa"/>
              <w:left w:w="0" w:type="dxa"/>
              <w:bottom w:w="0" w:type="dxa"/>
              <w:right w:w="0" w:type="dxa"/>
            </w:tcMar>
            <w:vAlign w:val="center"/>
          </w:tcPr>
          <w:p w14:paraId="5D87DA2C" w14:textId="06841C50"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241 (49.7)</w:t>
            </w:r>
          </w:p>
        </w:tc>
        <w:tc>
          <w:tcPr>
            <w:tcW w:w="638" w:type="pct"/>
            <w:shd w:val="clear" w:color="auto" w:fill="FFFFFF"/>
            <w:vAlign w:val="center"/>
          </w:tcPr>
          <w:p w14:paraId="3FC9AAB8" w14:textId="153ED439"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133 (35.7)</w:t>
            </w:r>
          </w:p>
        </w:tc>
        <w:tc>
          <w:tcPr>
            <w:tcW w:w="591" w:type="pct"/>
            <w:shd w:val="clear" w:color="auto" w:fill="FFFFFF"/>
            <w:vAlign w:val="center"/>
          </w:tcPr>
          <w:p w14:paraId="36A71B6D" w14:textId="26605A29"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9 (47.4)</w:t>
            </w:r>
          </w:p>
        </w:tc>
        <w:tc>
          <w:tcPr>
            <w:tcW w:w="552" w:type="pct"/>
            <w:shd w:val="clear" w:color="auto" w:fill="FFFFFF"/>
            <w:vAlign w:val="center"/>
          </w:tcPr>
          <w:p w14:paraId="5D855700" w14:textId="2B6B1CC8"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171 (42.1)</w:t>
            </w:r>
          </w:p>
        </w:tc>
        <w:tc>
          <w:tcPr>
            <w:tcW w:w="539" w:type="pct"/>
            <w:shd w:val="clear" w:color="auto" w:fill="FFFFFF"/>
            <w:tcMar>
              <w:top w:w="0" w:type="dxa"/>
              <w:left w:w="0" w:type="dxa"/>
              <w:bottom w:w="0" w:type="dxa"/>
              <w:right w:w="0" w:type="dxa"/>
            </w:tcMar>
            <w:vAlign w:val="center"/>
          </w:tcPr>
          <w:p w14:paraId="43D4027C" w14:textId="07988FA5"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958 (42.9)</w:t>
            </w:r>
          </w:p>
        </w:tc>
      </w:tr>
      <w:tr w:rsidR="00236B40" w:rsidRPr="00007908" w14:paraId="7584EA46" w14:textId="77777777" w:rsidTr="00BB21F9">
        <w:trPr>
          <w:gridAfter w:val="1"/>
          <w:wAfter w:w="32" w:type="pct"/>
          <w:cantSplit/>
          <w:trHeight w:val="268"/>
        </w:trPr>
        <w:tc>
          <w:tcPr>
            <w:tcW w:w="1467" w:type="pct"/>
            <w:shd w:val="clear" w:color="auto" w:fill="FFFFFF"/>
            <w:tcMar>
              <w:top w:w="0" w:type="dxa"/>
              <w:left w:w="0" w:type="dxa"/>
              <w:bottom w:w="0" w:type="dxa"/>
              <w:right w:w="0" w:type="dxa"/>
            </w:tcMar>
            <w:vAlign w:val="center"/>
          </w:tcPr>
          <w:p w14:paraId="628A58E8"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lastRenderedPageBreak/>
              <w:t xml:space="preserve">   Invasive mechanical ventilation</w:t>
            </w:r>
          </w:p>
        </w:tc>
        <w:tc>
          <w:tcPr>
            <w:tcW w:w="591" w:type="pct"/>
            <w:shd w:val="clear" w:color="auto" w:fill="FFFFFF"/>
            <w:tcMar>
              <w:top w:w="0" w:type="dxa"/>
              <w:left w:w="0" w:type="dxa"/>
              <w:bottom w:w="0" w:type="dxa"/>
              <w:right w:w="0" w:type="dxa"/>
            </w:tcMar>
            <w:vAlign w:val="center"/>
          </w:tcPr>
          <w:p w14:paraId="37B38610" w14:textId="596FAD5C"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320 (33.6)</w:t>
            </w:r>
          </w:p>
        </w:tc>
        <w:tc>
          <w:tcPr>
            <w:tcW w:w="591" w:type="pct"/>
            <w:shd w:val="clear" w:color="auto" w:fill="FFFFFF"/>
            <w:tcMar>
              <w:top w:w="0" w:type="dxa"/>
              <w:left w:w="0" w:type="dxa"/>
              <w:bottom w:w="0" w:type="dxa"/>
              <w:right w:w="0" w:type="dxa"/>
            </w:tcMar>
            <w:vAlign w:val="center"/>
          </w:tcPr>
          <w:p w14:paraId="7D2ADFB6" w14:textId="2C5A93CA"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148 (30.5)</w:t>
            </w:r>
          </w:p>
        </w:tc>
        <w:tc>
          <w:tcPr>
            <w:tcW w:w="638" w:type="pct"/>
            <w:shd w:val="clear" w:color="auto" w:fill="FFFFFF"/>
            <w:vAlign w:val="center"/>
          </w:tcPr>
          <w:p w14:paraId="70D54964" w14:textId="29E47F68"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138 (37.0)</w:t>
            </w:r>
          </w:p>
        </w:tc>
        <w:tc>
          <w:tcPr>
            <w:tcW w:w="591" w:type="pct"/>
            <w:shd w:val="clear" w:color="auto" w:fill="FFFFFF"/>
            <w:vAlign w:val="center"/>
          </w:tcPr>
          <w:p w14:paraId="416D8055" w14:textId="3DF87626"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7 (36.8)</w:t>
            </w:r>
          </w:p>
        </w:tc>
        <w:tc>
          <w:tcPr>
            <w:tcW w:w="552" w:type="pct"/>
            <w:shd w:val="clear" w:color="auto" w:fill="FFFFFF"/>
            <w:vAlign w:val="center"/>
          </w:tcPr>
          <w:p w14:paraId="239A787F" w14:textId="473BF54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122 (30.0)</w:t>
            </w:r>
          </w:p>
        </w:tc>
        <w:tc>
          <w:tcPr>
            <w:tcW w:w="539" w:type="pct"/>
            <w:shd w:val="clear" w:color="auto" w:fill="FFFFFF"/>
            <w:tcMar>
              <w:top w:w="0" w:type="dxa"/>
              <w:left w:w="0" w:type="dxa"/>
              <w:bottom w:w="0" w:type="dxa"/>
              <w:right w:w="0" w:type="dxa"/>
            </w:tcMar>
            <w:vAlign w:val="center"/>
          </w:tcPr>
          <w:p w14:paraId="20E11239" w14:textId="4DF70949"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735 (32.9)</w:t>
            </w:r>
          </w:p>
        </w:tc>
      </w:tr>
      <w:tr w:rsidR="00236B40" w:rsidRPr="00007908" w14:paraId="7448D059" w14:textId="77777777" w:rsidTr="00BB21F9">
        <w:trPr>
          <w:gridAfter w:val="1"/>
          <w:wAfter w:w="32" w:type="pct"/>
          <w:cantSplit/>
          <w:trHeight w:val="268"/>
        </w:trPr>
        <w:tc>
          <w:tcPr>
            <w:tcW w:w="1467" w:type="pct"/>
            <w:shd w:val="clear" w:color="auto" w:fill="FFFFFF"/>
            <w:tcMar>
              <w:top w:w="0" w:type="dxa"/>
              <w:left w:w="0" w:type="dxa"/>
              <w:bottom w:w="0" w:type="dxa"/>
              <w:right w:w="0" w:type="dxa"/>
            </w:tcMar>
            <w:vAlign w:val="center"/>
          </w:tcPr>
          <w:p w14:paraId="071C69E8"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ECMO</w:t>
            </w:r>
          </w:p>
        </w:tc>
        <w:tc>
          <w:tcPr>
            <w:tcW w:w="591" w:type="pct"/>
            <w:shd w:val="clear" w:color="auto" w:fill="FFFFFF"/>
            <w:tcMar>
              <w:top w:w="0" w:type="dxa"/>
              <w:left w:w="0" w:type="dxa"/>
              <w:bottom w:w="0" w:type="dxa"/>
              <w:right w:w="0" w:type="dxa"/>
            </w:tcMar>
            <w:vAlign w:val="center"/>
          </w:tcPr>
          <w:p w14:paraId="6D8C48A5" w14:textId="7FD96093"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 (0.1)</w:t>
            </w:r>
          </w:p>
        </w:tc>
        <w:tc>
          <w:tcPr>
            <w:tcW w:w="591" w:type="pct"/>
            <w:shd w:val="clear" w:color="auto" w:fill="FFFFFF"/>
            <w:tcMar>
              <w:top w:w="0" w:type="dxa"/>
              <w:left w:w="0" w:type="dxa"/>
              <w:bottom w:w="0" w:type="dxa"/>
              <w:right w:w="0" w:type="dxa"/>
            </w:tcMar>
            <w:vAlign w:val="center"/>
          </w:tcPr>
          <w:p w14:paraId="39CBD8DA" w14:textId="515AE043"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 (0.0)</w:t>
            </w:r>
          </w:p>
        </w:tc>
        <w:tc>
          <w:tcPr>
            <w:tcW w:w="638" w:type="pct"/>
            <w:shd w:val="clear" w:color="auto" w:fill="FFFFFF"/>
            <w:vAlign w:val="center"/>
          </w:tcPr>
          <w:p w14:paraId="5C4B0739" w14:textId="265A43BB"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 (0.0)</w:t>
            </w:r>
          </w:p>
        </w:tc>
        <w:tc>
          <w:tcPr>
            <w:tcW w:w="591" w:type="pct"/>
            <w:shd w:val="clear" w:color="auto" w:fill="FFFFFF"/>
            <w:vAlign w:val="center"/>
          </w:tcPr>
          <w:p w14:paraId="4561025A" w14:textId="6FE52B28"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 (0.0)</w:t>
            </w:r>
          </w:p>
        </w:tc>
        <w:tc>
          <w:tcPr>
            <w:tcW w:w="552" w:type="pct"/>
            <w:shd w:val="clear" w:color="auto" w:fill="FFFFFF"/>
            <w:vAlign w:val="center"/>
          </w:tcPr>
          <w:p w14:paraId="36808F57" w14:textId="623D8FB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 (0.2)</w:t>
            </w:r>
          </w:p>
        </w:tc>
        <w:tc>
          <w:tcPr>
            <w:tcW w:w="539" w:type="pct"/>
            <w:shd w:val="clear" w:color="auto" w:fill="FFFFFF"/>
            <w:tcMar>
              <w:top w:w="0" w:type="dxa"/>
              <w:left w:w="0" w:type="dxa"/>
              <w:bottom w:w="0" w:type="dxa"/>
              <w:right w:w="0" w:type="dxa"/>
            </w:tcMar>
            <w:vAlign w:val="center"/>
          </w:tcPr>
          <w:p w14:paraId="35A41F12" w14:textId="4BAF1594"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 (0.1)</w:t>
            </w:r>
          </w:p>
        </w:tc>
      </w:tr>
      <w:tr w:rsidR="00236B40" w:rsidRPr="00007908" w14:paraId="0E54741C" w14:textId="77777777" w:rsidTr="00BB21F9">
        <w:trPr>
          <w:gridAfter w:val="1"/>
          <w:wAfter w:w="32" w:type="pct"/>
          <w:cantSplit/>
          <w:trHeight w:val="268"/>
        </w:trPr>
        <w:tc>
          <w:tcPr>
            <w:tcW w:w="1467" w:type="pct"/>
            <w:shd w:val="clear" w:color="auto" w:fill="FFFFFF"/>
            <w:tcMar>
              <w:top w:w="0" w:type="dxa"/>
              <w:left w:w="0" w:type="dxa"/>
              <w:bottom w:w="0" w:type="dxa"/>
              <w:right w:w="0" w:type="dxa"/>
            </w:tcMar>
            <w:vAlign w:val="center"/>
          </w:tcPr>
          <w:p w14:paraId="286DEC3B"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Vasopressor support - n (%)</w:t>
            </w:r>
          </w:p>
        </w:tc>
        <w:tc>
          <w:tcPr>
            <w:tcW w:w="591" w:type="pct"/>
            <w:shd w:val="clear" w:color="auto" w:fill="FFFFFF"/>
            <w:tcMar>
              <w:top w:w="0" w:type="dxa"/>
              <w:left w:w="0" w:type="dxa"/>
              <w:bottom w:w="0" w:type="dxa"/>
              <w:right w:w="0" w:type="dxa"/>
            </w:tcMar>
            <w:vAlign w:val="center"/>
          </w:tcPr>
          <w:p w14:paraId="21730301" w14:textId="45B58FA6"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179 (18.8)</w:t>
            </w:r>
          </w:p>
        </w:tc>
        <w:tc>
          <w:tcPr>
            <w:tcW w:w="591" w:type="pct"/>
            <w:shd w:val="clear" w:color="auto" w:fill="FFFFFF"/>
            <w:tcMar>
              <w:top w:w="0" w:type="dxa"/>
              <w:left w:w="0" w:type="dxa"/>
              <w:bottom w:w="0" w:type="dxa"/>
              <w:right w:w="0" w:type="dxa"/>
            </w:tcMar>
            <w:vAlign w:val="center"/>
          </w:tcPr>
          <w:p w14:paraId="5446FD93" w14:textId="61549F5B"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77 (15.9)</w:t>
            </w:r>
          </w:p>
        </w:tc>
        <w:tc>
          <w:tcPr>
            <w:tcW w:w="638" w:type="pct"/>
            <w:shd w:val="clear" w:color="auto" w:fill="FFFFFF"/>
            <w:vAlign w:val="center"/>
          </w:tcPr>
          <w:p w14:paraId="427AE3CB" w14:textId="06724DEA"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81 (21.7)</w:t>
            </w:r>
          </w:p>
        </w:tc>
        <w:tc>
          <w:tcPr>
            <w:tcW w:w="591" w:type="pct"/>
            <w:shd w:val="clear" w:color="auto" w:fill="FFFFFF"/>
            <w:vAlign w:val="center"/>
          </w:tcPr>
          <w:p w14:paraId="7F81B217" w14:textId="6A23B40A"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5 (26.3)</w:t>
            </w:r>
          </w:p>
        </w:tc>
        <w:tc>
          <w:tcPr>
            <w:tcW w:w="552" w:type="pct"/>
            <w:shd w:val="clear" w:color="auto" w:fill="FFFFFF"/>
            <w:vAlign w:val="center"/>
          </w:tcPr>
          <w:p w14:paraId="2FA6B181" w14:textId="6EBF4109"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79 (19.5)</w:t>
            </w:r>
          </w:p>
        </w:tc>
        <w:tc>
          <w:tcPr>
            <w:tcW w:w="539" w:type="pct"/>
            <w:shd w:val="clear" w:color="auto" w:fill="FFFFFF"/>
            <w:tcMar>
              <w:top w:w="0" w:type="dxa"/>
              <w:left w:w="0" w:type="dxa"/>
              <w:bottom w:w="0" w:type="dxa"/>
              <w:right w:w="0" w:type="dxa"/>
            </w:tcMar>
            <w:vAlign w:val="center"/>
          </w:tcPr>
          <w:p w14:paraId="2D9A2A45" w14:textId="0313FD2B"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421 (18.8)</w:t>
            </w:r>
          </w:p>
        </w:tc>
      </w:tr>
      <w:tr w:rsidR="00236B40" w:rsidRPr="00007908" w14:paraId="42912519" w14:textId="77777777" w:rsidTr="00BB21F9">
        <w:trPr>
          <w:gridAfter w:val="1"/>
          <w:wAfter w:w="32" w:type="pct"/>
          <w:cantSplit/>
          <w:trHeight w:val="536"/>
        </w:trPr>
        <w:tc>
          <w:tcPr>
            <w:tcW w:w="1467" w:type="pct"/>
            <w:shd w:val="clear" w:color="auto" w:fill="FFFFFF"/>
            <w:tcMar>
              <w:top w:w="0" w:type="dxa"/>
              <w:left w:w="0" w:type="dxa"/>
              <w:bottom w:w="0" w:type="dxa"/>
              <w:right w:w="0" w:type="dxa"/>
            </w:tcMar>
            <w:vAlign w:val="center"/>
          </w:tcPr>
          <w:p w14:paraId="58F6FDE2"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Acute kidney replacement therapy - n / N (%)</w:t>
            </w:r>
          </w:p>
        </w:tc>
        <w:tc>
          <w:tcPr>
            <w:tcW w:w="591" w:type="pct"/>
            <w:shd w:val="clear" w:color="auto" w:fill="FFFFFF"/>
            <w:tcMar>
              <w:top w:w="0" w:type="dxa"/>
              <w:left w:w="0" w:type="dxa"/>
              <w:bottom w:w="0" w:type="dxa"/>
              <w:right w:w="0" w:type="dxa"/>
            </w:tcMar>
            <w:vAlign w:val="center"/>
          </w:tcPr>
          <w:p w14:paraId="6195BD60" w14:textId="76BEE003"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3 / 948 (0.3)</w:t>
            </w:r>
          </w:p>
        </w:tc>
        <w:tc>
          <w:tcPr>
            <w:tcW w:w="591" w:type="pct"/>
            <w:shd w:val="clear" w:color="auto" w:fill="FFFFFF"/>
            <w:tcMar>
              <w:top w:w="0" w:type="dxa"/>
              <w:left w:w="0" w:type="dxa"/>
              <w:bottom w:w="0" w:type="dxa"/>
              <w:right w:w="0" w:type="dxa"/>
            </w:tcMar>
            <w:vAlign w:val="center"/>
          </w:tcPr>
          <w:p w14:paraId="488EEC02" w14:textId="13A4C103"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 / 483 (0.4)</w:t>
            </w:r>
          </w:p>
        </w:tc>
        <w:tc>
          <w:tcPr>
            <w:tcW w:w="638" w:type="pct"/>
            <w:shd w:val="clear" w:color="auto" w:fill="FFFFFF"/>
            <w:vAlign w:val="center"/>
          </w:tcPr>
          <w:p w14:paraId="2E00E44A" w14:textId="328D558D"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 / 370 (0.3)</w:t>
            </w:r>
          </w:p>
        </w:tc>
        <w:tc>
          <w:tcPr>
            <w:tcW w:w="591" w:type="pct"/>
            <w:shd w:val="clear" w:color="auto" w:fill="FFFFFF"/>
            <w:vAlign w:val="center"/>
          </w:tcPr>
          <w:p w14:paraId="7342C35F" w14:textId="7317C44E"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 / 19 (0.0)</w:t>
            </w:r>
          </w:p>
        </w:tc>
        <w:tc>
          <w:tcPr>
            <w:tcW w:w="552" w:type="pct"/>
            <w:shd w:val="clear" w:color="auto" w:fill="FFFFFF"/>
            <w:vAlign w:val="center"/>
          </w:tcPr>
          <w:p w14:paraId="423B281A" w14:textId="3A2EE324"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 / 406 (0.5)</w:t>
            </w:r>
          </w:p>
        </w:tc>
        <w:tc>
          <w:tcPr>
            <w:tcW w:w="539" w:type="pct"/>
            <w:shd w:val="clear" w:color="auto" w:fill="FFFFFF"/>
            <w:tcMar>
              <w:top w:w="0" w:type="dxa"/>
              <w:left w:w="0" w:type="dxa"/>
              <w:bottom w:w="0" w:type="dxa"/>
              <w:right w:w="0" w:type="dxa"/>
            </w:tcMar>
            <w:vAlign w:val="center"/>
          </w:tcPr>
          <w:p w14:paraId="634E0134" w14:textId="35C7603C"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8 / 2226 (0.4)</w:t>
            </w:r>
          </w:p>
        </w:tc>
      </w:tr>
      <w:tr w:rsidR="00236B40" w:rsidRPr="00007908" w14:paraId="36CD7F64" w14:textId="77777777" w:rsidTr="00BB21F9">
        <w:trPr>
          <w:gridAfter w:val="1"/>
          <w:wAfter w:w="32" w:type="pct"/>
          <w:cantSplit/>
          <w:trHeight w:val="536"/>
        </w:trPr>
        <w:tc>
          <w:tcPr>
            <w:tcW w:w="1467" w:type="pct"/>
            <w:shd w:val="clear" w:color="auto" w:fill="FFFFFF"/>
            <w:tcMar>
              <w:top w:w="0" w:type="dxa"/>
              <w:left w:w="0" w:type="dxa"/>
              <w:bottom w:w="0" w:type="dxa"/>
              <w:right w:w="0" w:type="dxa"/>
            </w:tcMar>
            <w:vAlign w:val="center"/>
          </w:tcPr>
          <w:p w14:paraId="5548F790"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PaO</w:t>
            </w:r>
            <w:r w:rsidRPr="00007908">
              <w:rPr>
                <w:rFonts w:asciiTheme="minorHAnsi" w:hAnsiTheme="minorHAnsi" w:cstheme="majorHAnsi"/>
                <w:sz w:val="18"/>
                <w:szCs w:val="18"/>
                <w:vertAlign w:val="subscript"/>
                <w:lang w:val="en-US"/>
              </w:rPr>
              <w:t>2</w:t>
            </w:r>
            <w:r w:rsidRPr="00007908">
              <w:rPr>
                <w:rFonts w:asciiTheme="minorHAnsi" w:hAnsiTheme="minorHAnsi" w:cstheme="majorHAnsi"/>
                <w:sz w:val="18"/>
                <w:szCs w:val="18"/>
                <w:lang w:val="en-US"/>
              </w:rPr>
              <w:t xml:space="preserve"> / FiO</w:t>
            </w:r>
            <w:r w:rsidRPr="00007908">
              <w:rPr>
                <w:rFonts w:asciiTheme="minorHAnsi" w:hAnsiTheme="minorHAnsi" w:cstheme="majorHAnsi"/>
                <w:sz w:val="18"/>
                <w:szCs w:val="18"/>
                <w:vertAlign w:val="subscript"/>
                <w:lang w:val="en-US"/>
              </w:rPr>
              <w:t>2</w:t>
            </w:r>
            <w:r w:rsidRPr="00007908">
              <w:rPr>
                <w:rFonts w:asciiTheme="minorHAnsi" w:hAnsiTheme="minorHAnsi" w:cstheme="majorHAnsi"/>
                <w:sz w:val="18"/>
                <w:szCs w:val="18"/>
                <w:lang w:val="en-US"/>
              </w:rPr>
              <w:t xml:space="preserve"> - median (IQR)</w:t>
            </w:r>
          </w:p>
        </w:tc>
        <w:tc>
          <w:tcPr>
            <w:tcW w:w="591" w:type="pct"/>
            <w:shd w:val="clear" w:color="auto" w:fill="FFFFFF"/>
            <w:tcMar>
              <w:top w:w="0" w:type="dxa"/>
              <w:left w:w="0" w:type="dxa"/>
              <w:bottom w:w="0" w:type="dxa"/>
              <w:right w:w="0" w:type="dxa"/>
            </w:tcMar>
            <w:vAlign w:val="center"/>
          </w:tcPr>
          <w:p w14:paraId="71D2EC7A"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110 (86 - 148)</w:t>
            </w:r>
          </w:p>
          <w:p w14:paraId="1F853EF8" w14:textId="43C7062C"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872)</w:t>
            </w:r>
          </w:p>
        </w:tc>
        <w:tc>
          <w:tcPr>
            <w:tcW w:w="591" w:type="pct"/>
            <w:shd w:val="clear" w:color="auto" w:fill="FFFFFF"/>
            <w:tcMar>
              <w:top w:w="0" w:type="dxa"/>
              <w:left w:w="0" w:type="dxa"/>
              <w:bottom w:w="0" w:type="dxa"/>
              <w:right w:w="0" w:type="dxa"/>
            </w:tcMar>
            <w:vAlign w:val="center"/>
          </w:tcPr>
          <w:p w14:paraId="45449795"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116 (89 - 152)</w:t>
            </w:r>
          </w:p>
          <w:p w14:paraId="44C4DA73" w14:textId="7378018C"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430)</w:t>
            </w:r>
          </w:p>
        </w:tc>
        <w:tc>
          <w:tcPr>
            <w:tcW w:w="638" w:type="pct"/>
            <w:shd w:val="clear" w:color="auto" w:fill="FFFFFF"/>
            <w:vAlign w:val="center"/>
          </w:tcPr>
          <w:p w14:paraId="5DE05091"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106 (84 - 148)</w:t>
            </w:r>
          </w:p>
          <w:p w14:paraId="677D3560" w14:textId="017FBC7F"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330)</w:t>
            </w:r>
          </w:p>
        </w:tc>
        <w:tc>
          <w:tcPr>
            <w:tcW w:w="591" w:type="pct"/>
            <w:shd w:val="clear" w:color="auto" w:fill="FFFFFF"/>
            <w:vAlign w:val="center"/>
          </w:tcPr>
          <w:p w14:paraId="1C6F043E"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110 (101 - 127)</w:t>
            </w:r>
          </w:p>
          <w:p w14:paraId="3FFF3221" w14:textId="6A02898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19)</w:t>
            </w:r>
          </w:p>
        </w:tc>
        <w:tc>
          <w:tcPr>
            <w:tcW w:w="552" w:type="pct"/>
            <w:shd w:val="clear" w:color="auto" w:fill="FFFFFF"/>
            <w:vAlign w:val="center"/>
          </w:tcPr>
          <w:p w14:paraId="33CCB312"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118 (89 - 169.5)</w:t>
            </w:r>
          </w:p>
          <w:p w14:paraId="72D4BDEE" w14:textId="4EFE8EF5"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359)</w:t>
            </w:r>
          </w:p>
        </w:tc>
        <w:tc>
          <w:tcPr>
            <w:tcW w:w="539" w:type="pct"/>
            <w:shd w:val="clear" w:color="auto" w:fill="FFFFFF"/>
            <w:tcMar>
              <w:top w:w="0" w:type="dxa"/>
              <w:left w:w="0" w:type="dxa"/>
              <w:bottom w:w="0" w:type="dxa"/>
              <w:right w:w="0" w:type="dxa"/>
            </w:tcMar>
            <w:vAlign w:val="center"/>
          </w:tcPr>
          <w:p w14:paraId="3C32F3BB" w14:textId="39F8CA71"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113 (87 - 153)</w:t>
            </w:r>
          </w:p>
          <w:p w14:paraId="09BD1B50"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2010)</w:t>
            </w:r>
          </w:p>
        </w:tc>
      </w:tr>
      <w:tr w:rsidR="00236B40" w:rsidRPr="00007908" w14:paraId="6F6B332D" w14:textId="77777777" w:rsidTr="00BB21F9">
        <w:trPr>
          <w:gridAfter w:val="1"/>
          <w:wAfter w:w="32" w:type="pct"/>
          <w:cantSplit/>
          <w:trHeight w:val="536"/>
        </w:trPr>
        <w:tc>
          <w:tcPr>
            <w:tcW w:w="1467" w:type="pct"/>
            <w:shd w:val="clear" w:color="auto" w:fill="FFFFFF"/>
            <w:tcMar>
              <w:top w:w="0" w:type="dxa"/>
              <w:left w:w="0" w:type="dxa"/>
              <w:bottom w:w="0" w:type="dxa"/>
              <w:right w:w="0" w:type="dxa"/>
            </w:tcMar>
            <w:vAlign w:val="center"/>
          </w:tcPr>
          <w:p w14:paraId="049CE311"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Glasgow coma scale score </w:t>
            </w:r>
            <w:r w:rsidRPr="00007908">
              <w:rPr>
                <w:rFonts w:asciiTheme="minorHAnsi" w:hAnsiTheme="minorHAnsi" w:cstheme="majorHAnsi"/>
                <w:sz w:val="18"/>
                <w:szCs w:val="18"/>
                <w:vertAlign w:val="superscript"/>
                <w:lang w:val="en-US"/>
              </w:rPr>
              <w:t>e</w:t>
            </w:r>
            <w:r w:rsidRPr="00007908">
              <w:rPr>
                <w:rFonts w:asciiTheme="minorHAnsi" w:hAnsiTheme="minorHAnsi" w:cstheme="majorHAnsi"/>
                <w:sz w:val="18"/>
                <w:szCs w:val="18"/>
                <w:lang w:val="en-US"/>
              </w:rPr>
              <w:t xml:space="preserve"> - median (IQR)</w:t>
            </w:r>
          </w:p>
        </w:tc>
        <w:tc>
          <w:tcPr>
            <w:tcW w:w="591" w:type="pct"/>
            <w:shd w:val="clear" w:color="auto" w:fill="FFFFFF"/>
            <w:tcMar>
              <w:top w:w="0" w:type="dxa"/>
              <w:left w:w="0" w:type="dxa"/>
              <w:bottom w:w="0" w:type="dxa"/>
              <w:right w:w="0" w:type="dxa"/>
            </w:tcMar>
            <w:vAlign w:val="center"/>
          </w:tcPr>
          <w:p w14:paraId="7E62DE90"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15 (15 - 15)</w:t>
            </w:r>
          </w:p>
          <w:p w14:paraId="2C43D9F3" w14:textId="32012CA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857)</w:t>
            </w:r>
          </w:p>
        </w:tc>
        <w:tc>
          <w:tcPr>
            <w:tcW w:w="591" w:type="pct"/>
            <w:shd w:val="clear" w:color="auto" w:fill="FFFFFF"/>
            <w:tcMar>
              <w:top w:w="0" w:type="dxa"/>
              <w:left w:w="0" w:type="dxa"/>
              <w:bottom w:w="0" w:type="dxa"/>
              <w:right w:w="0" w:type="dxa"/>
            </w:tcMar>
            <w:vAlign w:val="center"/>
          </w:tcPr>
          <w:p w14:paraId="721AE3B3"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15 (15 - 15)</w:t>
            </w:r>
          </w:p>
          <w:p w14:paraId="0C07DFE2" w14:textId="0C9E2C7D"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423)</w:t>
            </w:r>
          </w:p>
        </w:tc>
        <w:tc>
          <w:tcPr>
            <w:tcW w:w="638" w:type="pct"/>
            <w:shd w:val="clear" w:color="auto" w:fill="FFFFFF"/>
            <w:vAlign w:val="center"/>
          </w:tcPr>
          <w:p w14:paraId="2B1D5E99"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15 (15 - 15)</w:t>
            </w:r>
          </w:p>
          <w:p w14:paraId="08E5F21D" w14:textId="20C2ED59"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332)</w:t>
            </w:r>
          </w:p>
        </w:tc>
        <w:tc>
          <w:tcPr>
            <w:tcW w:w="591" w:type="pct"/>
            <w:shd w:val="clear" w:color="auto" w:fill="FFFFFF"/>
            <w:vAlign w:val="center"/>
          </w:tcPr>
          <w:p w14:paraId="71183A08"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15 (14.2 - 15)</w:t>
            </w:r>
          </w:p>
          <w:p w14:paraId="43E5BDA9" w14:textId="497748C8"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18)</w:t>
            </w:r>
          </w:p>
        </w:tc>
        <w:tc>
          <w:tcPr>
            <w:tcW w:w="552" w:type="pct"/>
            <w:shd w:val="clear" w:color="auto" w:fill="FFFFFF"/>
            <w:vAlign w:val="center"/>
          </w:tcPr>
          <w:p w14:paraId="16BF298B"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15 (15 - 15)</w:t>
            </w:r>
          </w:p>
          <w:p w14:paraId="6CADA006" w14:textId="3EA9797C"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385)</w:t>
            </w:r>
          </w:p>
        </w:tc>
        <w:tc>
          <w:tcPr>
            <w:tcW w:w="539" w:type="pct"/>
            <w:shd w:val="clear" w:color="auto" w:fill="FFFFFF"/>
            <w:tcMar>
              <w:top w:w="0" w:type="dxa"/>
              <w:left w:w="0" w:type="dxa"/>
              <w:bottom w:w="0" w:type="dxa"/>
              <w:right w:w="0" w:type="dxa"/>
            </w:tcMar>
            <w:vAlign w:val="center"/>
          </w:tcPr>
          <w:p w14:paraId="5FA9E31F" w14:textId="46A80FD4"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15 (15 - 15)</w:t>
            </w:r>
          </w:p>
          <w:p w14:paraId="137AF73A"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2015)</w:t>
            </w:r>
          </w:p>
        </w:tc>
      </w:tr>
      <w:tr w:rsidR="00236B40" w:rsidRPr="00007908" w14:paraId="062D2D6A" w14:textId="77777777" w:rsidTr="00BB21F9">
        <w:trPr>
          <w:gridAfter w:val="1"/>
          <w:wAfter w:w="32" w:type="pct"/>
          <w:cantSplit/>
          <w:trHeight w:val="268"/>
        </w:trPr>
        <w:tc>
          <w:tcPr>
            <w:tcW w:w="1467" w:type="pct"/>
            <w:shd w:val="clear" w:color="auto" w:fill="FFFFFF"/>
            <w:tcMar>
              <w:top w:w="0" w:type="dxa"/>
              <w:left w:w="0" w:type="dxa"/>
              <w:bottom w:w="0" w:type="dxa"/>
              <w:right w:w="0" w:type="dxa"/>
            </w:tcMar>
            <w:vAlign w:val="center"/>
          </w:tcPr>
          <w:p w14:paraId="7E972DA5" w14:textId="77777777" w:rsidR="00236B40" w:rsidRPr="00007908" w:rsidRDefault="00236B40" w:rsidP="00507544">
            <w:pPr>
              <w:rPr>
                <w:rFonts w:asciiTheme="minorHAnsi" w:hAnsiTheme="minorHAnsi" w:cstheme="majorHAnsi"/>
                <w:sz w:val="18"/>
                <w:szCs w:val="18"/>
                <w:vertAlign w:val="superscript"/>
                <w:lang w:val="en-US"/>
              </w:rPr>
            </w:pPr>
            <w:r w:rsidRPr="00007908">
              <w:rPr>
                <w:rFonts w:asciiTheme="minorHAnsi" w:hAnsiTheme="minorHAnsi" w:cstheme="majorHAnsi"/>
                <w:sz w:val="18"/>
                <w:szCs w:val="18"/>
                <w:lang w:val="en-US"/>
              </w:rPr>
              <w:t xml:space="preserve">Median laboratory values (IQR) </w:t>
            </w:r>
            <w:r w:rsidRPr="00007908">
              <w:rPr>
                <w:rFonts w:asciiTheme="minorHAnsi" w:hAnsiTheme="minorHAnsi" w:cstheme="majorHAnsi"/>
                <w:sz w:val="18"/>
                <w:szCs w:val="18"/>
                <w:vertAlign w:val="superscript"/>
                <w:lang w:val="en-US"/>
              </w:rPr>
              <w:t>f</w:t>
            </w:r>
          </w:p>
        </w:tc>
        <w:tc>
          <w:tcPr>
            <w:tcW w:w="591" w:type="pct"/>
            <w:shd w:val="clear" w:color="auto" w:fill="FFFFFF"/>
            <w:tcMar>
              <w:top w:w="0" w:type="dxa"/>
              <w:left w:w="0" w:type="dxa"/>
              <w:bottom w:w="0" w:type="dxa"/>
              <w:right w:w="0" w:type="dxa"/>
            </w:tcMar>
            <w:vAlign w:val="center"/>
          </w:tcPr>
          <w:p w14:paraId="24684E89" w14:textId="77777777" w:rsidR="00236B40" w:rsidRPr="00007908" w:rsidRDefault="00236B40" w:rsidP="00507544">
            <w:pPr>
              <w:jc w:val="center"/>
              <w:rPr>
                <w:rFonts w:asciiTheme="minorHAnsi" w:hAnsiTheme="minorHAnsi" w:cstheme="majorHAnsi"/>
                <w:sz w:val="18"/>
                <w:szCs w:val="18"/>
                <w:lang w:val="en-US"/>
              </w:rPr>
            </w:pPr>
          </w:p>
        </w:tc>
        <w:tc>
          <w:tcPr>
            <w:tcW w:w="591" w:type="pct"/>
            <w:shd w:val="clear" w:color="auto" w:fill="FFFFFF"/>
            <w:tcMar>
              <w:top w:w="0" w:type="dxa"/>
              <w:left w:w="0" w:type="dxa"/>
              <w:bottom w:w="0" w:type="dxa"/>
              <w:right w:w="0" w:type="dxa"/>
            </w:tcMar>
            <w:vAlign w:val="center"/>
          </w:tcPr>
          <w:p w14:paraId="5099AE8B" w14:textId="77777777" w:rsidR="00236B40" w:rsidRPr="00007908" w:rsidRDefault="00236B40" w:rsidP="00507544">
            <w:pPr>
              <w:jc w:val="center"/>
              <w:rPr>
                <w:rFonts w:asciiTheme="minorHAnsi" w:hAnsiTheme="minorHAnsi" w:cstheme="majorHAnsi"/>
                <w:sz w:val="18"/>
                <w:szCs w:val="18"/>
                <w:lang w:val="en-US"/>
              </w:rPr>
            </w:pPr>
          </w:p>
        </w:tc>
        <w:tc>
          <w:tcPr>
            <w:tcW w:w="638" w:type="pct"/>
            <w:shd w:val="clear" w:color="auto" w:fill="FFFFFF"/>
            <w:vAlign w:val="center"/>
          </w:tcPr>
          <w:p w14:paraId="32C9DCFE" w14:textId="77777777" w:rsidR="00236B40" w:rsidRPr="00007908" w:rsidRDefault="00236B40" w:rsidP="00507544">
            <w:pPr>
              <w:jc w:val="center"/>
              <w:rPr>
                <w:rFonts w:asciiTheme="minorHAnsi" w:hAnsiTheme="minorHAnsi" w:cstheme="majorHAnsi"/>
                <w:sz w:val="18"/>
                <w:szCs w:val="18"/>
                <w:lang w:val="en-US"/>
              </w:rPr>
            </w:pPr>
          </w:p>
        </w:tc>
        <w:tc>
          <w:tcPr>
            <w:tcW w:w="591" w:type="pct"/>
            <w:shd w:val="clear" w:color="auto" w:fill="FFFFFF"/>
            <w:vAlign w:val="center"/>
          </w:tcPr>
          <w:p w14:paraId="052FD598" w14:textId="77777777" w:rsidR="00236B40" w:rsidRPr="00007908" w:rsidRDefault="00236B40" w:rsidP="00507544">
            <w:pPr>
              <w:jc w:val="center"/>
              <w:rPr>
                <w:rFonts w:asciiTheme="minorHAnsi" w:hAnsiTheme="minorHAnsi" w:cstheme="majorHAnsi"/>
                <w:sz w:val="18"/>
                <w:szCs w:val="18"/>
                <w:lang w:val="en-US"/>
              </w:rPr>
            </w:pPr>
          </w:p>
        </w:tc>
        <w:tc>
          <w:tcPr>
            <w:tcW w:w="552" w:type="pct"/>
            <w:shd w:val="clear" w:color="auto" w:fill="FFFFFF"/>
            <w:vAlign w:val="center"/>
          </w:tcPr>
          <w:p w14:paraId="62A4D096" w14:textId="77777777" w:rsidR="00236B40" w:rsidRPr="00007908" w:rsidRDefault="00236B40" w:rsidP="00507544">
            <w:pPr>
              <w:jc w:val="center"/>
              <w:rPr>
                <w:rFonts w:asciiTheme="minorHAnsi" w:hAnsiTheme="minorHAnsi" w:cstheme="majorHAnsi"/>
                <w:sz w:val="18"/>
                <w:szCs w:val="18"/>
                <w:lang w:val="en-US"/>
              </w:rPr>
            </w:pPr>
          </w:p>
        </w:tc>
        <w:tc>
          <w:tcPr>
            <w:tcW w:w="539" w:type="pct"/>
            <w:shd w:val="clear" w:color="auto" w:fill="FFFFFF"/>
            <w:tcMar>
              <w:top w:w="0" w:type="dxa"/>
              <w:left w:w="0" w:type="dxa"/>
              <w:bottom w:w="0" w:type="dxa"/>
              <w:right w:w="0" w:type="dxa"/>
            </w:tcMar>
            <w:vAlign w:val="center"/>
          </w:tcPr>
          <w:p w14:paraId="1721C91D" w14:textId="5A1136E2" w:rsidR="00236B40" w:rsidRPr="00007908" w:rsidRDefault="00236B40" w:rsidP="00507544">
            <w:pPr>
              <w:jc w:val="center"/>
              <w:rPr>
                <w:rFonts w:asciiTheme="minorHAnsi" w:hAnsiTheme="minorHAnsi" w:cstheme="majorHAnsi"/>
                <w:sz w:val="18"/>
                <w:szCs w:val="18"/>
                <w:lang w:val="en-US"/>
              </w:rPr>
            </w:pPr>
          </w:p>
        </w:tc>
      </w:tr>
      <w:tr w:rsidR="00236B40" w:rsidRPr="00007908" w14:paraId="6EC71469" w14:textId="77777777" w:rsidTr="00BB21F9">
        <w:trPr>
          <w:gridAfter w:val="1"/>
          <w:wAfter w:w="32" w:type="pct"/>
          <w:cantSplit/>
          <w:trHeight w:val="536"/>
        </w:trPr>
        <w:tc>
          <w:tcPr>
            <w:tcW w:w="1467" w:type="pct"/>
            <w:shd w:val="clear" w:color="auto" w:fill="FFFFFF"/>
            <w:tcMar>
              <w:top w:w="0" w:type="dxa"/>
              <w:left w:w="0" w:type="dxa"/>
              <w:bottom w:w="0" w:type="dxa"/>
              <w:right w:w="0" w:type="dxa"/>
            </w:tcMar>
            <w:vAlign w:val="center"/>
          </w:tcPr>
          <w:p w14:paraId="0E33E0C0"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C-reactive protein, µg/mL</w:t>
            </w:r>
          </w:p>
        </w:tc>
        <w:tc>
          <w:tcPr>
            <w:tcW w:w="591" w:type="pct"/>
            <w:shd w:val="clear" w:color="auto" w:fill="FFFFFF"/>
            <w:tcMar>
              <w:top w:w="0" w:type="dxa"/>
              <w:left w:w="0" w:type="dxa"/>
              <w:bottom w:w="0" w:type="dxa"/>
              <w:right w:w="0" w:type="dxa"/>
            </w:tcMar>
            <w:vAlign w:val="center"/>
          </w:tcPr>
          <w:p w14:paraId="002FEE83"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132 (69 - 201)</w:t>
            </w:r>
          </w:p>
          <w:p w14:paraId="3004D632" w14:textId="49DDC080"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783)</w:t>
            </w:r>
          </w:p>
        </w:tc>
        <w:tc>
          <w:tcPr>
            <w:tcW w:w="591" w:type="pct"/>
            <w:shd w:val="clear" w:color="auto" w:fill="FFFFFF"/>
            <w:tcMar>
              <w:top w:w="0" w:type="dxa"/>
              <w:left w:w="0" w:type="dxa"/>
              <w:bottom w:w="0" w:type="dxa"/>
              <w:right w:w="0" w:type="dxa"/>
            </w:tcMar>
            <w:vAlign w:val="center"/>
          </w:tcPr>
          <w:p w14:paraId="5B2ECF15"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120 (70 - 199)</w:t>
            </w:r>
          </w:p>
          <w:p w14:paraId="63E3D1B6" w14:textId="2DCB460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419)</w:t>
            </w:r>
          </w:p>
        </w:tc>
        <w:tc>
          <w:tcPr>
            <w:tcW w:w="638" w:type="pct"/>
            <w:shd w:val="clear" w:color="auto" w:fill="FFFFFF"/>
            <w:vAlign w:val="center"/>
          </w:tcPr>
          <w:p w14:paraId="6A4A3582"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112 (70 - 189)</w:t>
            </w:r>
          </w:p>
          <w:p w14:paraId="7B686639" w14:textId="3BF3BA8E"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324)</w:t>
            </w:r>
          </w:p>
        </w:tc>
        <w:tc>
          <w:tcPr>
            <w:tcW w:w="591" w:type="pct"/>
            <w:shd w:val="clear" w:color="auto" w:fill="FFFFFF"/>
            <w:vAlign w:val="center"/>
          </w:tcPr>
          <w:p w14:paraId="1048BCDF"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111 (63 - 151)</w:t>
            </w:r>
          </w:p>
          <w:p w14:paraId="385D2207" w14:textId="51825DF9"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14)</w:t>
            </w:r>
          </w:p>
        </w:tc>
        <w:tc>
          <w:tcPr>
            <w:tcW w:w="552" w:type="pct"/>
            <w:shd w:val="clear" w:color="auto" w:fill="FFFFFF"/>
            <w:vAlign w:val="center"/>
          </w:tcPr>
          <w:p w14:paraId="06A66889"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129 (71 - 208)</w:t>
            </w:r>
          </w:p>
          <w:p w14:paraId="0832ED79" w14:textId="3905051F"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255)</w:t>
            </w:r>
          </w:p>
        </w:tc>
        <w:tc>
          <w:tcPr>
            <w:tcW w:w="539" w:type="pct"/>
            <w:shd w:val="clear" w:color="auto" w:fill="FFFFFF"/>
            <w:tcMar>
              <w:top w:w="0" w:type="dxa"/>
              <w:left w:w="0" w:type="dxa"/>
              <w:bottom w:w="0" w:type="dxa"/>
              <w:right w:w="0" w:type="dxa"/>
            </w:tcMar>
            <w:vAlign w:val="center"/>
          </w:tcPr>
          <w:p w14:paraId="67EF3D3C" w14:textId="2053149F"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124 (70 - 198)</w:t>
            </w:r>
          </w:p>
          <w:p w14:paraId="600D06B4"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1795)</w:t>
            </w:r>
          </w:p>
        </w:tc>
      </w:tr>
      <w:tr w:rsidR="00236B40" w:rsidRPr="00007908" w14:paraId="6F835428" w14:textId="77777777" w:rsidTr="00BB21F9">
        <w:trPr>
          <w:gridAfter w:val="1"/>
          <w:wAfter w:w="32" w:type="pct"/>
          <w:cantSplit/>
          <w:trHeight w:val="536"/>
        </w:trPr>
        <w:tc>
          <w:tcPr>
            <w:tcW w:w="1467" w:type="pct"/>
            <w:shd w:val="clear" w:color="auto" w:fill="FFFFFF"/>
            <w:tcMar>
              <w:top w:w="0" w:type="dxa"/>
              <w:left w:w="0" w:type="dxa"/>
              <w:bottom w:w="0" w:type="dxa"/>
              <w:right w:w="0" w:type="dxa"/>
            </w:tcMar>
            <w:vAlign w:val="center"/>
          </w:tcPr>
          <w:p w14:paraId="6666E4FF"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D-dimer, µg/L</w:t>
            </w:r>
          </w:p>
        </w:tc>
        <w:tc>
          <w:tcPr>
            <w:tcW w:w="591" w:type="pct"/>
            <w:shd w:val="clear" w:color="auto" w:fill="FFFFFF"/>
            <w:tcMar>
              <w:top w:w="0" w:type="dxa"/>
              <w:left w:w="0" w:type="dxa"/>
              <w:bottom w:w="0" w:type="dxa"/>
              <w:right w:w="0" w:type="dxa"/>
            </w:tcMar>
            <w:vAlign w:val="center"/>
          </w:tcPr>
          <w:p w14:paraId="115C04AF"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946 (483 - 2475)</w:t>
            </w:r>
          </w:p>
          <w:p w14:paraId="4E74F514" w14:textId="122C5E48"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564)</w:t>
            </w:r>
          </w:p>
        </w:tc>
        <w:tc>
          <w:tcPr>
            <w:tcW w:w="591" w:type="pct"/>
            <w:shd w:val="clear" w:color="auto" w:fill="FFFFFF"/>
            <w:tcMar>
              <w:top w:w="0" w:type="dxa"/>
              <w:left w:w="0" w:type="dxa"/>
              <w:bottom w:w="0" w:type="dxa"/>
              <w:right w:w="0" w:type="dxa"/>
            </w:tcMar>
            <w:vAlign w:val="center"/>
          </w:tcPr>
          <w:p w14:paraId="4B29A62E"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947 (420 - 2216)</w:t>
            </w:r>
          </w:p>
          <w:p w14:paraId="0A9DEE60" w14:textId="17D90B21"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304)</w:t>
            </w:r>
          </w:p>
        </w:tc>
        <w:tc>
          <w:tcPr>
            <w:tcW w:w="638" w:type="pct"/>
            <w:shd w:val="clear" w:color="auto" w:fill="FFFFFF"/>
            <w:vAlign w:val="center"/>
          </w:tcPr>
          <w:p w14:paraId="7C8CB159"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1006 (460 - 2363)</w:t>
            </w:r>
          </w:p>
          <w:p w14:paraId="7CBF89C6" w14:textId="3C7CA4A9"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256)</w:t>
            </w:r>
          </w:p>
        </w:tc>
        <w:tc>
          <w:tcPr>
            <w:tcW w:w="591" w:type="pct"/>
            <w:shd w:val="clear" w:color="auto" w:fill="FFFFFF"/>
            <w:vAlign w:val="center"/>
          </w:tcPr>
          <w:p w14:paraId="14C5AEA8"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927 (554 - 3049)</w:t>
            </w:r>
          </w:p>
          <w:p w14:paraId="60293C87" w14:textId="7ECA0C8A"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10)</w:t>
            </w:r>
          </w:p>
        </w:tc>
        <w:tc>
          <w:tcPr>
            <w:tcW w:w="552" w:type="pct"/>
            <w:shd w:val="clear" w:color="auto" w:fill="FFFFFF"/>
            <w:vAlign w:val="center"/>
          </w:tcPr>
          <w:p w14:paraId="10A23654"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1010 (500 - 2115)</w:t>
            </w:r>
          </w:p>
          <w:p w14:paraId="67A42A4F" w14:textId="3A0AF39B"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175)</w:t>
            </w:r>
          </w:p>
        </w:tc>
        <w:tc>
          <w:tcPr>
            <w:tcW w:w="539" w:type="pct"/>
            <w:shd w:val="clear" w:color="auto" w:fill="FFFFFF"/>
            <w:tcMar>
              <w:top w:w="0" w:type="dxa"/>
              <w:left w:w="0" w:type="dxa"/>
              <w:bottom w:w="0" w:type="dxa"/>
              <w:right w:w="0" w:type="dxa"/>
            </w:tcMar>
            <w:vAlign w:val="center"/>
          </w:tcPr>
          <w:p w14:paraId="2903FB09" w14:textId="0A128A6B"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980 (472 - 2321)</w:t>
            </w:r>
          </w:p>
          <w:p w14:paraId="18C242A4"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1309)</w:t>
            </w:r>
          </w:p>
        </w:tc>
      </w:tr>
      <w:tr w:rsidR="00236B40" w:rsidRPr="00007908" w14:paraId="197A4E9C" w14:textId="77777777" w:rsidTr="00BB21F9">
        <w:trPr>
          <w:gridAfter w:val="1"/>
          <w:wAfter w:w="32" w:type="pct"/>
          <w:cantSplit/>
          <w:trHeight w:val="536"/>
        </w:trPr>
        <w:tc>
          <w:tcPr>
            <w:tcW w:w="1467" w:type="pct"/>
            <w:shd w:val="clear" w:color="auto" w:fill="FFFFFF"/>
            <w:tcMar>
              <w:top w:w="0" w:type="dxa"/>
              <w:left w:w="0" w:type="dxa"/>
              <w:bottom w:w="0" w:type="dxa"/>
              <w:right w:w="0" w:type="dxa"/>
            </w:tcMar>
            <w:vAlign w:val="center"/>
          </w:tcPr>
          <w:p w14:paraId="1C4086C8"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Ferritin, ng/mL</w:t>
            </w:r>
          </w:p>
        </w:tc>
        <w:tc>
          <w:tcPr>
            <w:tcW w:w="591" w:type="pct"/>
            <w:shd w:val="clear" w:color="auto" w:fill="FFFFFF"/>
            <w:tcMar>
              <w:top w:w="0" w:type="dxa"/>
              <w:left w:w="0" w:type="dxa"/>
              <w:bottom w:w="0" w:type="dxa"/>
              <w:right w:w="0" w:type="dxa"/>
            </w:tcMar>
            <w:vAlign w:val="center"/>
          </w:tcPr>
          <w:p w14:paraId="284FFC1A"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1111 (618 - 1793)</w:t>
            </w:r>
          </w:p>
          <w:p w14:paraId="64526C4F" w14:textId="1F872F90"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557)</w:t>
            </w:r>
          </w:p>
        </w:tc>
        <w:tc>
          <w:tcPr>
            <w:tcW w:w="591" w:type="pct"/>
            <w:shd w:val="clear" w:color="auto" w:fill="FFFFFF"/>
            <w:tcMar>
              <w:top w:w="0" w:type="dxa"/>
              <w:left w:w="0" w:type="dxa"/>
              <w:bottom w:w="0" w:type="dxa"/>
              <w:right w:w="0" w:type="dxa"/>
            </w:tcMar>
            <w:vAlign w:val="center"/>
          </w:tcPr>
          <w:p w14:paraId="2038710B"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990 (584 - 1607)</w:t>
            </w:r>
          </w:p>
          <w:p w14:paraId="52D11798" w14:textId="305582A5"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267)</w:t>
            </w:r>
          </w:p>
        </w:tc>
        <w:tc>
          <w:tcPr>
            <w:tcW w:w="638" w:type="pct"/>
            <w:shd w:val="clear" w:color="auto" w:fill="FFFFFF"/>
            <w:vAlign w:val="center"/>
          </w:tcPr>
          <w:p w14:paraId="5B81D100"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918 (550 - 1703)</w:t>
            </w:r>
          </w:p>
          <w:p w14:paraId="4D886312" w14:textId="1E3BDDC5"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205)</w:t>
            </w:r>
          </w:p>
        </w:tc>
        <w:tc>
          <w:tcPr>
            <w:tcW w:w="591" w:type="pct"/>
            <w:shd w:val="clear" w:color="auto" w:fill="FFFFFF"/>
            <w:vAlign w:val="center"/>
          </w:tcPr>
          <w:p w14:paraId="79B79033"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1474 (474 - 1982)</w:t>
            </w:r>
          </w:p>
          <w:p w14:paraId="2C4E7691" w14:textId="1223F93A"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11)</w:t>
            </w:r>
          </w:p>
        </w:tc>
        <w:tc>
          <w:tcPr>
            <w:tcW w:w="552" w:type="pct"/>
            <w:shd w:val="clear" w:color="auto" w:fill="FFFFFF"/>
            <w:vAlign w:val="center"/>
          </w:tcPr>
          <w:p w14:paraId="513058E6"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887 (414 - 1603)</w:t>
            </w:r>
          </w:p>
          <w:p w14:paraId="09FA5D73" w14:textId="46CF565B"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204)</w:t>
            </w:r>
          </w:p>
        </w:tc>
        <w:tc>
          <w:tcPr>
            <w:tcW w:w="539" w:type="pct"/>
            <w:shd w:val="clear" w:color="auto" w:fill="FFFFFF"/>
            <w:tcMar>
              <w:top w:w="0" w:type="dxa"/>
              <w:left w:w="0" w:type="dxa"/>
              <w:bottom w:w="0" w:type="dxa"/>
              <w:right w:w="0" w:type="dxa"/>
            </w:tcMar>
            <w:vAlign w:val="center"/>
          </w:tcPr>
          <w:p w14:paraId="59276CF8" w14:textId="45789E4D"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1006 (548 - 1705)</w:t>
            </w:r>
          </w:p>
          <w:p w14:paraId="588C4D32"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1244)</w:t>
            </w:r>
          </w:p>
        </w:tc>
      </w:tr>
      <w:tr w:rsidR="00236B40" w:rsidRPr="00007908" w14:paraId="33F7037E" w14:textId="77777777" w:rsidTr="00BB21F9">
        <w:trPr>
          <w:gridAfter w:val="1"/>
          <w:wAfter w:w="32" w:type="pct"/>
          <w:cantSplit/>
          <w:trHeight w:val="536"/>
        </w:trPr>
        <w:tc>
          <w:tcPr>
            <w:tcW w:w="1467" w:type="pct"/>
            <w:shd w:val="clear" w:color="auto" w:fill="FFFFFF"/>
            <w:tcMar>
              <w:top w:w="0" w:type="dxa"/>
              <w:left w:w="0" w:type="dxa"/>
              <w:bottom w:w="0" w:type="dxa"/>
              <w:right w:w="0" w:type="dxa"/>
            </w:tcMar>
            <w:vAlign w:val="center"/>
          </w:tcPr>
          <w:p w14:paraId="0426692D"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Neutrophils, x10</w:t>
            </w:r>
            <w:r w:rsidRPr="00007908">
              <w:rPr>
                <w:rFonts w:asciiTheme="minorHAnsi" w:hAnsiTheme="minorHAnsi" w:cstheme="majorHAnsi"/>
                <w:sz w:val="18"/>
                <w:szCs w:val="18"/>
                <w:vertAlign w:val="superscript"/>
                <w:lang w:val="en-US"/>
              </w:rPr>
              <w:t>9</w:t>
            </w:r>
            <w:r w:rsidRPr="00007908">
              <w:rPr>
                <w:rFonts w:asciiTheme="minorHAnsi" w:hAnsiTheme="minorHAnsi" w:cstheme="majorHAnsi"/>
                <w:sz w:val="18"/>
                <w:szCs w:val="18"/>
                <w:lang w:val="en-US"/>
              </w:rPr>
              <w:t>/L</w:t>
            </w:r>
          </w:p>
        </w:tc>
        <w:tc>
          <w:tcPr>
            <w:tcW w:w="591" w:type="pct"/>
            <w:shd w:val="clear" w:color="auto" w:fill="FFFFFF"/>
            <w:tcMar>
              <w:top w:w="0" w:type="dxa"/>
              <w:left w:w="0" w:type="dxa"/>
              <w:bottom w:w="0" w:type="dxa"/>
              <w:right w:w="0" w:type="dxa"/>
            </w:tcMar>
            <w:vAlign w:val="center"/>
          </w:tcPr>
          <w:p w14:paraId="091CF3ED"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8.0 (5.6 - 10.9)</w:t>
            </w:r>
          </w:p>
          <w:p w14:paraId="09FB51EE" w14:textId="36C67402"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814)</w:t>
            </w:r>
          </w:p>
        </w:tc>
        <w:tc>
          <w:tcPr>
            <w:tcW w:w="591" w:type="pct"/>
            <w:shd w:val="clear" w:color="auto" w:fill="FFFFFF"/>
            <w:tcMar>
              <w:top w:w="0" w:type="dxa"/>
              <w:left w:w="0" w:type="dxa"/>
              <w:bottom w:w="0" w:type="dxa"/>
              <w:right w:w="0" w:type="dxa"/>
            </w:tcMar>
            <w:vAlign w:val="center"/>
          </w:tcPr>
          <w:p w14:paraId="765D514E"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7.7 (5.4 - 10.7)</w:t>
            </w:r>
          </w:p>
          <w:p w14:paraId="778283F2" w14:textId="750522B5"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469)</w:t>
            </w:r>
          </w:p>
        </w:tc>
        <w:tc>
          <w:tcPr>
            <w:tcW w:w="638" w:type="pct"/>
            <w:shd w:val="clear" w:color="auto" w:fill="FFFFFF"/>
            <w:vAlign w:val="center"/>
          </w:tcPr>
          <w:p w14:paraId="61115FE1"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7.8 (5.7 - 10.7)</w:t>
            </w:r>
          </w:p>
          <w:p w14:paraId="3841EB07" w14:textId="72982AC1"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344)</w:t>
            </w:r>
          </w:p>
        </w:tc>
        <w:tc>
          <w:tcPr>
            <w:tcW w:w="591" w:type="pct"/>
            <w:shd w:val="clear" w:color="auto" w:fill="FFFFFF"/>
            <w:vAlign w:val="center"/>
          </w:tcPr>
          <w:p w14:paraId="52AD1D28"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10.7 (6.8 - 12.9)</w:t>
            </w:r>
          </w:p>
          <w:p w14:paraId="2861CB3C" w14:textId="564468DD"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14)</w:t>
            </w:r>
          </w:p>
        </w:tc>
        <w:tc>
          <w:tcPr>
            <w:tcW w:w="552" w:type="pct"/>
            <w:shd w:val="clear" w:color="auto" w:fill="FFFFFF"/>
            <w:vAlign w:val="center"/>
          </w:tcPr>
          <w:p w14:paraId="1B30C2FE"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7.9 (5.3 - 11.0)</w:t>
            </w:r>
          </w:p>
          <w:p w14:paraId="767E3DD7" w14:textId="38B54D43"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288)</w:t>
            </w:r>
          </w:p>
        </w:tc>
        <w:tc>
          <w:tcPr>
            <w:tcW w:w="539" w:type="pct"/>
            <w:shd w:val="clear" w:color="auto" w:fill="FFFFFF"/>
            <w:tcMar>
              <w:top w:w="0" w:type="dxa"/>
              <w:left w:w="0" w:type="dxa"/>
              <w:bottom w:w="0" w:type="dxa"/>
              <w:right w:w="0" w:type="dxa"/>
            </w:tcMar>
            <w:vAlign w:val="center"/>
          </w:tcPr>
          <w:p w14:paraId="4ABE8BEC" w14:textId="0956A1CB"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7.9 (5.5 - 10.9)</w:t>
            </w:r>
          </w:p>
          <w:p w14:paraId="0B0AAF62"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1929)</w:t>
            </w:r>
          </w:p>
        </w:tc>
      </w:tr>
      <w:tr w:rsidR="00236B40" w:rsidRPr="00007908" w14:paraId="530CBB93" w14:textId="77777777" w:rsidTr="00BB21F9">
        <w:trPr>
          <w:gridAfter w:val="1"/>
          <w:wAfter w:w="32" w:type="pct"/>
          <w:cantSplit/>
          <w:trHeight w:val="536"/>
        </w:trPr>
        <w:tc>
          <w:tcPr>
            <w:tcW w:w="1467" w:type="pct"/>
            <w:shd w:val="clear" w:color="auto" w:fill="FFFFFF"/>
            <w:tcMar>
              <w:top w:w="0" w:type="dxa"/>
              <w:left w:w="0" w:type="dxa"/>
              <w:bottom w:w="0" w:type="dxa"/>
              <w:right w:w="0" w:type="dxa"/>
            </w:tcMar>
            <w:vAlign w:val="center"/>
          </w:tcPr>
          <w:p w14:paraId="264DB7CA"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Lymphocytes, x10</w:t>
            </w:r>
            <w:r w:rsidRPr="00007908">
              <w:rPr>
                <w:rFonts w:asciiTheme="minorHAnsi" w:hAnsiTheme="minorHAnsi" w:cstheme="majorHAnsi"/>
                <w:sz w:val="18"/>
                <w:szCs w:val="18"/>
                <w:vertAlign w:val="superscript"/>
                <w:lang w:val="en-US"/>
              </w:rPr>
              <w:t>9</w:t>
            </w:r>
            <w:r w:rsidRPr="00007908">
              <w:rPr>
                <w:rFonts w:asciiTheme="minorHAnsi" w:hAnsiTheme="minorHAnsi" w:cstheme="majorHAnsi"/>
                <w:sz w:val="18"/>
                <w:szCs w:val="18"/>
                <w:lang w:val="en-US"/>
              </w:rPr>
              <w:t>/L</w:t>
            </w:r>
          </w:p>
        </w:tc>
        <w:tc>
          <w:tcPr>
            <w:tcW w:w="591" w:type="pct"/>
            <w:shd w:val="clear" w:color="auto" w:fill="FFFFFF"/>
            <w:tcMar>
              <w:top w:w="0" w:type="dxa"/>
              <w:left w:w="0" w:type="dxa"/>
              <w:bottom w:w="0" w:type="dxa"/>
              <w:right w:w="0" w:type="dxa"/>
            </w:tcMar>
            <w:vAlign w:val="center"/>
          </w:tcPr>
          <w:p w14:paraId="1977BE41"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0.7 (0.5 - 1.0)</w:t>
            </w:r>
          </w:p>
          <w:p w14:paraId="4ACD3DC6" w14:textId="21CA8088"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816)</w:t>
            </w:r>
          </w:p>
        </w:tc>
        <w:tc>
          <w:tcPr>
            <w:tcW w:w="591" w:type="pct"/>
            <w:shd w:val="clear" w:color="auto" w:fill="FFFFFF"/>
            <w:tcMar>
              <w:top w:w="0" w:type="dxa"/>
              <w:left w:w="0" w:type="dxa"/>
              <w:bottom w:w="0" w:type="dxa"/>
              <w:right w:w="0" w:type="dxa"/>
            </w:tcMar>
            <w:vAlign w:val="center"/>
          </w:tcPr>
          <w:p w14:paraId="70B1AEBB"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0.7 (0.5 - 1.0)</w:t>
            </w:r>
          </w:p>
          <w:p w14:paraId="0D187249" w14:textId="6B89272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466)</w:t>
            </w:r>
          </w:p>
        </w:tc>
        <w:tc>
          <w:tcPr>
            <w:tcW w:w="638" w:type="pct"/>
            <w:shd w:val="clear" w:color="auto" w:fill="FFFFFF"/>
            <w:vAlign w:val="center"/>
          </w:tcPr>
          <w:p w14:paraId="07B000AD"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0.7 (0.5 - 1.0)</w:t>
            </w:r>
          </w:p>
          <w:p w14:paraId="585C558A" w14:textId="0616A9EB"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345)</w:t>
            </w:r>
          </w:p>
        </w:tc>
        <w:tc>
          <w:tcPr>
            <w:tcW w:w="591" w:type="pct"/>
            <w:shd w:val="clear" w:color="auto" w:fill="FFFFFF"/>
            <w:vAlign w:val="center"/>
          </w:tcPr>
          <w:p w14:paraId="2E815146"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0.6 (0.6 - 1.1)</w:t>
            </w:r>
          </w:p>
          <w:p w14:paraId="67E61BE7" w14:textId="3217A70C"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14)</w:t>
            </w:r>
          </w:p>
        </w:tc>
        <w:tc>
          <w:tcPr>
            <w:tcW w:w="552" w:type="pct"/>
            <w:shd w:val="clear" w:color="auto" w:fill="FFFFFF"/>
            <w:vAlign w:val="center"/>
          </w:tcPr>
          <w:p w14:paraId="1E61C5A7"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0.7 (0.5 - 1.0)</w:t>
            </w:r>
          </w:p>
          <w:p w14:paraId="70D47BD2" w14:textId="27E867FE"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288)</w:t>
            </w:r>
          </w:p>
        </w:tc>
        <w:tc>
          <w:tcPr>
            <w:tcW w:w="539" w:type="pct"/>
            <w:shd w:val="clear" w:color="auto" w:fill="FFFFFF"/>
            <w:tcMar>
              <w:top w:w="0" w:type="dxa"/>
              <w:left w:w="0" w:type="dxa"/>
              <w:bottom w:w="0" w:type="dxa"/>
              <w:right w:w="0" w:type="dxa"/>
            </w:tcMar>
            <w:vAlign w:val="center"/>
          </w:tcPr>
          <w:p w14:paraId="01C94D5B" w14:textId="4A603B30"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0.7 (0.5 - 1.0)</w:t>
            </w:r>
          </w:p>
          <w:p w14:paraId="22A946C5"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1929)</w:t>
            </w:r>
          </w:p>
        </w:tc>
      </w:tr>
      <w:tr w:rsidR="00236B40" w:rsidRPr="00007908" w14:paraId="490092F0" w14:textId="77777777" w:rsidTr="00BB21F9">
        <w:trPr>
          <w:gridAfter w:val="1"/>
          <w:wAfter w:w="32" w:type="pct"/>
          <w:cantSplit/>
          <w:trHeight w:val="536"/>
        </w:trPr>
        <w:tc>
          <w:tcPr>
            <w:tcW w:w="1467" w:type="pct"/>
            <w:shd w:val="clear" w:color="auto" w:fill="FFFFFF"/>
            <w:tcMar>
              <w:top w:w="0" w:type="dxa"/>
              <w:left w:w="0" w:type="dxa"/>
              <w:bottom w:w="0" w:type="dxa"/>
              <w:right w:w="0" w:type="dxa"/>
            </w:tcMar>
            <w:vAlign w:val="center"/>
          </w:tcPr>
          <w:p w14:paraId="2A84D63D"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Platelet count, x10</w:t>
            </w:r>
            <w:r w:rsidRPr="00007908">
              <w:rPr>
                <w:rFonts w:asciiTheme="minorHAnsi" w:hAnsiTheme="minorHAnsi" w:cstheme="majorHAnsi"/>
                <w:sz w:val="18"/>
                <w:szCs w:val="18"/>
                <w:vertAlign w:val="superscript"/>
                <w:lang w:val="en-US"/>
              </w:rPr>
              <w:t>9</w:t>
            </w:r>
            <w:r w:rsidRPr="00007908">
              <w:rPr>
                <w:rFonts w:asciiTheme="minorHAnsi" w:hAnsiTheme="minorHAnsi" w:cstheme="majorHAnsi"/>
                <w:sz w:val="18"/>
                <w:szCs w:val="18"/>
                <w:lang w:val="en-US"/>
              </w:rPr>
              <w:t>/L</w:t>
            </w:r>
          </w:p>
        </w:tc>
        <w:tc>
          <w:tcPr>
            <w:tcW w:w="591" w:type="pct"/>
            <w:shd w:val="clear" w:color="auto" w:fill="FFFFFF"/>
            <w:tcMar>
              <w:top w:w="0" w:type="dxa"/>
              <w:left w:w="0" w:type="dxa"/>
              <w:bottom w:w="0" w:type="dxa"/>
              <w:right w:w="0" w:type="dxa"/>
            </w:tcMar>
            <w:vAlign w:val="center"/>
          </w:tcPr>
          <w:p w14:paraId="50704F2D"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241 (180 - 311)</w:t>
            </w:r>
          </w:p>
          <w:p w14:paraId="4F8E90D6" w14:textId="7F9A46B0"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939)</w:t>
            </w:r>
          </w:p>
        </w:tc>
        <w:tc>
          <w:tcPr>
            <w:tcW w:w="591" w:type="pct"/>
            <w:shd w:val="clear" w:color="auto" w:fill="FFFFFF"/>
            <w:tcMar>
              <w:top w:w="0" w:type="dxa"/>
              <w:left w:w="0" w:type="dxa"/>
              <w:bottom w:w="0" w:type="dxa"/>
              <w:right w:w="0" w:type="dxa"/>
            </w:tcMar>
            <w:vAlign w:val="center"/>
          </w:tcPr>
          <w:p w14:paraId="5C96C9DE"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238 (185 - 308)</w:t>
            </w:r>
          </w:p>
          <w:p w14:paraId="4AAFD90B" w14:textId="1FCB3446"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481)</w:t>
            </w:r>
          </w:p>
        </w:tc>
        <w:tc>
          <w:tcPr>
            <w:tcW w:w="638" w:type="pct"/>
            <w:shd w:val="clear" w:color="auto" w:fill="FFFFFF"/>
            <w:vAlign w:val="center"/>
          </w:tcPr>
          <w:p w14:paraId="51A1271D"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252 (195 - 331)</w:t>
            </w:r>
          </w:p>
          <w:p w14:paraId="74AB463F" w14:textId="2E665A8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370)</w:t>
            </w:r>
          </w:p>
        </w:tc>
        <w:tc>
          <w:tcPr>
            <w:tcW w:w="591" w:type="pct"/>
            <w:shd w:val="clear" w:color="auto" w:fill="FFFFFF"/>
            <w:vAlign w:val="center"/>
          </w:tcPr>
          <w:p w14:paraId="27ABC277"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240 (173 - 306)</w:t>
            </w:r>
          </w:p>
          <w:p w14:paraId="0E44E5C2" w14:textId="03500568"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19)</w:t>
            </w:r>
          </w:p>
        </w:tc>
        <w:tc>
          <w:tcPr>
            <w:tcW w:w="552" w:type="pct"/>
            <w:shd w:val="clear" w:color="auto" w:fill="FFFFFF"/>
            <w:vAlign w:val="center"/>
          </w:tcPr>
          <w:p w14:paraId="19EA4A53"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235 (177 - 296)</w:t>
            </w:r>
          </w:p>
          <w:p w14:paraId="4AAD2D48" w14:textId="4C321DD4"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404)</w:t>
            </w:r>
          </w:p>
        </w:tc>
        <w:tc>
          <w:tcPr>
            <w:tcW w:w="539" w:type="pct"/>
            <w:shd w:val="clear" w:color="auto" w:fill="FFFFFF"/>
            <w:tcMar>
              <w:top w:w="0" w:type="dxa"/>
              <w:left w:w="0" w:type="dxa"/>
              <w:bottom w:w="0" w:type="dxa"/>
              <w:right w:w="0" w:type="dxa"/>
            </w:tcMar>
            <w:vAlign w:val="center"/>
          </w:tcPr>
          <w:p w14:paraId="042EFD7A" w14:textId="614CC565"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241 (183 - 310)</w:t>
            </w:r>
          </w:p>
          <w:p w14:paraId="19BED510"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2213)</w:t>
            </w:r>
          </w:p>
        </w:tc>
      </w:tr>
      <w:tr w:rsidR="00236B40" w:rsidRPr="00007908" w14:paraId="0CA79347" w14:textId="77777777" w:rsidTr="00BB21F9">
        <w:trPr>
          <w:gridAfter w:val="1"/>
          <w:wAfter w:w="32" w:type="pct"/>
          <w:cantSplit/>
          <w:trHeight w:val="536"/>
        </w:trPr>
        <w:tc>
          <w:tcPr>
            <w:tcW w:w="1467" w:type="pct"/>
            <w:shd w:val="clear" w:color="auto" w:fill="FFFFFF"/>
            <w:tcMar>
              <w:top w:w="0" w:type="dxa"/>
              <w:left w:w="0" w:type="dxa"/>
              <w:bottom w:w="0" w:type="dxa"/>
              <w:right w:w="0" w:type="dxa"/>
            </w:tcMar>
            <w:vAlign w:val="center"/>
          </w:tcPr>
          <w:p w14:paraId="3611F002"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Lactate, mmol/L</w:t>
            </w:r>
          </w:p>
        </w:tc>
        <w:tc>
          <w:tcPr>
            <w:tcW w:w="591" w:type="pct"/>
            <w:shd w:val="clear" w:color="auto" w:fill="FFFFFF"/>
            <w:tcMar>
              <w:top w:w="0" w:type="dxa"/>
              <w:left w:w="0" w:type="dxa"/>
              <w:bottom w:w="0" w:type="dxa"/>
              <w:right w:w="0" w:type="dxa"/>
            </w:tcMar>
            <w:vAlign w:val="center"/>
          </w:tcPr>
          <w:p w14:paraId="2FEC26C5"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1.3 (1.0 - 1.7)</w:t>
            </w:r>
          </w:p>
          <w:p w14:paraId="40537FBB" w14:textId="1198320E"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850)</w:t>
            </w:r>
          </w:p>
        </w:tc>
        <w:tc>
          <w:tcPr>
            <w:tcW w:w="591" w:type="pct"/>
            <w:shd w:val="clear" w:color="auto" w:fill="FFFFFF"/>
            <w:tcMar>
              <w:top w:w="0" w:type="dxa"/>
              <w:left w:w="0" w:type="dxa"/>
              <w:bottom w:w="0" w:type="dxa"/>
              <w:right w:w="0" w:type="dxa"/>
            </w:tcMar>
            <w:vAlign w:val="center"/>
          </w:tcPr>
          <w:p w14:paraId="16C50F71"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1.3 (1.0 - 1.7)</w:t>
            </w:r>
          </w:p>
          <w:p w14:paraId="72DC472D" w14:textId="20EE190D"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418)</w:t>
            </w:r>
          </w:p>
        </w:tc>
        <w:tc>
          <w:tcPr>
            <w:tcW w:w="638" w:type="pct"/>
            <w:shd w:val="clear" w:color="auto" w:fill="FFFFFF"/>
            <w:vAlign w:val="center"/>
          </w:tcPr>
          <w:p w14:paraId="6943C7A2"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1.3 (1.0 - 1.7)</w:t>
            </w:r>
          </w:p>
          <w:p w14:paraId="241DC338" w14:textId="684E8FBB"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334)</w:t>
            </w:r>
          </w:p>
        </w:tc>
        <w:tc>
          <w:tcPr>
            <w:tcW w:w="591" w:type="pct"/>
            <w:shd w:val="clear" w:color="auto" w:fill="FFFFFF"/>
            <w:vAlign w:val="center"/>
          </w:tcPr>
          <w:p w14:paraId="28ECD8C5"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1.2 (1.0 - 1.6)</w:t>
            </w:r>
          </w:p>
          <w:p w14:paraId="6A2F1F6D" w14:textId="2144BD42"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18)</w:t>
            </w:r>
          </w:p>
        </w:tc>
        <w:tc>
          <w:tcPr>
            <w:tcW w:w="552" w:type="pct"/>
            <w:shd w:val="clear" w:color="auto" w:fill="FFFFFF"/>
            <w:vAlign w:val="center"/>
          </w:tcPr>
          <w:p w14:paraId="39AF3963"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1.4 (1.0 - 1.9)</w:t>
            </w:r>
          </w:p>
          <w:p w14:paraId="04ED2BA6" w14:textId="12396FF9"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359)</w:t>
            </w:r>
          </w:p>
        </w:tc>
        <w:tc>
          <w:tcPr>
            <w:tcW w:w="539" w:type="pct"/>
            <w:shd w:val="clear" w:color="auto" w:fill="FFFFFF"/>
            <w:tcMar>
              <w:top w:w="0" w:type="dxa"/>
              <w:left w:w="0" w:type="dxa"/>
              <w:bottom w:w="0" w:type="dxa"/>
              <w:right w:w="0" w:type="dxa"/>
            </w:tcMar>
            <w:vAlign w:val="center"/>
          </w:tcPr>
          <w:p w14:paraId="2CD58133" w14:textId="2AF81A3C"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1.3 (1.0 - 1.7)</w:t>
            </w:r>
          </w:p>
          <w:p w14:paraId="15CA4AE3"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1979)</w:t>
            </w:r>
          </w:p>
        </w:tc>
      </w:tr>
      <w:tr w:rsidR="00236B40" w:rsidRPr="00007908" w14:paraId="6706FD15" w14:textId="77777777" w:rsidTr="00BB21F9">
        <w:trPr>
          <w:gridAfter w:val="1"/>
          <w:wAfter w:w="32" w:type="pct"/>
          <w:cantSplit/>
          <w:trHeight w:val="536"/>
        </w:trPr>
        <w:tc>
          <w:tcPr>
            <w:tcW w:w="1467" w:type="pct"/>
            <w:shd w:val="clear" w:color="auto" w:fill="FFFFFF"/>
            <w:tcMar>
              <w:top w:w="0" w:type="dxa"/>
              <w:left w:w="0" w:type="dxa"/>
              <w:bottom w:w="0" w:type="dxa"/>
              <w:right w:w="0" w:type="dxa"/>
            </w:tcMar>
            <w:vAlign w:val="center"/>
          </w:tcPr>
          <w:p w14:paraId="13C9AFBC"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Creatinine, mg/dL</w:t>
            </w:r>
          </w:p>
        </w:tc>
        <w:tc>
          <w:tcPr>
            <w:tcW w:w="591" w:type="pct"/>
            <w:shd w:val="clear" w:color="auto" w:fill="FFFFFF"/>
            <w:tcMar>
              <w:top w:w="0" w:type="dxa"/>
              <w:left w:w="0" w:type="dxa"/>
              <w:bottom w:w="0" w:type="dxa"/>
              <w:right w:w="0" w:type="dxa"/>
            </w:tcMar>
            <w:vAlign w:val="center"/>
          </w:tcPr>
          <w:p w14:paraId="651D4F96"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0.9 (0.7 - 1.1)</w:t>
            </w:r>
          </w:p>
          <w:p w14:paraId="50D33272" w14:textId="308319B1"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942)</w:t>
            </w:r>
          </w:p>
        </w:tc>
        <w:tc>
          <w:tcPr>
            <w:tcW w:w="591" w:type="pct"/>
            <w:shd w:val="clear" w:color="auto" w:fill="FFFFFF"/>
            <w:tcMar>
              <w:top w:w="0" w:type="dxa"/>
              <w:left w:w="0" w:type="dxa"/>
              <w:bottom w:w="0" w:type="dxa"/>
              <w:right w:w="0" w:type="dxa"/>
            </w:tcMar>
            <w:vAlign w:val="center"/>
          </w:tcPr>
          <w:p w14:paraId="307D59DE"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0.8 (0.7 - 1.1)</w:t>
            </w:r>
          </w:p>
          <w:p w14:paraId="153E0F06" w14:textId="53ED66D3"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479)</w:t>
            </w:r>
          </w:p>
        </w:tc>
        <w:tc>
          <w:tcPr>
            <w:tcW w:w="638" w:type="pct"/>
            <w:shd w:val="clear" w:color="auto" w:fill="FFFFFF"/>
            <w:vAlign w:val="center"/>
          </w:tcPr>
          <w:p w14:paraId="558E89F0"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0.8 (0.7 - 1.1)</w:t>
            </w:r>
          </w:p>
          <w:p w14:paraId="230C810B" w14:textId="584E9B7F"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370)</w:t>
            </w:r>
          </w:p>
        </w:tc>
        <w:tc>
          <w:tcPr>
            <w:tcW w:w="591" w:type="pct"/>
            <w:shd w:val="clear" w:color="auto" w:fill="FFFFFF"/>
            <w:vAlign w:val="center"/>
          </w:tcPr>
          <w:p w14:paraId="5AB032C6"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0.8 (0.7 - 1.2)</w:t>
            </w:r>
          </w:p>
          <w:p w14:paraId="110C60F3" w14:textId="3498B564"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19)</w:t>
            </w:r>
          </w:p>
        </w:tc>
        <w:tc>
          <w:tcPr>
            <w:tcW w:w="552" w:type="pct"/>
            <w:shd w:val="clear" w:color="auto" w:fill="FFFFFF"/>
            <w:vAlign w:val="center"/>
          </w:tcPr>
          <w:p w14:paraId="4089513D"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0.9 (0.7 - 1.2)</w:t>
            </w:r>
          </w:p>
          <w:p w14:paraId="1668420A" w14:textId="6EFE6A53"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404)</w:t>
            </w:r>
          </w:p>
        </w:tc>
        <w:tc>
          <w:tcPr>
            <w:tcW w:w="539" w:type="pct"/>
            <w:shd w:val="clear" w:color="auto" w:fill="FFFFFF"/>
            <w:tcMar>
              <w:top w:w="0" w:type="dxa"/>
              <w:left w:w="0" w:type="dxa"/>
              <w:bottom w:w="0" w:type="dxa"/>
              <w:right w:w="0" w:type="dxa"/>
            </w:tcMar>
            <w:vAlign w:val="center"/>
          </w:tcPr>
          <w:p w14:paraId="22F002C6" w14:textId="792E7B3C"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0.8 (0.7 - 1.1)</w:t>
            </w:r>
          </w:p>
          <w:p w14:paraId="6CA73E1E"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2214)</w:t>
            </w:r>
          </w:p>
        </w:tc>
      </w:tr>
      <w:tr w:rsidR="00236B40" w:rsidRPr="00007908" w14:paraId="219E666D" w14:textId="77777777" w:rsidTr="00BB21F9">
        <w:trPr>
          <w:gridAfter w:val="1"/>
          <w:wAfter w:w="32" w:type="pct"/>
          <w:cantSplit/>
          <w:trHeight w:val="536"/>
        </w:trPr>
        <w:tc>
          <w:tcPr>
            <w:tcW w:w="1467" w:type="pct"/>
            <w:shd w:val="clear" w:color="auto" w:fill="FFFFFF"/>
            <w:tcMar>
              <w:top w:w="0" w:type="dxa"/>
              <w:left w:w="0" w:type="dxa"/>
              <w:bottom w:w="0" w:type="dxa"/>
              <w:right w:w="0" w:type="dxa"/>
            </w:tcMar>
            <w:vAlign w:val="center"/>
          </w:tcPr>
          <w:p w14:paraId="1227F5F5"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Bilirubin, mg/dL</w:t>
            </w:r>
          </w:p>
        </w:tc>
        <w:tc>
          <w:tcPr>
            <w:tcW w:w="591" w:type="pct"/>
            <w:shd w:val="clear" w:color="auto" w:fill="FFFFFF"/>
            <w:tcMar>
              <w:top w:w="0" w:type="dxa"/>
              <w:left w:w="0" w:type="dxa"/>
              <w:bottom w:w="0" w:type="dxa"/>
              <w:right w:w="0" w:type="dxa"/>
            </w:tcMar>
            <w:vAlign w:val="center"/>
          </w:tcPr>
          <w:p w14:paraId="61738089"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0.5 (0.4 - 0.8)</w:t>
            </w:r>
          </w:p>
          <w:p w14:paraId="3588CF16" w14:textId="2717055A"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910)</w:t>
            </w:r>
          </w:p>
        </w:tc>
        <w:tc>
          <w:tcPr>
            <w:tcW w:w="591" w:type="pct"/>
            <w:shd w:val="clear" w:color="auto" w:fill="FFFFFF"/>
            <w:tcMar>
              <w:top w:w="0" w:type="dxa"/>
              <w:left w:w="0" w:type="dxa"/>
              <w:bottom w:w="0" w:type="dxa"/>
              <w:right w:w="0" w:type="dxa"/>
            </w:tcMar>
            <w:vAlign w:val="center"/>
          </w:tcPr>
          <w:p w14:paraId="393511A8"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0.6 (0.4 - 0.8)</w:t>
            </w:r>
          </w:p>
          <w:p w14:paraId="4F8C37A3" w14:textId="43F32A34"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463)</w:t>
            </w:r>
          </w:p>
        </w:tc>
        <w:tc>
          <w:tcPr>
            <w:tcW w:w="638" w:type="pct"/>
            <w:shd w:val="clear" w:color="auto" w:fill="FFFFFF"/>
            <w:vAlign w:val="center"/>
          </w:tcPr>
          <w:p w14:paraId="62A6F45D"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0.6 (0.4 - 0.8)</w:t>
            </w:r>
          </w:p>
          <w:p w14:paraId="039F1BB5" w14:textId="39F98E12"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364)</w:t>
            </w:r>
          </w:p>
        </w:tc>
        <w:tc>
          <w:tcPr>
            <w:tcW w:w="591" w:type="pct"/>
            <w:shd w:val="clear" w:color="auto" w:fill="FFFFFF"/>
            <w:vAlign w:val="center"/>
          </w:tcPr>
          <w:p w14:paraId="35CC0CCD"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0.8 (0.6 - 1.1)</w:t>
            </w:r>
          </w:p>
          <w:p w14:paraId="586C6411" w14:textId="7013DA2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19)</w:t>
            </w:r>
          </w:p>
        </w:tc>
        <w:tc>
          <w:tcPr>
            <w:tcW w:w="552" w:type="pct"/>
            <w:shd w:val="clear" w:color="auto" w:fill="FFFFFF"/>
            <w:vAlign w:val="center"/>
          </w:tcPr>
          <w:p w14:paraId="3141D1D6"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0.5 (0.4 - 0.8)</w:t>
            </w:r>
          </w:p>
          <w:p w14:paraId="5B894403" w14:textId="451BD6EF"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389)</w:t>
            </w:r>
          </w:p>
        </w:tc>
        <w:tc>
          <w:tcPr>
            <w:tcW w:w="539" w:type="pct"/>
            <w:shd w:val="clear" w:color="auto" w:fill="FFFFFF"/>
            <w:tcMar>
              <w:top w:w="0" w:type="dxa"/>
              <w:left w:w="0" w:type="dxa"/>
              <w:bottom w:w="0" w:type="dxa"/>
              <w:right w:w="0" w:type="dxa"/>
            </w:tcMar>
            <w:vAlign w:val="center"/>
          </w:tcPr>
          <w:p w14:paraId="5147C1F5" w14:textId="70D7ED12"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0.6 (0.4 - 0.8)</w:t>
            </w:r>
          </w:p>
          <w:p w14:paraId="48E8AF6B" w14:textId="77777777"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2145)</w:t>
            </w:r>
          </w:p>
        </w:tc>
      </w:tr>
      <w:tr w:rsidR="00236B40" w:rsidRPr="00007908" w14:paraId="52433D21" w14:textId="77777777" w:rsidTr="00BB21F9">
        <w:trPr>
          <w:gridAfter w:val="1"/>
          <w:wAfter w:w="32" w:type="pct"/>
          <w:cantSplit/>
          <w:trHeight w:val="553"/>
        </w:trPr>
        <w:tc>
          <w:tcPr>
            <w:tcW w:w="1467" w:type="pct"/>
            <w:shd w:val="clear" w:color="auto" w:fill="FFFFFF"/>
            <w:tcMar>
              <w:top w:w="0" w:type="dxa"/>
              <w:left w:w="0" w:type="dxa"/>
              <w:bottom w:w="0" w:type="dxa"/>
              <w:right w:w="0" w:type="dxa"/>
            </w:tcMar>
            <w:vAlign w:val="center"/>
          </w:tcPr>
          <w:p w14:paraId="54CC332C"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Received therapies at randomization - n / N (%)</w:t>
            </w:r>
          </w:p>
        </w:tc>
        <w:tc>
          <w:tcPr>
            <w:tcW w:w="591" w:type="pct"/>
            <w:shd w:val="clear" w:color="auto" w:fill="FFFFFF"/>
            <w:tcMar>
              <w:top w:w="0" w:type="dxa"/>
              <w:left w:w="0" w:type="dxa"/>
              <w:bottom w:w="0" w:type="dxa"/>
              <w:right w:w="0" w:type="dxa"/>
            </w:tcMar>
            <w:vAlign w:val="center"/>
          </w:tcPr>
          <w:p w14:paraId="366DCECB" w14:textId="77777777" w:rsidR="00236B40" w:rsidRPr="00007908" w:rsidRDefault="00236B40" w:rsidP="00507544">
            <w:pPr>
              <w:jc w:val="center"/>
              <w:rPr>
                <w:rFonts w:asciiTheme="minorHAnsi" w:hAnsiTheme="minorHAnsi" w:cstheme="majorHAnsi"/>
                <w:sz w:val="18"/>
                <w:szCs w:val="18"/>
                <w:lang w:val="en-US"/>
              </w:rPr>
            </w:pPr>
          </w:p>
        </w:tc>
        <w:tc>
          <w:tcPr>
            <w:tcW w:w="591" w:type="pct"/>
            <w:shd w:val="clear" w:color="auto" w:fill="FFFFFF"/>
            <w:tcMar>
              <w:top w:w="0" w:type="dxa"/>
              <w:left w:w="0" w:type="dxa"/>
              <w:bottom w:w="0" w:type="dxa"/>
              <w:right w:w="0" w:type="dxa"/>
            </w:tcMar>
            <w:vAlign w:val="center"/>
          </w:tcPr>
          <w:p w14:paraId="2DA30303" w14:textId="77777777" w:rsidR="00236B40" w:rsidRPr="00007908" w:rsidRDefault="00236B40" w:rsidP="00507544">
            <w:pPr>
              <w:jc w:val="center"/>
              <w:rPr>
                <w:rFonts w:asciiTheme="minorHAnsi" w:hAnsiTheme="minorHAnsi" w:cstheme="majorHAnsi"/>
                <w:sz w:val="18"/>
                <w:szCs w:val="18"/>
                <w:lang w:val="en-US"/>
              </w:rPr>
            </w:pPr>
          </w:p>
        </w:tc>
        <w:tc>
          <w:tcPr>
            <w:tcW w:w="638" w:type="pct"/>
            <w:shd w:val="clear" w:color="auto" w:fill="FFFFFF"/>
            <w:vAlign w:val="center"/>
          </w:tcPr>
          <w:p w14:paraId="61B74595" w14:textId="77777777" w:rsidR="00236B40" w:rsidRPr="00007908" w:rsidRDefault="00236B40" w:rsidP="00507544">
            <w:pPr>
              <w:jc w:val="center"/>
              <w:rPr>
                <w:rFonts w:asciiTheme="minorHAnsi" w:hAnsiTheme="minorHAnsi" w:cstheme="majorHAnsi"/>
                <w:sz w:val="18"/>
                <w:szCs w:val="18"/>
                <w:lang w:val="en-US"/>
              </w:rPr>
            </w:pPr>
          </w:p>
        </w:tc>
        <w:tc>
          <w:tcPr>
            <w:tcW w:w="591" w:type="pct"/>
            <w:shd w:val="clear" w:color="auto" w:fill="FFFFFF"/>
            <w:vAlign w:val="center"/>
          </w:tcPr>
          <w:p w14:paraId="4EF54782" w14:textId="77777777" w:rsidR="00236B40" w:rsidRPr="00007908" w:rsidRDefault="00236B40" w:rsidP="00507544">
            <w:pPr>
              <w:jc w:val="center"/>
              <w:rPr>
                <w:rFonts w:asciiTheme="minorHAnsi" w:hAnsiTheme="minorHAnsi" w:cstheme="majorHAnsi"/>
                <w:sz w:val="18"/>
                <w:szCs w:val="18"/>
                <w:lang w:val="en-US"/>
              </w:rPr>
            </w:pPr>
          </w:p>
        </w:tc>
        <w:tc>
          <w:tcPr>
            <w:tcW w:w="552" w:type="pct"/>
            <w:shd w:val="clear" w:color="auto" w:fill="FFFFFF"/>
            <w:vAlign w:val="center"/>
          </w:tcPr>
          <w:p w14:paraId="5C5E2414" w14:textId="77777777" w:rsidR="00236B40" w:rsidRPr="00007908" w:rsidRDefault="00236B40" w:rsidP="00507544">
            <w:pPr>
              <w:jc w:val="center"/>
              <w:rPr>
                <w:rFonts w:asciiTheme="minorHAnsi" w:hAnsiTheme="minorHAnsi" w:cstheme="majorHAnsi"/>
                <w:sz w:val="18"/>
                <w:szCs w:val="18"/>
                <w:lang w:val="en-US"/>
              </w:rPr>
            </w:pPr>
          </w:p>
        </w:tc>
        <w:tc>
          <w:tcPr>
            <w:tcW w:w="539" w:type="pct"/>
            <w:shd w:val="clear" w:color="auto" w:fill="FFFFFF"/>
            <w:tcMar>
              <w:top w:w="0" w:type="dxa"/>
              <w:left w:w="0" w:type="dxa"/>
              <w:bottom w:w="0" w:type="dxa"/>
              <w:right w:w="0" w:type="dxa"/>
            </w:tcMar>
            <w:vAlign w:val="center"/>
          </w:tcPr>
          <w:p w14:paraId="32C53306" w14:textId="1B6362D8" w:rsidR="00236B40" w:rsidRPr="00007908" w:rsidRDefault="00236B40" w:rsidP="00507544">
            <w:pPr>
              <w:jc w:val="center"/>
              <w:rPr>
                <w:rFonts w:asciiTheme="minorHAnsi" w:hAnsiTheme="minorHAnsi" w:cstheme="majorHAnsi"/>
                <w:sz w:val="18"/>
                <w:szCs w:val="18"/>
                <w:lang w:val="en-US"/>
              </w:rPr>
            </w:pPr>
          </w:p>
        </w:tc>
      </w:tr>
      <w:tr w:rsidR="00236B40" w:rsidRPr="00007908" w14:paraId="72836C29" w14:textId="77777777" w:rsidTr="00BB21F9">
        <w:trPr>
          <w:gridAfter w:val="1"/>
          <w:wAfter w:w="32" w:type="pct"/>
          <w:cantSplit/>
          <w:trHeight w:val="268"/>
        </w:trPr>
        <w:tc>
          <w:tcPr>
            <w:tcW w:w="1467" w:type="pct"/>
            <w:shd w:val="clear" w:color="auto" w:fill="FFFFFF"/>
            <w:tcMar>
              <w:top w:w="0" w:type="dxa"/>
              <w:left w:w="0" w:type="dxa"/>
              <w:bottom w:w="0" w:type="dxa"/>
              <w:right w:w="0" w:type="dxa"/>
            </w:tcMar>
            <w:vAlign w:val="center"/>
          </w:tcPr>
          <w:p w14:paraId="788CED8E"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Steroids</w:t>
            </w:r>
          </w:p>
        </w:tc>
        <w:tc>
          <w:tcPr>
            <w:tcW w:w="591" w:type="pct"/>
            <w:shd w:val="clear" w:color="auto" w:fill="FFFFFF"/>
            <w:tcMar>
              <w:top w:w="0" w:type="dxa"/>
              <w:left w:w="0" w:type="dxa"/>
              <w:bottom w:w="0" w:type="dxa"/>
              <w:right w:w="0" w:type="dxa"/>
            </w:tcMar>
            <w:vAlign w:val="center"/>
          </w:tcPr>
          <w:p w14:paraId="12BF2C03" w14:textId="44A50786"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770 / 938 (82.1)</w:t>
            </w:r>
          </w:p>
        </w:tc>
        <w:tc>
          <w:tcPr>
            <w:tcW w:w="591" w:type="pct"/>
            <w:shd w:val="clear" w:color="auto" w:fill="FFFFFF"/>
            <w:tcMar>
              <w:top w:w="0" w:type="dxa"/>
              <w:left w:w="0" w:type="dxa"/>
              <w:bottom w:w="0" w:type="dxa"/>
              <w:right w:w="0" w:type="dxa"/>
            </w:tcMar>
            <w:vAlign w:val="center"/>
          </w:tcPr>
          <w:p w14:paraId="4B081FF1" w14:textId="0A1E752D"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422 / 472 (89.4)</w:t>
            </w:r>
          </w:p>
        </w:tc>
        <w:tc>
          <w:tcPr>
            <w:tcW w:w="638" w:type="pct"/>
            <w:shd w:val="clear" w:color="auto" w:fill="FFFFFF"/>
            <w:vAlign w:val="center"/>
          </w:tcPr>
          <w:p w14:paraId="11BE4AE1" w14:textId="4D81FC7D"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317 / 369 (85.9)</w:t>
            </w:r>
          </w:p>
        </w:tc>
        <w:tc>
          <w:tcPr>
            <w:tcW w:w="591" w:type="pct"/>
            <w:shd w:val="clear" w:color="auto" w:fill="FFFFFF"/>
            <w:vAlign w:val="center"/>
          </w:tcPr>
          <w:p w14:paraId="4C4B438C" w14:textId="0EC029A5"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11 / 19 (57.9)</w:t>
            </w:r>
          </w:p>
        </w:tc>
        <w:tc>
          <w:tcPr>
            <w:tcW w:w="552" w:type="pct"/>
            <w:shd w:val="clear" w:color="auto" w:fill="FFFFFF"/>
            <w:vAlign w:val="center"/>
          </w:tcPr>
          <w:p w14:paraId="2C9275F7" w14:textId="581160A5"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269 / 402 (66.9)</w:t>
            </w:r>
          </w:p>
        </w:tc>
        <w:tc>
          <w:tcPr>
            <w:tcW w:w="539" w:type="pct"/>
            <w:shd w:val="clear" w:color="auto" w:fill="FFFFFF"/>
            <w:tcMar>
              <w:top w:w="0" w:type="dxa"/>
              <w:left w:w="0" w:type="dxa"/>
              <w:bottom w:w="0" w:type="dxa"/>
              <w:right w:w="0" w:type="dxa"/>
            </w:tcMar>
            <w:vAlign w:val="center"/>
          </w:tcPr>
          <w:p w14:paraId="7E6B3955" w14:textId="2B2A410F"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1789 / 2200 (81.3)</w:t>
            </w:r>
          </w:p>
        </w:tc>
      </w:tr>
      <w:tr w:rsidR="00236B40" w:rsidRPr="00007908" w14:paraId="05B0F1A2" w14:textId="77777777" w:rsidTr="00BB21F9">
        <w:trPr>
          <w:gridAfter w:val="1"/>
          <w:wAfter w:w="32" w:type="pct"/>
          <w:cantSplit/>
          <w:trHeight w:val="268"/>
        </w:trPr>
        <w:tc>
          <w:tcPr>
            <w:tcW w:w="1467" w:type="pct"/>
            <w:shd w:val="clear" w:color="auto" w:fill="FFFFFF"/>
            <w:tcMar>
              <w:top w:w="0" w:type="dxa"/>
              <w:left w:w="0" w:type="dxa"/>
              <w:bottom w:w="0" w:type="dxa"/>
              <w:right w:w="0" w:type="dxa"/>
            </w:tcMar>
            <w:vAlign w:val="center"/>
          </w:tcPr>
          <w:p w14:paraId="36D94B85" w14:textId="77777777" w:rsidR="00236B40" w:rsidRPr="00007908" w:rsidRDefault="00236B40"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Remdesivir</w:t>
            </w:r>
          </w:p>
        </w:tc>
        <w:tc>
          <w:tcPr>
            <w:tcW w:w="591" w:type="pct"/>
            <w:shd w:val="clear" w:color="auto" w:fill="FFFFFF"/>
            <w:tcMar>
              <w:top w:w="0" w:type="dxa"/>
              <w:left w:w="0" w:type="dxa"/>
              <w:bottom w:w="0" w:type="dxa"/>
              <w:right w:w="0" w:type="dxa"/>
            </w:tcMar>
            <w:vAlign w:val="center"/>
          </w:tcPr>
          <w:p w14:paraId="42A3FDDD" w14:textId="7D0A576F"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272 / 938 (29.0)</w:t>
            </w:r>
          </w:p>
        </w:tc>
        <w:tc>
          <w:tcPr>
            <w:tcW w:w="591" w:type="pct"/>
            <w:shd w:val="clear" w:color="auto" w:fill="FFFFFF"/>
            <w:tcMar>
              <w:top w:w="0" w:type="dxa"/>
              <w:left w:w="0" w:type="dxa"/>
              <w:bottom w:w="0" w:type="dxa"/>
              <w:right w:w="0" w:type="dxa"/>
            </w:tcMar>
            <w:vAlign w:val="center"/>
          </w:tcPr>
          <w:p w14:paraId="284ED896" w14:textId="10C93BE2"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140 / 472 (29.7)</w:t>
            </w:r>
          </w:p>
        </w:tc>
        <w:tc>
          <w:tcPr>
            <w:tcW w:w="638" w:type="pct"/>
            <w:shd w:val="clear" w:color="auto" w:fill="FFFFFF"/>
            <w:vAlign w:val="center"/>
          </w:tcPr>
          <w:p w14:paraId="73D7A90A" w14:textId="130AF8A3"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109 / 369 (29.5)</w:t>
            </w:r>
          </w:p>
        </w:tc>
        <w:tc>
          <w:tcPr>
            <w:tcW w:w="591" w:type="pct"/>
            <w:shd w:val="clear" w:color="auto" w:fill="FFFFFF"/>
            <w:vAlign w:val="center"/>
          </w:tcPr>
          <w:p w14:paraId="337CC777" w14:textId="26F14D26"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3 / 19 (15.8)</w:t>
            </w:r>
          </w:p>
        </w:tc>
        <w:tc>
          <w:tcPr>
            <w:tcW w:w="552" w:type="pct"/>
            <w:shd w:val="clear" w:color="auto" w:fill="FFFFFF"/>
            <w:vAlign w:val="center"/>
          </w:tcPr>
          <w:p w14:paraId="4AE335F0" w14:textId="2DB58145"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105 / 402 (26.1)</w:t>
            </w:r>
          </w:p>
        </w:tc>
        <w:tc>
          <w:tcPr>
            <w:tcW w:w="539" w:type="pct"/>
            <w:shd w:val="clear" w:color="auto" w:fill="FFFFFF"/>
            <w:tcMar>
              <w:top w:w="0" w:type="dxa"/>
              <w:left w:w="0" w:type="dxa"/>
              <w:bottom w:w="0" w:type="dxa"/>
              <w:right w:w="0" w:type="dxa"/>
            </w:tcMar>
            <w:vAlign w:val="center"/>
          </w:tcPr>
          <w:p w14:paraId="54FCEA2F" w14:textId="411DF5F2" w:rsidR="00236B40" w:rsidRPr="00007908" w:rsidRDefault="00236B40"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629 / 2200 (28.6)</w:t>
            </w:r>
          </w:p>
        </w:tc>
      </w:tr>
    </w:tbl>
    <w:p w14:paraId="19921389" w14:textId="77777777" w:rsidR="00A26B2D" w:rsidRDefault="00A26B2D" w:rsidP="00A26B2D">
      <w:pPr>
        <w:rPr>
          <w:rFonts w:asciiTheme="majorHAnsi" w:hAnsiTheme="majorHAnsi" w:cstheme="majorHAnsi"/>
          <w:sz w:val="18"/>
          <w:szCs w:val="18"/>
          <w:lang w:val="en-US"/>
        </w:rPr>
      </w:pPr>
    </w:p>
    <w:p w14:paraId="405B8DD4" w14:textId="5424C22E" w:rsidR="00A26B2D" w:rsidRPr="00236B40" w:rsidRDefault="00A26B2D" w:rsidP="00236B40">
      <w:pPr>
        <w:rPr>
          <w:rFonts w:asciiTheme="majorHAnsi" w:hAnsiTheme="majorHAnsi" w:cstheme="majorHAnsi"/>
          <w:sz w:val="16"/>
          <w:szCs w:val="16"/>
          <w:lang w:val="en-US"/>
        </w:rPr>
      </w:pPr>
      <w:r w:rsidRPr="00236B40">
        <w:rPr>
          <w:rFonts w:asciiTheme="majorHAnsi" w:hAnsiTheme="majorHAnsi" w:cstheme="majorHAnsi"/>
          <w:sz w:val="16"/>
          <w:szCs w:val="16"/>
          <w:lang w:val="en-US"/>
        </w:rPr>
        <w:t xml:space="preserve">* Percentages may not sum to 100 because of rounding. </w:t>
      </w:r>
      <w:r w:rsidR="00A3756A" w:rsidRPr="00A3756A">
        <w:rPr>
          <w:rFonts w:asciiTheme="majorHAnsi" w:hAnsiTheme="majorHAnsi" w:cstheme="majorHAnsi"/>
          <w:sz w:val="16"/>
          <w:szCs w:val="16"/>
          <w:lang w:val="en-US"/>
        </w:rPr>
        <w:t>SD denotes standard deviation; APACHE, Acute Physiology and Chronic Health Evaluation;  SARS-CoV-2, Severe Acute Respiratory Syndrome Coronavirus; ICU, intensive care unit; COPD, chronic obstructive pulmonary disease; IQR, interquartile range; ECMO, extracorporeal membrane oxygenation.</w:t>
      </w:r>
    </w:p>
    <w:p w14:paraId="135CD6F5" w14:textId="77777777" w:rsidR="00A26B2D" w:rsidRPr="00236B40" w:rsidRDefault="00A26B2D" w:rsidP="00236B40">
      <w:pPr>
        <w:rPr>
          <w:rFonts w:asciiTheme="majorHAnsi" w:hAnsiTheme="majorHAnsi" w:cstheme="majorHAnsi"/>
          <w:sz w:val="16"/>
          <w:szCs w:val="16"/>
          <w:lang w:val="en-US"/>
        </w:rPr>
      </w:pPr>
      <w:r w:rsidRPr="00236B40">
        <w:rPr>
          <w:rFonts w:asciiTheme="majorHAnsi" w:hAnsiTheme="majorHAnsi" w:cstheme="majorHAnsi"/>
          <w:sz w:val="16"/>
          <w:szCs w:val="16"/>
          <w:vertAlign w:val="superscript"/>
          <w:lang w:val="en-US"/>
        </w:rPr>
        <w:t>a</w:t>
      </w:r>
      <w:r w:rsidRPr="00236B40">
        <w:rPr>
          <w:rFonts w:asciiTheme="majorHAnsi" w:hAnsiTheme="majorHAnsi" w:cstheme="majorHAnsi"/>
          <w:sz w:val="16"/>
          <w:szCs w:val="16"/>
          <w:lang w:val="en-US"/>
        </w:rPr>
        <w:t xml:space="preserve"> Data collection not approved in Canada and continental Europe. “Other” includes “declined” and “multiple”. </w:t>
      </w:r>
    </w:p>
    <w:p w14:paraId="6BAF3FC8" w14:textId="77777777" w:rsidR="00A26B2D" w:rsidRPr="00236B40" w:rsidRDefault="00A26B2D" w:rsidP="00236B40">
      <w:pPr>
        <w:rPr>
          <w:rFonts w:asciiTheme="majorHAnsi" w:hAnsiTheme="majorHAnsi" w:cstheme="majorHAnsi"/>
          <w:sz w:val="16"/>
          <w:szCs w:val="16"/>
          <w:lang w:val="en-US"/>
        </w:rPr>
      </w:pPr>
      <w:r w:rsidRPr="00236B40">
        <w:rPr>
          <w:rFonts w:asciiTheme="majorHAnsi" w:hAnsiTheme="majorHAnsi" w:cstheme="majorHAnsi"/>
          <w:sz w:val="16"/>
          <w:szCs w:val="16"/>
          <w:vertAlign w:val="superscript"/>
          <w:lang w:val="en-US"/>
        </w:rPr>
        <w:t>b</w:t>
      </w:r>
      <w:r w:rsidRPr="00236B40">
        <w:rPr>
          <w:rFonts w:asciiTheme="majorHAnsi" w:hAnsiTheme="majorHAnsi" w:cstheme="majorHAnsi"/>
          <w:sz w:val="16"/>
          <w:szCs w:val="16"/>
          <w:lang w:val="en-US"/>
        </w:rPr>
        <w:t xml:space="preserve"> Body-mass index is the weight in kilograms divided by the square of the height in meters.</w:t>
      </w:r>
    </w:p>
    <w:p w14:paraId="3D2EC023" w14:textId="77777777" w:rsidR="00A26B2D" w:rsidRPr="00236B40" w:rsidRDefault="00A26B2D" w:rsidP="00236B40">
      <w:pPr>
        <w:rPr>
          <w:rFonts w:asciiTheme="majorHAnsi" w:hAnsiTheme="majorHAnsi" w:cstheme="majorHAnsi"/>
          <w:sz w:val="16"/>
          <w:szCs w:val="16"/>
          <w:lang w:val="en-US"/>
        </w:rPr>
      </w:pPr>
      <w:r w:rsidRPr="00236B40">
        <w:rPr>
          <w:rFonts w:asciiTheme="majorHAnsi" w:hAnsiTheme="majorHAnsi" w:cstheme="majorHAnsi"/>
          <w:sz w:val="16"/>
          <w:szCs w:val="16"/>
          <w:vertAlign w:val="superscript"/>
          <w:lang w:val="en-US"/>
        </w:rPr>
        <w:t>c</w:t>
      </w:r>
      <w:r w:rsidRPr="00236B40">
        <w:rPr>
          <w:rFonts w:asciiTheme="majorHAnsi" w:hAnsiTheme="majorHAnsi" w:cstheme="majorHAnsi"/>
          <w:sz w:val="16"/>
          <w:szCs w:val="16"/>
          <w:lang w:val="en-US"/>
        </w:rPr>
        <w:t xml:space="preserve"> Range 0 to 71, with higher scores indicating greater severity of illness.</w:t>
      </w:r>
    </w:p>
    <w:p w14:paraId="458DC885" w14:textId="77777777" w:rsidR="00A26B2D" w:rsidRPr="00236B40" w:rsidRDefault="00A26B2D" w:rsidP="00236B40">
      <w:pPr>
        <w:rPr>
          <w:rFonts w:asciiTheme="majorHAnsi" w:hAnsiTheme="majorHAnsi" w:cstheme="majorHAnsi"/>
          <w:sz w:val="16"/>
          <w:szCs w:val="16"/>
          <w:lang w:val="en-US"/>
        </w:rPr>
      </w:pPr>
      <w:r w:rsidRPr="00236B40">
        <w:rPr>
          <w:rFonts w:asciiTheme="majorHAnsi" w:hAnsiTheme="majorHAnsi" w:cstheme="majorHAnsi"/>
          <w:sz w:val="16"/>
          <w:szCs w:val="16"/>
          <w:vertAlign w:val="superscript"/>
          <w:lang w:val="en-US"/>
        </w:rPr>
        <w:t>d</w:t>
      </w:r>
      <w:r w:rsidRPr="00236B40">
        <w:rPr>
          <w:rFonts w:asciiTheme="majorHAnsi" w:hAnsiTheme="majorHAnsi" w:cstheme="majorHAnsi"/>
          <w:sz w:val="16"/>
          <w:szCs w:val="16"/>
          <w:lang w:val="en-US"/>
        </w:rPr>
        <w:t xml:space="preserve"> SARS-CoV2 infection was confirmed by respiratory tract polymerase chain reaction test.</w:t>
      </w:r>
    </w:p>
    <w:p w14:paraId="6B526CEE" w14:textId="77777777" w:rsidR="00A26B2D" w:rsidRPr="00236B40" w:rsidRDefault="00A26B2D" w:rsidP="00236B40">
      <w:pPr>
        <w:rPr>
          <w:rFonts w:asciiTheme="majorHAnsi" w:hAnsiTheme="majorHAnsi" w:cstheme="majorHAnsi"/>
          <w:sz w:val="16"/>
          <w:szCs w:val="16"/>
          <w:lang w:val="en-US"/>
        </w:rPr>
      </w:pPr>
      <w:r w:rsidRPr="00236B40">
        <w:rPr>
          <w:rFonts w:asciiTheme="majorHAnsi" w:hAnsiTheme="majorHAnsi" w:cstheme="majorHAnsi"/>
          <w:sz w:val="16"/>
          <w:szCs w:val="16"/>
          <w:vertAlign w:val="superscript"/>
          <w:lang w:val="en-US"/>
        </w:rPr>
        <w:t>e</w:t>
      </w:r>
      <w:r w:rsidRPr="00236B40">
        <w:rPr>
          <w:rFonts w:asciiTheme="majorHAnsi" w:hAnsiTheme="majorHAnsi" w:cstheme="majorHAnsi"/>
          <w:sz w:val="16"/>
          <w:szCs w:val="16"/>
          <w:lang w:val="en-US"/>
        </w:rPr>
        <w:t xml:space="preserve"> Range 3 to 15, with higher scores indicating greater consciousness, using values closest to randomization but prior to the use of sedative agents.  </w:t>
      </w:r>
    </w:p>
    <w:p w14:paraId="3BEF3CEB" w14:textId="5429E5C3" w:rsidR="003E57B8" w:rsidRPr="00236B40" w:rsidRDefault="00A26B2D" w:rsidP="00236B40">
      <w:pPr>
        <w:rPr>
          <w:rFonts w:asciiTheme="majorHAnsi" w:hAnsiTheme="majorHAnsi" w:cstheme="majorHAnsi"/>
          <w:sz w:val="16"/>
          <w:szCs w:val="16"/>
          <w:lang w:val="en-US"/>
        </w:rPr>
      </w:pPr>
      <w:r w:rsidRPr="00236B40">
        <w:rPr>
          <w:rFonts w:asciiTheme="majorHAnsi" w:hAnsiTheme="majorHAnsi" w:cstheme="majorHAnsi"/>
          <w:sz w:val="16"/>
          <w:szCs w:val="16"/>
          <w:vertAlign w:val="superscript"/>
          <w:lang w:val="en-US"/>
        </w:rPr>
        <w:t>f</w:t>
      </w:r>
      <w:r w:rsidRPr="00236B40">
        <w:rPr>
          <w:rFonts w:asciiTheme="majorHAnsi" w:hAnsiTheme="majorHAnsi" w:cstheme="majorHAnsi"/>
          <w:sz w:val="16"/>
          <w:szCs w:val="16"/>
          <w:lang w:val="en-US"/>
        </w:rPr>
        <w:t xml:space="preserve"> Values were from the sample collected closest to randomization, up to 8 hours prior to randomization. If no samples were collected up to 8 hours prior to time of randomization, the sample collected closest to the time of randomization up to 2 hours after randomization was used (other than PaO</w:t>
      </w:r>
      <w:r w:rsidRPr="00236B40">
        <w:rPr>
          <w:rFonts w:asciiTheme="majorHAnsi" w:hAnsiTheme="majorHAnsi" w:cstheme="majorHAnsi"/>
          <w:sz w:val="16"/>
          <w:szCs w:val="16"/>
          <w:vertAlign w:val="subscript"/>
          <w:lang w:val="en-US"/>
        </w:rPr>
        <w:t>2</w:t>
      </w:r>
      <w:r w:rsidRPr="00236B40">
        <w:rPr>
          <w:rFonts w:asciiTheme="majorHAnsi" w:hAnsiTheme="majorHAnsi" w:cstheme="majorHAnsi"/>
          <w:sz w:val="16"/>
          <w:szCs w:val="16"/>
          <w:lang w:val="en-US"/>
        </w:rPr>
        <w:t xml:space="preserve"> / FiO</w:t>
      </w:r>
      <w:r w:rsidRPr="00236B40">
        <w:rPr>
          <w:rFonts w:asciiTheme="majorHAnsi" w:hAnsiTheme="majorHAnsi" w:cstheme="majorHAnsi"/>
          <w:sz w:val="16"/>
          <w:szCs w:val="16"/>
          <w:vertAlign w:val="subscript"/>
          <w:lang w:val="en-US"/>
        </w:rPr>
        <w:t>2</w:t>
      </w:r>
      <w:r w:rsidRPr="00236B40">
        <w:rPr>
          <w:rFonts w:asciiTheme="majorHAnsi" w:hAnsiTheme="majorHAnsi" w:cstheme="majorHAnsi"/>
          <w:sz w:val="16"/>
          <w:szCs w:val="16"/>
          <w:lang w:val="en-US"/>
        </w:rPr>
        <w:t xml:space="preserve"> which was a pre-randomization value only)</w:t>
      </w:r>
    </w:p>
    <w:p w14:paraId="6400D6C4" w14:textId="77777777" w:rsidR="003E57B8" w:rsidRPr="003E57B8" w:rsidRDefault="003E57B8" w:rsidP="009C2A20">
      <w:pPr>
        <w:spacing w:line="360" w:lineRule="auto"/>
        <w:rPr>
          <w:rFonts w:asciiTheme="majorHAnsi" w:hAnsiTheme="majorHAnsi" w:cstheme="majorHAnsi"/>
          <w:sz w:val="22"/>
          <w:szCs w:val="22"/>
          <w:lang w:val="en-US"/>
        </w:rPr>
      </w:pPr>
    </w:p>
    <w:tbl>
      <w:tblPr>
        <w:tblW w:w="5000" w:type="pct"/>
        <w:tblLook w:val="0420" w:firstRow="1" w:lastRow="0" w:firstColumn="0" w:lastColumn="0" w:noHBand="0" w:noVBand="1"/>
      </w:tblPr>
      <w:tblGrid>
        <w:gridCol w:w="2589"/>
        <w:gridCol w:w="2143"/>
        <w:gridCol w:w="2143"/>
        <w:gridCol w:w="2145"/>
      </w:tblGrid>
      <w:tr w:rsidR="002E372F" w:rsidRPr="00007908" w14:paraId="74D086CD" w14:textId="77777777" w:rsidTr="00BB21F9">
        <w:trPr>
          <w:cantSplit/>
          <w:tblHeader/>
        </w:trPr>
        <w:tc>
          <w:tcPr>
            <w:tcW w:w="5000" w:type="pct"/>
            <w:gridSpan w:val="4"/>
            <w:tcBorders>
              <w:top w:val="single" w:sz="12" w:space="0" w:color="auto"/>
            </w:tcBorders>
            <w:shd w:val="clear" w:color="auto" w:fill="FFFFFF"/>
            <w:tcMar>
              <w:top w:w="0" w:type="dxa"/>
              <w:left w:w="0" w:type="dxa"/>
              <w:bottom w:w="0" w:type="dxa"/>
              <w:right w:w="0" w:type="dxa"/>
            </w:tcMar>
            <w:vAlign w:val="center"/>
          </w:tcPr>
          <w:p w14:paraId="272C9804" w14:textId="23FF73B3" w:rsidR="002E372F" w:rsidRPr="00007908" w:rsidRDefault="002E372F" w:rsidP="00CD62D3">
            <w:pPr>
              <w:rPr>
                <w:rFonts w:asciiTheme="minorHAnsi" w:hAnsiTheme="minorHAnsi" w:cstheme="majorHAnsi"/>
                <w:b/>
                <w:bCs/>
                <w:sz w:val="18"/>
                <w:szCs w:val="18"/>
                <w:lang w:val="en-US"/>
              </w:rPr>
            </w:pPr>
            <w:r>
              <w:rPr>
                <w:rFonts w:asciiTheme="minorHAnsi" w:hAnsiTheme="minorHAnsi" w:cstheme="majorHAnsi"/>
                <w:b/>
                <w:bCs/>
                <w:sz w:val="18"/>
                <w:szCs w:val="18"/>
                <w:lang w:val="en-US"/>
              </w:rPr>
              <w:t>Table S1b</w:t>
            </w:r>
            <w:r w:rsidRPr="00007908">
              <w:rPr>
                <w:rFonts w:asciiTheme="minorHAnsi" w:hAnsiTheme="minorHAnsi" w:cstheme="majorHAnsi"/>
                <w:b/>
                <w:bCs/>
                <w:sz w:val="18"/>
                <w:szCs w:val="18"/>
                <w:lang w:val="en-US"/>
              </w:rPr>
              <w:t>. Participant Cha</w:t>
            </w:r>
            <w:r>
              <w:rPr>
                <w:rFonts w:asciiTheme="minorHAnsi" w:hAnsiTheme="minorHAnsi" w:cstheme="majorHAnsi"/>
                <w:b/>
                <w:bCs/>
                <w:sz w:val="18"/>
                <w:szCs w:val="18"/>
                <w:lang w:val="en-US"/>
              </w:rPr>
              <w:t>racteristics at Baseline (Moderate</w:t>
            </w:r>
            <w:r w:rsidRPr="00007908">
              <w:rPr>
                <w:rFonts w:asciiTheme="minorHAnsi" w:hAnsiTheme="minorHAnsi" w:cstheme="majorHAnsi"/>
                <w:b/>
                <w:bCs/>
                <w:sz w:val="18"/>
                <w:szCs w:val="18"/>
                <w:lang w:val="en-US"/>
              </w:rPr>
              <w:t xml:space="preserve"> State)*</w:t>
            </w:r>
          </w:p>
        </w:tc>
      </w:tr>
      <w:tr w:rsidR="002E372F" w:rsidRPr="00007908" w14:paraId="3B973DC9" w14:textId="77777777" w:rsidTr="00BB21F9">
        <w:trPr>
          <w:cantSplit/>
          <w:tblHeader/>
        </w:trPr>
        <w:tc>
          <w:tcPr>
            <w:tcW w:w="1435" w:type="pct"/>
            <w:tcBorders>
              <w:top w:val="single" w:sz="12" w:space="0" w:color="auto"/>
            </w:tcBorders>
            <w:shd w:val="clear" w:color="auto" w:fill="FFFFFF"/>
            <w:tcMar>
              <w:top w:w="0" w:type="dxa"/>
              <w:left w:w="0" w:type="dxa"/>
              <w:bottom w:w="0" w:type="dxa"/>
              <w:right w:w="0" w:type="dxa"/>
            </w:tcMar>
          </w:tcPr>
          <w:p w14:paraId="5F54DF7F" w14:textId="77777777" w:rsidR="002E372F" w:rsidRPr="00007908" w:rsidRDefault="002E372F" w:rsidP="002E372F">
            <w:pPr>
              <w:rPr>
                <w:rFonts w:asciiTheme="minorHAnsi" w:hAnsiTheme="minorHAnsi" w:cstheme="majorHAnsi"/>
                <w:sz w:val="18"/>
                <w:szCs w:val="18"/>
                <w:lang w:val="en-US"/>
              </w:rPr>
            </w:pPr>
          </w:p>
        </w:tc>
        <w:tc>
          <w:tcPr>
            <w:tcW w:w="1188" w:type="pct"/>
            <w:tcBorders>
              <w:top w:val="single" w:sz="12" w:space="0" w:color="auto"/>
              <w:bottom w:val="single" w:sz="4" w:space="0" w:color="auto"/>
            </w:tcBorders>
            <w:shd w:val="clear" w:color="auto" w:fill="FFFFFF"/>
          </w:tcPr>
          <w:p w14:paraId="560EE653" w14:textId="77777777" w:rsidR="002E372F" w:rsidRPr="00007908" w:rsidRDefault="002E372F" w:rsidP="002E372F">
            <w:pPr>
              <w:jc w:val="center"/>
              <w:rPr>
                <w:rFonts w:asciiTheme="minorHAnsi" w:hAnsiTheme="minorHAnsi" w:cstheme="majorHAnsi"/>
                <w:b/>
                <w:bCs/>
                <w:sz w:val="18"/>
                <w:szCs w:val="18"/>
                <w:lang w:val="en-US"/>
              </w:rPr>
            </w:pPr>
            <w:r w:rsidRPr="00007908">
              <w:rPr>
                <w:rFonts w:asciiTheme="minorHAnsi" w:hAnsiTheme="minorHAnsi" w:cstheme="majorHAnsi"/>
                <w:b/>
                <w:bCs/>
                <w:sz w:val="18"/>
                <w:szCs w:val="18"/>
                <w:lang w:val="en-US"/>
              </w:rPr>
              <w:t>Control</w:t>
            </w:r>
          </w:p>
          <w:p w14:paraId="14A6DA2B" w14:textId="10EFBA4C" w:rsidR="002E372F" w:rsidRPr="00007908" w:rsidRDefault="002E372F" w:rsidP="002E372F">
            <w:pPr>
              <w:jc w:val="center"/>
              <w:rPr>
                <w:rFonts w:asciiTheme="minorHAnsi" w:hAnsiTheme="minorHAnsi" w:cstheme="majorHAnsi"/>
                <w:b/>
                <w:bCs/>
                <w:sz w:val="18"/>
                <w:szCs w:val="18"/>
                <w:lang w:val="en-US"/>
              </w:rPr>
            </w:pPr>
            <w:r w:rsidRPr="00007908">
              <w:rPr>
                <w:rFonts w:asciiTheme="minorHAnsi" w:hAnsiTheme="minorHAnsi" w:cstheme="majorHAnsi"/>
                <w:b/>
                <w:bCs/>
                <w:sz w:val="18"/>
                <w:szCs w:val="18"/>
                <w:lang w:val="en-US"/>
              </w:rPr>
              <w:t>(</w:t>
            </w:r>
            <w:r w:rsidRPr="00007908">
              <w:rPr>
                <w:rFonts w:asciiTheme="minorHAnsi" w:hAnsiTheme="minorHAnsi" w:cstheme="majorHAnsi"/>
                <w:b/>
                <w:bCs/>
                <w:i/>
                <w:iCs/>
                <w:sz w:val="18"/>
                <w:szCs w:val="18"/>
                <w:lang w:val="en-US"/>
              </w:rPr>
              <w:t>n</w:t>
            </w:r>
            <w:r w:rsidRPr="00007908">
              <w:rPr>
                <w:rFonts w:asciiTheme="minorHAnsi" w:hAnsiTheme="minorHAnsi" w:cstheme="majorHAnsi"/>
                <w:b/>
                <w:bCs/>
                <w:sz w:val="18"/>
                <w:szCs w:val="18"/>
                <w:lang w:val="en-US"/>
              </w:rPr>
              <w:t xml:space="preserve"> = </w:t>
            </w:r>
            <w:r>
              <w:rPr>
                <w:rFonts w:asciiTheme="minorHAnsi" w:hAnsiTheme="minorHAnsi" w:cstheme="majorHAnsi"/>
                <w:b/>
                <w:bCs/>
                <w:sz w:val="18"/>
                <w:szCs w:val="18"/>
                <w:lang w:val="en-US"/>
              </w:rPr>
              <w:t>3</w:t>
            </w:r>
            <w:r w:rsidRPr="00007908">
              <w:rPr>
                <w:rFonts w:asciiTheme="minorHAnsi" w:hAnsiTheme="minorHAnsi" w:cstheme="majorHAnsi"/>
                <w:b/>
                <w:bCs/>
                <w:sz w:val="18"/>
                <w:szCs w:val="18"/>
                <w:lang w:val="en-US"/>
              </w:rPr>
              <w:t>)</w:t>
            </w:r>
          </w:p>
        </w:tc>
        <w:tc>
          <w:tcPr>
            <w:tcW w:w="1188" w:type="pct"/>
            <w:tcBorders>
              <w:top w:val="single" w:sz="12" w:space="0" w:color="auto"/>
              <w:bottom w:val="single" w:sz="4" w:space="0" w:color="auto"/>
            </w:tcBorders>
            <w:shd w:val="clear" w:color="auto" w:fill="FFFFFF"/>
            <w:tcMar>
              <w:top w:w="0" w:type="dxa"/>
              <w:left w:w="0" w:type="dxa"/>
              <w:bottom w:w="0" w:type="dxa"/>
              <w:right w:w="0" w:type="dxa"/>
            </w:tcMar>
          </w:tcPr>
          <w:p w14:paraId="600C5931" w14:textId="77777777" w:rsidR="002E372F" w:rsidRPr="00007908" w:rsidRDefault="002E372F" w:rsidP="002E372F">
            <w:pPr>
              <w:jc w:val="center"/>
              <w:rPr>
                <w:rFonts w:asciiTheme="minorHAnsi" w:hAnsiTheme="minorHAnsi" w:cstheme="majorHAnsi"/>
                <w:b/>
                <w:bCs/>
                <w:sz w:val="18"/>
                <w:szCs w:val="18"/>
                <w:lang w:val="en-US"/>
              </w:rPr>
            </w:pPr>
            <w:r w:rsidRPr="00007908">
              <w:rPr>
                <w:rFonts w:asciiTheme="minorHAnsi" w:hAnsiTheme="minorHAnsi" w:cstheme="majorHAnsi"/>
                <w:b/>
                <w:bCs/>
                <w:sz w:val="18"/>
                <w:szCs w:val="18"/>
                <w:lang w:val="en-US"/>
              </w:rPr>
              <w:t>Anakinra</w:t>
            </w:r>
          </w:p>
          <w:p w14:paraId="54C6A822" w14:textId="77777777" w:rsidR="002E372F" w:rsidRPr="00007908" w:rsidRDefault="002E372F" w:rsidP="002E372F">
            <w:pPr>
              <w:jc w:val="center"/>
              <w:rPr>
                <w:rFonts w:asciiTheme="minorHAnsi" w:hAnsiTheme="minorHAnsi" w:cstheme="majorHAnsi"/>
                <w:b/>
                <w:bCs/>
                <w:sz w:val="18"/>
                <w:szCs w:val="18"/>
                <w:lang w:val="en-US"/>
              </w:rPr>
            </w:pPr>
            <w:r w:rsidRPr="00007908">
              <w:rPr>
                <w:rFonts w:asciiTheme="minorHAnsi" w:hAnsiTheme="minorHAnsi" w:cstheme="majorHAnsi"/>
                <w:b/>
                <w:bCs/>
                <w:sz w:val="18"/>
                <w:szCs w:val="18"/>
                <w:lang w:val="en-US"/>
              </w:rPr>
              <w:t>(</w:t>
            </w:r>
            <w:r w:rsidRPr="00007908">
              <w:rPr>
                <w:rFonts w:asciiTheme="minorHAnsi" w:hAnsiTheme="minorHAnsi" w:cstheme="majorHAnsi"/>
                <w:b/>
                <w:bCs/>
                <w:i/>
                <w:iCs/>
                <w:sz w:val="18"/>
                <w:szCs w:val="18"/>
                <w:lang w:val="en-US"/>
              </w:rPr>
              <w:t>n</w:t>
            </w:r>
            <w:r w:rsidRPr="00007908">
              <w:rPr>
                <w:rFonts w:asciiTheme="minorHAnsi" w:hAnsiTheme="minorHAnsi" w:cstheme="majorHAnsi"/>
                <w:b/>
                <w:bCs/>
                <w:sz w:val="18"/>
                <w:szCs w:val="18"/>
                <w:lang w:val="en-US"/>
              </w:rPr>
              <w:t xml:space="preserve"> = 2)</w:t>
            </w:r>
          </w:p>
        </w:tc>
        <w:tc>
          <w:tcPr>
            <w:tcW w:w="1189" w:type="pct"/>
            <w:tcBorders>
              <w:top w:val="single" w:sz="12" w:space="0" w:color="auto"/>
              <w:bottom w:val="single" w:sz="4" w:space="0" w:color="auto"/>
            </w:tcBorders>
            <w:shd w:val="clear" w:color="auto" w:fill="FFFFFF"/>
            <w:tcMar>
              <w:top w:w="0" w:type="dxa"/>
              <w:left w:w="0" w:type="dxa"/>
              <w:bottom w:w="0" w:type="dxa"/>
              <w:right w:w="0" w:type="dxa"/>
            </w:tcMar>
          </w:tcPr>
          <w:p w14:paraId="360DDE04" w14:textId="77777777" w:rsidR="002E372F" w:rsidRPr="00007908" w:rsidRDefault="002E372F" w:rsidP="002E372F">
            <w:pPr>
              <w:jc w:val="center"/>
              <w:rPr>
                <w:rFonts w:asciiTheme="minorHAnsi" w:hAnsiTheme="minorHAnsi" w:cstheme="majorHAnsi"/>
                <w:b/>
                <w:bCs/>
                <w:sz w:val="18"/>
                <w:szCs w:val="18"/>
                <w:vertAlign w:val="superscript"/>
                <w:lang w:val="en-US"/>
              </w:rPr>
            </w:pPr>
            <w:r w:rsidRPr="00007908">
              <w:rPr>
                <w:rFonts w:asciiTheme="minorHAnsi" w:hAnsiTheme="minorHAnsi" w:cstheme="majorHAnsi"/>
                <w:b/>
                <w:bCs/>
                <w:sz w:val="18"/>
                <w:szCs w:val="18"/>
                <w:lang w:val="en-US"/>
              </w:rPr>
              <w:t>All Patients</w:t>
            </w:r>
          </w:p>
          <w:p w14:paraId="4D0B0A4E" w14:textId="57CAA15E" w:rsidR="002E372F" w:rsidRPr="00007908" w:rsidRDefault="002E372F" w:rsidP="002E372F">
            <w:pPr>
              <w:jc w:val="center"/>
              <w:rPr>
                <w:rFonts w:asciiTheme="minorHAnsi" w:hAnsiTheme="minorHAnsi" w:cstheme="majorHAnsi"/>
                <w:b/>
                <w:bCs/>
                <w:sz w:val="18"/>
                <w:szCs w:val="18"/>
                <w:lang w:val="en-US"/>
              </w:rPr>
            </w:pPr>
            <w:r w:rsidRPr="00007908">
              <w:rPr>
                <w:rFonts w:asciiTheme="minorHAnsi" w:hAnsiTheme="minorHAnsi" w:cstheme="majorHAnsi"/>
                <w:b/>
                <w:bCs/>
                <w:sz w:val="18"/>
                <w:szCs w:val="18"/>
                <w:lang w:val="en-US"/>
              </w:rPr>
              <w:t>(</w:t>
            </w:r>
            <w:r w:rsidRPr="00007908">
              <w:rPr>
                <w:rFonts w:asciiTheme="minorHAnsi" w:hAnsiTheme="minorHAnsi" w:cstheme="majorHAnsi"/>
                <w:b/>
                <w:bCs/>
                <w:i/>
                <w:iCs/>
                <w:sz w:val="18"/>
                <w:szCs w:val="18"/>
                <w:lang w:val="en-US"/>
              </w:rPr>
              <w:t>n</w:t>
            </w:r>
            <w:r w:rsidRPr="00007908">
              <w:rPr>
                <w:rFonts w:asciiTheme="minorHAnsi" w:hAnsiTheme="minorHAnsi" w:cstheme="majorHAnsi"/>
                <w:b/>
                <w:bCs/>
                <w:sz w:val="18"/>
                <w:szCs w:val="18"/>
                <w:lang w:val="en-US"/>
              </w:rPr>
              <w:t xml:space="preserve"> = </w:t>
            </w:r>
            <w:r>
              <w:rPr>
                <w:rFonts w:asciiTheme="minorHAnsi" w:hAnsiTheme="minorHAnsi" w:cstheme="majorHAnsi"/>
                <w:b/>
                <w:bCs/>
                <w:sz w:val="18"/>
                <w:szCs w:val="18"/>
                <w:lang w:val="en-US"/>
              </w:rPr>
              <w:t>5</w:t>
            </w:r>
            <w:r w:rsidRPr="00007908">
              <w:rPr>
                <w:rFonts w:asciiTheme="minorHAnsi" w:hAnsiTheme="minorHAnsi" w:cstheme="majorHAnsi"/>
                <w:b/>
                <w:bCs/>
                <w:sz w:val="18"/>
                <w:szCs w:val="18"/>
                <w:lang w:val="en-US"/>
              </w:rPr>
              <w:t>)</w:t>
            </w:r>
          </w:p>
        </w:tc>
      </w:tr>
      <w:tr w:rsidR="004D633F" w:rsidRPr="00007908" w14:paraId="16DC841B" w14:textId="77777777" w:rsidTr="00BB21F9">
        <w:trPr>
          <w:cantSplit/>
        </w:trPr>
        <w:tc>
          <w:tcPr>
            <w:tcW w:w="1435" w:type="pct"/>
            <w:tcBorders>
              <w:top w:val="single" w:sz="4" w:space="0" w:color="auto"/>
            </w:tcBorders>
            <w:shd w:val="clear" w:color="auto" w:fill="FFFFFF"/>
            <w:tcMar>
              <w:top w:w="0" w:type="dxa"/>
              <w:left w:w="0" w:type="dxa"/>
              <w:bottom w:w="0" w:type="dxa"/>
              <w:right w:w="0" w:type="dxa"/>
            </w:tcMar>
            <w:vAlign w:val="center"/>
          </w:tcPr>
          <w:p w14:paraId="342A0DA1"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Age - mean (SD), years</w:t>
            </w:r>
          </w:p>
        </w:tc>
        <w:tc>
          <w:tcPr>
            <w:tcW w:w="1188" w:type="pct"/>
            <w:tcBorders>
              <w:top w:val="single" w:sz="4" w:space="0" w:color="auto"/>
            </w:tcBorders>
            <w:shd w:val="clear" w:color="auto" w:fill="FFFFFF"/>
            <w:vAlign w:val="center"/>
          </w:tcPr>
          <w:p w14:paraId="4C59A983" w14:textId="59F5BB02" w:rsidR="004D633F" w:rsidRPr="002E372F" w:rsidRDefault="004D633F" w:rsidP="00507544">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67.0 (13.7)</w:t>
            </w:r>
          </w:p>
        </w:tc>
        <w:tc>
          <w:tcPr>
            <w:tcW w:w="1188" w:type="pct"/>
            <w:shd w:val="clear" w:color="auto" w:fill="FFFFFF"/>
            <w:tcMar>
              <w:top w:w="0" w:type="dxa"/>
              <w:left w:w="0" w:type="dxa"/>
              <w:bottom w:w="0" w:type="dxa"/>
              <w:right w:w="0" w:type="dxa"/>
            </w:tcMar>
            <w:vAlign w:val="center"/>
          </w:tcPr>
          <w:p w14:paraId="26C8E022" w14:textId="77777777" w:rsidR="004D633F" w:rsidRPr="00007908" w:rsidRDefault="004D633F"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36.0 (17.0)</w:t>
            </w:r>
          </w:p>
        </w:tc>
        <w:tc>
          <w:tcPr>
            <w:tcW w:w="1189" w:type="pct"/>
            <w:shd w:val="clear" w:color="auto" w:fill="FFFFFF"/>
            <w:tcMar>
              <w:top w:w="0" w:type="dxa"/>
              <w:left w:w="0" w:type="dxa"/>
              <w:bottom w:w="0" w:type="dxa"/>
              <w:right w:w="0" w:type="dxa"/>
            </w:tcMar>
            <w:vAlign w:val="center"/>
          </w:tcPr>
          <w:p w14:paraId="1CE84CF1" w14:textId="16A9B73B" w:rsidR="004D633F" w:rsidRPr="00CD62D3" w:rsidRDefault="004D633F" w:rsidP="00507544">
            <w:pPr>
              <w:jc w:val="center"/>
              <w:rPr>
                <w:rFonts w:ascii="Calibri" w:hAnsi="Calibri" w:cs="Calibri"/>
                <w:sz w:val="18"/>
                <w:szCs w:val="18"/>
                <w:lang w:val="en-US"/>
              </w:rPr>
            </w:pPr>
            <w:r w:rsidRPr="00CD62D3">
              <w:rPr>
                <w:rFonts w:ascii="Calibri" w:eastAsia="Arial" w:hAnsi="Calibri" w:cs="Calibri"/>
                <w:color w:val="000000"/>
                <w:sz w:val="18"/>
                <w:szCs w:val="18"/>
              </w:rPr>
              <w:t>54.6 (21.3)</w:t>
            </w:r>
          </w:p>
        </w:tc>
      </w:tr>
      <w:tr w:rsidR="004D633F" w:rsidRPr="00007908" w14:paraId="3106544C" w14:textId="77777777" w:rsidTr="00BB21F9">
        <w:trPr>
          <w:cantSplit/>
        </w:trPr>
        <w:tc>
          <w:tcPr>
            <w:tcW w:w="1435" w:type="pct"/>
            <w:shd w:val="clear" w:color="auto" w:fill="FFFFFF"/>
            <w:tcMar>
              <w:top w:w="0" w:type="dxa"/>
              <w:left w:w="0" w:type="dxa"/>
              <w:bottom w:w="0" w:type="dxa"/>
              <w:right w:w="0" w:type="dxa"/>
            </w:tcMar>
            <w:vAlign w:val="center"/>
          </w:tcPr>
          <w:p w14:paraId="24C4CF62"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Male sex - n (%)</w:t>
            </w:r>
          </w:p>
        </w:tc>
        <w:tc>
          <w:tcPr>
            <w:tcW w:w="1188" w:type="pct"/>
            <w:shd w:val="clear" w:color="auto" w:fill="FFFFFF"/>
            <w:vAlign w:val="center"/>
          </w:tcPr>
          <w:p w14:paraId="2D54B8B2" w14:textId="07E70E01" w:rsidR="004D633F" w:rsidRPr="002E372F" w:rsidRDefault="004D633F" w:rsidP="00507544">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1 (33.3)</w:t>
            </w:r>
          </w:p>
        </w:tc>
        <w:tc>
          <w:tcPr>
            <w:tcW w:w="1188" w:type="pct"/>
            <w:shd w:val="clear" w:color="auto" w:fill="FFFFFF"/>
            <w:tcMar>
              <w:top w:w="0" w:type="dxa"/>
              <w:left w:w="0" w:type="dxa"/>
              <w:bottom w:w="0" w:type="dxa"/>
              <w:right w:w="0" w:type="dxa"/>
            </w:tcMar>
            <w:vAlign w:val="center"/>
          </w:tcPr>
          <w:p w14:paraId="263E5331" w14:textId="77777777" w:rsidR="004D633F" w:rsidRPr="00007908" w:rsidRDefault="004D633F"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 (50.0)</w:t>
            </w:r>
          </w:p>
        </w:tc>
        <w:tc>
          <w:tcPr>
            <w:tcW w:w="1189" w:type="pct"/>
            <w:shd w:val="clear" w:color="auto" w:fill="FFFFFF"/>
            <w:tcMar>
              <w:top w:w="0" w:type="dxa"/>
              <w:left w:w="0" w:type="dxa"/>
              <w:bottom w:w="0" w:type="dxa"/>
              <w:right w:w="0" w:type="dxa"/>
            </w:tcMar>
            <w:vAlign w:val="center"/>
          </w:tcPr>
          <w:p w14:paraId="4D898D80" w14:textId="4610FF59" w:rsidR="004D633F" w:rsidRPr="00CD62D3" w:rsidRDefault="004D633F" w:rsidP="00507544">
            <w:pPr>
              <w:jc w:val="center"/>
              <w:rPr>
                <w:rFonts w:ascii="Calibri" w:hAnsi="Calibri" w:cs="Calibri"/>
                <w:sz w:val="18"/>
                <w:szCs w:val="18"/>
                <w:lang w:val="en-US"/>
              </w:rPr>
            </w:pPr>
            <w:r w:rsidRPr="00CD62D3">
              <w:rPr>
                <w:rFonts w:ascii="Calibri" w:eastAsia="Arial" w:hAnsi="Calibri" w:cs="Calibri"/>
                <w:color w:val="000000"/>
                <w:sz w:val="18"/>
                <w:szCs w:val="18"/>
              </w:rPr>
              <w:t>2 (40.0)</w:t>
            </w:r>
          </w:p>
        </w:tc>
      </w:tr>
      <w:tr w:rsidR="004D633F" w:rsidRPr="00007908" w14:paraId="169B4817" w14:textId="77777777" w:rsidTr="00BB21F9">
        <w:trPr>
          <w:cantSplit/>
        </w:trPr>
        <w:tc>
          <w:tcPr>
            <w:tcW w:w="1435" w:type="pct"/>
            <w:shd w:val="clear" w:color="auto" w:fill="FFFFFF"/>
            <w:tcMar>
              <w:top w:w="0" w:type="dxa"/>
              <w:left w:w="0" w:type="dxa"/>
              <w:bottom w:w="0" w:type="dxa"/>
              <w:right w:w="0" w:type="dxa"/>
            </w:tcMar>
            <w:vAlign w:val="center"/>
          </w:tcPr>
          <w:p w14:paraId="5ADCB78E"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Race / Ethnicity </w:t>
            </w:r>
            <w:r w:rsidRPr="00007908">
              <w:rPr>
                <w:rFonts w:asciiTheme="minorHAnsi" w:hAnsiTheme="minorHAnsi" w:cstheme="majorHAnsi"/>
                <w:sz w:val="18"/>
                <w:szCs w:val="18"/>
                <w:vertAlign w:val="superscript"/>
                <w:lang w:val="en-US"/>
              </w:rPr>
              <w:t>a</w:t>
            </w:r>
            <w:r w:rsidRPr="00007908">
              <w:rPr>
                <w:rFonts w:asciiTheme="minorHAnsi" w:hAnsiTheme="minorHAnsi" w:cstheme="majorHAnsi"/>
                <w:sz w:val="18"/>
                <w:szCs w:val="18"/>
                <w:lang w:val="en-US"/>
              </w:rPr>
              <w:t xml:space="preserve"> - n / N (%)</w:t>
            </w:r>
          </w:p>
        </w:tc>
        <w:tc>
          <w:tcPr>
            <w:tcW w:w="1188" w:type="pct"/>
            <w:shd w:val="clear" w:color="auto" w:fill="FFFFFF"/>
            <w:vAlign w:val="center"/>
          </w:tcPr>
          <w:p w14:paraId="607ABB85" w14:textId="77777777" w:rsidR="004D633F" w:rsidRPr="002E372F" w:rsidRDefault="004D633F" w:rsidP="00507544">
            <w:pPr>
              <w:jc w:val="center"/>
              <w:rPr>
                <w:rFonts w:asciiTheme="minorHAnsi" w:hAnsiTheme="minorHAnsi" w:cstheme="minorHAnsi"/>
                <w:sz w:val="18"/>
                <w:szCs w:val="18"/>
                <w:lang w:val="en-US"/>
              </w:rPr>
            </w:pPr>
          </w:p>
        </w:tc>
        <w:tc>
          <w:tcPr>
            <w:tcW w:w="1188" w:type="pct"/>
            <w:shd w:val="clear" w:color="auto" w:fill="FFFFFF"/>
            <w:tcMar>
              <w:top w:w="0" w:type="dxa"/>
              <w:left w:w="0" w:type="dxa"/>
              <w:bottom w:w="0" w:type="dxa"/>
              <w:right w:w="0" w:type="dxa"/>
            </w:tcMar>
            <w:vAlign w:val="center"/>
          </w:tcPr>
          <w:p w14:paraId="5F78BD99" w14:textId="77777777" w:rsidR="004D633F" w:rsidRPr="00007908" w:rsidRDefault="004D633F" w:rsidP="00507544">
            <w:pPr>
              <w:jc w:val="center"/>
              <w:rPr>
                <w:rFonts w:asciiTheme="minorHAnsi" w:hAnsiTheme="minorHAnsi" w:cstheme="majorHAnsi"/>
                <w:sz w:val="18"/>
                <w:szCs w:val="18"/>
                <w:lang w:val="en-US"/>
              </w:rPr>
            </w:pPr>
          </w:p>
        </w:tc>
        <w:tc>
          <w:tcPr>
            <w:tcW w:w="1189" w:type="pct"/>
            <w:shd w:val="clear" w:color="auto" w:fill="FFFFFF"/>
            <w:tcMar>
              <w:top w:w="0" w:type="dxa"/>
              <w:left w:w="0" w:type="dxa"/>
              <w:bottom w:w="0" w:type="dxa"/>
              <w:right w:w="0" w:type="dxa"/>
            </w:tcMar>
            <w:vAlign w:val="center"/>
          </w:tcPr>
          <w:p w14:paraId="743B00D1" w14:textId="77777777" w:rsidR="004D633F" w:rsidRPr="00CD62D3" w:rsidRDefault="004D633F" w:rsidP="00507544">
            <w:pPr>
              <w:jc w:val="center"/>
              <w:rPr>
                <w:rFonts w:ascii="Calibri" w:hAnsi="Calibri" w:cs="Calibri"/>
                <w:sz w:val="18"/>
                <w:szCs w:val="18"/>
                <w:lang w:val="en-US"/>
              </w:rPr>
            </w:pPr>
          </w:p>
        </w:tc>
      </w:tr>
      <w:tr w:rsidR="004D633F" w:rsidRPr="00007908" w14:paraId="30B2A5C7" w14:textId="77777777" w:rsidTr="00BB21F9">
        <w:trPr>
          <w:cantSplit/>
        </w:trPr>
        <w:tc>
          <w:tcPr>
            <w:tcW w:w="1435" w:type="pct"/>
            <w:shd w:val="clear" w:color="auto" w:fill="FFFFFF"/>
            <w:tcMar>
              <w:top w:w="0" w:type="dxa"/>
              <w:left w:w="0" w:type="dxa"/>
              <w:bottom w:w="0" w:type="dxa"/>
              <w:right w:w="0" w:type="dxa"/>
            </w:tcMar>
            <w:vAlign w:val="center"/>
          </w:tcPr>
          <w:p w14:paraId="5E295F10"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White</w:t>
            </w:r>
          </w:p>
        </w:tc>
        <w:tc>
          <w:tcPr>
            <w:tcW w:w="1188" w:type="pct"/>
            <w:shd w:val="clear" w:color="auto" w:fill="FFFFFF"/>
            <w:vAlign w:val="center"/>
          </w:tcPr>
          <w:p w14:paraId="7430D84E" w14:textId="1520E203" w:rsidR="004D633F" w:rsidRPr="002E372F" w:rsidRDefault="004D633F" w:rsidP="00507544">
            <w:pPr>
              <w:jc w:val="center"/>
              <w:rPr>
                <w:rFonts w:asciiTheme="minorHAnsi" w:hAnsiTheme="minorHAnsi" w:cstheme="minorHAnsi"/>
                <w:sz w:val="18"/>
                <w:szCs w:val="18"/>
                <w:lang w:val="en-US"/>
              </w:rPr>
            </w:pPr>
            <w:r w:rsidRPr="00CD62D3">
              <w:rPr>
                <w:rFonts w:asciiTheme="minorHAnsi" w:eastAsia="Arial" w:hAnsiTheme="minorHAnsi" w:cstheme="minorHAnsi"/>
                <w:sz w:val="18"/>
                <w:szCs w:val="18"/>
              </w:rPr>
              <w:t>3 / 3 (100.0)</w:t>
            </w:r>
          </w:p>
        </w:tc>
        <w:tc>
          <w:tcPr>
            <w:tcW w:w="1188" w:type="pct"/>
            <w:shd w:val="clear" w:color="auto" w:fill="FFFFFF"/>
            <w:tcMar>
              <w:top w:w="0" w:type="dxa"/>
              <w:left w:w="0" w:type="dxa"/>
              <w:bottom w:w="0" w:type="dxa"/>
              <w:right w:w="0" w:type="dxa"/>
            </w:tcMar>
            <w:vAlign w:val="center"/>
          </w:tcPr>
          <w:p w14:paraId="10E70CF8" w14:textId="77777777" w:rsidR="004D633F" w:rsidRPr="00007908" w:rsidRDefault="004D633F" w:rsidP="00507544">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 / 2 (100.0)</w:t>
            </w:r>
          </w:p>
        </w:tc>
        <w:tc>
          <w:tcPr>
            <w:tcW w:w="1189" w:type="pct"/>
            <w:shd w:val="clear" w:color="auto" w:fill="FFFFFF"/>
            <w:tcMar>
              <w:top w:w="0" w:type="dxa"/>
              <w:left w:w="0" w:type="dxa"/>
              <w:bottom w:w="0" w:type="dxa"/>
              <w:right w:w="0" w:type="dxa"/>
            </w:tcMar>
            <w:vAlign w:val="center"/>
          </w:tcPr>
          <w:p w14:paraId="54ADF591" w14:textId="298B370D" w:rsidR="004D633F" w:rsidRPr="00CD62D3" w:rsidRDefault="004D633F" w:rsidP="00507544">
            <w:pPr>
              <w:jc w:val="center"/>
              <w:rPr>
                <w:rFonts w:ascii="Calibri" w:hAnsi="Calibri" w:cs="Calibri"/>
                <w:sz w:val="18"/>
                <w:szCs w:val="18"/>
                <w:lang w:val="en-US"/>
              </w:rPr>
            </w:pPr>
            <w:r w:rsidRPr="00CD62D3">
              <w:rPr>
                <w:rFonts w:ascii="Calibri" w:hAnsi="Calibri" w:cs="Calibri"/>
                <w:sz w:val="18"/>
                <w:szCs w:val="18"/>
              </w:rPr>
              <w:t>5 / 5 (100.0)</w:t>
            </w:r>
          </w:p>
        </w:tc>
      </w:tr>
      <w:tr w:rsidR="004D633F" w:rsidRPr="00007908" w14:paraId="7B03C18B" w14:textId="77777777" w:rsidTr="00BB21F9">
        <w:trPr>
          <w:cantSplit/>
        </w:trPr>
        <w:tc>
          <w:tcPr>
            <w:tcW w:w="1435" w:type="pct"/>
            <w:shd w:val="clear" w:color="auto" w:fill="FFFFFF"/>
            <w:tcMar>
              <w:top w:w="0" w:type="dxa"/>
              <w:left w:w="0" w:type="dxa"/>
              <w:bottom w:w="0" w:type="dxa"/>
              <w:right w:w="0" w:type="dxa"/>
            </w:tcMar>
            <w:vAlign w:val="center"/>
          </w:tcPr>
          <w:p w14:paraId="508E7E90"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Asian</w:t>
            </w:r>
          </w:p>
        </w:tc>
        <w:tc>
          <w:tcPr>
            <w:tcW w:w="1188" w:type="pct"/>
            <w:shd w:val="clear" w:color="auto" w:fill="FFFFFF"/>
            <w:vAlign w:val="center"/>
          </w:tcPr>
          <w:p w14:paraId="059A27CB" w14:textId="0F15C39C"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sz w:val="18"/>
                <w:szCs w:val="18"/>
              </w:rPr>
              <w:t>0 / 3 (0.0)</w:t>
            </w:r>
          </w:p>
        </w:tc>
        <w:tc>
          <w:tcPr>
            <w:tcW w:w="1188" w:type="pct"/>
            <w:shd w:val="clear" w:color="auto" w:fill="FFFFFF"/>
            <w:tcMar>
              <w:top w:w="0" w:type="dxa"/>
              <w:left w:w="0" w:type="dxa"/>
              <w:bottom w:w="0" w:type="dxa"/>
              <w:right w:w="0" w:type="dxa"/>
            </w:tcMar>
            <w:vAlign w:val="center"/>
          </w:tcPr>
          <w:p w14:paraId="05F5432F"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 / 2 (0.0)</w:t>
            </w:r>
          </w:p>
        </w:tc>
        <w:tc>
          <w:tcPr>
            <w:tcW w:w="1189" w:type="pct"/>
            <w:shd w:val="clear" w:color="auto" w:fill="FFFFFF"/>
            <w:tcMar>
              <w:top w:w="0" w:type="dxa"/>
              <w:left w:w="0" w:type="dxa"/>
              <w:bottom w:w="0" w:type="dxa"/>
              <w:right w:w="0" w:type="dxa"/>
            </w:tcMar>
            <w:vAlign w:val="center"/>
          </w:tcPr>
          <w:p w14:paraId="38E9C3A7" w14:textId="50FDFCAE" w:rsidR="004D633F" w:rsidRPr="00CD62D3" w:rsidRDefault="004D633F" w:rsidP="006F2FD5">
            <w:pPr>
              <w:jc w:val="center"/>
              <w:rPr>
                <w:rFonts w:ascii="Calibri" w:hAnsi="Calibri" w:cs="Calibri"/>
                <w:sz w:val="18"/>
                <w:szCs w:val="18"/>
                <w:lang w:val="en-US"/>
              </w:rPr>
            </w:pPr>
            <w:r w:rsidRPr="00CD62D3">
              <w:rPr>
                <w:rFonts w:ascii="Calibri" w:eastAsia="Arial" w:hAnsi="Calibri" w:cs="Calibri"/>
                <w:sz w:val="18"/>
                <w:szCs w:val="18"/>
              </w:rPr>
              <w:t>0 / 5 (0.0)</w:t>
            </w:r>
          </w:p>
        </w:tc>
      </w:tr>
      <w:tr w:rsidR="004D633F" w:rsidRPr="00007908" w14:paraId="7413DCC3" w14:textId="77777777" w:rsidTr="00BB21F9">
        <w:trPr>
          <w:cantSplit/>
        </w:trPr>
        <w:tc>
          <w:tcPr>
            <w:tcW w:w="1435" w:type="pct"/>
            <w:shd w:val="clear" w:color="auto" w:fill="FFFFFF"/>
            <w:tcMar>
              <w:top w:w="0" w:type="dxa"/>
              <w:left w:w="0" w:type="dxa"/>
              <w:bottom w:w="0" w:type="dxa"/>
              <w:right w:w="0" w:type="dxa"/>
            </w:tcMar>
            <w:vAlign w:val="center"/>
          </w:tcPr>
          <w:p w14:paraId="5A24F691"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Black</w:t>
            </w:r>
          </w:p>
        </w:tc>
        <w:tc>
          <w:tcPr>
            <w:tcW w:w="1188" w:type="pct"/>
            <w:shd w:val="clear" w:color="auto" w:fill="FFFFFF"/>
            <w:vAlign w:val="center"/>
          </w:tcPr>
          <w:p w14:paraId="5714094B" w14:textId="3AD38437"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sz w:val="18"/>
                <w:szCs w:val="18"/>
              </w:rPr>
              <w:t>0 / 3 (0.0)</w:t>
            </w:r>
          </w:p>
        </w:tc>
        <w:tc>
          <w:tcPr>
            <w:tcW w:w="1188" w:type="pct"/>
            <w:shd w:val="clear" w:color="auto" w:fill="FFFFFF"/>
            <w:tcMar>
              <w:top w:w="0" w:type="dxa"/>
              <w:left w:w="0" w:type="dxa"/>
              <w:bottom w:w="0" w:type="dxa"/>
              <w:right w:w="0" w:type="dxa"/>
            </w:tcMar>
            <w:vAlign w:val="center"/>
          </w:tcPr>
          <w:p w14:paraId="36B55C50"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 / 2 (0.0)</w:t>
            </w:r>
          </w:p>
        </w:tc>
        <w:tc>
          <w:tcPr>
            <w:tcW w:w="1189" w:type="pct"/>
            <w:shd w:val="clear" w:color="auto" w:fill="FFFFFF"/>
            <w:tcMar>
              <w:top w:w="0" w:type="dxa"/>
              <w:left w:w="0" w:type="dxa"/>
              <w:bottom w:w="0" w:type="dxa"/>
              <w:right w:w="0" w:type="dxa"/>
            </w:tcMar>
            <w:vAlign w:val="center"/>
          </w:tcPr>
          <w:p w14:paraId="0FB028A4" w14:textId="5F840620" w:rsidR="004D633F" w:rsidRPr="00CD62D3" w:rsidRDefault="004D633F" w:rsidP="006F2FD5">
            <w:pPr>
              <w:jc w:val="center"/>
              <w:rPr>
                <w:rFonts w:ascii="Calibri" w:hAnsi="Calibri" w:cs="Calibri"/>
                <w:sz w:val="18"/>
                <w:szCs w:val="18"/>
                <w:lang w:val="en-US"/>
              </w:rPr>
            </w:pPr>
            <w:r w:rsidRPr="00CD62D3">
              <w:rPr>
                <w:rFonts w:ascii="Calibri" w:eastAsia="Arial" w:hAnsi="Calibri" w:cs="Calibri"/>
                <w:sz w:val="18"/>
                <w:szCs w:val="18"/>
              </w:rPr>
              <w:t>0 / 5 (0.0)</w:t>
            </w:r>
          </w:p>
        </w:tc>
      </w:tr>
      <w:tr w:rsidR="004D633F" w:rsidRPr="00007908" w14:paraId="32105B77" w14:textId="77777777" w:rsidTr="00BB21F9">
        <w:trPr>
          <w:cantSplit/>
        </w:trPr>
        <w:tc>
          <w:tcPr>
            <w:tcW w:w="1435" w:type="pct"/>
            <w:shd w:val="clear" w:color="auto" w:fill="FFFFFF"/>
            <w:tcMar>
              <w:top w:w="0" w:type="dxa"/>
              <w:left w:w="0" w:type="dxa"/>
              <w:bottom w:w="0" w:type="dxa"/>
              <w:right w:w="0" w:type="dxa"/>
            </w:tcMar>
            <w:vAlign w:val="center"/>
          </w:tcPr>
          <w:p w14:paraId="39092618"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Mixed</w:t>
            </w:r>
          </w:p>
        </w:tc>
        <w:tc>
          <w:tcPr>
            <w:tcW w:w="1188" w:type="pct"/>
            <w:shd w:val="clear" w:color="auto" w:fill="FFFFFF"/>
            <w:vAlign w:val="center"/>
          </w:tcPr>
          <w:p w14:paraId="2F0726EF" w14:textId="66EBD2CA"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sz w:val="18"/>
                <w:szCs w:val="18"/>
              </w:rPr>
              <w:t>0 / 3 (0.0)</w:t>
            </w:r>
          </w:p>
        </w:tc>
        <w:tc>
          <w:tcPr>
            <w:tcW w:w="1188" w:type="pct"/>
            <w:shd w:val="clear" w:color="auto" w:fill="FFFFFF"/>
            <w:tcMar>
              <w:top w:w="0" w:type="dxa"/>
              <w:left w:w="0" w:type="dxa"/>
              <w:bottom w:w="0" w:type="dxa"/>
              <w:right w:w="0" w:type="dxa"/>
            </w:tcMar>
            <w:vAlign w:val="center"/>
          </w:tcPr>
          <w:p w14:paraId="406D6BDA"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 / 2 (0.0)</w:t>
            </w:r>
          </w:p>
        </w:tc>
        <w:tc>
          <w:tcPr>
            <w:tcW w:w="1189" w:type="pct"/>
            <w:shd w:val="clear" w:color="auto" w:fill="FFFFFF"/>
            <w:tcMar>
              <w:top w:w="0" w:type="dxa"/>
              <w:left w:w="0" w:type="dxa"/>
              <w:bottom w:w="0" w:type="dxa"/>
              <w:right w:w="0" w:type="dxa"/>
            </w:tcMar>
            <w:vAlign w:val="center"/>
          </w:tcPr>
          <w:p w14:paraId="56B9D43F" w14:textId="00026F12" w:rsidR="004D633F" w:rsidRPr="00CD62D3" w:rsidRDefault="004D633F" w:rsidP="006F2FD5">
            <w:pPr>
              <w:jc w:val="center"/>
              <w:rPr>
                <w:rFonts w:ascii="Calibri" w:hAnsi="Calibri" w:cs="Calibri"/>
                <w:sz w:val="18"/>
                <w:szCs w:val="18"/>
                <w:lang w:val="en-US"/>
              </w:rPr>
            </w:pPr>
            <w:r w:rsidRPr="00CD62D3">
              <w:rPr>
                <w:rFonts w:ascii="Calibri" w:eastAsia="Arial" w:hAnsi="Calibri" w:cs="Calibri"/>
                <w:sz w:val="18"/>
                <w:szCs w:val="18"/>
              </w:rPr>
              <w:t>0 / 5 (0.0)</w:t>
            </w:r>
          </w:p>
        </w:tc>
      </w:tr>
      <w:tr w:rsidR="004D633F" w:rsidRPr="00007908" w14:paraId="7CFADD97" w14:textId="77777777" w:rsidTr="00BB21F9">
        <w:trPr>
          <w:cantSplit/>
        </w:trPr>
        <w:tc>
          <w:tcPr>
            <w:tcW w:w="1435" w:type="pct"/>
            <w:shd w:val="clear" w:color="auto" w:fill="FFFFFF"/>
            <w:tcMar>
              <w:top w:w="0" w:type="dxa"/>
              <w:left w:w="0" w:type="dxa"/>
              <w:bottom w:w="0" w:type="dxa"/>
              <w:right w:w="0" w:type="dxa"/>
            </w:tcMar>
            <w:vAlign w:val="center"/>
          </w:tcPr>
          <w:p w14:paraId="3891B142"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Other</w:t>
            </w:r>
          </w:p>
        </w:tc>
        <w:tc>
          <w:tcPr>
            <w:tcW w:w="1188" w:type="pct"/>
            <w:shd w:val="clear" w:color="auto" w:fill="FFFFFF"/>
            <w:vAlign w:val="center"/>
          </w:tcPr>
          <w:p w14:paraId="484A0053" w14:textId="786BB74A"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sz w:val="18"/>
                <w:szCs w:val="18"/>
              </w:rPr>
              <w:t>0 / 3 (0.0)</w:t>
            </w:r>
          </w:p>
        </w:tc>
        <w:tc>
          <w:tcPr>
            <w:tcW w:w="1188" w:type="pct"/>
            <w:shd w:val="clear" w:color="auto" w:fill="FFFFFF"/>
            <w:tcMar>
              <w:top w:w="0" w:type="dxa"/>
              <w:left w:w="0" w:type="dxa"/>
              <w:bottom w:w="0" w:type="dxa"/>
              <w:right w:w="0" w:type="dxa"/>
            </w:tcMar>
            <w:vAlign w:val="center"/>
          </w:tcPr>
          <w:p w14:paraId="59FB57B4"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 / 2 (0.0)</w:t>
            </w:r>
          </w:p>
        </w:tc>
        <w:tc>
          <w:tcPr>
            <w:tcW w:w="1189" w:type="pct"/>
            <w:shd w:val="clear" w:color="auto" w:fill="FFFFFF"/>
            <w:tcMar>
              <w:top w:w="0" w:type="dxa"/>
              <w:left w:w="0" w:type="dxa"/>
              <w:bottom w:w="0" w:type="dxa"/>
              <w:right w:w="0" w:type="dxa"/>
            </w:tcMar>
            <w:vAlign w:val="center"/>
          </w:tcPr>
          <w:p w14:paraId="29CB72AB" w14:textId="5763831A" w:rsidR="004D633F" w:rsidRPr="00CD62D3" w:rsidRDefault="004D633F" w:rsidP="006F2FD5">
            <w:pPr>
              <w:jc w:val="center"/>
              <w:rPr>
                <w:rFonts w:ascii="Calibri" w:hAnsi="Calibri" w:cs="Calibri"/>
                <w:sz w:val="18"/>
                <w:szCs w:val="18"/>
                <w:lang w:val="en-US"/>
              </w:rPr>
            </w:pPr>
            <w:r w:rsidRPr="00CD62D3">
              <w:rPr>
                <w:rFonts w:ascii="Calibri" w:eastAsia="Arial" w:hAnsi="Calibri" w:cs="Calibri"/>
                <w:sz w:val="18"/>
                <w:szCs w:val="18"/>
              </w:rPr>
              <w:t>0 / 5 (0.0)</w:t>
            </w:r>
          </w:p>
        </w:tc>
      </w:tr>
      <w:tr w:rsidR="004D633F" w:rsidRPr="00007908" w14:paraId="5A82272B" w14:textId="77777777" w:rsidTr="00BB21F9">
        <w:trPr>
          <w:cantSplit/>
        </w:trPr>
        <w:tc>
          <w:tcPr>
            <w:tcW w:w="1435" w:type="pct"/>
            <w:shd w:val="clear" w:color="auto" w:fill="FFFFFF"/>
            <w:tcMar>
              <w:top w:w="0" w:type="dxa"/>
              <w:left w:w="0" w:type="dxa"/>
              <w:bottom w:w="0" w:type="dxa"/>
              <w:right w:w="0" w:type="dxa"/>
            </w:tcMar>
            <w:vAlign w:val="center"/>
          </w:tcPr>
          <w:p w14:paraId="3F13DC89"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Body-mass index </w:t>
            </w:r>
            <w:r w:rsidRPr="00007908">
              <w:rPr>
                <w:rFonts w:asciiTheme="minorHAnsi" w:hAnsiTheme="minorHAnsi" w:cstheme="majorHAnsi"/>
                <w:sz w:val="18"/>
                <w:szCs w:val="18"/>
                <w:vertAlign w:val="superscript"/>
                <w:lang w:val="en-US"/>
              </w:rPr>
              <w:t>b</w:t>
            </w:r>
            <w:r w:rsidRPr="00007908">
              <w:rPr>
                <w:rFonts w:asciiTheme="minorHAnsi" w:hAnsiTheme="minorHAnsi" w:cstheme="majorHAnsi"/>
                <w:sz w:val="18"/>
                <w:szCs w:val="18"/>
                <w:lang w:val="en-US"/>
              </w:rPr>
              <w:t xml:space="preserve"> - median (IQR), kg/m</w:t>
            </w:r>
            <w:r w:rsidRPr="00007908">
              <w:rPr>
                <w:rFonts w:asciiTheme="minorHAnsi" w:hAnsiTheme="minorHAnsi" w:cstheme="majorHAnsi"/>
                <w:sz w:val="18"/>
                <w:szCs w:val="18"/>
                <w:vertAlign w:val="superscript"/>
                <w:lang w:val="en-US"/>
              </w:rPr>
              <w:t>2</w:t>
            </w:r>
          </w:p>
        </w:tc>
        <w:tc>
          <w:tcPr>
            <w:tcW w:w="1188" w:type="pct"/>
            <w:shd w:val="clear" w:color="auto" w:fill="FFFFFF"/>
            <w:vAlign w:val="center"/>
          </w:tcPr>
          <w:p w14:paraId="00A35DE1" w14:textId="77777777" w:rsidR="004D633F" w:rsidRPr="00CD62D3" w:rsidRDefault="004D633F" w:rsidP="006F2FD5">
            <w:pPr>
              <w:spacing w:before="40" w:after="40"/>
              <w:ind w:left="100" w:right="100"/>
              <w:jc w:val="center"/>
              <w:rPr>
                <w:rFonts w:asciiTheme="minorHAnsi" w:eastAsia="Arial" w:hAnsiTheme="minorHAnsi" w:cstheme="minorHAnsi"/>
                <w:color w:val="000000"/>
                <w:sz w:val="18"/>
                <w:szCs w:val="18"/>
              </w:rPr>
            </w:pPr>
            <w:r w:rsidRPr="00CD62D3">
              <w:rPr>
                <w:rFonts w:asciiTheme="minorHAnsi" w:eastAsia="Arial" w:hAnsiTheme="minorHAnsi" w:cstheme="minorHAnsi"/>
                <w:color w:val="000000"/>
                <w:sz w:val="18"/>
                <w:szCs w:val="18"/>
              </w:rPr>
              <w:t>32.0 (31.9 - 36.1)</w:t>
            </w:r>
          </w:p>
          <w:p w14:paraId="3BD40C31" w14:textId="11ACF1B1"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w:t>
            </w:r>
            <w:r w:rsidRPr="00CD62D3">
              <w:rPr>
                <w:rFonts w:asciiTheme="minorHAnsi" w:eastAsia="Arial" w:hAnsiTheme="minorHAnsi" w:cstheme="minorHAnsi"/>
                <w:i/>
                <w:iCs/>
                <w:color w:val="000000"/>
                <w:sz w:val="18"/>
                <w:szCs w:val="18"/>
              </w:rPr>
              <w:t>n</w:t>
            </w:r>
            <w:r w:rsidRPr="00CD62D3">
              <w:rPr>
                <w:rFonts w:asciiTheme="minorHAnsi" w:eastAsia="Arial" w:hAnsiTheme="minorHAnsi" w:cstheme="minorHAnsi"/>
                <w:color w:val="000000"/>
                <w:sz w:val="18"/>
                <w:szCs w:val="18"/>
              </w:rPr>
              <w:t xml:space="preserve"> = 3)</w:t>
            </w:r>
          </w:p>
        </w:tc>
        <w:tc>
          <w:tcPr>
            <w:tcW w:w="1188" w:type="pct"/>
            <w:shd w:val="clear" w:color="auto" w:fill="FFFFFF"/>
            <w:tcMar>
              <w:top w:w="0" w:type="dxa"/>
              <w:left w:w="0" w:type="dxa"/>
              <w:bottom w:w="0" w:type="dxa"/>
              <w:right w:w="0" w:type="dxa"/>
            </w:tcMar>
            <w:vAlign w:val="center"/>
          </w:tcPr>
          <w:p w14:paraId="50E49821" w14:textId="3F83FEEF"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30.4 (28.0 - 32.7)</w:t>
            </w:r>
          </w:p>
          <w:p w14:paraId="6CAD0C24"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2)</w:t>
            </w:r>
          </w:p>
        </w:tc>
        <w:tc>
          <w:tcPr>
            <w:tcW w:w="1189" w:type="pct"/>
            <w:shd w:val="clear" w:color="auto" w:fill="FFFFFF"/>
            <w:tcMar>
              <w:top w:w="0" w:type="dxa"/>
              <w:left w:w="0" w:type="dxa"/>
              <w:bottom w:w="0" w:type="dxa"/>
              <w:right w:w="0" w:type="dxa"/>
            </w:tcMar>
            <w:vAlign w:val="center"/>
          </w:tcPr>
          <w:p w14:paraId="69DF9241" w14:textId="77777777" w:rsidR="004D633F" w:rsidRPr="00CD62D3" w:rsidRDefault="004D633F" w:rsidP="006F2FD5">
            <w:pPr>
              <w:spacing w:before="40" w:after="40"/>
              <w:ind w:left="100" w:right="100"/>
              <w:jc w:val="center"/>
              <w:rPr>
                <w:rFonts w:ascii="Calibri" w:eastAsia="Arial" w:hAnsi="Calibri" w:cs="Calibri"/>
                <w:color w:val="000000"/>
                <w:sz w:val="18"/>
                <w:szCs w:val="18"/>
              </w:rPr>
            </w:pPr>
            <w:r w:rsidRPr="00CD62D3">
              <w:rPr>
                <w:rFonts w:ascii="Calibri" w:eastAsia="Arial" w:hAnsi="Calibri" w:cs="Calibri"/>
                <w:color w:val="000000"/>
                <w:sz w:val="18"/>
                <w:szCs w:val="18"/>
              </w:rPr>
              <w:t>32.0 (31.8 - 35.1)</w:t>
            </w:r>
          </w:p>
          <w:p w14:paraId="2D98D077" w14:textId="7B3E7920"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w:t>
            </w:r>
            <w:r w:rsidRPr="00CD62D3">
              <w:rPr>
                <w:rFonts w:ascii="Calibri" w:eastAsia="Arial" w:hAnsi="Calibri" w:cs="Calibri"/>
                <w:i/>
                <w:iCs/>
                <w:color w:val="000000"/>
                <w:sz w:val="18"/>
                <w:szCs w:val="18"/>
              </w:rPr>
              <w:t>n</w:t>
            </w:r>
            <w:r w:rsidRPr="00CD62D3">
              <w:rPr>
                <w:rFonts w:ascii="Calibri" w:eastAsia="Arial" w:hAnsi="Calibri" w:cs="Calibri"/>
                <w:color w:val="000000"/>
                <w:sz w:val="18"/>
                <w:szCs w:val="18"/>
              </w:rPr>
              <w:t xml:space="preserve"> = 5)</w:t>
            </w:r>
          </w:p>
        </w:tc>
      </w:tr>
      <w:tr w:rsidR="004D633F" w:rsidRPr="00007908" w14:paraId="065D54EB" w14:textId="77777777" w:rsidTr="00BB21F9">
        <w:trPr>
          <w:cantSplit/>
        </w:trPr>
        <w:tc>
          <w:tcPr>
            <w:tcW w:w="1435" w:type="pct"/>
            <w:shd w:val="clear" w:color="auto" w:fill="FFFFFF"/>
            <w:tcMar>
              <w:top w:w="0" w:type="dxa"/>
              <w:left w:w="0" w:type="dxa"/>
              <w:bottom w:w="0" w:type="dxa"/>
              <w:right w:w="0" w:type="dxa"/>
            </w:tcMar>
            <w:vAlign w:val="center"/>
          </w:tcPr>
          <w:p w14:paraId="4E257077"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APACHE II score </w:t>
            </w:r>
            <w:r w:rsidRPr="00007908">
              <w:rPr>
                <w:rFonts w:asciiTheme="minorHAnsi" w:hAnsiTheme="minorHAnsi" w:cstheme="majorHAnsi"/>
                <w:sz w:val="18"/>
                <w:szCs w:val="18"/>
                <w:vertAlign w:val="superscript"/>
                <w:lang w:val="en-US"/>
              </w:rPr>
              <w:t>c</w:t>
            </w:r>
            <w:r w:rsidRPr="00007908">
              <w:rPr>
                <w:rFonts w:asciiTheme="minorHAnsi" w:hAnsiTheme="minorHAnsi" w:cstheme="majorHAnsi"/>
                <w:sz w:val="18"/>
                <w:szCs w:val="18"/>
                <w:lang w:val="en-US"/>
              </w:rPr>
              <w:t xml:space="preserve"> - median (IQR)</w:t>
            </w:r>
          </w:p>
        </w:tc>
        <w:tc>
          <w:tcPr>
            <w:tcW w:w="1188" w:type="pct"/>
            <w:shd w:val="clear" w:color="auto" w:fill="FFFFFF"/>
            <w:vAlign w:val="center"/>
          </w:tcPr>
          <w:p w14:paraId="5D7485A7" w14:textId="77777777" w:rsidR="004D633F" w:rsidRPr="00CD62D3" w:rsidRDefault="004D633F" w:rsidP="006F2FD5">
            <w:pPr>
              <w:spacing w:before="40" w:after="40"/>
              <w:ind w:left="100" w:right="100"/>
              <w:jc w:val="center"/>
              <w:rPr>
                <w:rFonts w:asciiTheme="minorHAnsi" w:eastAsia="Arial" w:hAnsiTheme="minorHAnsi" w:cstheme="minorHAnsi"/>
                <w:color w:val="000000"/>
                <w:sz w:val="18"/>
                <w:szCs w:val="18"/>
              </w:rPr>
            </w:pPr>
            <w:r w:rsidRPr="00CD62D3">
              <w:rPr>
                <w:rFonts w:asciiTheme="minorHAnsi" w:eastAsia="Arial" w:hAnsiTheme="minorHAnsi" w:cstheme="minorHAnsi"/>
                <w:color w:val="000000"/>
                <w:sz w:val="18"/>
                <w:szCs w:val="18"/>
              </w:rPr>
              <w:t>13.0 (13.0 - 18.0)</w:t>
            </w:r>
          </w:p>
          <w:p w14:paraId="13BC9646" w14:textId="3A8EB12E"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w:t>
            </w:r>
            <w:r w:rsidRPr="00CD62D3">
              <w:rPr>
                <w:rFonts w:asciiTheme="minorHAnsi" w:eastAsia="Arial" w:hAnsiTheme="minorHAnsi" w:cstheme="minorHAnsi"/>
                <w:i/>
                <w:iCs/>
                <w:color w:val="000000"/>
                <w:sz w:val="18"/>
                <w:szCs w:val="18"/>
              </w:rPr>
              <w:t>n</w:t>
            </w:r>
            <w:r w:rsidRPr="00CD62D3">
              <w:rPr>
                <w:rFonts w:asciiTheme="minorHAnsi" w:eastAsia="Arial" w:hAnsiTheme="minorHAnsi" w:cstheme="minorHAnsi"/>
                <w:color w:val="000000"/>
                <w:sz w:val="18"/>
                <w:szCs w:val="18"/>
              </w:rPr>
              <w:t xml:space="preserve"> = 3)</w:t>
            </w:r>
          </w:p>
        </w:tc>
        <w:tc>
          <w:tcPr>
            <w:tcW w:w="1188" w:type="pct"/>
            <w:shd w:val="clear" w:color="auto" w:fill="FFFFFF"/>
            <w:tcMar>
              <w:top w:w="0" w:type="dxa"/>
              <w:left w:w="0" w:type="dxa"/>
              <w:bottom w:w="0" w:type="dxa"/>
              <w:right w:w="0" w:type="dxa"/>
            </w:tcMar>
            <w:vAlign w:val="center"/>
          </w:tcPr>
          <w:p w14:paraId="44DDABAF" w14:textId="1F696A83"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6.5 (5.8 - 7.2)</w:t>
            </w:r>
          </w:p>
          <w:p w14:paraId="07103185"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2)</w:t>
            </w:r>
          </w:p>
        </w:tc>
        <w:tc>
          <w:tcPr>
            <w:tcW w:w="1189" w:type="pct"/>
            <w:shd w:val="clear" w:color="auto" w:fill="FFFFFF"/>
            <w:tcMar>
              <w:top w:w="0" w:type="dxa"/>
              <w:left w:w="0" w:type="dxa"/>
              <w:bottom w:w="0" w:type="dxa"/>
              <w:right w:w="0" w:type="dxa"/>
            </w:tcMar>
            <w:vAlign w:val="center"/>
          </w:tcPr>
          <w:p w14:paraId="096D2ECA" w14:textId="77777777" w:rsidR="004D633F" w:rsidRPr="00CD62D3" w:rsidRDefault="004D633F" w:rsidP="006F2FD5">
            <w:pPr>
              <w:spacing w:before="40" w:after="40"/>
              <w:ind w:left="100" w:right="100"/>
              <w:jc w:val="center"/>
              <w:rPr>
                <w:rFonts w:ascii="Calibri" w:eastAsia="Arial" w:hAnsi="Calibri" w:cs="Calibri"/>
                <w:color w:val="000000"/>
                <w:sz w:val="18"/>
                <w:szCs w:val="18"/>
              </w:rPr>
            </w:pPr>
            <w:r w:rsidRPr="00CD62D3">
              <w:rPr>
                <w:rFonts w:ascii="Calibri" w:eastAsia="Arial" w:hAnsi="Calibri" w:cs="Calibri"/>
                <w:color w:val="000000"/>
                <w:sz w:val="18"/>
                <w:szCs w:val="18"/>
              </w:rPr>
              <w:t>13.0 (8.0 - 13.0)</w:t>
            </w:r>
          </w:p>
          <w:p w14:paraId="6979F29D" w14:textId="30087FD6"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w:t>
            </w:r>
            <w:r w:rsidRPr="00CD62D3">
              <w:rPr>
                <w:rFonts w:ascii="Calibri" w:eastAsia="Arial" w:hAnsi="Calibri" w:cs="Calibri"/>
                <w:i/>
                <w:iCs/>
                <w:color w:val="000000"/>
                <w:sz w:val="18"/>
                <w:szCs w:val="18"/>
              </w:rPr>
              <w:t>n</w:t>
            </w:r>
            <w:r w:rsidRPr="00CD62D3">
              <w:rPr>
                <w:rFonts w:ascii="Calibri" w:eastAsia="Arial" w:hAnsi="Calibri" w:cs="Calibri"/>
                <w:color w:val="000000"/>
                <w:sz w:val="18"/>
                <w:szCs w:val="18"/>
              </w:rPr>
              <w:t xml:space="preserve"> = 5)</w:t>
            </w:r>
          </w:p>
        </w:tc>
      </w:tr>
      <w:tr w:rsidR="004D633F" w:rsidRPr="00007908" w14:paraId="43E6F58D" w14:textId="77777777" w:rsidTr="00BB21F9">
        <w:trPr>
          <w:cantSplit/>
        </w:trPr>
        <w:tc>
          <w:tcPr>
            <w:tcW w:w="1435" w:type="pct"/>
            <w:shd w:val="clear" w:color="auto" w:fill="FFFFFF"/>
            <w:tcMar>
              <w:top w:w="0" w:type="dxa"/>
              <w:left w:w="0" w:type="dxa"/>
              <w:bottom w:w="0" w:type="dxa"/>
              <w:right w:w="0" w:type="dxa"/>
            </w:tcMar>
            <w:vAlign w:val="center"/>
          </w:tcPr>
          <w:p w14:paraId="458F73B8"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Confirmed SARS-CoV-2 infection </w:t>
            </w:r>
            <w:r w:rsidRPr="00007908">
              <w:rPr>
                <w:rFonts w:asciiTheme="minorHAnsi" w:hAnsiTheme="minorHAnsi" w:cstheme="majorHAnsi"/>
                <w:sz w:val="18"/>
                <w:szCs w:val="18"/>
                <w:vertAlign w:val="superscript"/>
                <w:lang w:val="en-US"/>
              </w:rPr>
              <w:t>d</w:t>
            </w:r>
            <w:r w:rsidRPr="00007908">
              <w:rPr>
                <w:rFonts w:asciiTheme="minorHAnsi" w:hAnsiTheme="minorHAnsi" w:cstheme="majorHAnsi"/>
                <w:sz w:val="18"/>
                <w:szCs w:val="18"/>
                <w:lang w:val="en-US"/>
              </w:rPr>
              <w:t xml:space="preserve"> - n / N (%)</w:t>
            </w:r>
          </w:p>
        </w:tc>
        <w:tc>
          <w:tcPr>
            <w:tcW w:w="1188" w:type="pct"/>
            <w:shd w:val="clear" w:color="auto" w:fill="FFFFFF"/>
            <w:vAlign w:val="center"/>
          </w:tcPr>
          <w:p w14:paraId="2B572419" w14:textId="511D0597"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3 / 3 (100.0)</w:t>
            </w:r>
          </w:p>
        </w:tc>
        <w:tc>
          <w:tcPr>
            <w:tcW w:w="1188" w:type="pct"/>
            <w:shd w:val="clear" w:color="auto" w:fill="FFFFFF"/>
            <w:tcMar>
              <w:top w:w="0" w:type="dxa"/>
              <w:left w:w="0" w:type="dxa"/>
              <w:bottom w:w="0" w:type="dxa"/>
              <w:right w:w="0" w:type="dxa"/>
            </w:tcMar>
            <w:vAlign w:val="center"/>
          </w:tcPr>
          <w:p w14:paraId="4910AD25"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 / 2 (100.0)</w:t>
            </w:r>
          </w:p>
        </w:tc>
        <w:tc>
          <w:tcPr>
            <w:tcW w:w="1189" w:type="pct"/>
            <w:shd w:val="clear" w:color="auto" w:fill="FFFFFF"/>
            <w:tcMar>
              <w:top w:w="0" w:type="dxa"/>
              <w:left w:w="0" w:type="dxa"/>
              <w:bottom w:w="0" w:type="dxa"/>
              <w:right w:w="0" w:type="dxa"/>
            </w:tcMar>
            <w:vAlign w:val="center"/>
          </w:tcPr>
          <w:p w14:paraId="6B01ECD1" w14:textId="616C4B51"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5 / 5 (100.0)</w:t>
            </w:r>
          </w:p>
        </w:tc>
      </w:tr>
      <w:tr w:rsidR="004D633F" w:rsidRPr="00007908" w14:paraId="61C2965C" w14:textId="77777777" w:rsidTr="00BB21F9">
        <w:trPr>
          <w:cantSplit/>
        </w:trPr>
        <w:tc>
          <w:tcPr>
            <w:tcW w:w="1435" w:type="pct"/>
            <w:shd w:val="clear" w:color="auto" w:fill="FFFFFF"/>
            <w:tcMar>
              <w:top w:w="0" w:type="dxa"/>
              <w:left w:w="0" w:type="dxa"/>
              <w:bottom w:w="0" w:type="dxa"/>
              <w:right w:w="0" w:type="dxa"/>
            </w:tcMar>
            <w:vAlign w:val="center"/>
          </w:tcPr>
          <w:p w14:paraId="0E670428"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Preexisting condition - n / N (%)</w:t>
            </w:r>
          </w:p>
        </w:tc>
        <w:tc>
          <w:tcPr>
            <w:tcW w:w="1188" w:type="pct"/>
            <w:shd w:val="clear" w:color="auto" w:fill="FFFFFF"/>
            <w:vAlign w:val="center"/>
          </w:tcPr>
          <w:p w14:paraId="21173585" w14:textId="77777777" w:rsidR="004D633F" w:rsidRPr="002E372F" w:rsidRDefault="004D633F" w:rsidP="006F2FD5">
            <w:pPr>
              <w:jc w:val="center"/>
              <w:rPr>
                <w:rFonts w:asciiTheme="minorHAnsi" w:hAnsiTheme="minorHAnsi" w:cstheme="minorHAnsi"/>
                <w:sz w:val="18"/>
                <w:szCs w:val="18"/>
                <w:lang w:val="en-US"/>
              </w:rPr>
            </w:pPr>
          </w:p>
        </w:tc>
        <w:tc>
          <w:tcPr>
            <w:tcW w:w="1188" w:type="pct"/>
            <w:shd w:val="clear" w:color="auto" w:fill="FFFFFF"/>
            <w:tcMar>
              <w:top w:w="0" w:type="dxa"/>
              <w:left w:w="0" w:type="dxa"/>
              <w:bottom w:w="0" w:type="dxa"/>
              <w:right w:w="0" w:type="dxa"/>
            </w:tcMar>
            <w:vAlign w:val="center"/>
          </w:tcPr>
          <w:p w14:paraId="126CF1A2" w14:textId="77777777" w:rsidR="004D633F" w:rsidRPr="00007908" w:rsidRDefault="004D633F" w:rsidP="006F2FD5">
            <w:pPr>
              <w:jc w:val="center"/>
              <w:rPr>
                <w:rFonts w:asciiTheme="minorHAnsi" w:hAnsiTheme="minorHAnsi" w:cstheme="majorHAnsi"/>
                <w:sz w:val="18"/>
                <w:szCs w:val="18"/>
                <w:lang w:val="en-US"/>
              </w:rPr>
            </w:pPr>
          </w:p>
        </w:tc>
        <w:tc>
          <w:tcPr>
            <w:tcW w:w="1189" w:type="pct"/>
            <w:shd w:val="clear" w:color="auto" w:fill="FFFFFF"/>
            <w:tcMar>
              <w:top w:w="0" w:type="dxa"/>
              <w:left w:w="0" w:type="dxa"/>
              <w:bottom w:w="0" w:type="dxa"/>
              <w:right w:w="0" w:type="dxa"/>
            </w:tcMar>
            <w:vAlign w:val="center"/>
          </w:tcPr>
          <w:p w14:paraId="41D349CA" w14:textId="77777777" w:rsidR="004D633F" w:rsidRPr="00CD62D3" w:rsidRDefault="004D633F" w:rsidP="006F2FD5">
            <w:pPr>
              <w:jc w:val="center"/>
              <w:rPr>
                <w:rFonts w:ascii="Calibri" w:hAnsi="Calibri" w:cs="Calibri"/>
                <w:sz w:val="18"/>
                <w:szCs w:val="18"/>
                <w:lang w:val="en-US"/>
              </w:rPr>
            </w:pPr>
          </w:p>
        </w:tc>
      </w:tr>
      <w:tr w:rsidR="004D633F" w:rsidRPr="00007908" w14:paraId="55A67F17" w14:textId="77777777" w:rsidTr="00BB21F9">
        <w:trPr>
          <w:cantSplit/>
        </w:trPr>
        <w:tc>
          <w:tcPr>
            <w:tcW w:w="1435" w:type="pct"/>
            <w:shd w:val="clear" w:color="auto" w:fill="FFFFFF"/>
            <w:tcMar>
              <w:top w:w="0" w:type="dxa"/>
              <w:left w:w="0" w:type="dxa"/>
              <w:bottom w:w="0" w:type="dxa"/>
              <w:right w:w="0" w:type="dxa"/>
            </w:tcMar>
            <w:vAlign w:val="center"/>
          </w:tcPr>
          <w:p w14:paraId="010F284F"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Diabetes</w:t>
            </w:r>
          </w:p>
        </w:tc>
        <w:tc>
          <w:tcPr>
            <w:tcW w:w="1188" w:type="pct"/>
            <w:shd w:val="clear" w:color="auto" w:fill="FFFFFF"/>
            <w:vAlign w:val="center"/>
          </w:tcPr>
          <w:p w14:paraId="3D8A0CDB" w14:textId="12925DFC"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0 / 3 (0.0)</w:t>
            </w:r>
          </w:p>
        </w:tc>
        <w:tc>
          <w:tcPr>
            <w:tcW w:w="1188" w:type="pct"/>
            <w:shd w:val="clear" w:color="auto" w:fill="FFFFFF"/>
            <w:tcMar>
              <w:top w:w="0" w:type="dxa"/>
              <w:left w:w="0" w:type="dxa"/>
              <w:bottom w:w="0" w:type="dxa"/>
              <w:right w:w="0" w:type="dxa"/>
            </w:tcMar>
            <w:vAlign w:val="center"/>
          </w:tcPr>
          <w:p w14:paraId="741C0333"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 / 2 (0.0)</w:t>
            </w:r>
          </w:p>
        </w:tc>
        <w:tc>
          <w:tcPr>
            <w:tcW w:w="1189" w:type="pct"/>
            <w:shd w:val="clear" w:color="auto" w:fill="FFFFFF"/>
            <w:tcMar>
              <w:top w:w="0" w:type="dxa"/>
              <w:left w:w="0" w:type="dxa"/>
              <w:bottom w:w="0" w:type="dxa"/>
              <w:right w:w="0" w:type="dxa"/>
            </w:tcMar>
            <w:vAlign w:val="center"/>
          </w:tcPr>
          <w:p w14:paraId="10F9AE75" w14:textId="142C542E"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0 / 5 (0.0)</w:t>
            </w:r>
          </w:p>
        </w:tc>
      </w:tr>
      <w:tr w:rsidR="004D633F" w:rsidRPr="00007908" w14:paraId="416DA9D6" w14:textId="77777777" w:rsidTr="00BB21F9">
        <w:trPr>
          <w:cantSplit/>
        </w:trPr>
        <w:tc>
          <w:tcPr>
            <w:tcW w:w="1435" w:type="pct"/>
            <w:shd w:val="clear" w:color="auto" w:fill="FFFFFF"/>
            <w:tcMar>
              <w:top w:w="0" w:type="dxa"/>
              <w:left w:w="0" w:type="dxa"/>
              <w:bottom w:w="0" w:type="dxa"/>
              <w:right w:w="0" w:type="dxa"/>
            </w:tcMar>
            <w:vAlign w:val="center"/>
          </w:tcPr>
          <w:p w14:paraId="6F668539"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Respiratory disease</w:t>
            </w:r>
          </w:p>
        </w:tc>
        <w:tc>
          <w:tcPr>
            <w:tcW w:w="1188" w:type="pct"/>
            <w:shd w:val="clear" w:color="auto" w:fill="FFFFFF"/>
            <w:vAlign w:val="center"/>
          </w:tcPr>
          <w:p w14:paraId="4B11BCD0" w14:textId="03A63511"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1 / 3 (33.3)</w:t>
            </w:r>
          </w:p>
        </w:tc>
        <w:tc>
          <w:tcPr>
            <w:tcW w:w="1188" w:type="pct"/>
            <w:shd w:val="clear" w:color="auto" w:fill="FFFFFF"/>
            <w:tcMar>
              <w:top w:w="0" w:type="dxa"/>
              <w:left w:w="0" w:type="dxa"/>
              <w:bottom w:w="0" w:type="dxa"/>
              <w:right w:w="0" w:type="dxa"/>
            </w:tcMar>
            <w:vAlign w:val="center"/>
          </w:tcPr>
          <w:p w14:paraId="028560FE"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 / 2 (0.0)</w:t>
            </w:r>
          </w:p>
        </w:tc>
        <w:tc>
          <w:tcPr>
            <w:tcW w:w="1189" w:type="pct"/>
            <w:shd w:val="clear" w:color="auto" w:fill="FFFFFF"/>
            <w:tcMar>
              <w:top w:w="0" w:type="dxa"/>
              <w:left w:w="0" w:type="dxa"/>
              <w:bottom w:w="0" w:type="dxa"/>
              <w:right w:w="0" w:type="dxa"/>
            </w:tcMar>
            <w:vAlign w:val="center"/>
          </w:tcPr>
          <w:p w14:paraId="24468BCB" w14:textId="1A4E842D"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1 / 5 (20.0)</w:t>
            </w:r>
          </w:p>
        </w:tc>
      </w:tr>
      <w:tr w:rsidR="004D633F" w:rsidRPr="00007908" w14:paraId="3BBF722A" w14:textId="77777777" w:rsidTr="00BB21F9">
        <w:trPr>
          <w:cantSplit/>
        </w:trPr>
        <w:tc>
          <w:tcPr>
            <w:tcW w:w="1435" w:type="pct"/>
            <w:shd w:val="clear" w:color="auto" w:fill="FFFFFF"/>
            <w:tcMar>
              <w:top w:w="0" w:type="dxa"/>
              <w:left w:w="0" w:type="dxa"/>
              <w:bottom w:w="0" w:type="dxa"/>
              <w:right w:w="0" w:type="dxa"/>
            </w:tcMar>
            <w:vAlign w:val="center"/>
          </w:tcPr>
          <w:p w14:paraId="27194E56"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Asthma/COPD</w:t>
            </w:r>
          </w:p>
        </w:tc>
        <w:tc>
          <w:tcPr>
            <w:tcW w:w="1188" w:type="pct"/>
            <w:shd w:val="clear" w:color="auto" w:fill="FFFFFF"/>
            <w:vAlign w:val="center"/>
          </w:tcPr>
          <w:p w14:paraId="10DEF9AF" w14:textId="51317243"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1 / 3 (33.3)</w:t>
            </w:r>
          </w:p>
        </w:tc>
        <w:tc>
          <w:tcPr>
            <w:tcW w:w="1188" w:type="pct"/>
            <w:shd w:val="clear" w:color="auto" w:fill="FFFFFF"/>
            <w:tcMar>
              <w:top w:w="0" w:type="dxa"/>
              <w:left w:w="0" w:type="dxa"/>
              <w:bottom w:w="0" w:type="dxa"/>
              <w:right w:w="0" w:type="dxa"/>
            </w:tcMar>
            <w:vAlign w:val="center"/>
          </w:tcPr>
          <w:p w14:paraId="551D6A24"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 / 2 (0.0)</w:t>
            </w:r>
          </w:p>
        </w:tc>
        <w:tc>
          <w:tcPr>
            <w:tcW w:w="1189" w:type="pct"/>
            <w:shd w:val="clear" w:color="auto" w:fill="FFFFFF"/>
            <w:tcMar>
              <w:top w:w="0" w:type="dxa"/>
              <w:left w:w="0" w:type="dxa"/>
              <w:bottom w:w="0" w:type="dxa"/>
              <w:right w:w="0" w:type="dxa"/>
            </w:tcMar>
            <w:vAlign w:val="center"/>
          </w:tcPr>
          <w:p w14:paraId="454323C1" w14:textId="70F94BDA"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1 / 5 (20.0)</w:t>
            </w:r>
          </w:p>
        </w:tc>
      </w:tr>
      <w:tr w:rsidR="004D633F" w:rsidRPr="00007908" w14:paraId="2D637492" w14:textId="77777777" w:rsidTr="00BB21F9">
        <w:trPr>
          <w:cantSplit/>
        </w:trPr>
        <w:tc>
          <w:tcPr>
            <w:tcW w:w="1435" w:type="pct"/>
            <w:shd w:val="clear" w:color="auto" w:fill="FFFFFF"/>
            <w:tcMar>
              <w:top w:w="0" w:type="dxa"/>
              <w:left w:w="0" w:type="dxa"/>
              <w:bottom w:w="0" w:type="dxa"/>
              <w:right w:w="0" w:type="dxa"/>
            </w:tcMar>
            <w:vAlign w:val="center"/>
          </w:tcPr>
          <w:p w14:paraId="3A8B80F0"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Other</w:t>
            </w:r>
          </w:p>
        </w:tc>
        <w:tc>
          <w:tcPr>
            <w:tcW w:w="1188" w:type="pct"/>
            <w:shd w:val="clear" w:color="auto" w:fill="FFFFFF"/>
            <w:vAlign w:val="center"/>
          </w:tcPr>
          <w:p w14:paraId="14DE3C33" w14:textId="26DFF065"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0 / 3 (0.0)</w:t>
            </w:r>
          </w:p>
        </w:tc>
        <w:tc>
          <w:tcPr>
            <w:tcW w:w="1188" w:type="pct"/>
            <w:shd w:val="clear" w:color="auto" w:fill="FFFFFF"/>
            <w:tcMar>
              <w:top w:w="0" w:type="dxa"/>
              <w:left w:w="0" w:type="dxa"/>
              <w:bottom w:w="0" w:type="dxa"/>
              <w:right w:w="0" w:type="dxa"/>
            </w:tcMar>
            <w:vAlign w:val="center"/>
          </w:tcPr>
          <w:p w14:paraId="2CB82F2B"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 / 2 (0.0)</w:t>
            </w:r>
          </w:p>
        </w:tc>
        <w:tc>
          <w:tcPr>
            <w:tcW w:w="1189" w:type="pct"/>
            <w:shd w:val="clear" w:color="auto" w:fill="FFFFFF"/>
            <w:tcMar>
              <w:top w:w="0" w:type="dxa"/>
              <w:left w:w="0" w:type="dxa"/>
              <w:bottom w:w="0" w:type="dxa"/>
              <w:right w:w="0" w:type="dxa"/>
            </w:tcMar>
            <w:vAlign w:val="center"/>
          </w:tcPr>
          <w:p w14:paraId="362465D5" w14:textId="78161274"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0 / 5 (0.0)</w:t>
            </w:r>
          </w:p>
        </w:tc>
      </w:tr>
      <w:tr w:rsidR="004D633F" w:rsidRPr="00007908" w14:paraId="653B4BB0" w14:textId="77777777" w:rsidTr="00BB21F9">
        <w:trPr>
          <w:cantSplit/>
        </w:trPr>
        <w:tc>
          <w:tcPr>
            <w:tcW w:w="1435" w:type="pct"/>
            <w:shd w:val="clear" w:color="auto" w:fill="FFFFFF"/>
            <w:tcMar>
              <w:top w:w="0" w:type="dxa"/>
              <w:left w:w="0" w:type="dxa"/>
              <w:bottom w:w="0" w:type="dxa"/>
              <w:right w:w="0" w:type="dxa"/>
            </w:tcMar>
            <w:vAlign w:val="center"/>
          </w:tcPr>
          <w:p w14:paraId="5B7BD6DC"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Kidney disease</w:t>
            </w:r>
          </w:p>
        </w:tc>
        <w:tc>
          <w:tcPr>
            <w:tcW w:w="1188" w:type="pct"/>
            <w:shd w:val="clear" w:color="auto" w:fill="FFFFFF"/>
            <w:vAlign w:val="center"/>
          </w:tcPr>
          <w:p w14:paraId="38EE9D40" w14:textId="01CEDC16"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0 / 3 (0.0)</w:t>
            </w:r>
          </w:p>
        </w:tc>
        <w:tc>
          <w:tcPr>
            <w:tcW w:w="1188" w:type="pct"/>
            <w:shd w:val="clear" w:color="auto" w:fill="FFFFFF"/>
            <w:tcMar>
              <w:top w:w="0" w:type="dxa"/>
              <w:left w:w="0" w:type="dxa"/>
              <w:bottom w:w="0" w:type="dxa"/>
              <w:right w:w="0" w:type="dxa"/>
            </w:tcMar>
            <w:vAlign w:val="center"/>
          </w:tcPr>
          <w:p w14:paraId="3513663C"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 / 2 (0.0)</w:t>
            </w:r>
          </w:p>
        </w:tc>
        <w:tc>
          <w:tcPr>
            <w:tcW w:w="1189" w:type="pct"/>
            <w:shd w:val="clear" w:color="auto" w:fill="FFFFFF"/>
            <w:tcMar>
              <w:top w:w="0" w:type="dxa"/>
              <w:left w:w="0" w:type="dxa"/>
              <w:bottom w:w="0" w:type="dxa"/>
              <w:right w:w="0" w:type="dxa"/>
            </w:tcMar>
            <w:vAlign w:val="center"/>
          </w:tcPr>
          <w:p w14:paraId="61E69051" w14:textId="77DDF9DA"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0 / 5 (0.0)</w:t>
            </w:r>
          </w:p>
        </w:tc>
      </w:tr>
      <w:tr w:rsidR="004D633F" w:rsidRPr="00007908" w14:paraId="525C5099" w14:textId="77777777" w:rsidTr="00BB21F9">
        <w:trPr>
          <w:cantSplit/>
        </w:trPr>
        <w:tc>
          <w:tcPr>
            <w:tcW w:w="1435" w:type="pct"/>
            <w:shd w:val="clear" w:color="auto" w:fill="FFFFFF"/>
            <w:tcMar>
              <w:top w:w="0" w:type="dxa"/>
              <w:left w:w="0" w:type="dxa"/>
              <w:bottom w:w="0" w:type="dxa"/>
              <w:right w:w="0" w:type="dxa"/>
            </w:tcMar>
            <w:vAlign w:val="center"/>
          </w:tcPr>
          <w:p w14:paraId="2ED39E18"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Severe cardiovascular disease</w:t>
            </w:r>
          </w:p>
        </w:tc>
        <w:tc>
          <w:tcPr>
            <w:tcW w:w="1188" w:type="pct"/>
            <w:shd w:val="clear" w:color="auto" w:fill="FFFFFF"/>
            <w:vAlign w:val="center"/>
          </w:tcPr>
          <w:p w14:paraId="0764BB90" w14:textId="19C71371"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0 / 3 (0.0)</w:t>
            </w:r>
          </w:p>
        </w:tc>
        <w:tc>
          <w:tcPr>
            <w:tcW w:w="1188" w:type="pct"/>
            <w:shd w:val="clear" w:color="auto" w:fill="FFFFFF"/>
            <w:tcMar>
              <w:top w:w="0" w:type="dxa"/>
              <w:left w:w="0" w:type="dxa"/>
              <w:bottom w:w="0" w:type="dxa"/>
              <w:right w:w="0" w:type="dxa"/>
            </w:tcMar>
            <w:vAlign w:val="center"/>
          </w:tcPr>
          <w:p w14:paraId="3E7C49AC"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 / 2 (0.0)</w:t>
            </w:r>
          </w:p>
        </w:tc>
        <w:tc>
          <w:tcPr>
            <w:tcW w:w="1189" w:type="pct"/>
            <w:shd w:val="clear" w:color="auto" w:fill="FFFFFF"/>
            <w:tcMar>
              <w:top w:w="0" w:type="dxa"/>
              <w:left w:w="0" w:type="dxa"/>
              <w:bottom w:w="0" w:type="dxa"/>
              <w:right w:w="0" w:type="dxa"/>
            </w:tcMar>
            <w:vAlign w:val="center"/>
          </w:tcPr>
          <w:p w14:paraId="790510A4" w14:textId="0541882F"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0 / 5 (0.0)</w:t>
            </w:r>
          </w:p>
        </w:tc>
      </w:tr>
      <w:tr w:rsidR="004D633F" w:rsidRPr="00007908" w14:paraId="75B6E8A6" w14:textId="77777777" w:rsidTr="00BB21F9">
        <w:trPr>
          <w:cantSplit/>
        </w:trPr>
        <w:tc>
          <w:tcPr>
            <w:tcW w:w="1435" w:type="pct"/>
            <w:shd w:val="clear" w:color="auto" w:fill="FFFFFF"/>
            <w:tcMar>
              <w:top w:w="0" w:type="dxa"/>
              <w:left w:w="0" w:type="dxa"/>
              <w:bottom w:w="0" w:type="dxa"/>
              <w:right w:w="0" w:type="dxa"/>
            </w:tcMar>
            <w:vAlign w:val="center"/>
          </w:tcPr>
          <w:p w14:paraId="3A8CE283"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Any immunosuppressive condition</w:t>
            </w:r>
          </w:p>
        </w:tc>
        <w:tc>
          <w:tcPr>
            <w:tcW w:w="1188" w:type="pct"/>
            <w:shd w:val="clear" w:color="auto" w:fill="FFFFFF"/>
            <w:vAlign w:val="center"/>
          </w:tcPr>
          <w:p w14:paraId="49DA88C4" w14:textId="3E12140B"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0 / 3 (0.0)</w:t>
            </w:r>
          </w:p>
        </w:tc>
        <w:tc>
          <w:tcPr>
            <w:tcW w:w="1188" w:type="pct"/>
            <w:shd w:val="clear" w:color="auto" w:fill="FFFFFF"/>
            <w:tcMar>
              <w:top w:w="0" w:type="dxa"/>
              <w:left w:w="0" w:type="dxa"/>
              <w:bottom w:w="0" w:type="dxa"/>
              <w:right w:w="0" w:type="dxa"/>
            </w:tcMar>
            <w:vAlign w:val="center"/>
          </w:tcPr>
          <w:p w14:paraId="5FBDA47D"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 / 2 (0.0)</w:t>
            </w:r>
          </w:p>
        </w:tc>
        <w:tc>
          <w:tcPr>
            <w:tcW w:w="1189" w:type="pct"/>
            <w:shd w:val="clear" w:color="auto" w:fill="FFFFFF"/>
            <w:tcMar>
              <w:top w:w="0" w:type="dxa"/>
              <w:left w:w="0" w:type="dxa"/>
              <w:bottom w:w="0" w:type="dxa"/>
              <w:right w:w="0" w:type="dxa"/>
            </w:tcMar>
            <w:vAlign w:val="center"/>
          </w:tcPr>
          <w:p w14:paraId="32796225" w14:textId="5697C0D6"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0 / 5 (0.0)</w:t>
            </w:r>
          </w:p>
        </w:tc>
      </w:tr>
      <w:tr w:rsidR="004D633F" w:rsidRPr="00007908" w14:paraId="0882C16E" w14:textId="77777777" w:rsidTr="00BB21F9">
        <w:trPr>
          <w:cantSplit/>
        </w:trPr>
        <w:tc>
          <w:tcPr>
            <w:tcW w:w="1435" w:type="pct"/>
            <w:shd w:val="clear" w:color="auto" w:fill="FFFFFF"/>
            <w:tcMar>
              <w:top w:w="0" w:type="dxa"/>
              <w:left w:w="0" w:type="dxa"/>
              <w:bottom w:w="0" w:type="dxa"/>
              <w:right w:w="0" w:type="dxa"/>
            </w:tcMar>
            <w:vAlign w:val="center"/>
          </w:tcPr>
          <w:p w14:paraId="050825E3"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Cancer</w:t>
            </w:r>
          </w:p>
        </w:tc>
        <w:tc>
          <w:tcPr>
            <w:tcW w:w="1188" w:type="pct"/>
            <w:shd w:val="clear" w:color="auto" w:fill="FFFFFF"/>
            <w:vAlign w:val="center"/>
          </w:tcPr>
          <w:p w14:paraId="24A2396D" w14:textId="16CDBF97"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0 / 3 (0.0)</w:t>
            </w:r>
          </w:p>
        </w:tc>
        <w:tc>
          <w:tcPr>
            <w:tcW w:w="1188" w:type="pct"/>
            <w:shd w:val="clear" w:color="auto" w:fill="FFFFFF"/>
            <w:tcMar>
              <w:top w:w="0" w:type="dxa"/>
              <w:left w:w="0" w:type="dxa"/>
              <w:bottom w:w="0" w:type="dxa"/>
              <w:right w:w="0" w:type="dxa"/>
            </w:tcMar>
            <w:vAlign w:val="center"/>
          </w:tcPr>
          <w:p w14:paraId="7E81DAC4"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 / 2 (0.0)</w:t>
            </w:r>
          </w:p>
        </w:tc>
        <w:tc>
          <w:tcPr>
            <w:tcW w:w="1189" w:type="pct"/>
            <w:shd w:val="clear" w:color="auto" w:fill="FFFFFF"/>
            <w:tcMar>
              <w:top w:w="0" w:type="dxa"/>
              <w:left w:w="0" w:type="dxa"/>
              <w:bottom w:w="0" w:type="dxa"/>
              <w:right w:w="0" w:type="dxa"/>
            </w:tcMar>
            <w:vAlign w:val="center"/>
          </w:tcPr>
          <w:p w14:paraId="280CA781" w14:textId="6E3BC245"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0 / 5 (0.0)</w:t>
            </w:r>
          </w:p>
        </w:tc>
      </w:tr>
      <w:tr w:rsidR="004D633F" w:rsidRPr="00007908" w14:paraId="0A4A23FB" w14:textId="77777777" w:rsidTr="00BB21F9">
        <w:trPr>
          <w:cantSplit/>
        </w:trPr>
        <w:tc>
          <w:tcPr>
            <w:tcW w:w="1435" w:type="pct"/>
            <w:shd w:val="clear" w:color="auto" w:fill="FFFFFF"/>
            <w:tcMar>
              <w:top w:w="0" w:type="dxa"/>
              <w:left w:w="0" w:type="dxa"/>
              <w:bottom w:w="0" w:type="dxa"/>
              <w:right w:w="0" w:type="dxa"/>
            </w:tcMar>
            <w:vAlign w:val="center"/>
          </w:tcPr>
          <w:p w14:paraId="1B4349F7"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Chronic immunosuppressive therapy</w:t>
            </w:r>
          </w:p>
        </w:tc>
        <w:tc>
          <w:tcPr>
            <w:tcW w:w="1188" w:type="pct"/>
            <w:shd w:val="clear" w:color="auto" w:fill="FFFFFF"/>
            <w:vAlign w:val="center"/>
          </w:tcPr>
          <w:p w14:paraId="7F795AA0" w14:textId="0598B6AC"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0 / 3 (0.0)</w:t>
            </w:r>
          </w:p>
        </w:tc>
        <w:tc>
          <w:tcPr>
            <w:tcW w:w="1188" w:type="pct"/>
            <w:shd w:val="clear" w:color="auto" w:fill="FFFFFF"/>
            <w:tcMar>
              <w:top w:w="0" w:type="dxa"/>
              <w:left w:w="0" w:type="dxa"/>
              <w:bottom w:w="0" w:type="dxa"/>
              <w:right w:w="0" w:type="dxa"/>
            </w:tcMar>
            <w:vAlign w:val="center"/>
          </w:tcPr>
          <w:p w14:paraId="6D969A6B"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 / 2 (0.0)</w:t>
            </w:r>
          </w:p>
        </w:tc>
        <w:tc>
          <w:tcPr>
            <w:tcW w:w="1189" w:type="pct"/>
            <w:shd w:val="clear" w:color="auto" w:fill="FFFFFF"/>
            <w:tcMar>
              <w:top w:w="0" w:type="dxa"/>
              <w:left w:w="0" w:type="dxa"/>
              <w:bottom w:w="0" w:type="dxa"/>
              <w:right w:w="0" w:type="dxa"/>
            </w:tcMar>
            <w:vAlign w:val="center"/>
          </w:tcPr>
          <w:p w14:paraId="15C038A7" w14:textId="4EA4A3A6"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0 / 5 (0.0)</w:t>
            </w:r>
          </w:p>
        </w:tc>
      </w:tr>
      <w:tr w:rsidR="004D633F" w:rsidRPr="00007908" w14:paraId="55AFD923" w14:textId="77777777" w:rsidTr="00BB21F9">
        <w:trPr>
          <w:cantSplit/>
        </w:trPr>
        <w:tc>
          <w:tcPr>
            <w:tcW w:w="1435" w:type="pct"/>
            <w:shd w:val="clear" w:color="auto" w:fill="FFFFFF"/>
            <w:tcMar>
              <w:top w:w="0" w:type="dxa"/>
              <w:left w:w="0" w:type="dxa"/>
              <w:bottom w:w="0" w:type="dxa"/>
              <w:right w:w="0" w:type="dxa"/>
            </w:tcMar>
            <w:vAlign w:val="center"/>
          </w:tcPr>
          <w:p w14:paraId="59530855"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Other</w:t>
            </w:r>
          </w:p>
        </w:tc>
        <w:tc>
          <w:tcPr>
            <w:tcW w:w="1188" w:type="pct"/>
            <w:shd w:val="clear" w:color="auto" w:fill="FFFFFF"/>
            <w:vAlign w:val="center"/>
          </w:tcPr>
          <w:p w14:paraId="61738EE7" w14:textId="1D26F5DE"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0 / 3 (0.0)</w:t>
            </w:r>
          </w:p>
        </w:tc>
        <w:tc>
          <w:tcPr>
            <w:tcW w:w="1188" w:type="pct"/>
            <w:shd w:val="clear" w:color="auto" w:fill="FFFFFF"/>
            <w:tcMar>
              <w:top w:w="0" w:type="dxa"/>
              <w:left w:w="0" w:type="dxa"/>
              <w:bottom w:w="0" w:type="dxa"/>
              <w:right w:w="0" w:type="dxa"/>
            </w:tcMar>
            <w:vAlign w:val="center"/>
          </w:tcPr>
          <w:p w14:paraId="293E0E95"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 / 2 (0.0)</w:t>
            </w:r>
          </w:p>
        </w:tc>
        <w:tc>
          <w:tcPr>
            <w:tcW w:w="1189" w:type="pct"/>
            <w:shd w:val="clear" w:color="auto" w:fill="FFFFFF"/>
            <w:tcMar>
              <w:top w:w="0" w:type="dxa"/>
              <w:left w:w="0" w:type="dxa"/>
              <w:bottom w:w="0" w:type="dxa"/>
              <w:right w:w="0" w:type="dxa"/>
            </w:tcMar>
            <w:vAlign w:val="center"/>
          </w:tcPr>
          <w:p w14:paraId="3250829F" w14:textId="7AB301F6"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0 / 5 (0.0)</w:t>
            </w:r>
          </w:p>
        </w:tc>
      </w:tr>
      <w:tr w:rsidR="004D633F" w:rsidRPr="00007908" w14:paraId="0A0554E2" w14:textId="77777777" w:rsidTr="00BB21F9">
        <w:trPr>
          <w:cantSplit/>
        </w:trPr>
        <w:tc>
          <w:tcPr>
            <w:tcW w:w="1435" w:type="pct"/>
            <w:shd w:val="clear" w:color="auto" w:fill="FFFFFF"/>
            <w:tcMar>
              <w:top w:w="0" w:type="dxa"/>
              <w:left w:w="0" w:type="dxa"/>
              <w:bottom w:w="0" w:type="dxa"/>
              <w:right w:w="0" w:type="dxa"/>
            </w:tcMar>
            <w:vAlign w:val="center"/>
          </w:tcPr>
          <w:p w14:paraId="562A0993"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Liver cirrhosis / failure</w:t>
            </w:r>
          </w:p>
        </w:tc>
        <w:tc>
          <w:tcPr>
            <w:tcW w:w="1188" w:type="pct"/>
            <w:shd w:val="clear" w:color="auto" w:fill="FFFFFF"/>
            <w:vAlign w:val="center"/>
          </w:tcPr>
          <w:p w14:paraId="25BE41E4" w14:textId="405F4309"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0 / 3 (0.0)</w:t>
            </w:r>
          </w:p>
        </w:tc>
        <w:tc>
          <w:tcPr>
            <w:tcW w:w="1188" w:type="pct"/>
            <w:shd w:val="clear" w:color="auto" w:fill="FFFFFF"/>
            <w:tcMar>
              <w:top w:w="0" w:type="dxa"/>
              <w:left w:w="0" w:type="dxa"/>
              <w:bottom w:w="0" w:type="dxa"/>
              <w:right w:w="0" w:type="dxa"/>
            </w:tcMar>
            <w:vAlign w:val="center"/>
          </w:tcPr>
          <w:p w14:paraId="0EF29A7A"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 / 2 (0.0)</w:t>
            </w:r>
          </w:p>
        </w:tc>
        <w:tc>
          <w:tcPr>
            <w:tcW w:w="1189" w:type="pct"/>
            <w:shd w:val="clear" w:color="auto" w:fill="FFFFFF"/>
            <w:tcMar>
              <w:top w:w="0" w:type="dxa"/>
              <w:left w:w="0" w:type="dxa"/>
              <w:bottom w:w="0" w:type="dxa"/>
              <w:right w:w="0" w:type="dxa"/>
            </w:tcMar>
            <w:vAlign w:val="center"/>
          </w:tcPr>
          <w:p w14:paraId="368AE87A" w14:textId="219B9619"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0 / 5 (0.0)</w:t>
            </w:r>
          </w:p>
        </w:tc>
      </w:tr>
      <w:tr w:rsidR="004D633F" w:rsidRPr="00007908" w14:paraId="3840B39C" w14:textId="77777777" w:rsidTr="00BB21F9">
        <w:trPr>
          <w:cantSplit/>
        </w:trPr>
        <w:tc>
          <w:tcPr>
            <w:tcW w:w="1435" w:type="pct"/>
            <w:shd w:val="clear" w:color="auto" w:fill="FFFFFF"/>
            <w:tcMar>
              <w:top w:w="0" w:type="dxa"/>
              <w:left w:w="0" w:type="dxa"/>
              <w:bottom w:w="0" w:type="dxa"/>
              <w:right w:w="0" w:type="dxa"/>
            </w:tcMar>
            <w:vAlign w:val="center"/>
          </w:tcPr>
          <w:p w14:paraId="09961D4C"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Time to enrollment - median (IQR)</w:t>
            </w:r>
          </w:p>
        </w:tc>
        <w:tc>
          <w:tcPr>
            <w:tcW w:w="1188" w:type="pct"/>
            <w:shd w:val="clear" w:color="auto" w:fill="FFFFFF"/>
            <w:vAlign w:val="center"/>
          </w:tcPr>
          <w:p w14:paraId="5EEEB31E" w14:textId="77777777" w:rsidR="004D633F" w:rsidRPr="002E372F" w:rsidRDefault="004D633F" w:rsidP="006F2FD5">
            <w:pPr>
              <w:jc w:val="center"/>
              <w:rPr>
                <w:rFonts w:asciiTheme="minorHAnsi" w:hAnsiTheme="minorHAnsi" w:cstheme="minorHAnsi"/>
                <w:sz w:val="18"/>
                <w:szCs w:val="18"/>
                <w:lang w:val="en-US"/>
              </w:rPr>
            </w:pPr>
          </w:p>
        </w:tc>
        <w:tc>
          <w:tcPr>
            <w:tcW w:w="1188" w:type="pct"/>
            <w:shd w:val="clear" w:color="auto" w:fill="FFFFFF"/>
            <w:tcMar>
              <w:top w:w="0" w:type="dxa"/>
              <w:left w:w="0" w:type="dxa"/>
              <w:bottom w:w="0" w:type="dxa"/>
              <w:right w:w="0" w:type="dxa"/>
            </w:tcMar>
            <w:vAlign w:val="center"/>
          </w:tcPr>
          <w:p w14:paraId="065A5CD2" w14:textId="77777777" w:rsidR="004D633F" w:rsidRPr="00007908" w:rsidRDefault="004D633F" w:rsidP="006F2FD5">
            <w:pPr>
              <w:jc w:val="center"/>
              <w:rPr>
                <w:rFonts w:asciiTheme="minorHAnsi" w:hAnsiTheme="minorHAnsi" w:cstheme="majorHAnsi"/>
                <w:sz w:val="18"/>
                <w:szCs w:val="18"/>
                <w:lang w:val="en-US"/>
              </w:rPr>
            </w:pPr>
          </w:p>
        </w:tc>
        <w:tc>
          <w:tcPr>
            <w:tcW w:w="1189" w:type="pct"/>
            <w:shd w:val="clear" w:color="auto" w:fill="FFFFFF"/>
            <w:tcMar>
              <w:top w:w="0" w:type="dxa"/>
              <w:left w:w="0" w:type="dxa"/>
              <w:bottom w:w="0" w:type="dxa"/>
              <w:right w:w="0" w:type="dxa"/>
            </w:tcMar>
            <w:vAlign w:val="center"/>
          </w:tcPr>
          <w:p w14:paraId="54E38A62" w14:textId="77777777" w:rsidR="004D633F" w:rsidRPr="00CD62D3" w:rsidRDefault="004D633F" w:rsidP="006F2FD5">
            <w:pPr>
              <w:jc w:val="center"/>
              <w:rPr>
                <w:rFonts w:ascii="Calibri" w:hAnsi="Calibri" w:cs="Calibri"/>
                <w:sz w:val="18"/>
                <w:szCs w:val="18"/>
                <w:lang w:val="en-US"/>
              </w:rPr>
            </w:pPr>
          </w:p>
        </w:tc>
      </w:tr>
      <w:tr w:rsidR="004D633F" w:rsidRPr="00007908" w14:paraId="3352BD72" w14:textId="77777777" w:rsidTr="00BB21F9">
        <w:trPr>
          <w:cantSplit/>
        </w:trPr>
        <w:tc>
          <w:tcPr>
            <w:tcW w:w="1435" w:type="pct"/>
            <w:shd w:val="clear" w:color="auto" w:fill="FFFFFF"/>
            <w:tcMar>
              <w:top w:w="0" w:type="dxa"/>
              <w:left w:w="0" w:type="dxa"/>
              <w:bottom w:w="0" w:type="dxa"/>
              <w:right w:w="0" w:type="dxa"/>
            </w:tcMar>
            <w:vAlign w:val="center"/>
          </w:tcPr>
          <w:p w14:paraId="253731A1"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From hospital admission - days</w:t>
            </w:r>
          </w:p>
        </w:tc>
        <w:tc>
          <w:tcPr>
            <w:tcW w:w="1188" w:type="pct"/>
            <w:shd w:val="clear" w:color="auto" w:fill="FFFFFF"/>
            <w:vAlign w:val="center"/>
          </w:tcPr>
          <w:p w14:paraId="5177ABAE" w14:textId="68DA1126"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0.9 (0.8 - 5.4)</w:t>
            </w:r>
          </w:p>
        </w:tc>
        <w:tc>
          <w:tcPr>
            <w:tcW w:w="1188" w:type="pct"/>
            <w:shd w:val="clear" w:color="auto" w:fill="FFFFFF"/>
            <w:tcMar>
              <w:top w:w="0" w:type="dxa"/>
              <w:left w:w="0" w:type="dxa"/>
              <w:bottom w:w="0" w:type="dxa"/>
              <w:right w:w="0" w:type="dxa"/>
            </w:tcMar>
            <w:vAlign w:val="center"/>
          </w:tcPr>
          <w:p w14:paraId="770202E8"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2.7 (2.4 - 3.1)</w:t>
            </w:r>
          </w:p>
        </w:tc>
        <w:tc>
          <w:tcPr>
            <w:tcW w:w="1189" w:type="pct"/>
            <w:shd w:val="clear" w:color="auto" w:fill="FFFFFF"/>
            <w:tcMar>
              <w:top w:w="0" w:type="dxa"/>
              <w:left w:w="0" w:type="dxa"/>
              <w:bottom w:w="0" w:type="dxa"/>
              <w:right w:w="0" w:type="dxa"/>
            </w:tcMar>
            <w:vAlign w:val="center"/>
          </w:tcPr>
          <w:p w14:paraId="3AFA671E" w14:textId="10D0D75E"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2.0 (0.9 - 3.4)</w:t>
            </w:r>
          </w:p>
        </w:tc>
      </w:tr>
      <w:tr w:rsidR="004D633F" w:rsidRPr="00007908" w14:paraId="1C7CD172" w14:textId="77777777" w:rsidTr="00BB21F9">
        <w:trPr>
          <w:cantSplit/>
        </w:trPr>
        <w:tc>
          <w:tcPr>
            <w:tcW w:w="1435" w:type="pct"/>
            <w:shd w:val="clear" w:color="auto" w:fill="FFFFFF"/>
            <w:tcMar>
              <w:top w:w="0" w:type="dxa"/>
              <w:left w:w="0" w:type="dxa"/>
              <w:bottom w:w="0" w:type="dxa"/>
              <w:right w:w="0" w:type="dxa"/>
            </w:tcMar>
            <w:vAlign w:val="center"/>
          </w:tcPr>
          <w:p w14:paraId="083A8633"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From ICU admission - hours</w:t>
            </w:r>
          </w:p>
        </w:tc>
        <w:tc>
          <w:tcPr>
            <w:tcW w:w="1188" w:type="pct"/>
            <w:shd w:val="clear" w:color="auto" w:fill="FFFFFF"/>
            <w:vAlign w:val="center"/>
          </w:tcPr>
          <w:p w14:paraId="483B0674" w14:textId="36E2EE97"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14.3 (13.7 - 17.4)</w:t>
            </w:r>
          </w:p>
        </w:tc>
        <w:tc>
          <w:tcPr>
            <w:tcW w:w="1188" w:type="pct"/>
            <w:shd w:val="clear" w:color="auto" w:fill="FFFFFF"/>
            <w:tcMar>
              <w:top w:w="0" w:type="dxa"/>
              <w:left w:w="0" w:type="dxa"/>
              <w:bottom w:w="0" w:type="dxa"/>
              <w:right w:w="0" w:type="dxa"/>
            </w:tcMar>
            <w:vAlign w:val="center"/>
          </w:tcPr>
          <w:p w14:paraId="1B736543"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24.5 (23.5 - 25.5)</w:t>
            </w:r>
          </w:p>
        </w:tc>
        <w:tc>
          <w:tcPr>
            <w:tcW w:w="1189" w:type="pct"/>
            <w:shd w:val="clear" w:color="auto" w:fill="FFFFFF"/>
            <w:tcMar>
              <w:top w:w="0" w:type="dxa"/>
              <w:left w:w="0" w:type="dxa"/>
              <w:bottom w:w="0" w:type="dxa"/>
              <w:right w:w="0" w:type="dxa"/>
            </w:tcMar>
            <w:vAlign w:val="center"/>
          </w:tcPr>
          <w:p w14:paraId="5853A8BA" w14:textId="3AE7EE99"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20.4 (14.3 - 22.5)</w:t>
            </w:r>
          </w:p>
        </w:tc>
      </w:tr>
      <w:tr w:rsidR="004D633F" w:rsidRPr="00007908" w14:paraId="57A3AADD" w14:textId="77777777" w:rsidTr="00BB21F9">
        <w:trPr>
          <w:cantSplit/>
        </w:trPr>
        <w:tc>
          <w:tcPr>
            <w:tcW w:w="1435" w:type="pct"/>
            <w:shd w:val="clear" w:color="auto" w:fill="FFFFFF"/>
            <w:tcMar>
              <w:top w:w="0" w:type="dxa"/>
              <w:left w:w="0" w:type="dxa"/>
              <w:bottom w:w="0" w:type="dxa"/>
              <w:right w:w="0" w:type="dxa"/>
            </w:tcMar>
            <w:vAlign w:val="center"/>
          </w:tcPr>
          <w:p w14:paraId="7B7BCF23"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Acute respiratory support - n (%)</w:t>
            </w:r>
          </w:p>
        </w:tc>
        <w:tc>
          <w:tcPr>
            <w:tcW w:w="1188" w:type="pct"/>
            <w:shd w:val="clear" w:color="auto" w:fill="FFFFFF"/>
            <w:vAlign w:val="center"/>
          </w:tcPr>
          <w:p w14:paraId="57C671EB" w14:textId="77777777" w:rsidR="004D633F" w:rsidRPr="002E372F" w:rsidRDefault="004D633F" w:rsidP="006F2FD5">
            <w:pPr>
              <w:jc w:val="center"/>
              <w:rPr>
                <w:rFonts w:asciiTheme="minorHAnsi" w:hAnsiTheme="minorHAnsi" w:cstheme="minorHAnsi"/>
                <w:sz w:val="18"/>
                <w:szCs w:val="18"/>
                <w:lang w:val="en-US"/>
              </w:rPr>
            </w:pPr>
          </w:p>
        </w:tc>
        <w:tc>
          <w:tcPr>
            <w:tcW w:w="1188" w:type="pct"/>
            <w:shd w:val="clear" w:color="auto" w:fill="FFFFFF"/>
            <w:tcMar>
              <w:top w:w="0" w:type="dxa"/>
              <w:left w:w="0" w:type="dxa"/>
              <w:bottom w:w="0" w:type="dxa"/>
              <w:right w:w="0" w:type="dxa"/>
            </w:tcMar>
            <w:vAlign w:val="center"/>
          </w:tcPr>
          <w:p w14:paraId="730D161D" w14:textId="77777777" w:rsidR="004D633F" w:rsidRPr="00007908" w:rsidRDefault="004D633F" w:rsidP="006F2FD5">
            <w:pPr>
              <w:jc w:val="center"/>
              <w:rPr>
                <w:rFonts w:asciiTheme="minorHAnsi" w:hAnsiTheme="minorHAnsi" w:cstheme="majorHAnsi"/>
                <w:sz w:val="18"/>
                <w:szCs w:val="18"/>
                <w:lang w:val="en-US"/>
              </w:rPr>
            </w:pPr>
          </w:p>
        </w:tc>
        <w:tc>
          <w:tcPr>
            <w:tcW w:w="1189" w:type="pct"/>
            <w:shd w:val="clear" w:color="auto" w:fill="FFFFFF"/>
            <w:tcMar>
              <w:top w:w="0" w:type="dxa"/>
              <w:left w:w="0" w:type="dxa"/>
              <w:bottom w:w="0" w:type="dxa"/>
              <w:right w:w="0" w:type="dxa"/>
            </w:tcMar>
            <w:vAlign w:val="center"/>
          </w:tcPr>
          <w:p w14:paraId="5F5EEC7F" w14:textId="77777777" w:rsidR="004D633F" w:rsidRPr="00CD62D3" w:rsidRDefault="004D633F" w:rsidP="006F2FD5">
            <w:pPr>
              <w:jc w:val="center"/>
              <w:rPr>
                <w:rFonts w:ascii="Calibri" w:hAnsi="Calibri" w:cs="Calibri"/>
                <w:sz w:val="18"/>
                <w:szCs w:val="18"/>
                <w:lang w:val="en-US"/>
              </w:rPr>
            </w:pPr>
          </w:p>
        </w:tc>
      </w:tr>
      <w:tr w:rsidR="004D633F" w:rsidRPr="00007908" w14:paraId="7DA477AF" w14:textId="77777777" w:rsidTr="00BB21F9">
        <w:trPr>
          <w:cantSplit/>
        </w:trPr>
        <w:tc>
          <w:tcPr>
            <w:tcW w:w="1435" w:type="pct"/>
            <w:shd w:val="clear" w:color="auto" w:fill="FFFFFF"/>
            <w:tcMar>
              <w:top w:w="0" w:type="dxa"/>
              <w:left w:w="0" w:type="dxa"/>
              <w:bottom w:w="0" w:type="dxa"/>
              <w:right w:w="0" w:type="dxa"/>
            </w:tcMar>
            <w:vAlign w:val="center"/>
          </w:tcPr>
          <w:p w14:paraId="3CDEBB40" w14:textId="77777777" w:rsidR="004D633F" w:rsidRPr="00007908" w:rsidRDefault="004D633F" w:rsidP="00507544">
            <w:pPr>
              <w:ind w:left="142" w:hanging="142"/>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None / supplemental oxygen only</w:t>
            </w:r>
          </w:p>
        </w:tc>
        <w:tc>
          <w:tcPr>
            <w:tcW w:w="1188" w:type="pct"/>
            <w:shd w:val="clear" w:color="auto" w:fill="FFFFFF"/>
            <w:vAlign w:val="center"/>
          </w:tcPr>
          <w:p w14:paraId="47C24D5B" w14:textId="6EB931F4"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3 (100.0)</w:t>
            </w:r>
          </w:p>
        </w:tc>
        <w:tc>
          <w:tcPr>
            <w:tcW w:w="1188" w:type="pct"/>
            <w:shd w:val="clear" w:color="auto" w:fill="FFFFFF"/>
            <w:tcMar>
              <w:top w:w="0" w:type="dxa"/>
              <w:left w:w="0" w:type="dxa"/>
              <w:bottom w:w="0" w:type="dxa"/>
              <w:right w:w="0" w:type="dxa"/>
            </w:tcMar>
            <w:vAlign w:val="center"/>
          </w:tcPr>
          <w:p w14:paraId="041E845D"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 (100.0)</w:t>
            </w:r>
          </w:p>
        </w:tc>
        <w:tc>
          <w:tcPr>
            <w:tcW w:w="1189" w:type="pct"/>
            <w:shd w:val="clear" w:color="auto" w:fill="FFFFFF"/>
            <w:tcMar>
              <w:top w:w="0" w:type="dxa"/>
              <w:left w:w="0" w:type="dxa"/>
              <w:bottom w:w="0" w:type="dxa"/>
              <w:right w:w="0" w:type="dxa"/>
            </w:tcMar>
            <w:vAlign w:val="center"/>
          </w:tcPr>
          <w:p w14:paraId="27FBB03A" w14:textId="51BE5DB1"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5 (100.0)</w:t>
            </w:r>
          </w:p>
        </w:tc>
      </w:tr>
      <w:tr w:rsidR="004D633F" w:rsidRPr="00007908" w14:paraId="4AE6CA9F" w14:textId="77777777" w:rsidTr="00BB21F9">
        <w:trPr>
          <w:cantSplit/>
        </w:trPr>
        <w:tc>
          <w:tcPr>
            <w:tcW w:w="1435" w:type="pct"/>
            <w:shd w:val="clear" w:color="auto" w:fill="FFFFFF"/>
            <w:tcMar>
              <w:top w:w="0" w:type="dxa"/>
              <w:left w:w="0" w:type="dxa"/>
              <w:bottom w:w="0" w:type="dxa"/>
              <w:right w:w="0" w:type="dxa"/>
            </w:tcMar>
            <w:vAlign w:val="center"/>
          </w:tcPr>
          <w:p w14:paraId="299073E1"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High-flow nasal cannula</w:t>
            </w:r>
          </w:p>
        </w:tc>
        <w:tc>
          <w:tcPr>
            <w:tcW w:w="1188" w:type="pct"/>
            <w:shd w:val="clear" w:color="auto" w:fill="FFFFFF"/>
            <w:vAlign w:val="center"/>
          </w:tcPr>
          <w:p w14:paraId="25BA4998" w14:textId="0F1D397A"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0 (0.0)</w:t>
            </w:r>
          </w:p>
        </w:tc>
        <w:tc>
          <w:tcPr>
            <w:tcW w:w="1188" w:type="pct"/>
            <w:shd w:val="clear" w:color="auto" w:fill="FFFFFF"/>
            <w:tcMar>
              <w:top w:w="0" w:type="dxa"/>
              <w:left w:w="0" w:type="dxa"/>
              <w:bottom w:w="0" w:type="dxa"/>
              <w:right w:w="0" w:type="dxa"/>
            </w:tcMar>
            <w:vAlign w:val="center"/>
          </w:tcPr>
          <w:p w14:paraId="76A6114D"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 (0.0)</w:t>
            </w:r>
          </w:p>
        </w:tc>
        <w:tc>
          <w:tcPr>
            <w:tcW w:w="1189" w:type="pct"/>
            <w:shd w:val="clear" w:color="auto" w:fill="FFFFFF"/>
            <w:tcMar>
              <w:top w:w="0" w:type="dxa"/>
              <w:left w:w="0" w:type="dxa"/>
              <w:bottom w:w="0" w:type="dxa"/>
              <w:right w:w="0" w:type="dxa"/>
            </w:tcMar>
            <w:vAlign w:val="center"/>
          </w:tcPr>
          <w:p w14:paraId="75F4C998" w14:textId="6F32BF8E"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0 (0.0)</w:t>
            </w:r>
          </w:p>
        </w:tc>
      </w:tr>
      <w:tr w:rsidR="004D633F" w:rsidRPr="00007908" w14:paraId="2B90D044" w14:textId="77777777" w:rsidTr="00BB21F9">
        <w:trPr>
          <w:cantSplit/>
        </w:trPr>
        <w:tc>
          <w:tcPr>
            <w:tcW w:w="1435" w:type="pct"/>
            <w:shd w:val="clear" w:color="auto" w:fill="FFFFFF"/>
            <w:tcMar>
              <w:top w:w="0" w:type="dxa"/>
              <w:left w:w="0" w:type="dxa"/>
              <w:bottom w:w="0" w:type="dxa"/>
              <w:right w:w="0" w:type="dxa"/>
            </w:tcMar>
            <w:vAlign w:val="center"/>
          </w:tcPr>
          <w:p w14:paraId="12F82017"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Noninvasive ventilation only</w:t>
            </w:r>
          </w:p>
        </w:tc>
        <w:tc>
          <w:tcPr>
            <w:tcW w:w="1188" w:type="pct"/>
            <w:shd w:val="clear" w:color="auto" w:fill="FFFFFF"/>
            <w:vAlign w:val="center"/>
          </w:tcPr>
          <w:p w14:paraId="53F3BC2A" w14:textId="08EB9A4F"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0 (0.0)</w:t>
            </w:r>
          </w:p>
        </w:tc>
        <w:tc>
          <w:tcPr>
            <w:tcW w:w="1188" w:type="pct"/>
            <w:shd w:val="clear" w:color="auto" w:fill="FFFFFF"/>
            <w:tcMar>
              <w:top w:w="0" w:type="dxa"/>
              <w:left w:w="0" w:type="dxa"/>
              <w:bottom w:w="0" w:type="dxa"/>
              <w:right w:w="0" w:type="dxa"/>
            </w:tcMar>
            <w:vAlign w:val="center"/>
          </w:tcPr>
          <w:p w14:paraId="48867EBC"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 (0.0)</w:t>
            </w:r>
          </w:p>
        </w:tc>
        <w:tc>
          <w:tcPr>
            <w:tcW w:w="1189" w:type="pct"/>
            <w:shd w:val="clear" w:color="auto" w:fill="FFFFFF"/>
            <w:tcMar>
              <w:top w:w="0" w:type="dxa"/>
              <w:left w:w="0" w:type="dxa"/>
              <w:bottom w:w="0" w:type="dxa"/>
              <w:right w:w="0" w:type="dxa"/>
            </w:tcMar>
            <w:vAlign w:val="center"/>
          </w:tcPr>
          <w:p w14:paraId="0504FDFF" w14:textId="518B7595"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0 (0.0)</w:t>
            </w:r>
          </w:p>
        </w:tc>
      </w:tr>
      <w:tr w:rsidR="004D633F" w:rsidRPr="00007908" w14:paraId="33C49E14" w14:textId="77777777" w:rsidTr="00BB21F9">
        <w:trPr>
          <w:cantSplit/>
        </w:trPr>
        <w:tc>
          <w:tcPr>
            <w:tcW w:w="1435" w:type="pct"/>
            <w:shd w:val="clear" w:color="auto" w:fill="FFFFFF"/>
            <w:tcMar>
              <w:top w:w="0" w:type="dxa"/>
              <w:left w:w="0" w:type="dxa"/>
              <w:bottom w:w="0" w:type="dxa"/>
              <w:right w:w="0" w:type="dxa"/>
            </w:tcMar>
            <w:vAlign w:val="center"/>
          </w:tcPr>
          <w:p w14:paraId="6D92961E"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Invasive mechanical ventilation</w:t>
            </w:r>
          </w:p>
        </w:tc>
        <w:tc>
          <w:tcPr>
            <w:tcW w:w="1188" w:type="pct"/>
            <w:shd w:val="clear" w:color="auto" w:fill="FFFFFF"/>
            <w:vAlign w:val="center"/>
          </w:tcPr>
          <w:p w14:paraId="2B95FFCD" w14:textId="6E2AA766"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0 (0.0)</w:t>
            </w:r>
          </w:p>
        </w:tc>
        <w:tc>
          <w:tcPr>
            <w:tcW w:w="1188" w:type="pct"/>
            <w:shd w:val="clear" w:color="auto" w:fill="FFFFFF"/>
            <w:tcMar>
              <w:top w:w="0" w:type="dxa"/>
              <w:left w:w="0" w:type="dxa"/>
              <w:bottom w:w="0" w:type="dxa"/>
              <w:right w:w="0" w:type="dxa"/>
            </w:tcMar>
            <w:vAlign w:val="center"/>
          </w:tcPr>
          <w:p w14:paraId="34831B8A"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 (0.0)</w:t>
            </w:r>
          </w:p>
        </w:tc>
        <w:tc>
          <w:tcPr>
            <w:tcW w:w="1189" w:type="pct"/>
            <w:shd w:val="clear" w:color="auto" w:fill="FFFFFF"/>
            <w:tcMar>
              <w:top w:w="0" w:type="dxa"/>
              <w:left w:w="0" w:type="dxa"/>
              <w:bottom w:w="0" w:type="dxa"/>
              <w:right w:w="0" w:type="dxa"/>
            </w:tcMar>
            <w:vAlign w:val="center"/>
          </w:tcPr>
          <w:p w14:paraId="20C8006A" w14:textId="7564DED3"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0 (0.0)</w:t>
            </w:r>
          </w:p>
        </w:tc>
      </w:tr>
      <w:tr w:rsidR="004D633F" w:rsidRPr="00007908" w14:paraId="47F632C6" w14:textId="77777777" w:rsidTr="00BB21F9">
        <w:trPr>
          <w:cantSplit/>
        </w:trPr>
        <w:tc>
          <w:tcPr>
            <w:tcW w:w="1435" w:type="pct"/>
            <w:shd w:val="clear" w:color="auto" w:fill="FFFFFF"/>
            <w:tcMar>
              <w:top w:w="0" w:type="dxa"/>
              <w:left w:w="0" w:type="dxa"/>
              <w:bottom w:w="0" w:type="dxa"/>
              <w:right w:w="0" w:type="dxa"/>
            </w:tcMar>
            <w:vAlign w:val="center"/>
          </w:tcPr>
          <w:p w14:paraId="18F12841"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ECMO</w:t>
            </w:r>
          </w:p>
        </w:tc>
        <w:tc>
          <w:tcPr>
            <w:tcW w:w="1188" w:type="pct"/>
            <w:shd w:val="clear" w:color="auto" w:fill="FFFFFF"/>
            <w:vAlign w:val="center"/>
          </w:tcPr>
          <w:p w14:paraId="76A207EC" w14:textId="39C53EB6"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0 (0.0)</w:t>
            </w:r>
          </w:p>
        </w:tc>
        <w:tc>
          <w:tcPr>
            <w:tcW w:w="1188" w:type="pct"/>
            <w:shd w:val="clear" w:color="auto" w:fill="FFFFFF"/>
            <w:tcMar>
              <w:top w:w="0" w:type="dxa"/>
              <w:left w:w="0" w:type="dxa"/>
              <w:bottom w:w="0" w:type="dxa"/>
              <w:right w:w="0" w:type="dxa"/>
            </w:tcMar>
            <w:vAlign w:val="center"/>
          </w:tcPr>
          <w:p w14:paraId="4116DF6C"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 (0.0)</w:t>
            </w:r>
          </w:p>
        </w:tc>
        <w:tc>
          <w:tcPr>
            <w:tcW w:w="1189" w:type="pct"/>
            <w:shd w:val="clear" w:color="auto" w:fill="FFFFFF"/>
            <w:tcMar>
              <w:top w:w="0" w:type="dxa"/>
              <w:left w:w="0" w:type="dxa"/>
              <w:bottom w:w="0" w:type="dxa"/>
              <w:right w:w="0" w:type="dxa"/>
            </w:tcMar>
            <w:vAlign w:val="center"/>
          </w:tcPr>
          <w:p w14:paraId="1C8F7E8A" w14:textId="5F03A1E9"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0 (0.0)</w:t>
            </w:r>
          </w:p>
        </w:tc>
      </w:tr>
      <w:tr w:rsidR="004D633F" w:rsidRPr="00007908" w14:paraId="317A36E5" w14:textId="77777777" w:rsidTr="00BB21F9">
        <w:trPr>
          <w:cantSplit/>
        </w:trPr>
        <w:tc>
          <w:tcPr>
            <w:tcW w:w="1435" w:type="pct"/>
            <w:shd w:val="clear" w:color="auto" w:fill="FFFFFF"/>
            <w:tcMar>
              <w:top w:w="0" w:type="dxa"/>
              <w:left w:w="0" w:type="dxa"/>
              <w:bottom w:w="0" w:type="dxa"/>
              <w:right w:w="0" w:type="dxa"/>
            </w:tcMar>
            <w:vAlign w:val="center"/>
          </w:tcPr>
          <w:p w14:paraId="4B06AA13"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Vasopressor support - n (%)</w:t>
            </w:r>
          </w:p>
        </w:tc>
        <w:tc>
          <w:tcPr>
            <w:tcW w:w="1188" w:type="pct"/>
            <w:shd w:val="clear" w:color="auto" w:fill="FFFFFF"/>
            <w:vAlign w:val="center"/>
          </w:tcPr>
          <w:p w14:paraId="59B77411" w14:textId="296740A9"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0 (0.0)</w:t>
            </w:r>
          </w:p>
        </w:tc>
        <w:tc>
          <w:tcPr>
            <w:tcW w:w="1188" w:type="pct"/>
            <w:shd w:val="clear" w:color="auto" w:fill="FFFFFF"/>
            <w:tcMar>
              <w:top w:w="0" w:type="dxa"/>
              <w:left w:w="0" w:type="dxa"/>
              <w:bottom w:w="0" w:type="dxa"/>
              <w:right w:w="0" w:type="dxa"/>
            </w:tcMar>
            <w:vAlign w:val="center"/>
          </w:tcPr>
          <w:p w14:paraId="6DEC8FDB"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 (0.0)</w:t>
            </w:r>
          </w:p>
        </w:tc>
        <w:tc>
          <w:tcPr>
            <w:tcW w:w="1189" w:type="pct"/>
            <w:shd w:val="clear" w:color="auto" w:fill="FFFFFF"/>
            <w:tcMar>
              <w:top w:w="0" w:type="dxa"/>
              <w:left w:w="0" w:type="dxa"/>
              <w:bottom w:w="0" w:type="dxa"/>
              <w:right w:w="0" w:type="dxa"/>
            </w:tcMar>
            <w:vAlign w:val="center"/>
          </w:tcPr>
          <w:p w14:paraId="3A2B7D7F" w14:textId="79286523"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0 (0.0)</w:t>
            </w:r>
          </w:p>
        </w:tc>
      </w:tr>
      <w:tr w:rsidR="004D633F" w:rsidRPr="00007908" w14:paraId="18B27286" w14:textId="77777777" w:rsidTr="00BB21F9">
        <w:trPr>
          <w:cantSplit/>
        </w:trPr>
        <w:tc>
          <w:tcPr>
            <w:tcW w:w="1435" w:type="pct"/>
            <w:shd w:val="clear" w:color="auto" w:fill="FFFFFF"/>
            <w:tcMar>
              <w:top w:w="0" w:type="dxa"/>
              <w:left w:w="0" w:type="dxa"/>
              <w:bottom w:w="0" w:type="dxa"/>
              <w:right w:w="0" w:type="dxa"/>
            </w:tcMar>
            <w:vAlign w:val="center"/>
          </w:tcPr>
          <w:p w14:paraId="3898CD27"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Acute kidney replacement therapy - n / N (%)</w:t>
            </w:r>
          </w:p>
        </w:tc>
        <w:tc>
          <w:tcPr>
            <w:tcW w:w="1188" w:type="pct"/>
            <w:shd w:val="clear" w:color="auto" w:fill="FFFFFF"/>
            <w:vAlign w:val="center"/>
          </w:tcPr>
          <w:p w14:paraId="59032277" w14:textId="7546F0F0"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0 / 3 (0.0)</w:t>
            </w:r>
          </w:p>
        </w:tc>
        <w:tc>
          <w:tcPr>
            <w:tcW w:w="1188" w:type="pct"/>
            <w:shd w:val="clear" w:color="auto" w:fill="FFFFFF"/>
            <w:tcMar>
              <w:top w:w="0" w:type="dxa"/>
              <w:left w:w="0" w:type="dxa"/>
              <w:bottom w:w="0" w:type="dxa"/>
              <w:right w:w="0" w:type="dxa"/>
            </w:tcMar>
            <w:vAlign w:val="center"/>
          </w:tcPr>
          <w:p w14:paraId="684E0C24"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 / 2 (0.0)</w:t>
            </w:r>
          </w:p>
        </w:tc>
        <w:tc>
          <w:tcPr>
            <w:tcW w:w="1189" w:type="pct"/>
            <w:shd w:val="clear" w:color="auto" w:fill="FFFFFF"/>
            <w:tcMar>
              <w:top w:w="0" w:type="dxa"/>
              <w:left w:w="0" w:type="dxa"/>
              <w:bottom w:w="0" w:type="dxa"/>
              <w:right w:w="0" w:type="dxa"/>
            </w:tcMar>
            <w:vAlign w:val="center"/>
          </w:tcPr>
          <w:p w14:paraId="2FD85144" w14:textId="3D96279D"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0 / 5 (0.0)</w:t>
            </w:r>
          </w:p>
        </w:tc>
      </w:tr>
      <w:tr w:rsidR="004D633F" w:rsidRPr="00007908" w14:paraId="01C7EB78" w14:textId="77777777" w:rsidTr="00BB21F9">
        <w:trPr>
          <w:cantSplit/>
        </w:trPr>
        <w:tc>
          <w:tcPr>
            <w:tcW w:w="1435" w:type="pct"/>
            <w:shd w:val="clear" w:color="auto" w:fill="FFFFFF"/>
            <w:tcMar>
              <w:top w:w="0" w:type="dxa"/>
              <w:left w:w="0" w:type="dxa"/>
              <w:bottom w:w="0" w:type="dxa"/>
              <w:right w:w="0" w:type="dxa"/>
            </w:tcMar>
            <w:vAlign w:val="center"/>
          </w:tcPr>
          <w:p w14:paraId="10E049D6"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PaO</w:t>
            </w:r>
            <w:r w:rsidRPr="00007908">
              <w:rPr>
                <w:rFonts w:asciiTheme="minorHAnsi" w:hAnsiTheme="minorHAnsi" w:cstheme="majorHAnsi"/>
                <w:sz w:val="18"/>
                <w:szCs w:val="18"/>
                <w:vertAlign w:val="subscript"/>
                <w:lang w:val="en-US"/>
              </w:rPr>
              <w:t>2</w:t>
            </w:r>
            <w:r w:rsidRPr="00007908">
              <w:rPr>
                <w:rFonts w:asciiTheme="minorHAnsi" w:hAnsiTheme="minorHAnsi" w:cstheme="majorHAnsi"/>
                <w:sz w:val="18"/>
                <w:szCs w:val="18"/>
                <w:lang w:val="en-US"/>
              </w:rPr>
              <w:t xml:space="preserve"> / FiO</w:t>
            </w:r>
            <w:r w:rsidRPr="00007908">
              <w:rPr>
                <w:rFonts w:asciiTheme="minorHAnsi" w:hAnsiTheme="minorHAnsi" w:cstheme="majorHAnsi"/>
                <w:sz w:val="18"/>
                <w:szCs w:val="18"/>
                <w:vertAlign w:val="subscript"/>
                <w:lang w:val="en-US"/>
              </w:rPr>
              <w:t>2</w:t>
            </w:r>
            <w:r w:rsidRPr="00007908">
              <w:rPr>
                <w:rFonts w:asciiTheme="minorHAnsi" w:hAnsiTheme="minorHAnsi" w:cstheme="majorHAnsi"/>
                <w:sz w:val="18"/>
                <w:szCs w:val="18"/>
                <w:lang w:val="en-US"/>
              </w:rPr>
              <w:t xml:space="preserve"> - median (IQR)</w:t>
            </w:r>
          </w:p>
        </w:tc>
        <w:tc>
          <w:tcPr>
            <w:tcW w:w="1188" w:type="pct"/>
            <w:shd w:val="clear" w:color="auto" w:fill="FFFFFF"/>
            <w:vAlign w:val="center"/>
          </w:tcPr>
          <w:p w14:paraId="4E548B11" w14:textId="77777777" w:rsidR="004D633F" w:rsidRPr="00CD62D3" w:rsidRDefault="004D633F" w:rsidP="006F2FD5">
            <w:pPr>
              <w:spacing w:before="40" w:after="40"/>
              <w:ind w:left="100" w:right="100"/>
              <w:jc w:val="center"/>
              <w:rPr>
                <w:rFonts w:asciiTheme="minorHAnsi" w:eastAsia="Arial" w:hAnsiTheme="minorHAnsi" w:cstheme="minorHAnsi"/>
                <w:color w:val="000000"/>
                <w:sz w:val="18"/>
                <w:szCs w:val="18"/>
              </w:rPr>
            </w:pPr>
            <w:r w:rsidRPr="00CD62D3">
              <w:rPr>
                <w:rFonts w:asciiTheme="minorHAnsi" w:eastAsia="Arial" w:hAnsiTheme="minorHAnsi" w:cstheme="minorHAnsi"/>
                <w:color w:val="000000"/>
                <w:sz w:val="18"/>
                <w:szCs w:val="18"/>
              </w:rPr>
              <w:t>131 (114.5 - 263.5)</w:t>
            </w:r>
          </w:p>
          <w:p w14:paraId="6DA62BBA" w14:textId="434F02D2"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w:t>
            </w:r>
            <w:r w:rsidRPr="00CD62D3">
              <w:rPr>
                <w:rFonts w:asciiTheme="minorHAnsi" w:eastAsia="Arial" w:hAnsiTheme="minorHAnsi" w:cstheme="minorHAnsi"/>
                <w:i/>
                <w:iCs/>
                <w:color w:val="000000"/>
                <w:sz w:val="18"/>
                <w:szCs w:val="18"/>
              </w:rPr>
              <w:t>n</w:t>
            </w:r>
            <w:r w:rsidRPr="00CD62D3">
              <w:rPr>
                <w:rFonts w:asciiTheme="minorHAnsi" w:eastAsia="Arial" w:hAnsiTheme="minorHAnsi" w:cstheme="minorHAnsi"/>
                <w:color w:val="000000"/>
                <w:sz w:val="18"/>
                <w:szCs w:val="18"/>
              </w:rPr>
              <w:t xml:space="preserve"> = 3)</w:t>
            </w:r>
          </w:p>
        </w:tc>
        <w:tc>
          <w:tcPr>
            <w:tcW w:w="1188" w:type="pct"/>
            <w:shd w:val="clear" w:color="auto" w:fill="FFFFFF"/>
            <w:tcMar>
              <w:top w:w="0" w:type="dxa"/>
              <w:left w:w="0" w:type="dxa"/>
              <w:bottom w:w="0" w:type="dxa"/>
              <w:right w:w="0" w:type="dxa"/>
            </w:tcMar>
            <w:vAlign w:val="center"/>
          </w:tcPr>
          <w:p w14:paraId="1AE87675" w14:textId="199FF5C3"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106 (106 - 106)</w:t>
            </w:r>
          </w:p>
          <w:p w14:paraId="631531F4"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1)</w:t>
            </w:r>
          </w:p>
        </w:tc>
        <w:tc>
          <w:tcPr>
            <w:tcW w:w="1189" w:type="pct"/>
            <w:shd w:val="clear" w:color="auto" w:fill="FFFFFF"/>
            <w:tcMar>
              <w:top w:w="0" w:type="dxa"/>
              <w:left w:w="0" w:type="dxa"/>
              <w:bottom w:w="0" w:type="dxa"/>
              <w:right w:w="0" w:type="dxa"/>
            </w:tcMar>
            <w:vAlign w:val="center"/>
          </w:tcPr>
          <w:p w14:paraId="0956CC4E" w14:textId="77777777" w:rsidR="004D633F" w:rsidRPr="00CD62D3" w:rsidRDefault="004D633F" w:rsidP="006F2FD5">
            <w:pPr>
              <w:spacing w:before="40" w:after="40"/>
              <w:ind w:left="100" w:right="100"/>
              <w:jc w:val="center"/>
              <w:rPr>
                <w:rFonts w:ascii="Calibri" w:eastAsia="Arial" w:hAnsi="Calibri" w:cs="Calibri"/>
                <w:color w:val="000000"/>
                <w:sz w:val="18"/>
                <w:szCs w:val="18"/>
              </w:rPr>
            </w:pPr>
            <w:r w:rsidRPr="00CD62D3">
              <w:rPr>
                <w:rFonts w:ascii="Calibri" w:eastAsia="Arial" w:hAnsi="Calibri" w:cs="Calibri"/>
                <w:color w:val="000000"/>
                <w:sz w:val="18"/>
                <w:szCs w:val="18"/>
              </w:rPr>
              <w:t>118 (104 - 197)</w:t>
            </w:r>
          </w:p>
          <w:p w14:paraId="5B55B32F" w14:textId="7002F309"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w:t>
            </w:r>
            <w:r w:rsidRPr="00CD62D3">
              <w:rPr>
                <w:rFonts w:ascii="Calibri" w:eastAsia="Arial" w:hAnsi="Calibri" w:cs="Calibri"/>
                <w:i/>
                <w:iCs/>
                <w:color w:val="000000"/>
                <w:sz w:val="18"/>
                <w:szCs w:val="18"/>
              </w:rPr>
              <w:t>n</w:t>
            </w:r>
            <w:r w:rsidRPr="00CD62D3">
              <w:rPr>
                <w:rFonts w:ascii="Calibri" w:eastAsia="Arial" w:hAnsi="Calibri" w:cs="Calibri"/>
                <w:color w:val="000000"/>
                <w:sz w:val="18"/>
                <w:szCs w:val="18"/>
              </w:rPr>
              <w:t xml:space="preserve"> = 4)</w:t>
            </w:r>
          </w:p>
        </w:tc>
      </w:tr>
      <w:tr w:rsidR="004D633F" w:rsidRPr="00007908" w14:paraId="75DF4BB9" w14:textId="77777777" w:rsidTr="00BB21F9">
        <w:trPr>
          <w:cantSplit/>
        </w:trPr>
        <w:tc>
          <w:tcPr>
            <w:tcW w:w="1435" w:type="pct"/>
            <w:shd w:val="clear" w:color="auto" w:fill="FFFFFF"/>
            <w:tcMar>
              <w:top w:w="0" w:type="dxa"/>
              <w:left w:w="0" w:type="dxa"/>
              <w:bottom w:w="0" w:type="dxa"/>
              <w:right w:w="0" w:type="dxa"/>
            </w:tcMar>
            <w:vAlign w:val="center"/>
          </w:tcPr>
          <w:p w14:paraId="6DA10274"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Glasgow coma scale score </w:t>
            </w:r>
            <w:r w:rsidRPr="00007908">
              <w:rPr>
                <w:rFonts w:asciiTheme="minorHAnsi" w:hAnsiTheme="minorHAnsi" w:cstheme="majorHAnsi"/>
                <w:sz w:val="18"/>
                <w:szCs w:val="18"/>
                <w:vertAlign w:val="superscript"/>
                <w:lang w:val="en-US"/>
              </w:rPr>
              <w:t>e</w:t>
            </w:r>
            <w:r w:rsidRPr="00007908">
              <w:rPr>
                <w:rFonts w:asciiTheme="minorHAnsi" w:hAnsiTheme="minorHAnsi" w:cstheme="majorHAnsi"/>
                <w:sz w:val="18"/>
                <w:szCs w:val="18"/>
                <w:lang w:val="en-US"/>
              </w:rPr>
              <w:t xml:space="preserve"> - median (IQR)</w:t>
            </w:r>
          </w:p>
        </w:tc>
        <w:tc>
          <w:tcPr>
            <w:tcW w:w="1188" w:type="pct"/>
            <w:shd w:val="clear" w:color="auto" w:fill="FFFFFF"/>
            <w:vAlign w:val="center"/>
          </w:tcPr>
          <w:p w14:paraId="0C42A77A" w14:textId="77777777" w:rsidR="004D633F" w:rsidRPr="00CD62D3" w:rsidRDefault="004D633F" w:rsidP="006F2FD5">
            <w:pPr>
              <w:spacing w:before="40" w:after="40"/>
              <w:ind w:left="100" w:right="100"/>
              <w:jc w:val="center"/>
              <w:rPr>
                <w:rFonts w:asciiTheme="minorHAnsi" w:eastAsia="Arial" w:hAnsiTheme="minorHAnsi" w:cstheme="minorHAnsi"/>
                <w:color w:val="000000"/>
                <w:sz w:val="18"/>
                <w:szCs w:val="18"/>
              </w:rPr>
            </w:pPr>
            <w:r w:rsidRPr="00CD62D3">
              <w:rPr>
                <w:rFonts w:asciiTheme="minorHAnsi" w:eastAsia="Arial" w:hAnsiTheme="minorHAnsi" w:cstheme="minorHAnsi"/>
                <w:color w:val="000000"/>
                <w:sz w:val="18"/>
                <w:szCs w:val="18"/>
              </w:rPr>
              <w:t>15 (12 - 15)</w:t>
            </w:r>
          </w:p>
          <w:p w14:paraId="6577DCF4" w14:textId="6AF0041D"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w:t>
            </w:r>
            <w:r w:rsidRPr="00CD62D3">
              <w:rPr>
                <w:rFonts w:asciiTheme="minorHAnsi" w:eastAsia="Arial" w:hAnsiTheme="minorHAnsi" w:cstheme="minorHAnsi"/>
                <w:i/>
                <w:iCs/>
                <w:color w:val="000000"/>
                <w:sz w:val="18"/>
                <w:szCs w:val="18"/>
              </w:rPr>
              <w:t>n</w:t>
            </w:r>
            <w:r w:rsidRPr="00CD62D3">
              <w:rPr>
                <w:rFonts w:asciiTheme="minorHAnsi" w:eastAsia="Arial" w:hAnsiTheme="minorHAnsi" w:cstheme="minorHAnsi"/>
                <w:color w:val="000000"/>
                <w:sz w:val="18"/>
                <w:szCs w:val="18"/>
              </w:rPr>
              <w:t xml:space="preserve"> = 3)</w:t>
            </w:r>
          </w:p>
        </w:tc>
        <w:tc>
          <w:tcPr>
            <w:tcW w:w="1188" w:type="pct"/>
            <w:shd w:val="clear" w:color="auto" w:fill="FFFFFF"/>
            <w:tcMar>
              <w:top w:w="0" w:type="dxa"/>
              <w:left w:w="0" w:type="dxa"/>
              <w:bottom w:w="0" w:type="dxa"/>
              <w:right w:w="0" w:type="dxa"/>
            </w:tcMar>
            <w:vAlign w:val="center"/>
          </w:tcPr>
          <w:p w14:paraId="42647AD2" w14:textId="5078DDA9"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15 (15 - 15)</w:t>
            </w:r>
          </w:p>
          <w:p w14:paraId="23C89FA2"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2)</w:t>
            </w:r>
          </w:p>
        </w:tc>
        <w:tc>
          <w:tcPr>
            <w:tcW w:w="1189" w:type="pct"/>
            <w:shd w:val="clear" w:color="auto" w:fill="FFFFFF"/>
            <w:tcMar>
              <w:top w:w="0" w:type="dxa"/>
              <w:left w:w="0" w:type="dxa"/>
              <w:bottom w:w="0" w:type="dxa"/>
              <w:right w:w="0" w:type="dxa"/>
            </w:tcMar>
            <w:vAlign w:val="center"/>
          </w:tcPr>
          <w:p w14:paraId="2D90D6C0" w14:textId="77777777" w:rsidR="004D633F" w:rsidRPr="00CD62D3" w:rsidRDefault="004D633F" w:rsidP="006F2FD5">
            <w:pPr>
              <w:spacing w:before="40" w:after="40"/>
              <w:ind w:left="100" w:right="100"/>
              <w:jc w:val="center"/>
              <w:rPr>
                <w:rFonts w:ascii="Calibri" w:eastAsia="Arial" w:hAnsi="Calibri" w:cs="Calibri"/>
                <w:color w:val="000000"/>
                <w:sz w:val="18"/>
                <w:szCs w:val="18"/>
              </w:rPr>
            </w:pPr>
            <w:r w:rsidRPr="00CD62D3">
              <w:rPr>
                <w:rFonts w:ascii="Calibri" w:eastAsia="Arial" w:hAnsi="Calibri" w:cs="Calibri"/>
                <w:color w:val="000000"/>
                <w:sz w:val="18"/>
                <w:szCs w:val="18"/>
              </w:rPr>
              <w:t>15 (15 - 15)</w:t>
            </w:r>
          </w:p>
          <w:p w14:paraId="680DD633" w14:textId="59E6EDD2"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w:t>
            </w:r>
            <w:r w:rsidRPr="00CD62D3">
              <w:rPr>
                <w:rFonts w:ascii="Calibri" w:eastAsia="Arial" w:hAnsi="Calibri" w:cs="Calibri"/>
                <w:i/>
                <w:iCs/>
                <w:color w:val="000000"/>
                <w:sz w:val="18"/>
                <w:szCs w:val="18"/>
              </w:rPr>
              <w:t>n</w:t>
            </w:r>
            <w:r w:rsidRPr="00CD62D3">
              <w:rPr>
                <w:rFonts w:ascii="Calibri" w:eastAsia="Arial" w:hAnsi="Calibri" w:cs="Calibri"/>
                <w:color w:val="000000"/>
                <w:sz w:val="18"/>
                <w:szCs w:val="18"/>
              </w:rPr>
              <w:t xml:space="preserve"> = 5)</w:t>
            </w:r>
          </w:p>
        </w:tc>
      </w:tr>
      <w:tr w:rsidR="004D633F" w:rsidRPr="00007908" w14:paraId="09D4DF43" w14:textId="77777777" w:rsidTr="00BB21F9">
        <w:trPr>
          <w:cantSplit/>
        </w:trPr>
        <w:tc>
          <w:tcPr>
            <w:tcW w:w="1435" w:type="pct"/>
            <w:shd w:val="clear" w:color="auto" w:fill="FFFFFF"/>
            <w:tcMar>
              <w:top w:w="0" w:type="dxa"/>
              <w:left w:w="0" w:type="dxa"/>
              <w:bottom w:w="0" w:type="dxa"/>
              <w:right w:w="0" w:type="dxa"/>
            </w:tcMar>
            <w:vAlign w:val="center"/>
          </w:tcPr>
          <w:p w14:paraId="1268F950" w14:textId="77777777" w:rsidR="004D633F" w:rsidRPr="00007908" w:rsidRDefault="004D633F" w:rsidP="00507544">
            <w:pPr>
              <w:rPr>
                <w:rFonts w:asciiTheme="minorHAnsi" w:hAnsiTheme="minorHAnsi" w:cstheme="majorHAnsi"/>
                <w:sz w:val="18"/>
                <w:szCs w:val="18"/>
                <w:vertAlign w:val="superscript"/>
                <w:lang w:val="en-US"/>
              </w:rPr>
            </w:pPr>
            <w:r w:rsidRPr="00007908">
              <w:rPr>
                <w:rFonts w:asciiTheme="minorHAnsi" w:hAnsiTheme="minorHAnsi" w:cstheme="majorHAnsi"/>
                <w:sz w:val="18"/>
                <w:szCs w:val="18"/>
                <w:lang w:val="en-US"/>
              </w:rPr>
              <w:t xml:space="preserve">Median laboratory values (IQR) </w:t>
            </w:r>
            <w:r w:rsidRPr="00007908">
              <w:rPr>
                <w:rFonts w:asciiTheme="minorHAnsi" w:hAnsiTheme="minorHAnsi" w:cstheme="majorHAnsi"/>
                <w:sz w:val="18"/>
                <w:szCs w:val="18"/>
                <w:vertAlign w:val="superscript"/>
                <w:lang w:val="en-US"/>
              </w:rPr>
              <w:t>f</w:t>
            </w:r>
          </w:p>
        </w:tc>
        <w:tc>
          <w:tcPr>
            <w:tcW w:w="1188" w:type="pct"/>
            <w:shd w:val="clear" w:color="auto" w:fill="FFFFFF"/>
            <w:vAlign w:val="center"/>
          </w:tcPr>
          <w:p w14:paraId="60312456" w14:textId="77777777" w:rsidR="004D633F" w:rsidRPr="002E372F" w:rsidRDefault="004D633F" w:rsidP="006F2FD5">
            <w:pPr>
              <w:jc w:val="center"/>
              <w:rPr>
                <w:rFonts w:asciiTheme="minorHAnsi" w:hAnsiTheme="minorHAnsi" w:cstheme="minorHAnsi"/>
                <w:sz w:val="18"/>
                <w:szCs w:val="18"/>
                <w:lang w:val="en-US"/>
              </w:rPr>
            </w:pPr>
          </w:p>
        </w:tc>
        <w:tc>
          <w:tcPr>
            <w:tcW w:w="1188" w:type="pct"/>
            <w:shd w:val="clear" w:color="auto" w:fill="FFFFFF"/>
            <w:tcMar>
              <w:top w:w="0" w:type="dxa"/>
              <w:left w:w="0" w:type="dxa"/>
              <w:bottom w:w="0" w:type="dxa"/>
              <w:right w:w="0" w:type="dxa"/>
            </w:tcMar>
            <w:vAlign w:val="center"/>
          </w:tcPr>
          <w:p w14:paraId="584BF2DF" w14:textId="77777777" w:rsidR="004D633F" w:rsidRPr="00007908" w:rsidRDefault="004D633F" w:rsidP="006F2FD5">
            <w:pPr>
              <w:jc w:val="center"/>
              <w:rPr>
                <w:rFonts w:asciiTheme="minorHAnsi" w:hAnsiTheme="minorHAnsi" w:cstheme="majorHAnsi"/>
                <w:sz w:val="18"/>
                <w:szCs w:val="18"/>
                <w:lang w:val="en-US"/>
              </w:rPr>
            </w:pPr>
          </w:p>
        </w:tc>
        <w:tc>
          <w:tcPr>
            <w:tcW w:w="1189" w:type="pct"/>
            <w:shd w:val="clear" w:color="auto" w:fill="FFFFFF"/>
            <w:tcMar>
              <w:top w:w="0" w:type="dxa"/>
              <w:left w:w="0" w:type="dxa"/>
              <w:bottom w:w="0" w:type="dxa"/>
              <w:right w:w="0" w:type="dxa"/>
            </w:tcMar>
            <w:vAlign w:val="center"/>
          </w:tcPr>
          <w:p w14:paraId="6AC10475" w14:textId="77777777" w:rsidR="004D633F" w:rsidRPr="00CD62D3" w:rsidRDefault="004D633F" w:rsidP="006F2FD5">
            <w:pPr>
              <w:jc w:val="center"/>
              <w:rPr>
                <w:rFonts w:ascii="Calibri" w:hAnsi="Calibri" w:cs="Calibri"/>
                <w:sz w:val="18"/>
                <w:szCs w:val="18"/>
                <w:lang w:val="en-US"/>
              </w:rPr>
            </w:pPr>
          </w:p>
        </w:tc>
      </w:tr>
      <w:tr w:rsidR="004D633F" w:rsidRPr="00007908" w14:paraId="5A47B452" w14:textId="77777777" w:rsidTr="00BB21F9">
        <w:trPr>
          <w:cantSplit/>
        </w:trPr>
        <w:tc>
          <w:tcPr>
            <w:tcW w:w="1435" w:type="pct"/>
            <w:shd w:val="clear" w:color="auto" w:fill="FFFFFF"/>
            <w:tcMar>
              <w:top w:w="0" w:type="dxa"/>
              <w:left w:w="0" w:type="dxa"/>
              <w:bottom w:w="0" w:type="dxa"/>
              <w:right w:w="0" w:type="dxa"/>
            </w:tcMar>
            <w:vAlign w:val="center"/>
          </w:tcPr>
          <w:p w14:paraId="4685D040"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C-reactive protein, µg/mL</w:t>
            </w:r>
          </w:p>
        </w:tc>
        <w:tc>
          <w:tcPr>
            <w:tcW w:w="1188" w:type="pct"/>
            <w:shd w:val="clear" w:color="auto" w:fill="FFFFFF"/>
            <w:vAlign w:val="center"/>
          </w:tcPr>
          <w:p w14:paraId="02F18983" w14:textId="77777777" w:rsidR="004D633F" w:rsidRPr="00CD62D3" w:rsidRDefault="004D633F" w:rsidP="006F2FD5">
            <w:pPr>
              <w:spacing w:before="40" w:after="40"/>
              <w:ind w:left="100" w:right="100"/>
              <w:jc w:val="center"/>
              <w:rPr>
                <w:rFonts w:asciiTheme="minorHAnsi" w:eastAsia="Arial" w:hAnsiTheme="minorHAnsi" w:cstheme="minorHAnsi"/>
                <w:color w:val="000000"/>
                <w:sz w:val="18"/>
                <w:szCs w:val="18"/>
              </w:rPr>
            </w:pPr>
            <w:r w:rsidRPr="00CD62D3">
              <w:rPr>
                <w:rFonts w:asciiTheme="minorHAnsi" w:eastAsia="Arial" w:hAnsiTheme="minorHAnsi" w:cstheme="minorHAnsi"/>
                <w:color w:val="000000"/>
                <w:sz w:val="18"/>
                <w:szCs w:val="18"/>
              </w:rPr>
              <w:t>148 (148 - 148)</w:t>
            </w:r>
          </w:p>
          <w:p w14:paraId="21CB7373" w14:textId="43E1C75D"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w:t>
            </w:r>
            <w:r w:rsidRPr="00CD62D3">
              <w:rPr>
                <w:rFonts w:asciiTheme="minorHAnsi" w:eastAsia="Arial" w:hAnsiTheme="minorHAnsi" w:cstheme="minorHAnsi"/>
                <w:i/>
                <w:iCs/>
                <w:color w:val="000000"/>
                <w:sz w:val="18"/>
                <w:szCs w:val="18"/>
              </w:rPr>
              <w:t>n</w:t>
            </w:r>
            <w:r w:rsidRPr="00CD62D3">
              <w:rPr>
                <w:rFonts w:asciiTheme="minorHAnsi" w:eastAsia="Arial" w:hAnsiTheme="minorHAnsi" w:cstheme="minorHAnsi"/>
                <w:color w:val="000000"/>
                <w:sz w:val="18"/>
                <w:szCs w:val="18"/>
              </w:rPr>
              <w:t xml:space="preserve"> = 1)</w:t>
            </w:r>
          </w:p>
        </w:tc>
        <w:tc>
          <w:tcPr>
            <w:tcW w:w="1188" w:type="pct"/>
            <w:shd w:val="clear" w:color="auto" w:fill="FFFFFF"/>
            <w:tcMar>
              <w:top w:w="0" w:type="dxa"/>
              <w:left w:w="0" w:type="dxa"/>
              <w:bottom w:w="0" w:type="dxa"/>
              <w:right w:w="0" w:type="dxa"/>
            </w:tcMar>
            <w:vAlign w:val="center"/>
          </w:tcPr>
          <w:p w14:paraId="1518D174" w14:textId="1D4CDE51"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69 (69 - 69)</w:t>
            </w:r>
          </w:p>
          <w:p w14:paraId="74281E56"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1)</w:t>
            </w:r>
          </w:p>
        </w:tc>
        <w:tc>
          <w:tcPr>
            <w:tcW w:w="1189" w:type="pct"/>
            <w:shd w:val="clear" w:color="auto" w:fill="FFFFFF"/>
            <w:tcMar>
              <w:top w:w="0" w:type="dxa"/>
              <w:left w:w="0" w:type="dxa"/>
              <w:bottom w:w="0" w:type="dxa"/>
              <w:right w:w="0" w:type="dxa"/>
            </w:tcMar>
            <w:vAlign w:val="center"/>
          </w:tcPr>
          <w:p w14:paraId="10A811F5" w14:textId="77777777" w:rsidR="004D633F" w:rsidRPr="00CD62D3" w:rsidRDefault="004D633F" w:rsidP="006F2FD5">
            <w:pPr>
              <w:spacing w:before="40" w:after="40"/>
              <w:ind w:left="100" w:right="100"/>
              <w:jc w:val="center"/>
              <w:rPr>
                <w:rFonts w:ascii="Calibri" w:eastAsia="Arial" w:hAnsi="Calibri" w:cs="Calibri"/>
                <w:color w:val="000000"/>
                <w:sz w:val="18"/>
                <w:szCs w:val="18"/>
              </w:rPr>
            </w:pPr>
            <w:r w:rsidRPr="00CD62D3">
              <w:rPr>
                <w:rFonts w:ascii="Calibri" w:eastAsia="Arial" w:hAnsi="Calibri" w:cs="Calibri"/>
                <w:color w:val="000000"/>
                <w:sz w:val="18"/>
                <w:szCs w:val="18"/>
              </w:rPr>
              <w:t>109 (89 - 128)</w:t>
            </w:r>
          </w:p>
          <w:p w14:paraId="0A7C369C" w14:textId="403EC809"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w:t>
            </w:r>
            <w:r w:rsidRPr="00CD62D3">
              <w:rPr>
                <w:rFonts w:ascii="Calibri" w:eastAsia="Arial" w:hAnsi="Calibri" w:cs="Calibri"/>
                <w:i/>
                <w:iCs/>
                <w:color w:val="000000"/>
                <w:sz w:val="18"/>
                <w:szCs w:val="18"/>
              </w:rPr>
              <w:t>n</w:t>
            </w:r>
            <w:r w:rsidRPr="00CD62D3">
              <w:rPr>
                <w:rFonts w:ascii="Calibri" w:eastAsia="Arial" w:hAnsi="Calibri" w:cs="Calibri"/>
                <w:color w:val="000000"/>
                <w:sz w:val="18"/>
                <w:szCs w:val="18"/>
              </w:rPr>
              <w:t xml:space="preserve"> = 2)</w:t>
            </w:r>
          </w:p>
        </w:tc>
      </w:tr>
      <w:tr w:rsidR="004D633F" w:rsidRPr="00007908" w14:paraId="598A9F65" w14:textId="77777777" w:rsidTr="00BB21F9">
        <w:trPr>
          <w:cantSplit/>
        </w:trPr>
        <w:tc>
          <w:tcPr>
            <w:tcW w:w="1435" w:type="pct"/>
            <w:shd w:val="clear" w:color="auto" w:fill="FFFFFF"/>
            <w:tcMar>
              <w:top w:w="0" w:type="dxa"/>
              <w:left w:w="0" w:type="dxa"/>
              <w:bottom w:w="0" w:type="dxa"/>
              <w:right w:w="0" w:type="dxa"/>
            </w:tcMar>
            <w:vAlign w:val="center"/>
          </w:tcPr>
          <w:p w14:paraId="0BDD89BB"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D-dimer, µg/L</w:t>
            </w:r>
          </w:p>
        </w:tc>
        <w:tc>
          <w:tcPr>
            <w:tcW w:w="1188" w:type="pct"/>
            <w:shd w:val="clear" w:color="auto" w:fill="FFFFFF"/>
            <w:vAlign w:val="center"/>
          </w:tcPr>
          <w:p w14:paraId="5F39C9D0" w14:textId="77777777" w:rsidR="004D633F" w:rsidRPr="00CD62D3" w:rsidRDefault="004D633F" w:rsidP="006F2FD5">
            <w:pPr>
              <w:spacing w:before="40" w:after="40"/>
              <w:ind w:left="100" w:right="100"/>
              <w:jc w:val="center"/>
              <w:rPr>
                <w:rFonts w:asciiTheme="minorHAnsi" w:eastAsia="Arial" w:hAnsiTheme="minorHAnsi" w:cstheme="minorHAnsi"/>
                <w:color w:val="000000"/>
                <w:sz w:val="18"/>
                <w:szCs w:val="18"/>
              </w:rPr>
            </w:pPr>
            <w:r w:rsidRPr="00CD62D3">
              <w:rPr>
                <w:rFonts w:asciiTheme="minorHAnsi" w:eastAsia="Arial" w:hAnsiTheme="minorHAnsi" w:cstheme="minorHAnsi"/>
                <w:color w:val="000000"/>
                <w:sz w:val="18"/>
                <w:szCs w:val="18"/>
              </w:rPr>
              <w:t>---</w:t>
            </w:r>
          </w:p>
          <w:p w14:paraId="19B87C3A" w14:textId="3D6F0DDF"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w:t>
            </w:r>
            <w:r w:rsidRPr="00CD62D3">
              <w:rPr>
                <w:rFonts w:asciiTheme="minorHAnsi" w:eastAsia="Arial" w:hAnsiTheme="minorHAnsi" w:cstheme="minorHAnsi"/>
                <w:i/>
                <w:iCs/>
                <w:color w:val="000000"/>
                <w:sz w:val="18"/>
                <w:szCs w:val="18"/>
              </w:rPr>
              <w:t>n</w:t>
            </w:r>
            <w:r w:rsidRPr="00CD62D3">
              <w:rPr>
                <w:rFonts w:asciiTheme="minorHAnsi" w:eastAsia="Arial" w:hAnsiTheme="minorHAnsi" w:cstheme="minorHAnsi"/>
                <w:color w:val="000000"/>
                <w:sz w:val="18"/>
                <w:szCs w:val="18"/>
              </w:rPr>
              <w:t xml:space="preserve"> = 0)</w:t>
            </w:r>
          </w:p>
        </w:tc>
        <w:tc>
          <w:tcPr>
            <w:tcW w:w="1188" w:type="pct"/>
            <w:shd w:val="clear" w:color="auto" w:fill="FFFFFF"/>
            <w:tcMar>
              <w:top w:w="0" w:type="dxa"/>
              <w:left w:w="0" w:type="dxa"/>
              <w:bottom w:w="0" w:type="dxa"/>
              <w:right w:w="0" w:type="dxa"/>
            </w:tcMar>
            <w:vAlign w:val="center"/>
          </w:tcPr>
          <w:p w14:paraId="55826F6C" w14:textId="1740E2CB"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130 (130 - 130)</w:t>
            </w:r>
          </w:p>
          <w:p w14:paraId="07F95E7A"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1)</w:t>
            </w:r>
          </w:p>
        </w:tc>
        <w:tc>
          <w:tcPr>
            <w:tcW w:w="1189" w:type="pct"/>
            <w:shd w:val="clear" w:color="auto" w:fill="FFFFFF"/>
            <w:tcMar>
              <w:top w:w="0" w:type="dxa"/>
              <w:left w:w="0" w:type="dxa"/>
              <w:bottom w:w="0" w:type="dxa"/>
              <w:right w:w="0" w:type="dxa"/>
            </w:tcMar>
            <w:vAlign w:val="center"/>
          </w:tcPr>
          <w:p w14:paraId="53D0C078" w14:textId="77777777" w:rsidR="004D633F" w:rsidRPr="00CD62D3" w:rsidRDefault="004D633F" w:rsidP="006F2FD5">
            <w:pPr>
              <w:spacing w:before="40" w:after="40"/>
              <w:ind w:left="100" w:right="100"/>
              <w:jc w:val="center"/>
              <w:rPr>
                <w:rFonts w:ascii="Calibri" w:eastAsia="Arial" w:hAnsi="Calibri" w:cs="Calibri"/>
                <w:color w:val="000000"/>
                <w:sz w:val="18"/>
                <w:szCs w:val="18"/>
              </w:rPr>
            </w:pPr>
            <w:r w:rsidRPr="00CD62D3">
              <w:rPr>
                <w:rFonts w:ascii="Calibri" w:eastAsia="Arial" w:hAnsi="Calibri" w:cs="Calibri"/>
                <w:color w:val="000000"/>
                <w:sz w:val="18"/>
                <w:szCs w:val="18"/>
              </w:rPr>
              <w:t>130 (130 - 130)</w:t>
            </w:r>
          </w:p>
          <w:p w14:paraId="6A765AE9" w14:textId="78302E7E"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w:t>
            </w:r>
            <w:r w:rsidRPr="00CD62D3">
              <w:rPr>
                <w:rFonts w:ascii="Calibri" w:eastAsia="Arial" w:hAnsi="Calibri" w:cs="Calibri"/>
                <w:i/>
                <w:iCs/>
                <w:color w:val="000000"/>
                <w:sz w:val="18"/>
                <w:szCs w:val="18"/>
              </w:rPr>
              <w:t>n</w:t>
            </w:r>
            <w:r w:rsidRPr="00CD62D3">
              <w:rPr>
                <w:rFonts w:ascii="Calibri" w:eastAsia="Arial" w:hAnsi="Calibri" w:cs="Calibri"/>
                <w:color w:val="000000"/>
                <w:sz w:val="18"/>
                <w:szCs w:val="18"/>
              </w:rPr>
              <w:t xml:space="preserve"> = 1)</w:t>
            </w:r>
          </w:p>
        </w:tc>
      </w:tr>
      <w:tr w:rsidR="004D633F" w:rsidRPr="00007908" w14:paraId="7D6850FA" w14:textId="77777777" w:rsidTr="00BB21F9">
        <w:trPr>
          <w:cantSplit/>
        </w:trPr>
        <w:tc>
          <w:tcPr>
            <w:tcW w:w="1435" w:type="pct"/>
            <w:shd w:val="clear" w:color="auto" w:fill="FFFFFF"/>
            <w:tcMar>
              <w:top w:w="0" w:type="dxa"/>
              <w:left w:w="0" w:type="dxa"/>
              <w:bottom w:w="0" w:type="dxa"/>
              <w:right w:w="0" w:type="dxa"/>
            </w:tcMar>
            <w:vAlign w:val="center"/>
          </w:tcPr>
          <w:p w14:paraId="3611BE1C"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Ferritin, ng/mL</w:t>
            </w:r>
          </w:p>
        </w:tc>
        <w:tc>
          <w:tcPr>
            <w:tcW w:w="1188" w:type="pct"/>
            <w:shd w:val="clear" w:color="auto" w:fill="FFFFFF"/>
            <w:vAlign w:val="center"/>
          </w:tcPr>
          <w:p w14:paraId="4563052A" w14:textId="77777777" w:rsidR="004D633F" w:rsidRPr="00CD62D3" w:rsidRDefault="004D633F" w:rsidP="00507544">
            <w:pPr>
              <w:spacing w:before="40" w:after="40"/>
              <w:ind w:left="100" w:right="100"/>
              <w:jc w:val="center"/>
              <w:rPr>
                <w:rFonts w:asciiTheme="minorHAnsi" w:eastAsia="Arial" w:hAnsiTheme="minorHAnsi" w:cstheme="minorHAnsi"/>
                <w:color w:val="000000"/>
                <w:sz w:val="18"/>
                <w:szCs w:val="18"/>
              </w:rPr>
            </w:pPr>
            <w:r w:rsidRPr="00CD62D3">
              <w:rPr>
                <w:rFonts w:asciiTheme="minorHAnsi" w:eastAsia="Arial" w:hAnsiTheme="minorHAnsi" w:cstheme="minorHAnsi"/>
                <w:color w:val="000000"/>
                <w:sz w:val="18"/>
                <w:szCs w:val="18"/>
              </w:rPr>
              <w:t>---</w:t>
            </w:r>
          </w:p>
          <w:p w14:paraId="43697ABC" w14:textId="0756E9B4"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w:t>
            </w:r>
            <w:r w:rsidRPr="00CD62D3">
              <w:rPr>
                <w:rFonts w:asciiTheme="minorHAnsi" w:eastAsia="Arial" w:hAnsiTheme="minorHAnsi" w:cstheme="minorHAnsi"/>
                <w:i/>
                <w:iCs/>
                <w:color w:val="000000"/>
                <w:sz w:val="18"/>
                <w:szCs w:val="18"/>
              </w:rPr>
              <w:t>n</w:t>
            </w:r>
            <w:r w:rsidRPr="00CD62D3">
              <w:rPr>
                <w:rFonts w:asciiTheme="minorHAnsi" w:eastAsia="Arial" w:hAnsiTheme="minorHAnsi" w:cstheme="minorHAnsi"/>
                <w:color w:val="000000"/>
                <w:sz w:val="18"/>
                <w:szCs w:val="18"/>
              </w:rPr>
              <w:t xml:space="preserve"> = 0)</w:t>
            </w:r>
          </w:p>
        </w:tc>
        <w:tc>
          <w:tcPr>
            <w:tcW w:w="1188" w:type="pct"/>
            <w:shd w:val="clear" w:color="auto" w:fill="FFFFFF"/>
            <w:tcMar>
              <w:top w:w="0" w:type="dxa"/>
              <w:left w:w="0" w:type="dxa"/>
              <w:bottom w:w="0" w:type="dxa"/>
              <w:right w:w="0" w:type="dxa"/>
            </w:tcMar>
            <w:vAlign w:val="center"/>
          </w:tcPr>
          <w:p w14:paraId="40964567" w14:textId="6A36ED80"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784 (784 - 784)</w:t>
            </w:r>
          </w:p>
          <w:p w14:paraId="5FF168B7"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1)</w:t>
            </w:r>
          </w:p>
        </w:tc>
        <w:tc>
          <w:tcPr>
            <w:tcW w:w="1189" w:type="pct"/>
            <w:shd w:val="clear" w:color="auto" w:fill="FFFFFF"/>
            <w:tcMar>
              <w:top w:w="0" w:type="dxa"/>
              <w:left w:w="0" w:type="dxa"/>
              <w:bottom w:w="0" w:type="dxa"/>
              <w:right w:w="0" w:type="dxa"/>
            </w:tcMar>
            <w:vAlign w:val="center"/>
          </w:tcPr>
          <w:p w14:paraId="6D519BA2" w14:textId="77777777" w:rsidR="004D633F" w:rsidRPr="00CD62D3" w:rsidRDefault="004D633F" w:rsidP="006F2FD5">
            <w:pPr>
              <w:spacing w:before="40" w:after="40"/>
              <w:ind w:left="100" w:right="100"/>
              <w:jc w:val="center"/>
              <w:rPr>
                <w:rFonts w:ascii="Calibri" w:eastAsia="Arial" w:hAnsi="Calibri" w:cs="Calibri"/>
                <w:color w:val="000000"/>
                <w:sz w:val="18"/>
                <w:szCs w:val="18"/>
              </w:rPr>
            </w:pPr>
            <w:r w:rsidRPr="00CD62D3">
              <w:rPr>
                <w:rFonts w:ascii="Calibri" w:eastAsia="Arial" w:hAnsi="Calibri" w:cs="Calibri"/>
                <w:color w:val="000000"/>
                <w:sz w:val="18"/>
                <w:szCs w:val="18"/>
              </w:rPr>
              <w:t>784 (784 - 784)</w:t>
            </w:r>
          </w:p>
          <w:p w14:paraId="6AA95680" w14:textId="4209FC6D"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w:t>
            </w:r>
            <w:r w:rsidRPr="00CD62D3">
              <w:rPr>
                <w:rFonts w:ascii="Calibri" w:eastAsia="Arial" w:hAnsi="Calibri" w:cs="Calibri"/>
                <w:i/>
                <w:iCs/>
                <w:color w:val="000000"/>
                <w:sz w:val="18"/>
                <w:szCs w:val="18"/>
              </w:rPr>
              <w:t>n</w:t>
            </w:r>
            <w:r w:rsidRPr="00CD62D3">
              <w:rPr>
                <w:rFonts w:ascii="Calibri" w:eastAsia="Arial" w:hAnsi="Calibri" w:cs="Calibri"/>
                <w:color w:val="000000"/>
                <w:sz w:val="18"/>
                <w:szCs w:val="18"/>
              </w:rPr>
              <w:t xml:space="preserve"> = 1)</w:t>
            </w:r>
          </w:p>
        </w:tc>
      </w:tr>
      <w:tr w:rsidR="004D633F" w:rsidRPr="00007908" w14:paraId="2AED5E28" w14:textId="77777777" w:rsidTr="00BB21F9">
        <w:trPr>
          <w:cantSplit/>
        </w:trPr>
        <w:tc>
          <w:tcPr>
            <w:tcW w:w="1435" w:type="pct"/>
            <w:shd w:val="clear" w:color="auto" w:fill="FFFFFF"/>
            <w:tcMar>
              <w:top w:w="0" w:type="dxa"/>
              <w:left w:w="0" w:type="dxa"/>
              <w:bottom w:w="0" w:type="dxa"/>
              <w:right w:w="0" w:type="dxa"/>
            </w:tcMar>
            <w:vAlign w:val="center"/>
          </w:tcPr>
          <w:p w14:paraId="25F776EA"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Neutrophils, x10</w:t>
            </w:r>
            <w:r w:rsidRPr="00007908">
              <w:rPr>
                <w:rFonts w:asciiTheme="minorHAnsi" w:hAnsiTheme="minorHAnsi" w:cstheme="majorHAnsi"/>
                <w:sz w:val="18"/>
                <w:szCs w:val="18"/>
                <w:vertAlign w:val="superscript"/>
                <w:lang w:val="en-US"/>
              </w:rPr>
              <w:t>9</w:t>
            </w:r>
            <w:r w:rsidRPr="00007908">
              <w:rPr>
                <w:rFonts w:asciiTheme="minorHAnsi" w:hAnsiTheme="minorHAnsi" w:cstheme="majorHAnsi"/>
                <w:sz w:val="18"/>
                <w:szCs w:val="18"/>
                <w:lang w:val="en-US"/>
              </w:rPr>
              <w:t>/L</w:t>
            </w:r>
          </w:p>
        </w:tc>
        <w:tc>
          <w:tcPr>
            <w:tcW w:w="1188" w:type="pct"/>
            <w:shd w:val="clear" w:color="auto" w:fill="FFFFFF"/>
            <w:vAlign w:val="center"/>
          </w:tcPr>
          <w:p w14:paraId="642ECFC0" w14:textId="77777777" w:rsidR="004D633F" w:rsidRPr="00CD62D3" w:rsidRDefault="004D633F" w:rsidP="00507544">
            <w:pPr>
              <w:spacing w:before="40" w:after="40"/>
              <w:ind w:left="100" w:right="100"/>
              <w:jc w:val="center"/>
              <w:rPr>
                <w:rFonts w:asciiTheme="minorHAnsi" w:eastAsia="Arial" w:hAnsiTheme="minorHAnsi" w:cstheme="minorHAnsi"/>
                <w:color w:val="000000"/>
                <w:sz w:val="18"/>
                <w:szCs w:val="18"/>
              </w:rPr>
            </w:pPr>
            <w:r w:rsidRPr="00CD62D3">
              <w:rPr>
                <w:rFonts w:asciiTheme="minorHAnsi" w:eastAsia="Arial" w:hAnsiTheme="minorHAnsi" w:cstheme="minorHAnsi"/>
                <w:color w:val="000000"/>
                <w:sz w:val="18"/>
                <w:szCs w:val="18"/>
              </w:rPr>
              <w:t>12.5 (10.3 - 12.7)</w:t>
            </w:r>
          </w:p>
          <w:p w14:paraId="22341018" w14:textId="26965DA7"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w:t>
            </w:r>
            <w:r w:rsidRPr="00CD62D3">
              <w:rPr>
                <w:rFonts w:asciiTheme="minorHAnsi" w:eastAsia="Arial" w:hAnsiTheme="minorHAnsi" w:cstheme="minorHAnsi"/>
                <w:i/>
                <w:iCs/>
                <w:color w:val="000000"/>
                <w:sz w:val="18"/>
                <w:szCs w:val="18"/>
              </w:rPr>
              <w:t>n</w:t>
            </w:r>
            <w:r w:rsidRPr="00CD62D3">
              <w:rPr>
                <w:rFonts w:asciiTheme="minorHAnsi" w:eastAsia="Arial" w:hAnsiTheme="minorHAnsi" w:cstheme="minorHAnsi"/>
                <w:color w:val="000000"/>
                <w:sz w:val="18"/>
                <w:szCs w:val="18"/>
              </w:rPr>
              <w:t xml:space="preserve"> = 3)</w:t>
            </w:r>
          </w:p>
        </w:tc>
        <w:tc>
          <w:tcPr>
            <w:tcW w:w="1188" w:type="pct"/>
            <w:shd w:val="clear" w:color="auto" w:fill="FFFFFF"/>
            <w:tcMar>
              <w:top w:w="0" w:type="dxa"/>
              <w:left w:w="0" w:type="dxa"/>
              <w:bottom w:w="0" w:type="dxa"/>
              <w:right w:w="0" w:type="dxa"/>
            </w:tcMar>
            <w:vAlign w:val="center"/>
          </w:tcPr>
          <w:p w14:paraId="425A331F" w14:textId="75C6A964"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4.8 (4.7 - 5.0)</w:t>
            </w:r>
          </w:p>
          <w:p w14:paraId="19681444"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2)</w:t>
            </w:r>
          </w:p>
        </w:tc>
        <w:tc>
          <w:tcPr>
            <w:tcW w:w="1189" w:type="pct"/>
            <w:shd w:val="clear" w:color="auto" w:fill="FFFFFF"/>
            <w:tcMar>
              <w:top w:w="0" w:type="dxa"/>
              <w:left w:w="0" w:type="dxa"/>
              <w:bottom w:w="0" w:type="dxa"/>
              <w:right w:w="0" w:type="dxa"/>
            </w:tcMar>
            <w:vAlign w:val="center"/>
          </w:tcPr>
          <w:p w14:paraId="3E2E7EF9" w14:textId="77777777" w:rsidR="004D633F" w:rsidRPr="00CD62D3" w:rsidRDefault="004D633F" w:rsidP="006F2FD5">
            <w:pPr>
              <w:spacing w:before="40" w:after="40"/>
              <w:ind w:left="100" w:right="100"/>
              <w:jc w:val="center"/>
              <w:rPr>
                <w:rFonts w:ascii="Calibri" w:eastAsia="Arial" w:hAnsi="Calibri" w:cs="Calibri"/>
                <w:color w:val="000000"/>
                <w:sz w:val="18"/>
                <w:szCs w:val="18"/>
              </w:rPr>
            </w:pPr>
            <w:r w:rsidRPr="00CD62D3">
              <w:rPr>
                <w:rFonts w:ascii="Calibri" w:eastAsia="Arial" w:hAnsi="Calibri" w:cs="Calibri"/>
                <w:color w:val="000000"/>
                <w:sz w:val="18"/>
                <w:szCs w:val="18"/>
              </w:rPr>
              <w:t>8.1 (5.1 - 12.5)</w:t>
            </w:r>
          </w:p>
          <w:p w14:paraId="6DC49DF9" w14:textId="64BAC238"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w:t>
            </w:r>
            <w:r w:rsidRPr="00CD62D3">
              <w:rPr>
                <w:rFonts w:ascii="Calibri" w:eastAsia="Arial" w:hAnsi="Calibri" w:cs="Calibri"/>
                <w:i/>
                <w:iCs/>
                <w:color w:val="000000"/>
                <w:sz w:val="18"/>
                <w:szCs w:val="18"/>
              </w:rPr>
              <w:t>n</w:t>
            </w:r>
            <w:r w:rsidRPr="00CD62D3">
              <w:rPr>
                <w:rFonts w:ascii="Calibri" w:eastAsia="Arial" w:hAnsi="Calibri" w:cs="Calibri"/>
                <w:color w:val="000000"/>
                <w:sz w:val="18"/>
                <w:szCs w:val="18"/>
              </w:rPr>
              <w:t xml:space="preserve"> = 5)</w:t>
            </w:r>
          </w:p>
        </w:tc>
      </w:tr>
      <w:tr w:rsidR="004D633F" w:rsidRPr="00007908" w14:paraId="4F4A7A45" w14:textId="77777777" w:rsidTr="00BB21F9">
        <w:trPr>
          <w:cantSplit/>
        </w:trPr>
        <w:tc>
          <w:tcPr>
            <w:tcW w:w="1435" w:type="pct"/>
            <w:shd w:val="clear" w:color="auto" w:fill="FFFFFF"/>
            <w:tcMar>
              <w:top w:w="0" w:type="dxa"/>
              <w:left w:w="0" w:type="dxa"/>
              <w:bottom w:w="0" w:type="dxa"/>
              <w:right w:w="0" w:type="dxa"/>
            </w:tcMar>
            <w:vAlign w:val="center"/>
          </w:tcPr>
          <w:p w14:paraId="6F41F261"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Lymphocytes, x10</w:t>
            </w:r>
            <w:r w:rsidRPr="00007908">
              <w:rPr>
                <w:rFonts w:asciiTheme="minorHAnsi" w:hAnsiTheme="minorHAnsi" w:cstheme="majorHAnsi"/>
                <w:sz w:val="18"/>
                <w:szCs w:val="18"/>
                <w:vertAlign w:val="superscript"/>
                <w:lang w:val="en-US"/>
              </w:rPr>
              <w:t>9</w:t>
            </w:r>
            <w:r w:rsidRPr="00007908">
              <w:rPr>
                <w:rFonts w:asciiTheme="minorHAnsi" w:hAnsiTheme="minorHAnsi" w:cstheme="majorHAnsi"/>
                <w:sz w:val="18"/>
                <w:szCs w:val="18"/>
                <w:lang w:val="en-US"/>
              </w:rPr>
              <w:t>/L</w:t>
            </w:r>
          </w:p>
        </w:tc>
        <w:tc>
          <w:tcPr>
            <w:tcW w:w="1188" w:type="pct"/>
            <w:shd w:val="clear" w:color="auto" w:fill="FFFFFF"/>
            <w:vAlign w:val="center"/>
          </w:tcPr>
          <w:p w14:paraId="0F1F3F3B" w14:textId="77777777" w:rsidR="004D633F" w:rsidRPr="00CD62D3" w:rsidRDefault="004D633F" w:rsidP="00507544">
            <w:pPr>
              <w:spacing w:before="40" w:after="40"/>
              <w:ind w:left="100" w:right="100"/>
              <w:jc w:val="center"/>
              <w:rPr>
                <w:rFonts w:asciiTheme="minorHAnsi" w:eastAsia="Arial" w:hAnsiTheme="minorHAnsi" w:cstheme="minorHAnsi"/>
                <w:color w:val="000000"/>
                <w:sz w:val="18"/>
                <w:szCs w:val="18"/>
              </w:rPr>
            </w:pPr>
            <w:r w:rsidRPr="00CD62D3">
              <w:rPr>
                <w:rFonts w:asciiTheme="minorHAnsi" w:eastAsia="Arial" w:hAnsiTheme="minorHAnsi" w:cstheme="minorHAnsi"/>
                <w:color w:val="000000"/>
                <w:sz w:val="18"/>
                <w:szCs w:val="18"/>
              </w:rPr>
              <w:t>1.7 (1.4 - 3.5)</w:t>
            </w:r>
          </w:p>
          <w:p w14:paraId="21503A1C" w14:textId="51AB7719"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w:t>
            </w:r>
            <w:r w:rsidRPr="00CD62D3">
              <w:rPr>
                <w:rFonts w:asciiTheme="minorHAnsi" w:eastAsia="Arial" w:hAnsiTheme="minorHAnsi" w:cstheme="minorHAnsi"/>
                <w:i/>
                <w:iCs/>
                <w:color w:val="000000"/>
                <w:sz w:val="18"/>
                <w:szCs w:val="18"/>
              </w:rPr>
              <w:t>n</w:t>
            </w:r>
            <w:r w:rsidRPr="00CD62D3">
              <w:rPr>
                <w:rFonts w:asciiTheme="minorHAnsi" w:eastAsia="Arial" w:hAnsiTheme="minorHAnsi" w:cstheme="minorHAnsi"/>
                <w:color w:val="000000"/>
                <w:sz w:val="18"/>
                <w:szCs w:val="18"/>
              </w:rPr>
              <w:t xml:space="preserve"> = 3)</w:t>
            </w:r>
          </w:p>
        </w:tc>
        <w:tc>
          <w:tcPr>
            <w:tcW w:w="1188" w:type="pct"/>
            <w:shd w:val="clear" w:color="auto" w:fill="FFFFFF"/>
            <w:tcMar>
              <w:top w:w="0" w:type="dxa"/>
              <w:left w:w="0" w:type="dxa"/>
              <w:bottom w:w="0" w:type="dxa"/>
              <w:right w:w="0" w:type="dxa"/>
            </w:tcMar>
            <w:vAlign w:val="center"/>
          </w:tcPr>
          <w:p w14:paraId="1DD20AC2" w14:textId="5B4A1398"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1.8 (1.6 - 2.0)</w:t>
            </w:r>
          </w:p>
          <w:p w14:paraId="1DF36C00"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2)</w:t>
            </w:r>
          </w:p>
        </w:tc>
        <w:tc>
          <w:tcPr>
            <w:tcW w:w="1189" w:type="pct"/>
            <w:shd w:val="clear" w:color="auto" w:fill="FFFFFF"/>
            <w:tcMar>
              <w:top w:w="0" w:type="dxa"/>
              <w:left w:w="0" w:type="dxa"/>
              <w:bottom w:w="0" w:type="dxa"/>
              <w:right w:w="0" w:type="dxa"/>
            </w:tcMar>
            <w:vAlign w:val="center"/>
          </w:tcPr>
          <w:p w14:paraId="3ACB1841" w14:textId="77777777" w:rsidR="004D633F" w:rsidRPr="00CD62D3" w:rsidRDefault="004D633F" w:rsidP="006F2FD5">
            <w:pPr>
              <w:spacing w:before="40" w:after="40"/>
              <w:ind w:left="100" w:right="100"/>
              <w:jc w:val="center"/>
              <w:rPr>
                <w:rFonts w:ascii="Calibri" w:eastAsia="Arial" w:hAnsi="Calibri" w:cs="Calibri"/>
                <w:color w:val="000000"/>
                <w:sz w:val="18"/>
                <w:szCs w:val="18"/>
              </w:rPr>
            </w:pPr>
            <w:r w:rsidRPr="00CD62D3">
              <w:rPr>
                <w:rFonts w:ascii="Calibri" w:eastAsia="Arial" w:hAnsi="Calibri" w:cs="Calibri"/>
                <w:color w:val="000000"/>
                <w:sz w:val="18"/>
                <w:szCs w:val="18"/>
              </w:rPr>
              <w:t>1.7 (1.3 - 2.3)</w:t>
            </w:r>
          </w:p>
          <w:p w14:paraId="4532F76A" w14:textId="39AF39FC"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w:t>
            </w:r>
            <w:r w:rsidRPr="00CD62D3">
              <w:rPr>
                <w:rFonts w:ascii="Calibri" w:eastAsia="Arial" w:hAnsi="Calibri" w:cs="Calibri"/>
                <w:i/>
                <w:iCs/>
                <w:color w:val="000000"/>
                <w:sz w:val="18"/>
                <w:szCs w:val="18"/>
              </w:rPr>
              <w:t>n</w:t>
            </w:r>
            <w:r w:rsidRPr="00CD62D3">
              <w:rPr>
                <w:rFonts w:ascii="Calibri" w:eastAsia="Arial" w:hAnsi="Calibri" w:cs="Calibri"/>
                <w:color w:val="000000"/>
                <w:sz w:val="18"/>
                <w:szCs w:val="18"/>
              </w:rPr>
              <w:t xml:space="preserve"> = 5)</w:t>
            </w:r>
          </w:p>
        </w:tc>
      </w:tr>
      <w:tr w:rsidR="004D633F" w:rsidRPr="00007908" w14:paraId="04ABFFF2" w14:textId="77777777" w:rsidTr="00BB21F9">
        <w:trPr>
          <w:cantSplit/>
        </w:trPr>
        <w:tc>
          <w:tcPr>
            <w:tcW w:w="1435" w:type="pct"/>
            <w:shd w:val="clear" w:color="auto" w:fill="FFFFFF"/>
            <w:tcMar>
              <w:top w:w="0" w:type="dxa"/>
              <w:left w:w="0" w:type="dxa"/>
              <w:bottom w:w="0" w:type="dxa"/>
              <w:right w:w="0" w:type="dxa"/>
            </w:tcMar>
            <w:vAlign w:val="center"/>
          </w:tcPr>
          <w:p w14:paraId="77417DF5"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lastRenderedPageBreak/>
              <w:t xml:space="preserve">   Platelet count, x10</w:t>
            </w:r>
            <w:r w:rsidRPr="00007908">
              <w:rPr>
                <w:rFonts w:asciiTheme="minorHAnsi" w:hAnsiTheme="minorHAnsi" w:cstheme="majorHAnsi"/>
                <w:sz w:val="18"/>
                <w:szCs w:val="18"/>
                <w:vertAlign w:val="superscript"/>
                <w:lang w:val="en-US"/>
              </w:rPr>
              <w:t>9</w:t>
            </w:r>
            <w:r w:rsidRPr="00007908">
              <w:rPr>
                <w:rFonts w:asciiTheme="minorHAnsi" w:hAnsiTheme="minorHAnsi" w:cstheme="majorHAnsi"/>
                <w:sz w:val="18"/>
                <w:szCs w:val="18"/>
                <w:lang w:val="en-US"/>
              </w:rPr>
              <w:t>/L</w:t>
            </w:r>
          </w:p>
        </w:tc>
        <w:tc>
          <w:tcPr>
            <w:tcW w:w="1188" w:type="pct"/>
            <w:shd w:val="clear" w:color="auto" w:fill="FFFFFF"/>
            <w:vAlign w:val="center"/>
          </w:tcPr>
          <w:p w14:paraId="26A4064C" w14:textId="77777777" w:rsidR="004D633F" w:rsidRPr="00CD62D3" w:rsidRDefault="004D633F" w:rsidP="00507544">
            <w:pPr>
              <w:spacing w:before="40" w:after="40"/>
              <w:ind w:left="100" w:right="100"/>
              <w:jc w:val="center"/>
              <w:rPr>
                <w:rFonts w:asciiTheme="minorHAnsi" w:eastAsia="Arial" w:hAnsiTheme="minorHAnsi" w:cstheme="minorHAnsi"/>
                <w:color w:val="000000"/>
                <w:sz w:val="18"/>
                <w:szCs w:val="18"/>
              </w:rPr>
            </w:pPr>
            <w:r w:rsidRPr="00CD62D3">
              <w:rPr>
                <w:rFonts w:asciiTheme="minorHAnsi" w:eastAsia="Arial" w:hAnsiTheme="minorHAnsi" w:cstheme="minorHAnsi"/>
                <w:color w:val="000000"/>
                <w:sz w:val="18"/>
                <w:szCs w:val="18"/>
              </w:rPr>
              <w:t>262 (246 - 272)</w:t>
            </w:r>
          </w:p>
          <w:p w14:paraId="1ADA5040" w14:textId="169A1504"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w:t>
            </w:r>
            <w:r w:rsidRPr="00CD62D3">
              <w:rPr>
                <w:rFonts w:asciiTheme="minorHAnsi" w:eastAsia="Arial" w:hAnsiTheme="minorHAnsi" w:cstheme="minorHAnsi"/>
                <w:i/>
                <w:iCs/>
                <w:color w:val="000000"/>
                <w:sz w:val="18"/>
                <w:szCs w:val="18"/>
              </w:rPr>
              <w:t>n</w:t>
            </w:r>
            <w:r w:rsidRPr="00CD62D3">
              <w:rPr>
                <w:rFonts w:asciiTheme="minorHAnsi" w:eastAsia="Arial" w:hAnsiTheme="minorHAnsi" w:cstheme="minorHAnsi"/>
                <w:color w:val="000000"/>
                <w:sz w:val="18"/>
                <w:szCs w:val="18"/>
              </w:rPr>
              <w:t xml:space="preserve"> = 3)</w:t>
            </w:r>
          </w:p>
        </w:tc>
        <w:tc>
          <w:tcPr>
            <w:tcW w:w="1188" w:type="pct"/>
            <w:shd w:val="clear" w:color="auto" w:fill="FFFFFF"/>
            <w:tcMar>
              <w:top w:w="0" w:type="dxa"/>
              <w:left w:w="0" w:type="dxa"/>
              <w:bottom w:w="0" w:type="dxa"/>
              <w:right w:w="0" w:type="dxa"/>
            </w:tcMar>
            <w:vAlign w:val="center"/>
          </w:tcPr>
          <w:p w14:paraId="44455CC0" w14:textId="39E95481"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301 (280 - 321)</w:t>
            </w:r>
          </w:p>
          <w:p w14:paraId="3403FFC0"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2)</w:t>
            </w:r>
          </w:p>
        </w:tc>
        <w:tc>
          <w:tcPr>
            <w:tcW w:w="1189" w:type="pct"/>
            <w:shd w:val="clear" w:color="auto" w:fill="FFFFFF"/>
            <w:tcMar>
              <w:top w:w="0" w:type="dxa"/>
              <w:left w:w="0" w:type="dxa"/>
              <w:bottom w:w="0" w:type="dxa"/>
              <w:right w:w="0" w:type="dxa"/>
            </w:tcMar>
            <w:vAlign w:val="center"/>
          </w:tcPr>
          <w:p w14:paraId="611A9672" w14:textId="77777777" w:rsidR="004D633F" w:rsidRPr="00CD62D3" w:rsidRDefault="004D633F" w:rsidP="006F2FD5">
            <w:pPr>
              <w:spacing w:before="40" w:after="40"/>
              <w:ind w:left="100" w:right="100"/>
              <w:jc w:val="center"/>
              <w:rPr>
                <w:rFonts w:ascii="Calibri" w:eastAsia="Arial" w:hAnsi="Calibri" w:cs="Calibri"/>
                <w:color w:val="000000"/>
                <w:sz w:val="18"/>
                <w:szCs w:val="18"/>
              </w:rPr>
            </w:pPr>
            <w:r w:rsidRPr="00CD62D3">
              <w:rPr>
                <w:rFonts w:ascii="Calibri" w:eastAsia="Arial" w:hAnsi="Calibri" w:cs="Calibri"/>
                <w:color w:val="000000"/>
                <w:sz w:val="18"/>
                <w:szCs w:val="18"/>
              </w:rPr>
              <w:t>262 (260 - 282)</w:t>
            </w:r>
          </w:p>
          <w:p w14:paraId="6C474196" w14:textId="24629E05"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w:t>
            </w:r>
            <w:r w:rsidRPr="00CD62D3">
              <w:rPr>
                <w:rFonts w:ascii="Calibri" w:eastAsia="Arial" w:hAnsi="Calibri" w:cs="Calibri"/>
                <w:i/>
                <w:iCs/>
                <w:color w:val="000000"/>
                <w:sz w:val="18"/>
                <w:szCs w:val="18"/>
              </w:rPr>
              <w:t>n</w:t>
            </w:r>
            <w:r w:rsidRPr="00CD62D3">
              <w:rPr>
                <w:rFonts w:ascii="Calibri" w:eastAsia="Arial" w:hAnsi="Calibri" w:cs="Calibri"/>
                <w:color w:val="000000"/>
                <w:sz w:val="18"/>
                <w:szCs w:val="18"/>
              </w:rPr>
              <w:t xml:space="preserve"> = 5)</w:t>
            </w:r>
          </w:p>
        </w:tc>
      </w:tr>
      <w:tr w:rsidR="004D633F" w:rsidRPr="00007908" w14:paraId="49D45E39" w14:textId="77777777" w:rsidTr="00BB21F9">
        <w:trPr>
          <w:cantSplit/>
        </w:trPr>
        <w:tc>
          <w:tcPr>
            <w:tcW w:w="1435" w:type="pct"/>
            <w:shd w:val="clear" w:color="auto" w:fill="FFFFFF"/>
            <w:tcMar>
              <w:top w:w="0" w:type="dxa"/>
              <w:left w:w="0" w:type="dxa"/>
              <w:bottom w:w="0" w:type="dxa"/>
              <w:right w:w="0" w:type="dxa"/>
            </w:tcMar>
            <w:vAlign w:val="center"/>
          </w:tcPr>
          <w:p w14:paraId="5586A27B"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Lactate, mmol/L</w:t>
            </w:r>
          </w:p>
        </w:tc>
        <w:tc>
          <w:tcPr>
            <w:tcW w:w="1188" w:type="pct"/>
            <w:shd w:val="clear" w:color="auto" w:fill="FFFFFF"/>
            <w:vAlign w:val="center"/>
          </w:tcPr>
          <w:p w14:paraId="588B662D" w14:textId="77777777" w:rsidR="004D633F" w:rsidRPr="00CD62D3" w:rsidRDefault="004D633F" w:rsidP="00507544">
            <w:pPr>
              <w:spacing w:before="40" w:after="40"/>
              <w:ind w:left="100" w:right="100"/>
              <w:jc w:val="center"/>
              <w:rPr>
                <w:rFonts w:asciiTheme="minorHAnsi" w:eastAsia="Arial" w:hAnsiTheme="minorHAnsi" w:cstheme="minorHAnsi"/>
                <w:color w:val="000000"/>
                <w:sz w:val="18"/>
                <w:szCs w:val="18"/>
              </w:rPr>
            </w:pPr>
            <w:r w:rsidRPr="00CD62D3">
              <w:rPr>
                <w:rFonts w:asciiTheme="minorHAnsi" w:eastAsia="Arial" w:hAnsiTheme="minorHAnsi" w:cstheme="minorHAnsi"/>
                <w:color w:val="000000"/>
                <w:sz w:val="18"/>
                <w:szCs w:val="18"/>
              </w:rPr>
              <w:t>1.0 (0.9 - 1.0)</w:t>
            </w:r>
          </w:p>
          <w:p w14:paraId="06D04596" w14:textId="1F8FBAED"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w:t>
            </w:r>
            <w:r w:rsidRPr="00CD62D3">
              <w:rPr>
                <w:rFonts w:asciiTheme="minorHAnsi" w:eastAsia="Arial" w:hAnsiTheme="minorHAnsi" w:cstheme="minorHAnsi"/>
                <w:i/>
                <w:iCs/>
                <w:color w:val="000000"/>
                <w:sz w:val="18"/>
                <w:szCs w:val="18"/>
              </w:rPr>
              <w:t>n</w:t>
            </w:r>
            <w:r w:rsidRPr="00CD62D3">
              <w:rPr>
                <w:rFonts w:asciiTheme="minorHAnsi" w:eastAsia="Arial" w:hAnsiTheme="minorHAnsi" w:cstheme="minorHAnsi"/>
                <w:color w:val="000000"/>
                <w:sz w:val="18"/>
                <w:szCs w:val="18"/>
              </w:rPr>
              <w:t xml:space="preserve"> = 3)</w:t>
            </w:r>
          </w:p>
        </w:tc>
        <w:tc>
          <w:tcPr>
            <w:tcW w:w="1188" w:type="pct"/>
            <w:shd w:val="clear" w:color="auto" w:fill="FFFFFF"/>
            <w:tcMar>
              <w:top w:w="0" w:type="dxa"/>
              <w:left w:w="0" w:type="dxa"/>
              <w:bottom w:w="0" w:type="dxa"/>
              <w:right w:w="0" w:type="dxa"/>
            </w:tcMar>
            <w:vAlign w:val="center"/>
          </w:tcPr>
          <w:p w14:paraId="7F0A3573" w14:textId="522535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0.9 (0.9 - 0.9)</w:t>
            </w:r>
          </w:p>
          <w:p w14:paraId="45B17231"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1)</w:t>
            </w:r>
          </w:p>
        </w:tc>
        <w:tc>
          <w:tcPr>
            <w:tcW w:w="1189" w:type="pct"/>
            <w:shd w:val="clear" w:color="auto" w:fill="FFFFFF"/>
            <w:tcMar>
              <w:top w:w="0" w:type="dxa"/>
              <w:left w:w="0" w:type="dxa"/>
              <w:bottom w:w="0" w:type="dxa"/>
              <w:right w:w="0" w:type="dxa"/>
            </w:tcMar>
            <w:vAlign w:val="center"/>
          </w:tcPr>
          <w:p w14:paraId="464603FC" w14:textId="77777777" w:rsidR="004D633F" w:rsidRPr="00CD62D3" w:rsidRDefault="004D633F" w:rsidP="006F2FD5">
            <w:pPr>
              <w:spacing w:before="40" w:after="40"/>
              <w:ind w:left="100" w:right="100"/>
              <w:jc w:val="center"/>
              <w:rPr>
                <w:rFonts w:ascii="Calibri" w:eastAsia="Arial" w:hAnsi="Calibri" w:cs="Calibri"/>
                <w:color w:val="000000"/>
                <w:sz w:val="18"/>
                <w:szCs w:val="18"/>
              </w:rPr>
            </w:pPr>
            <w:r w:rsidRPr="00CD62D3">
              <w:rPr>
                <w:rFonts w:ascii="Calibri" w:eastAsia="Arial" w:hAnsi="Calibri" w:cs="Calibri"/>
                <w:color w:val="000000"/>
                <w:sz w:val="18"/>
                <w:szCs w:val="18"/>
              </w:rPr>
              <w:t>0.9 (0.9 - 1.0)</w:t>
            </w:r>
          </w:p>
          <w:p w14:paraId="2ED5596C" w14:textId="26DFBCAA"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w:t>
            </w:r>
            <w:r w:rsidRPr="00CD62D3">
              <w:rPr>
                <w:rFonts w:ascii="Calibri" w:eastAsia="Arial" w:hAnsi="Calibri" w:cs="Calibri"/>
                <w:i/>
                <w:iCs/>
                <w:color w:val="000000"/>
                <w:sz w:val="18"/>
                <w:szCs w:val="18"/>
              </w:rPr>
              <w:t>n</w:t>
            </w:r>
            <w:r w:rsidRPr="00CD62D3">
              <w:rPr>
                <w:rFonts w:ascii="Calibri" w:eastAsia="Arial" w:hAnsi="Calibri" w:cs="Calibri"/>
                <w:color w:val="000000"/>
                <w:sz w:val="18"/>
                <w:szCs w:val="18"/>
              </w:rPr>
              <w:t xml:space="preserve"> = 4)</w:t>
            </w:r>
          </w:p>
        </w:tc>
      </w:tr>
      <w:tr w:rsidR="004D633F" w:rsidRPr="00007908" w14:paraId="13324CF1" w14:textId="77777777" w:rsidTr="00BB21F9">
        <w:trPr>
          <w:cantSplit/>
        </w:trPr>
        <w:tc>
          <w:tcPr>
            <w:tcW w:w="1435" w:type="pct"/>
            <w:shd w:val="clear" w:color="auto" w:fill="FFFFFF"/>
            <w:tcMar>
              <w:top w:w="0" w:type="dxa"/>
              <w:left w:w="0" w:type="dxa"/>
              <w:bottom w:w="0" w:type="dxa"/>
              <w:right w:w="0" w:type="dxa"/>
            </w:tcMar>
            <w:vAlign w:val="center"/>
          </w:tcPr>
          <w:p w14:paraId="732F9050"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Creatinine, mg/dL</w:t>
            </w:r>
          </w:p>
        </w:tc>
        <w:tc>
          <w:tcPr>
            <w:tcW w:w="1188" w:type="pct"/>
            <w:shd w:val="clear" w:color="auto" w:fill="FFFFFF"/>
            <w:vAlign w:val="center"/>
          </w:tcPr>
          <w:p w14:paraId="5AB93FA7" w14:textId="77777777" w:rsidR="004D633F" w:rsidRPr="00CD62D3" w:rsidRDefault="004D633F" w:rsidP="00507544">
            <w:pPr>
              <w:spacing w:before="40" w:after="40"/>
              <w:ind w:left="100" w:right="100"/>
              <w:jc w:val="center"/>
              <w:rPr>
                <w:rFonts w:asciiTheme="minorHAnsi" w:eastAsia="Arial" w:hAnsiTheme="minorHAnsi" w:cstheme="minorHAnsi"/>
                <w:color w:val="000000"/>
                <w:sz w:val="18"/>
                <w:szCs w:val="18"/>
              </w:rPr>
            </w:pPr>
            <w:r w:rsidRPr="00CD62D3">
              <w:rPr>
                <w:rFonts w:asciiTheme="minorHAnsi" w:eastAsia="Arial" w:hAnsiTheme="minorHAnsi" w:cstheme="minorHAnsi"/>
                <w:color w:val="000000"/>
                <w:sz w:val="18"/>
                <w:szCs w:val="18"/>
              </w:rPr>
              <w:t>0.6 (0.6 - 0.8)</w:t>
            </w:r>
          </w:p>
          <w:p w14:paraId="25138A74" w14:textId="76DB3A2D"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w:t>
            </w:r>
            <w:r w:rsidRPr="00CD62D3">
              <w:rPr>
                <w:rFonts w:asciiTheme="minorHAnsi" w:eastAsia="Arial" w:hAnsiTheme="minorHAnsi" w:cstheme="minorHAnsi"/>
                <w:i/>
                <w:iCs/>
                <w:color w:val="000000"/>
                <w:sz w:val="18"/>
                <w:szCs w:val="18"/>
              </w:rPr>
              <w:t>n</w:t>
            </w:r>
            <w:r w:rsidRPr="00CD62D3">
              <w:rPr>
                <w:rFonts w:asciiTheme="minorHAnsi" w:eastAsia="Arial" w:hAnsiTheme="minorHAnsi" w:cstheme="minorHAnsi"/>
                <w:color w:val="000000"/>
                <w:sz w:val="18"/>
                <w:szCs w:val="18"/>
              </w:rPr>
              <w:t xml:space="preserve"> = 3)</w:t>
            </w:r>
          </w:p>
        </w:tc>
        <w:tc>
          <w:tcPr>
            <w:tcW w:w="1188" w:type="pct"/>
            <w:shd w:val="clear" w:color="auto" w:fill="FFFFFF"/>
            <w:tcMar>
              <w:top w:w="0" w:type="dxa"/>
              <w:left w:w="0" w:type="dxa"/>
              <w:bottom w:w="0" w:type="dxa"/>
              <w:right w:w="0" w:type="dxa"/>
            </w:tcMar>
            <w:vAlign w:val="center"/>
          </w:tcPr>
          <w:p w14:paraId="79B34FD1" w14:textId="223D3FCE"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0.7 (0.6 - 0.7)</w:t>
            </w:r>
          </w:p>
          <w:p w14:paraId="6F0A074C"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2)</w:t>
            </w:r>
          </w:p>
        </w:tc>
        <w:tc>
          <w:tcPr>
            <w:tcW w:w="1189" w:type="pct"/>
            <w:shd w:val="clear" w:color="auto" w:fill="FFFFFF"/>
            <w:tcMar>
              <w:top w:w="0" w:type="dxa"/>
              <w:left w:w="0" w:type="dxa"/>
              <w:bottom w:w="0" w:type="dxa"/>
              <w:right w:w="0" w:type="dxa"/>
            </w:tcMar>
            <w:vAlign w:val="center"/>
          </w:tcPr>
          <w:p w14:paraId="66BF8A7B" w14:textId="77777777" w:rsidR="004D633F" w:rsidRPr="00CD62D3" w:rsidRDefault="004D633F" w:rsidP="006F2FD5">
            <w:pPr>
              <w:spacing w:before="40" w:after="40"/>
              <w:ind w:left="100" w:right="100"/>
              <w:jc w:val="center"/>
              <w:rPr>
                <w:rFonts w:ascii="Calibri" w:eastAsia="Arial" w:hAnsi="Calibri" w:cs="Calibri"/>
                <w:color w:val="000000"/>
                <w:sz w:val="18"/>
                <w:szCs w:val="18"/>
              </w:rPr>
            </w:pPr>
            <w:r w:rsidRPr="00CD62D3">
              <w:rPr>
                <w:rFonts w:ascii="Calibri" w:eastAsia="Arial" w:hAnsi="Calibri" w:cs="Calibri"/>
                <w:color w:val="000000"/>
                <w:sz w:val="18"/>
                <w:szCs w:val="18"/>
              </w:rPr>
              <w:t>0.6 (0.6 - 0.7)</w:t>
            </w:r>
          </w:p>
          <w:p w14:paraId="196A0443" w14:textId="0305635F"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w:t>
            </w:r>
            <w:r w:rsidRPr="00CD62D3">
              <w:rPr>
                <w:rFonts w:ascii="Calibri" w:eastAsia="Arial" w:hAnsi="Calibri" w:cs="Calibri"/>
                <w:i/>
                <w:iCs/>
                <w:color w:val="000000"/>
                <w:sz w:val="18"/>
                <w:szCs w:val="18"/>
              </w:rPr>
              <w:t>n</w:t>
            </w:r>
            <w:r w:rsidRPr="00CD62D3">
              <w:rPr>
                <w:rFonts w:ascii="Calibri" w:eastAsia="Arial" w:hAnsi="Calibri" w:cs="Calibri"/>
                <w:color w:val="000000"/>
                <w:sz w:val="18"/>
                <w:szCs w:val="18"/>
              </w:rPr>
              <w:t xml:space="preserve"> = 5)</w:t>
            </w:r>
          </w:p>
        </w:tc>
      </w:tr>
      <w:tr w:rsidR="004D633F" w:rsidRPr="00007908" w14:paraId="3B39FE0F" w14:textId="77777777" w:rsidTr="00BB21F9">
        <w:trPr>
          <w:cantSplit/>
        </w:trPr>
        <w:tc>
          <w:tcPr>
            <w:tcW w:w="1435" w:type="pct"/>
            <w:shd w:val="clear" w:color="auto" w:fill="FFFFFF"/>
            <w:tcMar>
              <w:top w:w="0" w:type="dxa"/>
              <w:left w:w="0" w:type="dxa"/>
              <w:bottom w:w="0" w:type="dxa"/>
              <w:right w:w="0" w:type="dxa"/>
            </w:tcMar>
            <w:vAlign w:val="center"/>
          </w:tcPr>
          <w:p w14:paraId="0BBE81C9"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Bilirubin, mg/dL</w:t>
            </w:r>
          </w:p>
        </w:tc>
        <w:tc>
          <w:tcPr>
            <w:tcW w:w="1188" w:type="pct"/>
            <w:shd w:val="clear" w:color="auto" w:fill="FFFFFF"/>
            <w:vAlign w:val="center"/>
          </w:tcPr>
          <w:p w14:paraId="6A898270" w14:textId="77777777" w:rsidR="004D633F" w:rsidRPr="00CD62D3" w:rsidRDefault="004D633F" w:rsidP="00507544">
            <w:pPr>
              <w:spacing w:before="40" w:after="40"/>
              <w:ind w:left="100" w:right="100"/>
              <w:jc w:val="center"/>
              <w:rPr>
                <w:rFonts w:asciiTheme="minorHAnsi" w:eastAsia="Arial" w:hAnsiTheme="minorHAnsi" w:cstheme="minorHAnsi"/>
                <w:color w:val="000000"/>
                <w:sz w:val="18"/>
                <w:szCs w:val="18"/>
              </w:rPr>
            </w:pPr>
            <w:r w:rsidRPr="00CD62D3">
              <w:rPr>
                <w:rFonts w:asciiTheme="minorHAnsi" w:eastAsia="Arial" w:hAnsiTheme="minorHAnsi" w:cstheme="minorHAnsi"/>
                <w:color w:val="000000"/>
                <w:sz w:val="18"/>
                <w:szCs w:val="18"/>
              </w:rPr>
              <w:t>1.1 (0.8 - 1.4)</w:t>
            </w:r>
          </w:p>
          <w:p w14:paraId="723FE615" w14:textId="5E0E965E" w:rsidR="004D633F" w:rsidRPr="002E372F" w:rsidRDefault="004D633F" w:rsidP="006F2FD5">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w:t>
            </w:r>
            <w:r w:rsidRPr="00CD62D3">
              <w:rPr>
                <w:rFonts w:asciiTheme="minorHAnsi" w:eastAsia="Arial" w:hAnsiTheme="minorHAnsi" w:cstheme="minorHAnsi"/>
                <w:i/>
                <w:iCs/>
                <w:color w:val="000000"/>
                <w:sz w:val="18"/>
                <w:szCs w:val="18"/>
              </w:rPr>
              <w:t>n</w:t>
            </w:r>
            <w:r w:rsidRPr="00CD62D3">
              <w:rPr>
                <w:rFonts w:asciiTheme="minorHAnsi" w:eastAsia="Arial" w:hAnsiTheme="minorHAnsi" w:cstheme="minorHAnsi"/>
                <w:color w:val="000000"/>
                <w:sz w:val="18"/>
                <w:szCs w:val="18"/>
              </w:rPr>
              <w:t xml:space="preserve"> = 3)</w:t>
            </w:r>
          </w:p>
        </w:tc>
        <w:tc>
          <w:tcPr>
            <w:tcW w:w="1188" w:type="pct"/>
            <w:shd w:val="clear" w:color="auto" w:fill="FFFFFF"/>
            <w:tcMar>
              <w:top w:w="0" w:type="dxa"/>
              <w:left w:w="0" w:type="dxa"/>
              <w:bottom w:w="0" w:type="dxa"/>
              <w:right w:w="0" w:type="dxa"/>
            </w:tcMar>
            <w:vAlign w:val="center"/>
          </w:tcPr>
          <w:p w14:paraId="186A9CE8" w14:textId="69514541"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0.3 (0.3 - 0.3)</w:t>
            </w:r>
          </w:p>
          <w:p w14:paraId="4D122BB3"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w:t>
            </w:r>
            <w:r w:rsidRPr="00007908">
              <w:rPr>
                <w:rFonts w:asciiTheme="minorHAnsi" w:hAnsiTheme="minorHAnsi" w:cstheme="majorHAnsi"/>
                <w:i/>
                <w:sz w:val="18"/>
                <w:szCs w:val="18"/>
                <w:lang w:val="en-US"/>
              </w:rPr>
              <w:t>n</w:t>
            </w:r>
            <w:r w:rsidRPr="00007908">
              <w:rPr>
                <w:rFonts w:asciiTheme="minorHAnsi" w:hAnsiTheme="minorHAnsi" w:cstheme="majorHAnsi"/>
                <w:sz w:val="18"/>
                <w:szCs w:val="18"/>
                <w:lang w:val="en-US"/>
              </w:rPr>
              <w:t xml:space="preserve"> = 1)</w:t>
            </w:r>
          </w:p>
        </w:tc>
        <w:tc>
          <w:tcPr>
            <w:tcW w:w="1189" w:type="pct"/>
            <w:shd w:val="clear" w:color="auto" w:fill="FFFFFF"/>
            <w:tcMar>
              <w:top w:w="0" w:type="dxa"/>
              <w:left w:w="0" w:type="dxa"/>
              <w:bottom w:w="0" w:type="dxa"/>
              <w:right w:w="0" w:type="dxa"/>
            </w:tcMar>
            <w:vAlign w:val="center"/>
          </w:tcPr>
          <w:p w14:paraId="3F75887D" w14:textId="77777777" w:rsidR="004D633F" w:rsidRPr="00CD62D3" w:rsidRDefault="004D633F" w:rsidP="006F2FD5">
            <w:pPr>
              <w:spacing w:before="40" w:after="40"/>
              <w:ind w:left="100" w:right="100"/>
              <w:jc w:val="center"/>
              <w:rPr>
                <w:rFonts w:ascii="Calibri" w:eastAsia="Arial" w:hAnsi="Calibri" w:cs="Calibri"/>
                <w:color w:val="000000"/>
                <w:sz w:val="18"/>
                <w:szCs w:val="18"/>
              </w:rPr>
            </w:pPr>
            <w:r w:rsidRPr="00CD62D3">
              <w:rPr>
                <w:rFonts w:ascii="Calibri" w:eastAsia="Arial" w:hAnsi="Calibri" w:cs="Calibri"/>
                <w:color w:val="000000"/>
                <w:sz w:val="18"/>
                <w:szCs w:val="18"/>
              </w:rPr>
              <w:t>0.8 (0.6 - 1.2)</w:t>
            </w:r>
          </w:p>
          <w:p w14:paraId="120A9670" w14:textId="508EEA48"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w:t>
            </w:r>
            <w:r w:rsidRPr="00CD62D3">
              <w:rPr>
                <w:rFonts w:ascii="Calibri" w:eastAsia="Arial" w:hAnsi="Calibri" w:cs="Calibri"/>
                <w:i/>
                <w:iCs/>
                <w:color w:val="000000"/>
                <w:sz w:val="18"/>
                <w:szCs w:val="18"/>
              </w:rPr>
              <w:t>n</w:t>
            </w:r>
            <w:r w:rsidRPr="00CD62D3">
              <w:rPr>
                <w:rFonts w:ascii="Calibri" w:eastAsia="Arial" w:hAnsi="Calibri" w:cs="Calibri"/>
                <w:color w:val="000000"/>
                <w:sz w:val="18"/>
                <w:szCs w:val="18"/>
              </w:rPr>
              <w:t xml:space="preserve"> = 4)</w:t>
            </w:r>
          </w:p>
        </w:tc>
      </w:tr>
      <w:tr w:rsidR="004D633F" w:rsidRPr="00007908" w14:paraId="6687A528" w14:textId="77777777" w:rsidTr="00BB21F9">
        <w:trPr>
          <w:cantSplit/>
        </w:trPr>
        <w:tc>
          <w:tcPr>
            <w:tcW w:w="1435" w:type="pct"/>
            <w:shd w:val="clear" w:color="auto" w:fill="FFFFFF"/>
            <w:tcMar>
              <w:top w:w="0" w:type="dxa"/>
              <w:left w:w="0" w:type="dxa"/>
              <w:bottom w:w="0" w:type="dxa"/>
              <w:right w:w="0" w:type="dxa"/>
            </w:tcMar>
            <w:vAlign w:val="center"/>
          </w:tcPr>
          <w:p w14:paraId="3AD46835"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Received therapies at randomization - n / N (%)</w:t>
            </w:r>
          </w:p>
        </w:tc>
        <w:tc>
          <w:tcPr>
            <w:tcW w:w="1188" w:type="pct"/>
            <w:shd w:val="clear" w:color="auto" w:fill="FFFFFF"/>
            <w:vAlign w:val="center"/>
          </w:tcPr>
          <w:p w14:paraId="01AE7C2B" w14:textId="77777777" w:rsidR="004D633F" w:rsidRPr="002E372F" w:rsidRDefault="004D633F" w:rsidP="006F2FD5">
            <w:pPr>
              <w:jc w:val="center"/>
              <w:rPr>
                <w:rFonts w:asciiTheme="minorHAnsi" w:hAnsiTheme="minorHAnsi" w:cstheme="minorHAnsi"/>
                <w:sz w:val="18"/>
                <w:szCs w:val="18"/>
                <w:lang w:val="en-US"/>
              </w:rPr>
            </w:pPr>
          </w:p>
        </w:tc>
        <w:tc>
          <w:tcPr>
            <w:tcW w:w="1188" w:type="pct"/>
            <w:shd w:val="clear" w:color="auto" w:fill="FFFFFF"/>
            <w:tcMar>
              <w:top w:w="0" w:type="dxa"/>
              <w:left w:w="0" w:type="dxa"/>
              <w:bottom w:w="0" w:type="dxa"/>
              <w:right w:w="0" w:type="dxa"/>
            </w:tcMar>
            <w:vAlign w:val="center"/>
          </w:tcPr>
          <w:p w14:paraId="1DDE38F7" w14:textId="77777777" w:rsidR="004D633F" w:rsidRPr="00007908" w:rsidRDefault="004D633F" w:rsidP="006F2FD5">
            <w:pPr>
              <w:jc w:val="center"/>
              <w:rPr>
                <w:rFonts w:asciiTheme="minorHAnsi" w:hAnsiTheme="minorHAnsi" w:cstheme="majorHAnsi"/>
                <w:sz w:val="18"/>
                <w:szCs w:val="18"/>
                <w:lang w:val="en-US"/>
              </w:rPr>
            </w:pPr>
          </w:p>
        </w:tc>
        <w:tc>
          <w:tcPr>
            <w:tcW w:w="1189" w:type="pct"/>
            <w:shd w:val="clear" w:color="auto" w:fill="FFFFFF"/>
            <w:tcMar>
              <w:top w:w="0" w:type="dxa"/>
              <w:left w:w="0" w:type="dxa"/>
              <w:bottom w:w="0" w:type="dxa"/>
              <w:right w:w="0" w:type="dxa"/>
            </w:tcMar>
            <w:vAlign w:val="center"/>
          </w:tcPr>
          <w:p w14:paraId="033A16C1" w14:textId="77777777" w:rsidR="004D633F" w:rsidRPr="00CD62D3" w:rsidRDefault="004D633F" w:rsidP="006F2FD5">
            <w:pPr>
              <w:jc w:val="center"/>
              <w:rPr>
                <w:rFonts w:ascii="Calibri" w:hAnsi="Calibri" w:cs="Calibri"/>
                <w:sz w:val="18"/>
                <w:szCs w:val="18"/>
                <w:lang w:val="en-US"/>
              </w:rPr>
            </w:pPr>
          </w:p>
        </w:tc>
      </w:tr>
      <w:tr w:rsidR="004D633F" w:rsidRPr="00007908" w14:paraId="10F050E1" w14:textId="77777777" w:rsidTr="00BB21F9">
        <w:trPr>
          <w:cantSplit/>
          <w:trHeight w:val="68"/>
        </w:trPr>
        <w:tc>
          <w:tcPr>
            <w:tcW w:w="1435" w:type="pct"/>
            <w:shd w:val="clear" w:color="auto" w:fill="FFFFFF"/>
            <w:tcMar>
              <w:top w:w="0" w:type="dxa"/>
              <w:left w:w="0" w:type="dxa"/>
              <w:bottom w:w="0" w:type="dxa"/>
              <w:right w:w="0" w:type="dxa"/>
            </w:tcMar>
            <w:vAlign w:val="center"/>
          </w:tcPr>
          <w:p w14:paraId="7CD7CE77"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Steroids</w:t>
            </w:r>
          </w:p>
        </w:tc>
        <w:tc>
          <w:tcPr>
            <w:tcW w:w="1188" w:type="pct"/>
            <w:shd w:val="clear" w:color="auto" w:fill="FFFFFF"/>
            <w:vAlign w:val="center"/>
          </w:tcPr>
          <w:p w14:paraId="7E18A164" w14:textId="15BEBC8D" w:rsidR="004D633F" w:rsidRPr="002E372F" w:rsidRDefault="004D633F" w:rsidP="00507544">
            <w:pPr>
              <w:jc w:val="center"/>
              <w:rPr>
                <w:rFonts w:asciiTheme="minorHAnsi" w:hAnsiTheme="minorHAnsi" w:cstheme="minorHAnsi"/>
                <w:sz w:val="18"/>
                <w:szCs w:val="18"/>
                <w:lang w:val="en-US"/>
              </w:rPr>
            </w:pPr>
            <w:r w:rsidRPr="00CD62D3">
              <w:rPr>
                <w:rFonts w:asciiTheme="minorHAnsi" w:eastAsia="Arial" w:hAnsiTheme="minorHAnsi" w:cstheme="minorHAnsi"/>
                <w:color w:val="000000"/>
                <w:sz w:val="18"/>
                <w:szCs w:val="18"/>
              </w:rPr>
              <w:t>1 / 3 (33.3)</w:t>
            </w:r>
          </w:p>
        </w:tc>
        <w:tc>
          <w:tcPr>
            <w:tcW w:w="1188" w:type="pct"/>
            <w:shd w:val="clear" w:color="auto" w:fill="FFFFFF"/>
            <w:tcMar>
              <w:top w:w="0" w:type="dxa"/>
              <w:left w:w="0" w:type="dxa"/>
              <w:bottom w:w="0" w:type="dxa"/>
              <w:right w:w="0" w:type="dxa"/>
            </w:tcMar>
            <w:vAlign w:val="center"/>
          </w:tcPr>
          <w:p w14:paraId="11F46467"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2 / 2 (100.0)</w:t>
            </w:r>
          </w:p>
        </w:tc>
        <w:tc>
          <w:tcPr>
            <w:tcW w:w="1189" w:type="pct"/>
            <w:shd w:val="clear" w:color="auto" w:fill="FFFFFF"/>
            <w:tcMar>
              <w:top w:w="0" w:type="dxa"/>
              <w:left w:w="0" w:type="dxa"/>
              <w:bottom w:w="0" w:type="dxa"/>
              <w:right w:w="0" w:type="dxa"/>
            </w:tcMar>
            <w:vAlign w:val="center"/>
          </w:tcPr>
          <w:p w14:paraId="0633EBF9" w14:textId="51543261"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3 / 5 (60.0)</w:t>
            </w:r>
          </w:p>
        </w:tc>
      </w:tr>
      <w:tr w:rsidR="004D633F" w:rsidRPr="00007908" w14:paraId="00EE418C" w14:textId="77777777" w:rsidTr="00BB21F9">
        <w:trPr>
          <w:cantSplit/>
        </w:trPr>
        <w:tc>
          <w:tcPr>
            <w:tcW w:w="1435" w:type="pct"/>
            <w:tcBorders>
              <w:bottom w:val="single" w:sz="12" w:space="0" w:color="auto"/>
            </w:tcBorders>
            <w:shd w:val="clear" w:color="auto" w:fill="FFFFFF"/>
            <w:tcMar>
              <w:top w:w="0" w:type="dxa"/>
              <w:left w:w="0" w:type="dxa"/>
              <w:bottom w:w="0" w:type="dxa"/>
              <w:right w:w="0" w:type="dxa"/>
            </w:tcMar>
            <w:vAlign w:val="center"/>
          </w:tcPr>
          <w:p w14:paraId="6E5B7BA9" w14:textId="77777777" w:rsidR="004D633F" w:rsidRPr="00007908" w:rsidRDefault="004D633F" w:rsidP="00507544">
            <w:pPr>
              <w:rPr>
                <w:rFonts w:asciiTheme="minorHAnsi" w:hAnsiTheme="minorHAnsi" w:cstheme="majorHAnsi"/>
                <w:sz w:val="18"/>
                <w:szCs w:val="18"/>
                <w:lang w:val="en-US"/>
              </w:rPr>
            </w:pPr>
            <w:r w:rsidRPr="00007908">
              <w:rPr>
                <w:rFonts w:asciiTheme="minorHAnsi" w:hAnsiTheme="minorHAnsi" w:cstheme="majorHAnsi"/>
                <w:sz w:val="18"/>
                <w:szCs w:val="18"/>
                <w:lang w:val="en-US"/>
              </w:rPr>
              <w:t xml:space="preserve">   Remdesivir</w:t>
            </w:r>
          </w:p>
        </w:tc>
        <w:tc>
          <w:tcPr>
            <w:tcW w:w="1188" w:type="pct"/>
            <w:tcBorders>
              <w:bottom w:val="single" w:sz="12" w:space="0" w:color="auto"/>
            </w:tcBorders>
            <w:shd w:val="clear" w:color="auto" w:fill="FFFFFF"/>
            <w:vAlign w:val="center"/>
          </w:tcPr>
          <w:p w14:paraId="46A3FDE0" w14:textId="261DA62E" w:rsidR="004D633F" w:rsidRPr="00CD62D3" w:rsidRDefault="004D633F" w:rsidP="00507544">
            <w:pPr>
              <w:jc w:val="center"/>
              <w:rPr>
                <w:rFonts w:ascii="Calibri" w:hAnsi="Calibri" w:cs="Calibri"/>
                <w:sz w:val="18"/>
                <w:szCs w:val="18"/>
                <w:lang w:val="en-US"/>
              </w:rPr>
            </w:pPr>
            <w:r w:rsidRPr="00DE3652">
              <w:rPr>
                <w:rFonts w:asciiTheme="majorHAnsi" w:eastAsia="Arial" w:hAnsiTheme="majorHAnsi" w:cstheme="majorHAnsi"/>
                <w:color w:val="000000"/>
                <w:sz w:val="18"/>
                <w:szCs w:val="18"/>
              </w:rPr>
              <w:t>0 / 3 (0.0)</w:t>
            </w:r>
          </w:p>
        </w:tc>
        <w:tc>
          <w:tcPr>
            <w:tcW w:w="1188" w:type="pct"/>
            <w:tcBorders>
              <w:bottom w:val="single" w:sz="12" w:space="0" w:color="auto"/>
            </w:tcBorders>
            <w:shd w:val="clear" w:color="auto" w:fill="FFFFFF"/>
            <w:tcMar>
              <w:top w:w="0" w:type="dxa"/>
              <w:left w:w="0" w:type="dxa"/>
              <w:bottom w:w="0" w:type="dxa"/>
              <w:right w:w="0" w:type="dxa"/>
            </w:tcMar>
            <w:vAlign w:val="center"/>
          </w:tcPr>
          <w:p w14:paraId="1C4F6167" w14:textId="77777777" w:rsidR="004D633F" w:rsidRPr="00007908" w:rsidRDefault="004D633F" w:rsidP="006F2FD5">
            <w:pPr>
              <w:jc w:val="center"/>
              <w:rPr>
                <w:rFonts w:asciiTheme="minorHAnsi" w:hAnsiTheme="minorHAnsi" w:cstheme="majorHAnsi"/>
                <w:sz w:val="18"/>
                <w:szCs w:val="18"/>
                <w:lang w:val="en-US"/>
              </w:rPr>
            </w:pPr>
            <w:r w:rsidRPr="00007908">
              <w:rPr>
                <w:rFonts w:asciiTheme="minorHAnsi" w:hAnsiTheme="minorHAnsi" w:cstheme="majorHAnsi"/>
                <w:sz w:val="18"/>
                <w:szCs w:val="18"/>
                <w:lang w:val="en-US"/>
              </w:rPr>
              <w:t>1 / 2 (50.0)</w:t>
            </w:r>
          </w:p>
        </w:tc>
        <w:tc>
          <w:tcPr>
            <w:tcW w:w="1189" w:type="pct"/>
            <w:tcBorders>
              <w:bottom w:val="single" w:sz="12" w:space="0" w:color="auto"/>
            </w:tcBorders>
            <w:shd w:val="clear" w:color="auto" w:fill="FFFFFF"/>
            <w:tcMar>
              <w:top w:w="0" w:type="dxa"/>
              <w:left w:w="0" w:type="dxa"/>
              <w:bottom w:w="0" w:type="dxa"/>
              <w:right w:w="0" w:type="dxa"/>
            </w:tcMar>
            <w:vAlign w:val="center"/>
          </w:tcPr>
          <w:p w14:paraId="1F50FC5D" w14:textId="5A7CFE9D" w:rsidR="004D633F" w:rsidRPr="00CD62D3" w:rsidRDefault="004D633F" w:rsidP="006F2FD5">
            <w:pPr>
              <w:jc w:val="center"/>
              <w:rPr>
                <w:rFonts w:ascii="Calibri" w:hAnsi="Calibri" w:cs="Calibri"/>
                <w:sz w:val="18"/>
                <w:szCs w:val="18"/>
                <w:lang w:val="en-US"/>
              </w:rPr>
            </w:pPr>
            <w:r w:rsidRPr="00CD62D3">
              <w:rPr>
                <w:rFonts w:ascii="Calibri" w:eastAsia="Arial" w:hAnsi="Calibri" w:cs="Calibri"/>
                <w:color w:val="000000"/>
                <w:sz w:val="18"/>
                <w:szCs w:val="18"/>
              </w:rPr>
              <w:t>1 / 5 (20.0)</w:t>
            </w:r>
          </w:p>
        </w:tc>
      </w:tr>
    </w:tbl>
    <w:p w14:paraId="2D030E4D" w14:textId="77777777" w:rsidR="00ED1698" w:rsidRDefault="004D633F" w:rsidP="00CD62D3">
      <w:pPr>
        <w:ind w:right="100"/>
        <w:rPr>
          <w:rFonts w:asciiTheme="majorHAnsi" w:hAnsiTheme="majorHAnsi" w:cstheme="majorHAnsi"/>
          <w:sz w:val="16"/>
          <w:szCs w:val="18"/>
        </w:rPr>
      </w:pPr>
      <w:r w:rsidRPr="00CD62D3">
        <w:rPr>
          <w:rFonts w:asciiTheme="majorHAnsi" w:hAnsiTheme="majorHAnsi" w:cstheme="majorHAnsi"/>
          <w:sz w:val="16"/>
          <w:szCs w:val="18"/>
        </w:rPr>
        <w:t xml:space="preserve">* Percentages may not sum to 100 because of rounding. </w:t>
      </w:r>
      <w:r w:rsidR="00AD1B33" w:rsidRPr="00AD1B33">
        <w:rPr>
          <w:rFonts w:asciiTheme="majorHAnsi" w:hAnsiTheme="majorHAnsi" w:cstheme="majorHAnsi"/>
          <w:sz w:val="16"/>
          <w:szCs w:val="18"/>
        </w:rPr>
        <w:t>SD denotes standard deviation; APACHE, Acute Physiology and Chronic Health Evaluation; SARS-CoV-2, Severe Acute Respiratory Syndrome Coronavirus; ICU, intensive care unit; COPD, chronic obstructive pulmonary disease; IQR, interquartile range; ECMO, extracorporeal membrane oxygenation.</w:t>
      </w:r>
    </w:p>
    <w:p w14:paraId="16E1B5F6" w14:textId="63076037" w:rsidR="004D633F" w:rsidRPr="00CD62D3" w:rsidRDefault="004D633F" w:rsidP="00CD62D3">
      <w:pPr>
        <w:ind w:right="100"/>
        <w:rPr>
          <w:rFonts w:asciiTheme="majorHAnsi" w:hAnsiTheme="majorHAnsi" w:cstheme="majorHAnsi"/>
          <w:sz w:val="16"/>
          <w:szCs w:val="18"/>
        </w:rPr>
      </w:pPr>
      <w:r w:rsidRPr="00CD62D3">
        <w:rPr>
          <w:rFonts w:asciiTheme="majorHAnsi" w:hAnsiTheme="majorHAnsi" w:cstheme="majorHAnsi"/>
          <w:sz w:val="16"/>
          <w:szCs w:val="18"/>
          <w:vertAlign w:val="superscript"/>
        </w:rPr>
        <w:t>a</w:t>
      </w:r>
      <w:r w:rsidRPr="00CD62D3">
        <w:rPr>
          <w:rFonts w:asciiTheme="majorHAnsi" w:hAnsiTheme="majorHAnsi" w:cstheme="majorHAnsi"/>
          <w:sz w:val="16"/>
          <w:szCs w:val="18"/>
        </w:rPr>
        <w:t xml:space="preserve"> Data collection not approved in Canada and continental Europe. “Other” includes “declined” and “multiple”. </w:t>
      </w:r>
    </w:p>
    <w:p w14:paraId="6C0E665F" w14:textId="77777777" w:rsidR="004D633F" w:rsidRPr="00CD62D3" w:rsidRDefault="004D633F" w:rsidP="00CD62D3">
      <w:pPr>
        <w:ind w:right="100"/>
        <w:rPr>
          <w:rFonts w:asciiTheme="majorHAnsi" w:hAnsiTheme="majorHAnsi" w:cstheme="majorHAnsi"/>
          <w:sz w:val="16"/>
          <w:szCs w:val="18"/>
        </w:rPr>
      </w:pPr>
      <w:r w:rsidRPr="00CD62D3">
        <w:rPr>
          <w:rFonts w:asciiTheme="majorHAnsi" w:hAnsiTheme="majorHAnsi" w:cstheme="majorHAnsi"/>
          <w:sz w:val="16"/>
          <w:szCs w:val="18"/>
          <w:vertAlign w:val="superscript"/>
        </w:rPr>
        <w:t>b</w:t>
      </w:r>
      <w:r w:rsidRPr="00CD62D3">
        <w:rPr>
          <w:rFonts w:asciiTheme="majorHAnsi" w:hAnsiTheme="majorHAnsi" w:cstheme="majorHAnsi"/>
          <w:sz w:val="16"/>
          <w:szCs w:val="18"/>
        </w:rPr>
        <w:t xml:space="preserve"> Body-mass index is the weight in kilograms divided by the square of the height in meters.</w:t>
      </w:r>
    </w:p>
    <w:p w14:paraId="7F7A39B4" w14:textId="77777777" w:rsidR="004D633F" w:rsidRPr="00CD62D3" w:rsidRDefault="004D633F" w:rsidP="00CD62D3">
      <w:pPr>
        <w:ind w:right="100"/>
        <w:rPr>
          <w:rFonts w:asciiTheme="majorHAnsi" w:hAnsiTheme="majorHAnsi" w:cstheme="majorHAnsi"/>
          <w:sz w:val="16"/>
          <w:szCs w:val="18"/>
        </w:rPr>
      </w:pPr>
      <w:r w:rsidRPr="00CD62D3">
        <w:rPr>
          <w:rFonts w:asciiTheme="majorHAnsi" w:hAnsiTheme="majorHAnsi" w:cstheme="majorHAnsi"/>
          <w:sz w:val="16"/>
          <w:szCs w:val="18"/>
          <w:vertAlign w:val="superscript"/>
        </w:rPr>
        <w:t>c</w:t>
      </w:r>
      <w:r w:rsidRPr="00CD62D3">
        <w:rPr>
          <w:rFonts w:asciiTheme="majorHAnsi" w:hAnsiTheme="majorHAnsi" w:cstheme="majorHAnsi"/>
          <w:sz w:val="16"/>
          <w:szCs w:val="18"/>
        </w:rPr>
        <w:t xml:space="preserve"> Range 0 to 71, with higher scores indicating greater severity of illness.</w:t>
      </w:r>
    </w:p>
    <w:p w14:paraId="0F049D83" w14:textId="77777777" w:rsidR="004D633F" w:rsidRPr="00CD62D3" w:rsidRDefault="004D633F" w:rsidP="00CD62D3">
      <w:pPr>
        <w:ind w:right="100"/>
        <w:rPr>
          <w:rFonts w:asciiTheme="majorHAnsi" w:hAnsiTheme="majorHAnsi" w:cstheme="majorHAnsi"/>
          <w:sz w:val="16"/>
          <w:szCs w:val="18"/>
        </w:rPr>
      </w:pPr>
      <w:r w:rsidRPr="00CD62D3">
        <w:rPr>
          <w:rFonts w:asciiTheme="majorHAnsi" w:hAnsiTheme="majorHAnsi" w:cstheme="majorHAnsi"/>
          <w:sz w:val="16"/>
          <w:szCs w:val="18"/>
          <w:vertAlign w:val="superscript"/>
        </w:rPr>
        <w:t>d</w:t>
      </w:r>
      <w:r w:rsidRPr="00CD62D3">
        <w:rPr>
          <w:rFonts w:asciiTheme="majorHAnsi" w:hAnsiTheme="majorHAnsi" w:cstheme="majorHAnsi"/>
          <w:sz w:val="16"/>
          <w:szCs w:val="18"/>
        </w:rPr>
        <w:t xml:space="preserve"> SARS-CoV2 infection was confirmed by respiratory tract polymerase chain reaction test.</w:t>
      </w:r>
    </w:p>
    <w:p w14:paraId="3F1B6C74" w14:textId="77777777" w:rsidR="004D633F" w:rsidRPr="00CD62D3" w:rsidRDefault="004D633F" w:rsidP="00CD62D3">
      <w:pPr>
        <w:ind w:right="100"/>
        <w:rPr>
          <w:rFonts w:asciiTheme="majorHAnsi" w:hAnsiTheme="majorHAnsi" w:cstheme="majorHAnsi"/>
          <w:sz w:val="16"/>
          <w:szCs w:val="18"/>
        </w:rPr>
      </w:pPr>
      <w:r w:rsidRPr="00CD62D3">
        <w:rPr>
          <w:rFonts w:asciiTheme="majorHAnsi" w:hAnsiTheme="majorHAnsi" w:cstheme="majorHAnsi"/>
          <w:sz w:val="16"/>
          <w:szCs w:val="18"/>
          <w:vertAlign w:val="superscript"/>
        </w:rPr>
        <w:t>e</w:t>
      </w:r>
      <w:r w:rsidRPr="00CD62D3">
        <w:rPr>
          <w:rFonts w:asciiTheme="majorHAnsi" w:hAnsiTheme="majorHAnsi" w:cstheme="majorHAnsi"/>
          <w:sz w:val="16"/>
          <w:szCs w:val="18"/>
        </w:rPr>
        <w:t xml:space="preserve"> Range 3 to 15, with higher scores indicating greater consciousness, using values closest to randomization but prior to the use of sedative agents.  </w:t>
      </w:r>
    </w:p>
    <w:p w14:paraId="6A363155" w14:textId="4F42603A" w:rsidR="002858A9" w:rsidRPr="00CD62D3" w:rsidRDefault="004D633F" w:rsidP="00CD62D3">
      <w:pPr>
        <w:rPr>
          <w:rFonts w:asciiTheme="majorHAnsi" w:hAnsiTheme="majorHAnsi" w:cstheme="majorHAnsi"/>
          <w:sz w:val="20"/>
          <w:szCs w:val="22"/>
          <w:lang w:val="en-US"/>
        </w:rPr>
      </w:pPr>
      <w:r w:rsidRPr="00CD62D3">
        <w:rPr>
          <w:rFonts w:asciiTheme="majorHAnsi" w:hAnsiTheme="majorHAnsi" w:cstheme="majorHAnsi"/>
          <w:sz w:val="16"/>
          <w:szCs w:val="18"/>
          <w:vertAlign w:val="superscript"/>
        </w:rPr>
        <w:t>f</w:t>
      </w:r>
      <w:r w:rsidRPr="00CD62D3">
        <w:rPr>
          <w:rFonts w:asciiTheme="majorHAnsi" w:hAnsiTheme="majorHAnsi" w:cstheme="majorHAnsi"/>
          <w:sz w:val="16"/>
          <w:szCs w:val="18"/>
        </w:rPr>
        <w:t xml:space="preserve"> Values were from the sample collected closest to randomization, up to 8 hours prior to randomization. If no samples were collected up to 8 hours prior to time of randomization, the sample collected closest to the time of randomization up to 2 hours after randomization was used (other than PaO</w:t>
      </w:r>
      <w:r w:rsidRPr="00CD62D3">
        <w:rPr>
          <w:rFonts w:asciiTheme="majorHAnsi" w:hAnsiTheme="majorHAnsi" w:cstheme="majorHAnsi"/>
          <w:sz w:val="16"/>
          <w:szCs w:val="18"/>
          <w:vertAlign w:val="subscript"/>
        </w:rPr>
        <w:t>2</w:t>
      </w:r>
      <w:r w:rsidRPr="00CD62D3">
        <w:rPr>
          <w:rFonts w:asciiTheme="majorHAnsi" w:hAnsiTheme="majorHAnsi" w:cstheme="majorHAnsi"/>
          <w:sz w:val="16"/>
          <w:szCs w:val="18"/>
        </w:rPr>
        <w:t xml:space="preserve"> / FiO</w:t>
      </w:r>
      <w:r w:rsidRPr="00CD62D3">
        <w:rPr>
          <w:rFonts w:asciiTheme="majorHAnsi" w:hAnsiTheme="majorHAnsi" w:cstheme="majorHAnsi"/>
          <w:sz w:val="16"/>
          <w:szCs w:val="18"/>
          <w:vertAlign w:val="subscript"/>
        </w:rPr>
        <w:t>2</w:t>
      </w:r>
      <w:r w:rsidRPr="00CD62D3">
        <w:rPr>
          <w:rFonts w:asciiTheme="majorHAnsi" w:hAnsiTheme="majorHAnsi" w:cstheme="majorHAnsi"/>
          <w:sz w:val="16"/>
          <w:szCs w:val="18"/>
        </w:rPr>
        <w:t xml:space="preserve"> which was a pre-randomization value only)</w:t>
      </w:r>
    </w:p>
    <w:p w14:paraId="69BC0056" w14:textId="6C65DCD9" w:rsidR="002858A9" w:rsidRDefault="002858A9" w:rsidP="00507544">
      <w:pPr>
        <w:rPr>
          <w:rFonts w:asciiTheme="majorHAnsi" w:hAnsiTheme="majorHAnsi" w:cstheme="majorHAnsi"/>
          <w:sz w:val="22"/>
          <w:szCs w:val="22"/>
          <w:lang w:val="en-US"/>
        </w:rPr>
      </w:pPr>
      <w:r>
        <w:rPr>
          <w:rFonts w:asciiTheme="majorHAnsi" w:hAnsiTheme="majorHAnsi" w:cstheme="majorHAnsi"/>
          <w:sz w:val="22"/>
          <w:szCs w:val="22"/>
          <w:lang w:val="en-US"/>
        </w:rPr>
        <w:br w:type="page"/>
      </w:r>
    </w:p>
    <w:p w14:paraId="7DCE9473" w14:textId="2E362C88" w:rsidR="009853E2" w:rsidRPr="00FC0E00" w:rsidRDefault="00DA579B" w:rsidP="005153A6">
      <w:pPr>
        <w:pStyle w:val="Heading2"/>
        <w:rPr>
          <w:rFonts w:asciiTheme="minorHAnsi" w:hAnsiTheme="minorHAnsi" w:cstheme="majorHAnsi"/>
          <w:bCs/>
          <w:sz w:val="24"/>
          <w:szCs w:val="24"/>
        </w:rPr>
      </w:pPr>
      <w:bookmarkStart w:id="28" w:name="_Toc74659157"/>
      <w:r w:rsidRPr="005153A6">
        <w:rPr>
          <w:rFonts w:asciiTheme="minorHAnsi" w:eastAsiaTheme="minorHAnsi" w:hAnsiTheme="minorHAnsi" w:cstheme="majorHAnsi"/>
          <w:sz w:val="24"/>
          <w:szCs w:val="24"/>
          <w:lang w:val="en-US" w:eastAsia="en-US"/>
        </w:rPr>
        <w:lastRenderedPageBreak/>
        <w:t xml:space="preserve">Table S2. </w:t>
      </w:r>
      <w:r w:rsidR="00FC0E00">
        <w:rPr>
          <w:rFonts w:asciiTheme="minorHAnsi" w:eastAsiaTheme="minorHAnsi" w:hAnsiTheme="minorHAnsi" w:cstheme="majorHAnsi"/>
          <w:sz w:val="24"/>
          <w:szCs w:val="24"/>
          <w:lang w:val="en-US" w:eastAsia="en-US"/>
        </w:rPr>
        <w:t>Co-enrolment</w:t>
      </w:r>
      <w:r w:rsidRPr="005153A6">
        <w:rPr>
          <w:rFonts w:asciiTheme="minorHAnsi" w:eastAsiaTheme="minorHAnsi" w:hAnsiTheme="minorHAnsi" w:cstheme="majorHAnsi"/>
          <w:sz w:val="24"/>
          <w:szCs w:val="24"/>
          <w:lang w:val="en-US" w:eastAsia="en-US"/>
        </w:rPr>
        <w:t xml:space="preserve"> into other REMAP-CAP domains </w:t>
      </w:r>
      <w:r w:rsidR="00FC0E00">
        <w:rPr>
          <w:rFonts w:asciiTheme="minorHAnsi" w:eastAsiaTheme="minorHAnsi" w:hAnsiTheme="minorHAnsi" w:cstheme="majorHAnsi"/>
          <w:sz w:val="24"/>
          <w:szCs w:val="24"/>
          <w:lang w:val="en-US" w:eastAsia="en-US"/>
        </w:rPr>
        <w:t>for Severe State participants enrolled in Immune Modulation Therapy domain</w:t>
      </w:r>
      <w:bookmarkEnd w:id="28"/>
      <w:r w:rsidR="00FC0E00">
        <w:rPr>
          <w:rFonts w:asciiTheme="minorHAnsi" w:eastAsiaTheme="minorHAnsi" w:hAnsiTheme="minorHAnsi" w:cstheme="majorHAnsi"/>
          <w:sz w:val="24"/>
          <w:szCs w:val="24"/>
          <w:lang w:val="en-US" w:eastAsia="en-US"/>
        </w:rPr>
        <w:t xml:space="preserve"> </w:t>
      </w:r>
    </w:p>
    <w:p w14:paraId="24D6DB01" w14:textId="619C786C" w:rsidR="009853E2" w:rsidRDefault="009853E2" w:rsidP="009C2A20">
      <w:pPr>
        <w:spacing w:line="360" w:lineRule="auto"/>
        <w:rPr>
          <w:rFonts w:asciiTheme="majorHAnsi" w:hAnsiTheme="majorHAnsi" w:cstheme="majorHAnsi"/>
          <w:sz w:val="22"/>
          <w:szCs w:val="22"/>
          <w:lang w:val="en-US"/>
        </w:rPr>
      </w:pPr>
    </w:p>
    <w:tbl>
      <w:tblPr>
        <w:tblW w:w="5000" w:type="pct"/>
        <w:tblBorders>
          <w:top w:val="dashSmallGap" w:sz="4" w:space="0" w:color="BEBEBE"/>
          <w:left w:val="dashSmallGap" w:sz="4" w:space="0" w:color="BEBEBE"/>
          <w:bottom w:val="dashSmallGap" w:sz="4" w:space="0" w:color="BEBEBE"/>
          <w:right w:val="dashSmallGap" w:sz="4" w:space="0" w:color="BEBEBE"/>
          <w:insideH w:val="dashSmallGap" w:sz="4" w:space="0" w:color="BEBEBE"/>
          <w:insideV w:val="dashSmallGap" w:sz="4" w:space="0" w:color="BEBEBE"/>
        </w:tblBorders>
        <w:tblCellMar>
          <w:left w:w="0" w:type="dxa"/>
          <w:right w:w="0" w:type="dxa"/>
        </w:tblCellMar>
        <w:tblLook w:val="01E0" w:firstRow="1" w:lastRow="1" w:firstColumn="1" w:lastColumn="1" w:noHBand="0" w:noVBand="0"/>
      </w:tblPr>
      <w:tblGrid>
        <w:gridCol w:w="2380"/>
        <w:gridCol w:w="1328"/>
        <w:gridCol w:w="1328"/>
        <w:gridCol w:w="1328"/>
        <w:gridCol w:w="1328"/>
        <w:gridCol w:w="1328"/>
      </w:tblGrid>
      <w:tr w:rsidR="009853E2" w:rsidRPr="00007908" w14:paraId="05B8D7FB" w14:textId="77777777" w:rsidTr="00BB21F9">
        <w:trPr>
          <w:trHeight w:val="608"/>
        </w:trPr>
        <w:tc>
          <w:tcPr>
            <w:tcW w:w="1320" w:type="pct"/>
            <w:tcBorders>
              <w:top w:val="single" w:sz="4" w:space="0" w:color="000000"/>
              <w:left w:val="nil"/>
              <w:bottom w:val="single" w:sz="4" w:space="0" w:color="000000"/>
              <w:right w:val="nil"/>
            </w:tcBorders>
            <w:shd w:val="clear" w:color="auto" w:fill="ECECEC"/>
            <w:vAlign w:val="center"/>
          </w:tcPr>
          <w:p w14:paraId="76E742ED" w14:textId="77777777" w:rsidR="009853E2" w:rsidRPr="00007908" w:rsidRDefault="009853E2" w:rsidP="002858A9">
            <w:pPr>
              <w:rPr>
                <w:rFonts w:asciiTheme="minorHAnsi" w:hAnsiTheme="minorHAnsi" w:cstheme="majorHAnsi"/>
                <w:b/>
                <w:sz w:val="18"/>
                <w:szCs w:val="18"/>
                <w:lang w:val="en-US"/>
              </w:rPr>
            </w:pPr>
            <w:bookmarkStart w:id="29" w:name="_bookmark74"/>
            <w:bookmarkEnd w:id="29"/>
            <w:r w:rsidRPr="00007908">
              <w:rPr>
                <w:rFonts w:asciiTheme="minorHAnsi" w:hAnsiTheme="minorHAnsi" w:cstheme="majorHAnsi"/>
                <w:b/>
                <w:sz w:val="18"/>
                <w:szCs w:val="18"/>
                <w:lang w:val="en-US"/>
              </w:rPr>
              <w:t>Domain</w:t>
            </w:r>
          </w:p>
        </w:tc>
        <w:tc>
          <w:tcPr>
            <w:tcW w:w="736" w:type="pct"/>
            <w:tcBorders>
              <w:top w:val="single" w:sz="4" w:space="0" w:color="000000"/>
              <w:left w:val="nil"/>
              <w:bottom w:val="single" w:sz="4" w:space="0" w:color="000000"/>
              <w:right w:val="nil"/>
            </w:tcBorders>
            <w:shd w:val="clear" w:color="auto" w:fill="ECECEC"/>
            <w:vAlign w:val="center"/>
          </w:tcPr>
          <w:p w14:paraId="00FF8B5E" w14:textId="77777777" w:rsidR="009853E2" w:rsidRPr="00007908" w:rsidRDefault="009853E2" w:rsidP="002858A9">
            <w:pPr>
              <w:jc w:val="center"/>
              <w:rPr>
                <w:rFonts w:asciiTheme="minorHAnsi" w:hAnsiTheme="minorHAnsi" w:cstheme="majorHAnsi"/>
                <w:b/>
                <w:sz w:val="18"/>
                <w:szCs w:val="18"/>
                <w:lang w:val="en-US"/>
              </w:rPr>
            </w:pPr>
            <w:r w:rsidRPr="00007908">
              <w:rPr>
                <w:rFonts w:asciiTheme="minorHAnsi" w:hAnsiTheme="minorHAnsi" w:cstheme="majorHAnsi"/>
                <w:b/>
                <w:sz w:val="18"/>
                <w:szCs w:val="18"/>
                <w:lang w:val="en-US"/>
              </w:rPr>
              <w:t>Tocilizumab (N=947)</w:t>
            </w:r>
          </w:p>
        </w:tc>
        <w:tc>
          <w:tcPr>
            <w:tcW w:w="736" w:type="pct"/>
            <w:tcBorders>
              <w:top w:val="single" w:sz="4" w:space="0" w:color="000000"/>
              <w:left w:val="nil"/>
              <w:bottom w:val="single" w:sz="4" w:space="0" w:color="000000"/>
              <w:right w:val="nil"/>
            </w:tcBorders>
            <w:shd w:val="clear" w:color="auto" w:fill="ECECEC"/>
            <w:vAlign w:val="center"/>
          </w:tcPr>
          <w:p w14:paraId="139763B5" w14:textId="77777777" w:rsidR="009853E2" w:rsidRPr="00007908" w:rsidRDefault="009853E2" w:rsidP="002858A9">
            <w:pPr>
              <w:jc w:val="center"/>
              <w:rPr>
                <w:rFonts w:asciiTheme="minorHAnsi" w:hAnsiTheme="minorHAnsi" w:cstheme="majorHAnsi"/>
                <w:b/>
                <w:sz w:val="18"/>
                <w:szCs w:val="18"/>
                <w:lang w:val="en-US"/>
              </w:rPr>
            </w:pPr>
            <w:r w:rsidRPr="00007908">
              <w:rPr>
                <w:rFonts w:asciiTheme="minorHAnsi" w:hAnsiTheme="minorHAnsi" w:cstheme="majorHAnsi"/>
                <w:b/>
                <w:sz w:val="18"/>
                <w:szCs w:val="18"/>
                <w:lang w:val="en-US"/>
              </w:rPr>
              <w:t>Sarilumab (N=482)</w:t>
            </w:r>
          </w:p>
        </w:tc>
        <w:tc>
          <w:tcPr>
            <w:tcW w:w="736" w:type="pct"/>
            <w:tcBorders>
              <w:top w:val="single" w:sz="4" w:space="0" w:color="000000"/>
              <w:left w:val="nil"/>
              <w:bottom w:val="single" w:sz="4" w:space="0" w:color="000000"/>
              <w:right w:val="nil"/>
            </w:tcBorders>
            <w:shd w:val="clear" w:color="auto" w:fill="ECECEC"/>
            <w:vAlign w:val="center"/>
          </w:tcPr>
          <w:p w14:paraId="55C7C835" w14:textId="37CF809B" w:rsidR="009853E2" w:rsidRPr="00007908" w:rsidRDefault="009853E2" w:rsidP="002858A9">
            <w:pPr>
              <w:jc w:val="center"/>
              <w:rPr>
                <w:rFonts w:asciiTheme="minorHAnsi" w:hAnsiTheme="minorHAnsi" w:cstheme="majorHAnsi"/>
                <w:b/>
                <w:sz w:val="18"/>
                <w:szCs w:val="18"/>
                <w:lang w:val="en-US"/>
              </w:rPr>
            </w:pPr>
            <w:r w:rsidRPr="00007908">
              <w:rPr>
                <w:rFonts w:asciiTheme="minorHAnsi" w:hAnsiTheme="minorHAnsi" w:cstheme="majorHAnsi"/>
                <w:b/>
                <w:sz w:val="18"/>
                <w:szCs w:val="18"/>
                <w:lang w:val="en-US"/>
              </w:rPr>
              <w:t>Anakinra (N=373)</w:t>
            </w:r>
          </w:p>
        </w:tc>
        <w:tc>
          <w:tcPr>
            <w:tcW w:w="736" w:type="pct"/>
            <w:tcBorders>
              <w:top w:val="single" w:sz="4" w:space="0" w:color="000000"/>
              <w:left w:val="nil"/>
              <w:bottom w:val="single" w:sz="4" w:space="0" w:color="000000"/>
              <w:right w:val="nil"/>
            </w:tcBorders>
            <w:shd w:val="clear" w:color="auto" w:fill="ECECEC"/>
            <w:vAlign w:val="center"/>
          </w:tcPr>
          <w:p w14:paraId="54D3C60D" w14:textId="0C335AFB" w:rsidR="00C80338" w:rsidRPr="00007908" w:rsidRDefault="00C80338" w:rsidP="00C80338">
            <w:pPr>
              <w:jc w:val="center"/>
              <w:rPr>
                <w:rFonts w:asciiTheme="minorHAnsi" w:hAnsiTheme="minorHAnsi" w:cstheme="majorHAnsi"/>
                <w:b/>
                <w:bCs/>
                <w:sz w:val="18"/>
                <w:szCs w:val="18"/>
                <w:lang w:val="en-US"/>
              </w:rPr>
            </w:pPr>
            <w:r w:rsidRPr="00007908">
              <w:rPr>
                <w:rFonts w:asciiTheme="minorHAnsi" w:hAnsiTheme="minorHAnsi" w:cstheme="majorHAnsi"/>
                <w:b/>
                <w:bCs/>
                <w:sz w:val="18"/>
                <w:szCs w:val="18"/>
                <w:lang w:val="en-US"/>
              </w:rPr>
              <w:t>Interferon-β1a</w:t>
            </w:r>
          </w:p>
          <w:p w14:paraId="0CEF69C1" w14:textId="6E6932EE" w:rsidR="009853E2" w:rsidRPr="00007908" w:rsidRDefault="009853E2" w:rsidP="002858A9">
            <w:pPr>
              <w:jc w:val="center"/>
              <w:rPr>
                <w:rFonts w:asciiTheme="minorHAnsi" w:hAnsiTheme="minorHAnsi" w:cstheme="majorHAnsi"/>
                <w:b/>
                <w:sz w:val="18"/>
                <w:szCs w:val="18"/>
                <w:lang w:val="en-US"/>
              </w:rPr>
            </w:pPr>
            <w:r w:rsidRPr="00007908">
              <w:rPr>
                <w:rFonts w:asciiTheme="minorHAnsi" w:hAnsiTheme="minorHAnsi" w:cstheme="majorHAnsi"/>
                <w:b/>
                <w:sz w:val="18"/>
                <w:szCs w:val="18"/>
                <w:lang w:val="en-US"/>
              </w:rPr>
              <w:t xml:space="preserve"> (N=19)</w:t>
            </w:r>
          </w:p>
        </w:tc>
        <w:tc>
          <w:tcPr>
            <w:tcW w:w="736" w:type="pct"/>
            <w:tcBorders>
              <w:top w:val="single" w:sz="4" w:space="0" w:color="000000"/>
              <w:left w:val="nil"/>
              <w:bottom w:val="single" w:sz="4" w:space="0" w:color="000000"/>
              <w:right w:val="nil"/>
            </w:tcBorders>
            <w:shd w:val="clear" w:color="auto" w:fill="ECECEC"/>
            <w:vAlign w:val="center"/>
          </w:tcPr>
          <w:p w14:paraId="65944F73" w14:textId="77777777" w:rsidR="009853E2" w:rsidRPr="00007908" w:rsidRDefault="009853E2" w:rsidP="002858A9">
            <w:pPr>
              <w:jc w:val="center"/>
              <w:rPr>
                <w:rFonts w:asciiTheme="minorHAnsi" w:hAnsiTheme="minorHAnsi" w:cstheme="majorHAnsi"/>
                <w:b/>
                <w:sz w:val="18"/>
                <w:szCs w:val="18"/>
                <w:lang w:val="en-US"/>
              </w:rPr>
            </w:pPr>
            <w:r w:rsidRPr="00007908">
              <w:rPr>
                <w:rFonts w:asciiTheme="minorHAnsi" w:hAnsiTheme="minorHAnsi" w:cstheme="majorHAnsi"/>
                <w:b/>
                <w:sz w:val="18"/>
                <w:szCs w:val="18"/>
                <w:lang w:val="en-US"/>
              </w:rPr>
              <w:t>Control (N=405)</w:t>
            </w:r>
          </w:p>
        </w:tc>
      </w:tr>
      <w:tr w:rsidR="00FF22D9" w:rsidRPr="00007908" w14:paraId="108EDD9B" w14:textId="77777777" w:rsidTr="00BB21F9">
        <w:trPr>
          <w:trHeight w:val="382"/>
        </w:trPr>
        <w:tc>
          <w:tcPr>
            <w:tcW w:w="5000" w:type="pct"/>
            <w:gridSpan w:val="6"/>
            <w:tcBorders>
              <w:top w:val="single" w:sz="4" w:space="0" w:color="000000"/>
              <w:left w:val="nil"/>
            </w:tcBorders>
            <w:shd w:val="clear" w:color="auto" w:fill="ECECEC"/>
            <w:vAlign w:val="center"/>
          </w:tcPr>
          <w:p w14:paraId="0F92DF58" w14:textId="2169B89C" w:rsidR="00FF22D9" w:rsidRPr="00FF22D9" w:rsidRDefault="00FF22D9" w:rsidP="00FF22D9">
            <w:pPr>
              <w:rPr>
                <w:rFonts w:asciiTheme="minorHAnsi" w:hAnsiTheme="minorHAnsi" w:cstheme="majorHAnsi"/>
                <w:i/>
                <w:iCs/>
                <w:sz w:val="18"/>
                <w:szCs w:val="18"/>
                <w:lang w:val="en-US"/>
              </w:rPr>
            </w:pPr>
            <w:r w:rsidRPr="00FF22D9">
              <w:rPr>
                <w:rFonts w:asciiTheme="minorHAnsi" w:hAnsiTheme="minorHAnsi" w:cstheme="majorHAnsi"/>
                <w:i/>
                <w:iCs/>
                <w:sz w:val="18"/>
                <w:szCs w:val="18"/>
                <w:lang w:val="en-US"/>
              </w:rPr>
              <w:t>Corticosteroid domain</w:t>
            </w:r>
          </w:p>
        </w:tc>
      </w:tr>
      <w:tr w:rsidR="00FC0E00" w:rsidRPr="00007908" w14:paraId="2705F087" w14:textId="77777777" w:rsidTr="00BB21F9">
        <w:trPr>
          <w:trHeight w:val="382"/>
        </w:trPr>
        <w:tc>
          <w:tcPr>
            <w:tcW w:w="1320" w:type="pct"/>
            <w:tcBorders>
              <w:top w:val="single" w:sz="4" w:space="0" w:color="000000"/>
              <w:left w:val="nil"/>
            </w:tcBorders>
            <w:shd w:val="clear" w:color="auto" w:fill="ECECEC"/>
            <w:vAlign w:val="center"/>
          </w:tcPr>
          <w:p w14:paraId="084E9B58" w14:textId="358F31BA" w:rsidR="00FC0E00" w:rsidRPr="00007908" w:rsidRDefault="00C575D2" w:rsidP="002858A9">
            <w:pPr>
              <w:rPr>
                <w:rFonts w:asciiTheme="minorHAnsi" w:hAnsiTheme="minorHAnsi" w:cstheme="majorHAnsi"/>
                <w:sz w:val="18"/>
                <w:szCs w:val="18"/>
                <w:lang w:val="en-US"/>
              </w:rPr>
            </w:pPr>
            <w:r>
              <w:rPr>
                <w:rFonts w:asciiTheme="minorHAnsi" w:hAnsiTheme="minorHAnsi" w:cstheme="majorHAnsi"/>
                <w:sz w:val="18"/>
                <w:szCs w:val="18"/>
                <w:lang w:val="en-US"/>
              </w:rPr>
              <w:t xml:space="preserve">  No hydrocortisone, N</w:t>
            </w:r>
          </w:p>
        </w:tc>
        <w:tc>
          <w:tcPr>
            <w:tcW w:w="736" w:type="pct"/>
            <w:tcBorders>
              <w:top w:val="single" w:sz="4" w:space="0" w:color="000000"/>
            </w:tcBorders>
            <w:shd w:val="clear" w:color="auto" w:fill="ECECEC"/>
            <w:vAlign w:val="center"/>
          </w:tcPr>
          <w:p w14:paraId="4AAA270E" w14:textId="7CB29C7F" w:rsidR="00C575D2" w:rsidRPr="00007908" w:rsidRDefault="00C575D2" w:rsidP="00C575D2">
            <w:pPr>
              <w:jc w:val="center"/>
              <w:rPr>
                <w:rFonts w:asciiTheme="minorHAnsi" w:hAnsiTheme="minorHAnsi" w:cstheme="majorHAnsi"/>
                <w:sz w:val="18"/>
                <w:szCs w:val="18"/>
                <w:lang w:val="en-US"/>
              </w:rPr>
            </w:pPr>
            <w:r>
              <w:rPr>
                <w:rFonts w:asciiTheme="minorHAnsi" w:hAnsiTheme="minorHAnsi" w:cstheme="majorHAnsi"/>
                <w:sz w:val="18"/>
                <w:szCs w:val="18"/>
                <w:lang w:val="en-US"/>
              </w:rPr>
              <w:t>16</w:t>
            </w:r>
          </w:p>
        </w:tc>
        <w:tc>
          <w:tcPr>
            <w:tcW w:w="736" w:type="pct"/>
            <w:tcBorders>
              <w:top w:val="single" w:sz="4" w:space="0" w:color="000000"/>
            </w:tcBorders>
            <w:shd w:val="clear" w:color="auto" w:fill="ECECEC"/>
            <w:vAlign w:val="center"/>
          </w:tcPr>
          <w:p w14:paraId="7CA924BD" w14:textId="6B2ABA08" w:rsidR="00FC0E00" w:rsidRPr="00007908" w:rsidRDefault="00C575D2"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0</w:t>
            </w:r>
          </w:p>
        </w:tc>
        <w:tc>
          <w:tcPr>
            <w:tcW w:w="736" w:type="pct"/>
            <w:tcBorders>
              <w:top w:val="single" w:sz="4" w:space="0" w:color="000000"/>
            </w:tcBorders>
            <w:shd w:val="clear" w:color="auto" w:fill="ECECEC"/>
            <w:vAlign w:val="center"/>
          </w:tcPr>
          <w:p w14:paraId="7FF372FF" w14:textId="612FB586" w:rsidR="00FC0E00" w:rsidRPr="00007908" w:rsidRDefault="00C575D2"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0</w:t>
            </w:r>
          </w:p>
        </w:tc>
        <w:tc>
          <w:tcPr>
            <w:tcW w:w="736" w:type="pct"/>
            <w:tcBorders>
              <w:top w:val="single" w:sz="4" w:space="0" w:color="000000"/>
            </w:tcBorders>
            <w:shd w:val="clear" w:color="auto" w:fill="ECECEC"/>
            <w:vAlign w:val="center"/>
          </w:tcPr>
          <w:p w14:paraId="398FA915" w14:textId="7E53AFD1" w:rsidR="00FC0E00" w:rsidRPr="00FF22D9" w:rsidRDefault="00C575D2" w:rsidP="002858A9">
            <w:pPr>
              <w:jc w:val="center"/>
              <w:rPr>
                <w:rFonts w:asciiTheme="minorHAnsi" w:hAnsiTheme="minorHAnsi" w:cstheme="majorHAnsi"/>
                <w:sz w:val="18"/>
                <w:szCs w:val="18"/>
                <w:lang w:val="en-US"/>
              </w:rPr>
            </w:pPr>
            <w:r w:rsidRPr="00FF22D9">
              <w:rPr>
                <w:rFonts w:asciiTheme="minorHAnsi" w:hAnsiTheme="minorHAnsi" w:cstheme="majorHAnsi"/>
                <w:sz w:val="18"/>
                <w:szCs w:val="18"/>
                <w:lang w:val="en-US"/>
              </w:rPr>
              <w:t>1</w:t>
            </w:r>
          </w:p>
        </w:tc>
        <w:tc>
          <w:tcPr>
            <w:tcW w:w="736" w:type="pct"/>
            <w:tcBorders>
              <w:top w:val="single" w:sz="4" w:space="0" w:color="000000"/>
            </w:tcBorders>
            <w:shd w:val="clear" w:color="auto" w:fill="ECECEC"/>
            <w:vAlign w:val="center"/>
          </w:tcPr>
          <w:p w14:paraId="57565BA0" w14:textId="6B8CD278" w:rsidR="00FC0E00" w:rsidRPr="00007908" w:rsidRDefault="00C575D2"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9</w:t>
            </w:r>
          </w:p>
        </w:tc>
      </w:tr>
      <w:tr w:rsidR="00FC0E00" w:rsidRPr="00007908" w14:paraId="4B0A56FA" w14:textId="77777777" w:rsidTr="00BB21F9">
        <w:trPr>
          <w:trHeight w:val="382"/>
        </w:trPr>
        <w:tc>
          <w:tcPr>
            <w:tcW w:w="1320" w:type="pct"/>
            <w:tcBorders>
              <w:top w:val="single" w:sz="4" w:space="0" w:color="000000"/>
              <w:left w:val="nil"/>
            </w:tcBorders>
            <w:shd w:val="clear" w:color="auto" w:fill="ECECEC"/>
            <w:vAlign w:val="center"/>
          </w:tcPr>
          <w:p w14:paraId="7E579806" w14:textId="5942D868" w:rsidR="00FC0E00" w:rsidRPr="00007908" w:rsidRDefault="00C575D2" w:rsidP="002858A9">
            <w:pPr>
              <w:rPr>
                <w:rFonts w:asciiTheme="minorHAnsi" w:hAnsiTheme="minorHAnsi" w:cstheme="majorHAnsi"/>
                <w:sz w:val="18"/>
                <w:szCs w:val="18"/>
                <w:lang w:val="en-US"/>
              </w:rPr>
            </w:pPr>
            <w:r>
              <w:rPr>
                <w:rFonts w:asciiTheme="minorHAnsi" w:hAnsiTheme="minorHAnsi" w:cstheme="majorHAnsi"/>
                <w:sz w:val="18"/>
                <w:szCs w:val="18"/>
                <w:lang w:val="en-US"/>
              </w:rPr>
              <w:t xml:space="preserve">  Fixed dose hydrocortisone, N</w:t>
            </w:r>
          </w:p>
        </w:tc>
        <w:tc>
          <w:tcPr>
            <w:tcW w:w="736" w:type="pct"/>
            <w:tcBorders>
              <w:top w:val="single" w:sz="4" w:space="0" w:color="000000"/>
            </w:tcBorders>
            <w:shd w:val="clear" w:color="auto" w:fill="ECECEC"/>
            <w:vAlign w:val="center"/>
          </w:tcPr>
          <w:p w14:paraId="01701A7D" w14:textId="10782E69" w:rsidR="00FC0E00" w:rsidRPr="00007908" w:rsidRDefault="00C575D2"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891</w:t>
            </w:r>
          </w:p>
        </w:tc>
        <w:tc>
          <w:tcPr>
            <w:tcW w:w="736" w:type="pct"/>
            <w:tcBorders>
              <w:top w:val="single" w:sz="4" w:space="0" w:color="000000"/>
            </w:tcBorders>
            <w:shd w:val="clear" w:color="auto" w:fill="ECECEC"/>
            <w:vAlign w:val="center"/>
          </w:tcPr>
          <w:p w14:paraId="44B4EE13" w14:textId="5D23AF30" w:rsidR="00FC0E00" w:rsidRPr="00007908" w:rsidRDefault="00C575D2"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482</w:t>
            </w:r>
          </w:p>
        </w:tc>
        <w:tc>
          <w:tcPr>
            <w:tcW w:w="736" w:type="pct"/>
            <w:tcBorders>
              <w:top w:val="single" w:sz="4" w:space="0" w:color="000000"/>
            </w:tcBorders>
            <w:shd w:val="clear" w:color="auto" w:fill="ECECEC"/>
            <w:vAlign w:val="center"/>
          </w:tcPr>
          <w:p w14:paraId="6C1E1F60" w14:textId="47397AAF" w:rsidR="00FC0E00" w:rsidRPr="00007908" w:rsidRDefault="00C575D2"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372</w:t>
            </w:r>
          </w:p>
        </w:tc>
        <w:tc>
          <w:tcPr>
            <w:tcW w:w="736" w:type="pct"/>
            <w:tcBorders>
              <w:top w:val="single" w:sz="4" w:space="0" w:color="000000"/>
            </w:tcBorders>
            <w:shd w:val="clear" w:color="auto" w:fill="ECECEC"/>
            <w:vAlign w:val="center"/>
          </w:tcPr>
          <w:p w14:paraId="5AA68E53" w14:textId="25760F24" w:rsidR="00FC0E00" w:rsidRPr="00FF22D9" w:rsidRDefault="00C575D2" w:rsidP="002858A9">
            <w:pPr>
              <w:jc w:val="center"/>
              <w:rPr>
                <w:rFonts w:asciiTheme="minorHAnsi" w:hAnsiTheme="minorHAnsi" w:cstheme="majorHAnsi"/>
                <w:sz w:val="18"/>
                <w:szCs w:val="18"/>
                <w:lang w:val="en-US"/>
              </w:rPr>
            </w:pPr>
            <w:r w:rsidRPr="00FF22D9">
              <w:rPr>
                <w:rFonts w:asciiTheme="minorHAnsi" w:hAnsiTheme="minorHAnsi" w:cstheme="majorHAnsi"/>
                <w:sz w:val="18"/>
                <w:szCs w:val="18"/>
                <w:lang w:val="en-US"/>
              </w:rPr>
              <w:t>15</w:t>
            </w:r>
          </w:p>
        </w:tc>
        <w:tc>
          <w:tcPr>
            <w:tcW w:w="736" w:type="pct"/>
            <w:tcBorders>
              <w:top w:val="single" w:sz="4" w:space="0" w:color="000000"/>
            </w:tcBorders>
            <w:shd w:val="clear" w:color="auto" w:fill="ECECEC"/>
            <w:vAlign w:val="center"/>
          </w:tcPr>
          <w:p w14:paraId="42AEE815" w14:textId="2D2A711F" w:rsidR="00FC0E00" w:rsidRPr="00007908" w:rsidRDefault="00C575D2"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350</w:t>
            </w:r>
          </w:p>
        </w:tc>
      </w:tr>
      <w:tr w:rsidR="00FC0E00" w:rsidRPr="00007908" w14:paraId="570BA030" w14:textId="77777777" w:rsidTr="00BB21F9">
        <w:trPr>
          <w:trHeight w:val="382"/>
        </w:trPr>
        <w:tc>
          <w:tcPr>
            <w:tcW w:w="1320" w:type="pct"/>
            <w:tcBorders>
              <w:top w:val="single" w:sz="4" w:space="0" w:color="000000"/>
              <w:left w:val="nil"/>
            </w:tcBorders>
            <w:shd w:val="clear" w:color="auto" w:fill="ECECEC"/>
            <w:vAlign w:val="center"/>
          </w:tcPr>
          <w:p w14:paraId="5382E555" w14:textId="4659343E" w:rsidR="00FC0E00" w:rsidRPr="00007908" w:rsidRDefault="00C575D2" w:rsidP="002858A9">
            <w:pPr>
              <w:rPr>
                <w:rFonts w:asciiTheme="minorHAnsi" w:hAnsiTheme="minorHAnsi" w:cstheme="majorHAnsi"/>
                <w:sz w:val="18"/>
                <w:szCs w:val="18"/>
                <w:lang w:val="en-US"/>
              </w:rPr>
            </w:pPr>
            <w:r>
              <w:rPr>
                <w:rFonts w:asciiTheme="minorHAnsi" w:hAnsiTheme="minorHAnsi" w:cstheme="majorHAnsi"/>
                <w:sz w:val="18"/>
                <w:szCs w:val="18"/>
                <w:lang w:val="en-US"/>
              </w:rPr>
              <w:t xml:space="preserve">  Hydrocortisone for shock, N</w:t>
            </w:r>
          </w:p>
        </w:tc>
        <w:tc>
          <w:tcPr>
            <w:tcW w:w="736" w:type="pct"/>
            <w:tcBorders>
              <w:top w:val="single" w:sz="4" w:space="0" w:color="000000"/>
            </w:tcBorders>
            <w:shd w:val="clear" w:color="auto" w:fill="ECECEC"/>
            <w:vAlign w:val="center"/>
          </w:tcPr>
          <w:p w14:paraId="5FA4C70B" w14:textId="241F71F5" w:rsidR="00FC0E00" w:rsidRPr="00007908" w:rsidRDefault="00C575D2"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19</w:t>
            </w:r>
          </w:p>
        </w:tc>
        <w:tc>
          <w:tcPr>
            <w:tcW w:w="736" w:type="pct"/>
            <w:tcBorders>
              <w:top w:val="single" w:sz="4" w:space="0" w:color="000000"/>
            </w:tcBorders>
            <w:shd w:val="clear" w:color="auto" w:fill="ECECEC"/>
            <w:vAlign w:val="center"/>
          </w:tcPr>
          <w:p w14:paraId="4F74D0AE" w14:textId="6563784D" w:rsidR="00FC0E00" w:rsidRPr="00007908" w:rsidRDefault="00C575D2"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0</w:t>
            </w:r>
          </w:p>
        </w:tc>
        <w:tc>
          <w:tcPr>
            <w:tcW w:w="736" w:type="pct"/>
            <w:tcBorders>
              <w:top w:val="single" w:sz="4" w:space="0" w:color="000000"/>
            </w:tcBorders>
            <w:shd w:val="clear" w:color="auto" w:fill="ECECEC"/>
            <w:vAlign w:val="center"/>
          </w:tcPr>
          <w:p w14:paraId="4F767B53" w14:textId="340B19EF" w:rsidR="00FC0E00" w:rsidRPr="00007908" w:rsidRDefault="00C575D2"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1</w:t>
            </w:r>
          </w:p>
        </w:tc>
        <w:tc>
          <w:tcPr>
            <w:tcW w:w="736" w:type="pct"/>
            <w:tcBorders>
              <w:top w:val="single" w:sz="4" w:space="0" w:color="000000"/>
            </w:tcBorders>
            <w:shd w:val="clear" w:color="auto" w:fill="ECECEC"/>
            <w:vAlign w:val="center"/>
          </w:tcPr>
          <w:p w14:paraId="0F66105F" w14:textId="28EEB83F" w:rsidR="00FC0E00" w:rsidRPr="00FF22D9" w:rsidRDefault="00C575D2" w:rsidP="002858A9">
            <w:pPr>
              <w:jc w:val="center"/>
              <w:rPr>
                <w:rFonts w:asciiTheme="minorHAnsi" w:hAnsiTheme="minorHAnsi" w:cstheme="majorHAnsi"/>
                <w:sz w:val="18"/>
                <w:szCs w:val="18"/>
                <w:lang w:val="en-US"/>
              </w:rPr>
            </w:pPr>
            <w:r w:rsidRPr="00FF22D9">
              <w:rPr>
                <w:rFonts w:asciiTheme="minorHAnsi" w:hAnsiTheme="minorHAnsi" w:cstheme="majorHAnsi"/>
                <w:sz w:val="18"/>
                <w:szCs w:val="18"/>
                <w:lang w:val="en-US"/>
              </w:rPr>
              <w:t>1</w:t>
            </w:r>
          </w:p>
        </w:tc>
        <w:tc>
          <w:tcPr>
            <w:tcW w:w="736" w:type="pct"/>
            <w:tcBorders>
              <w:top w:val="single" w:sz="4" w:space="0" w:color="000000"/>
            </w:tcBorders>
            <w:shd w:val="clear" w:color="auto" w:fill="ECECEC"/>
            <w:vAlign w:val="center"/>
          </w:tcPr>
          <w:p w14:paraId="598ED198" w14:textId="6964982C" w:rsidR="00FC0E00" w:rsidRPr="00007908" w:rsidRDefault="00C575D2"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18</w:t>
            </w:r>
          </w:p>
        </w:tc>
      </w:tr>
      <w:tr w:rsidR="00FF22D9" w:rsidRPr="00007908" w14:paraId="308C8DD5" w14:textId="77777777" w:rsidTr="00BB21F9">
        <w:trPr>
          <w:trHeight w:val="382"/>
        </w:trPr>
        <w:tc>
          <w:tcPr>
            <w:tcW w:w="5000" w:type="pct"/>
            <w:gridSpan w:val="6"/>
            <w:tcBorders>
              <w:left w:val="nil"/>
            </w:tcBorders>
            <w:shd w:val="clear" w:color="auto" w:fill="ECECEC"/>
            <w:vAlign w:val="center"/>
          </w:tcPr>
          <w:p w14:paraId="3AAD9727" w14:textId="693802F3" w:rsidR="00FF22D9" w:rsidRPr="00FF22D9" w:rsidRDefault="00FF22D9" w:rsidP="00FF22D9">
            <w:pPr>
              <w:rPr>
                <w:rFonts w:asciiTheme="minorHAnsi" w:hAnsiTheme="minorHAnsi" w:cstheme="majorHAnsi"/>
                <w:i/>
                <w:iCs/>
                <w:sz w:val="18"/>
                <w:szCs w:val="18"/>
                <w:lang w:val="en-US"/>
              </w:rPr>
            </w:pPr>
            <w:r w:rsidRPr="00FF22D9">
              <w:rPr>
                <w:rFonts w:asciiTheme="minorHAnsi" w:hAnsiTheme="minorHAnsi" w:cstheme="majorHAnsi"/>
                <w:i/>
                <w:iCs/>
                <w:sz w:val="18"/>
                <w:szCs w:val="18"/>
                <w:lang w:val="en-US"/>
              </w:rPr>
              <w:t>Covid-19 Antiviral domain</w:t>
            </w:r>
          </w:p>
        </w:tc>
      </w:tr>
      <w:tr w:rsidR="00C575D2" w:rsidRPr="00007908" w14:paraId="3AC6E631" w14:textId="77777777" w:rsidTr="00BB21F9">
        <w:trPr>
          <w:trHeight w:val="382"/>
        </w:trPr>
        <w:tc>
          <w:tcPr>
            <w:tcW w:w="1320" w:type="pct"/>
            <w:tcBorders>
              <w:left w:val="nil"/>
            </w:tcBorders>
            <w:shd w:val="clear" w:color="auto" w:fill="ECECEC"/>
            <w:vAlign w:val="center"/>
          </w:tcPr>
          <w:p w14:paraId="7B1CBC96" w14:textId="1C7345E9" w:rsidR="00C575D2" w:rsidRPr="00007908" w:rsidRDefault="00C575D2" w:rsidP="002858A9">
            <w:pPr>
              <w:rPr>
                <w:rFonts w:asciiTheme="minorHAnsi" w:hAnsiTheme="minorHAnsi" w:cstheme="majorHAnsi"/>
                <w:sz w:val="18"/>
                <w:szCs w:val="18"/>
                <w:lang w:val="en-US"/>
              </w:rPr>
            </w:pPr>
            <w:r>
              <w:rPr>
                <w:rFonts w:asciiTheme="minorHAnsi" w:hAnsiTheme="minorHAnsi" w:cstheme="majorHAnsi"/>
                <w:sz w:val="18"/>
                <w:szCs w:val="18"/>
                <w:lang w:val="en-US"/>
              </w:rPr>
              <w:t xml:space="preserve">  No antiviral, N</w:t>
            </w:r>
          </w:p>
        </w:tc>
        <w:tc>
          <w:tcPr>
            <w:tcW w:w="736" w:type="pct"/>
            <w:shd w:val="clear" w:color="auto" w:fill="ECECEC"/>
            <w:vAlign w:val="center"/>
          </w:tcPr>
          <w:p w14:paraId="187BB90F" w14:textId="4468E4F5" w:rsidR="00C575D2" w:rsidRPr="00007908" w:rsidRDefault="00C575D2"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91</w:t>
            </w:r>
          </w:p>
        </w:tc>
        <w:tc>
          <w:tcPr>
            <w:tcW w:w="736" w:type="pct"/>
            <w:shd w:val="clear" w:color="auto" w:fill="ECECEC"/>
            <w:vAlign w:val="center"/>
          </w:tcPr>
          <w:p w14:paraId="5D7743F2" w14:textId="1929908F" w:rsidR="00C575D2" w:rsidRPr="00007908" w:rsidRDefault="00C575D2"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16</w:t>
            </w:r>
          </w:p>
        </w:tc>
        <w:tc>
          <w:tcPr>
            <w:tcW w:w="736" w:type="pct"/>
            <w:shd w:val="clear" w:color="auto" w:fill="ECECEC"/>
            <w:vAlign w:val="center"/>
          </w:tcPr>
          <w:p w14:paraId="43769067" w14:textId="6A9B7CF6" w:rsidR="00C575D2" w:rsidRPr="00007908" w:rsidRDefault="00C575D2"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6</w:t>
            </w:r>
          </w:p>
        </w:tc>
        <w:tc>
          <w:tcPr>
            <w:tcW w:w="736" w:type="pct"/>
            <w:shd w:val="clear" w:color="auto" w:fill="ECECEC"/>
            <w:vAlign w:val="center"/>
          </w:tcPr>
          <w:p w14:paraId="368E9211" w14:textId="6A15E05A" w:rsidR="00C575D2" w:rsidRPr="00007908" w:rsidRDefault="00C575D2"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2</w:t>
            </w:r>
          </w:p>
        </w:tc>
        <w:tc>
          <w:tcPr>
            <w:tcW w:w="736" w:type="pct"/>
            <w:shd w:val="clear" w:color="auto" w:fill="ECECEC"/>
            <w:vAlign w:val="center"/>
          </w:tcPr>
          <w:p w14:paraId="16865711" w14:textId="4CC05283" w:rsidR="00C575D2" w:rsidRPr="00007908" w:rsidRDefault="00C575D2"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115</w:t>
            </w:r>
          </w:p>
        </w:tc>
      </w:tr>
      <w:tr w:rsidR="00C575D2" w:rsidRPr="00007908" w14:paraId="7C7C245C" w14:textId="77777777" w:rsidTr="00BB21F9">
        <w:trPr>
          <w:trHeight w:val="382"/>
        </w:trPr>
        <w:tc>
          <w:tcPr>
            <w:tcW w:w="1320" w:type="pct"/>
            <w:tcBorders>
              <w:left w:val="nil"/>
            </w:tcBorders>
            <w:shd w:val="clear" w:color="auto" w:fill="ECECEC"/>
            <w:vAlign w:val="center"/>
          </w:tcPr>
          <w:p w14:paraId="4A4B6381" w14:textId="7E415ED7" w:rsidR="00C575D2" w:rsidRPr="00007908" w:rsidRDefault="00C575D2" w:rsidP="002858A9">
            <w:pPr>
              <w:rPr>
                <w:rFonts w:asciiTheme="minorHAnsi" w:hAnsiTheme="minorHAnsi" w:cstheme="majorHAnsi"/>
                <w:sz w:val="18"/>
                <w:szCs w:val="18"/>
                <w:lang w:val="en-US"/>
              </w:rPr>
            </w:pPr>
            <w:r>
              <w:rPr>
                <w:rFonts w:asciiTheme="minorHAnsi" w:hAnsiTheme="minorHAnsi" w:cstheme="majorHAnsi"/>
                <w:sz w:val="18"/>
                <w:szCs w:val="18"/>
                <w:lang w:val="en-US"/>
              </w:rPr>
              <w:t xml:space="preserve">  Lopinavir/ritonavir, N</w:t>
            </w:r>
          </w:p>
        </w:tc>
        <w:tc>
          <w:tcPr>
            <w:tcW w:w="736" w:type="pct"/>
            <w:shd w:val="clear" w:color="auto" w:fill="ECECEC"/>
            <w:vAlign w:val="center"/>
          </w:tcPr>
          <w:p w14:paraId="4935191D" w14:textId="3549238C" w:rsidR="00C575D2" w:rsidRPr="00007908" w:rsidRDefault="00C575D2"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63</w:t>
            </w:r>
          </w:p>
        </w:tc>
        <w:tc>
          <w:tcPr>
            <w:tcW w:w="736" w:type="pct"/>
            <w:shd w:val="clear" w:color="auto" w:fill="ECECEC"/>
            <w:vAlign w:val="center"/>
          </w:tcPr>
          <w:p w14:paraId="151151CB" w14:textId="6E949F0A" w:rsidR="00C575D2" w:rsidRPr="00007908" w:rsidRDefault="00C575D2"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10</w:t>
            </w:r>
          </w:p>
        </w:tc>
        <w:tc>
          <w:tcPr>
            <w:tcW w:w="736" w:type="pct"/>
            <w:shd w:val="clear" w:color="auto" w:fill="ECECEC"/>
            <w:vAlign w:val="center"/>
          </w:tcPr>
          <w:p w14:paraId="547B8D92" w14:textId="44111579" w:rsidR="00C575D2" w:rsidRPr="00007908" w:rsidRDefault="00C575D2"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11</w:t>
            </w:r>
          </w:p>
        </w:tc>
        <w:tc>
          <w:tcPr>
            <w:tcW w:w="736" w:type="pct"/>
            <w:shd w:val="clear" w:color="auto" w:fill="ECECEC"/>
            <w:vAlign w:val="center"/>
          </w:tcPr>
          <w:p w14:paraId="22F2F60E" w14:textId="5E7189FD" w:rsidR="00C575D2" w:rsidRPr="00007908" w:rsidRDefault="00C575D2"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5</w:t>
            </w:r>
          </w:p>
        </w:tc>
        <w:tc>
          <w:tcPr>
            <w:tcW w:w="736" w:type="pct"/>
            <w:shd w:val="clear" w:color="auto" w:fill="ECECEC"/>
            <w:vAlign w:val="center"/>
          </w:tcPr>
          <w:p w14:paraId="5DD62CA8" w14:textId="36F5727D" w:rsidR="00C575D2" w:rsidRPr="00007908" w:rsidRDefault="00C575D2"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86</w:t>
            </w:r>
          </w:p>
        </w:tc>
      </w:tr>
      <w:tr w:rsidR="00C575D2" w:rsidRPr="00007908" w14:paraId="70CC8ABF" w14:textId="77777777" w:rsidTr="00BB21F9">
        <w:trPr>
          <w:trHeight w:val="382"/>
        </w:trPr>
        <w:tc>
          <w:tcPr>
            <w:tcW w:w="1320" w:type="pct"/>
            <w:tcBorders>
              <w:left w:val="nil"/>
            </w:tcBorders>
            <w:shd w:val="clear" w:color="auto" w:fill="ECECEC"/>
            <w:vAlign w:val="center"/>
          </w:tcPr>
          <w:p w14:paraId="54446E3B" w14:textId="34F3C0DE" w:rsidR="00C575D2" w:rsidRPr="00007908" w:rsidRDefault="00C575D2" w:rsidP="002858A9">
            <w:pPr>
              <w:rPr>
                <w:rFonts w:asciiTheme="minorHAnsi" w:hAnsiTheme="minorHAnsi" w:cstheme="majorHAnsi"/>
                <w:sz w:val="18"/>
                <w:szCs w:val="18"/>
                <w:lang w:val="en-US"/>
              </w:rPr>
            </w:pPr>
            <w:r>
              <w:rPr>
                <w:rFonts w:asciiTheme="minorHAnsi" w:hAnsiTheme="minorHAnsi" w:cstheme="majorHAnsi"/>
                <w:sz w:val="18"/>
                <w:szCs w:val="18"/>
                <w:lang w:val="en-US"/>
              </w:rPr>
              <w:t xml:space="preserve">  Hydroxychloroquine, N</w:t>
            </w:r>
          </w:p>
        </w:tc>
        <w:tc>
          <w:tcPr>
            <w:tcW w:w="736" w:type="pct"/>
            <w:shd w:val="clear" w:color="auto" w:fill="ECECEC"/>
            <w:vAlign w:val="center"/>
          </w:tcPr>
          <w:p w14:paraId="6045BA74" w14:textId="684B1D1B" w:rsidR="00C575D2" w:rsidRPr="00007908" w:rsidRDefault="00FF22D9"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10</w:t>
            </w:r>
          </w:p>
        </w:tc>
        <w:tc>
          <w:tcPr>
            <w:tcW w:w="736" w:type="pct"/>
            <w:shd w:val="clear" w:color="auto" w:fill="ECECEC"/>
            <w:vAlign w:val="center"/>
          </w:tcPr>
          <w:p w14:paraId="6E0ED8FE" w14:textId="24A88457" w:rsidR="00C575D2" w:rsidRPr="00007908" w:rsidRDefault="00FF22D9"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0</w:t>
            </w:r>
          </w:p>
        </w:tc>
        <w:tc>
          <w:tcPr>
            <w:tcW w:w="736" w:type="pct"/>
            <w:shd w:val="clear" w:color="auto" w:fill="ECECEC"/>
            <w:vAlign w:val="center"/>
          </w:tcPr>
          <w:p w14:paraId="4AA774D8" w14:textId="6FE9D292" w:rsidR="00C575D2" w:rsidRPr="00007908" w:rsidRDefault="00FF22D9"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1</w:t>
            </w:r>
          </w:p>
        </w:tc>
        <w:tc>
          <w:tcPr>
            <w:tcW w:w="736" w:type="pct"/>
            <w:shd w:val="clear" w:color="auto" w:fill="ECECEC"/>
            <w:vAlign w:val="center"/>
          </w:tcPr>
          <w:p w14:paraId="153A63F4" w14:textId="78402A7D" w:rsidR="00C575D2" w:rsidRPr="00007908" w:rsidRDefault="00FF22D9"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0</w:t>
            </w:r>
          </w:p>
        </w:tc>
        <w:tc>
          <w:tcPr>
            <w:tcW w:w="736" w:type="pct"/>
            <w:shd w:val="clear" w:color="auto" w:fill="ECECEC"/>
            <w:vAlign w:val="center"/>
          </w:tcPr>
          <w:p w14:paraId="7C19472D" w14:textId="4AA80398" w:rsidR="00C575D2" w:rsidRPr="00007908" w:rsidRDefault="00FF22D9"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17</w:t>
            </w:r>
          </w:p>
        </w:tc>
      </w:tr>
      <w:tr w:rsidR="00C575D2" w:rsidRPr="00007908" w14:paraId="64A1D15B" w14:textId="77777777" w:rsidTr="00BB21F9">
        <w:trPr>
          <w:trHeight w:val="382"/>
        </w:trPr>
        <w:tc>
          <w:tcPr>
            <w:tcW w:w="1320" w:type="pct"/>
            <w:tcBorders>
              <w:left w:val="nil"/>
            </w:tcBorders>
            <w:shd w:val="clear" w:color="auto" w:fill="ECECEC"/>
            <w:vAlign w:val="center"/>
          </w:tcPr>
          <w:p w14:paraId="6C4D75F3" w14:textId="17B8FE26" w:rsidR="00C575D2" w:rsidRPr="00007908" w:rsidRDefault="00C575D2" w:rsidP="002858A9">
            <w:pPr>
              <w:rPr>
                <w:rFonts w:asciiTheme="minorHAnsi" w:hAnsiTheme="minorHAnsi" w:cstheme="majorHAnsi"/>
                <w:sz w:val="18"/>
                <w:szCs w:val="18"/>
                <w:lang w:val="en-US"/>
              </w:rPr>
            </w:pPr>
            <w:r>
              <w:rPr>
                <w:rFonts w:asciiTheme="minorHAnsi" w:hAnsiTheme="minorHAnsi" w:cstheme="majorHAnsi"/>
                <w:sz w:val="18"/>
                <w:szCs w:val="18"/>
                <w:lang w:val="en-US"/>
              </w:rPr>
              <w:t xml:space="preserve">  Lopinavir/ritonavir plus hydroxychloroquine, N</w:t>
            </w:r>
          </w:p>
        </w:tc>
        <w:tc>
          <w:tcPr>
            <w:tcW w:w="736" w:type="pct"/>
            <w:shd w:val="clear" w:color="auto" w:fill="ECECEC"/>
            <w:vAlign w:val="center"/>
          </w:tcPr>
          <w:p w14:paraId="72B2EB41" w14:textId="2A9EAB8C" w:rsidR="00C575D2" w:rsidRPr="00007908" w:rsidRDefault="00FF22D9"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5</w:t>
            </w:r>
          </w:p>
        </w:tc>
        <w:tc>
          <w:tcPr>
            <w:tcW w:w="736" w:type="pct"/>
            <w:shd w:val="clear" w:color="auto" w:fill="ECECEC"/>
            <w:vAlign w:val="center"/>
          </w:tcPr>
          <w:p w14:paraId="54F7FFBE" w14:textId="2427DEB8" w:rsidR="00C575D2" w:rsidRPr="00007908" w:rsidRDefault="00FF22D9"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0</w:t>
            </w:r>
          </w:p>
        </w:tc>
        <w:tc>
          <w:tcPr>
            <w:tcW w:w="736" w:type="pct"/>
            <w:shd w:val="clear" w:color="auto" w:fill="ECECEC"/>
            <w:vAlign w:val="center"/>
          </w:tcPr>
          <w:p w14:paraId="491B01DA" w14:textId="28980FEA" w:rsidR="00C575D2" w:rsidRPr="00007908" w:rsidRDefault="00FF22D9"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0</w:t>
            </w:r>
          </w:p>
        </w:tc>
        <w:tc>
          <w:tcPr>
            <w:tcW w:w="736" w:type="pct"/>
            <w:shd w:val="clear" w:color="auto" w:fill="ECECEC"/>
            <w:vAlign w:val="center"/>
          </w:tcPr>
          <w:p w14:paraId="2C22DC44" w14:textId="6CA73A07" w:rsidR="00C575D2" w:rsidRPr="00007908" w:rsidRDefault="00FF22D9"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0</w:t>
            </w:r>
          </w:p>
        </w:tc>
        <w:tc>
          <w:tcPr>
            <w:tcW w:w="736" w:type="pct"/>
            <w:shd w:val="clear" w:color="auto" w:fill="ECECEC"/>
            <w:vAlign w:val="center"/>
          </w:tcPr>
          <w:p w14:paraId="5068EEE6" w14:textId="666A1D52" w:rsidR="00C575D2" w:rsidRPr="00007908" w:rsidRDefault="00FF22D9"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3</w:t>
            </w:r>
          </w:p>
        </w:tc>
      </w:tr>
      <w:tr w:rsidR="00FF22D9" w:rsidRPr="00007908" w14:paraId="1642C88C" w14:textId="77777777" w:rsidTr="00BB21F9">
        <w:trPr>
          <w:trHeight w:val="382"/>
        </w:trPr>
        <w:tc>
          <w:tcPr>
            <w:tcW w:w="5000" w:type="pct"/>
            <w:gridSpan w:val="6"/>
            <w:tcBorders>
              <w:left w:val="nil"/>
            </w:tcBorders>
            <w:shd w:val="clear" w:color="auto" w:fill="ECECEC"/>
            <w:vAlign w:val="center"/>
          </w:tcPr>
          <w:p w14:paraId="7E5B7920" w14:textId="440359CD" w:rsidR="00FF22D9" w:rsidRPr="00FF22D9" w:rsidRDefault="00FF22D9" w:rsidP="00FF22D9">
            <w:pPr>
              <w:rPr>
                <w:rFonts w:asciiTheme="minorHAnsi" w:hAnsiTheme="minorHAnsi" w:cstheme="majorHAnsi"/>
                <w:i/>
                <w:iCs/>
                <w:sz w:val="18"/>
                <w:szCs w:val="18"/>
                <w:lang w:val="en-US"/>
              </w:rPr>
            </w:pPr>
            <w:r w:rsidRPr="00FF22D9">
              <w:rPr>
                <w:rFonts w:asciiTheme="minorHAnsi" w:hAnsiTheme="minorHAnsi" w:cstheme="majorHAnsi"/>
                <w:i/>
                <w:iCs/>
                <w:sz w:val="18"/>
                <w:szCs w:val="18"/>
                <w:lang w:val="en-US"/>
              </w:rPr>
              <w:t>Covid-19 Immunoglobulin, N</w:t>
            </w:r>
          </w:p>
        </w:tc>
      </w:tr>
      <w:tr w:rsidR="00C575D2" w:rsidRPr="00007908" w14:paraId="08FE9255" w14:textId="77777777" w:rsidTr="00BB21F9">
        <w:trPr>
          <w:trHeight w:val="382"/>
        </w:trPr>
        <w:tc>
          <w:tcPr>
            <w:tcW w:w="1320" w:type="pct"/>
            <w:tcBorders>
              <w:left w:val="nil"/>
            </w:tcBorders>
            <w:shd w:val="clear" w:color="auto" w:fill="ECECEC"/>
            <w:vAlign w:val="center"/>
          </w:tcPr>
          <w:p w14:paraId="66628A76" w14:textId="65E7E885" w:rsidR="00C575D2" w:rsidRPr="00007908" w:rsidRDefault="00C575D2" w:rsidP="002858A9">
            <w:pPr>
              <w:rPr>
                <w:rFonts w:asciiTheme="minorHAnsi" w:hAnsiTheme="minorHAnsi" w:cstheme="majorHAnsi"/>
                <w:sz w:val="18"/>
                <w:szCs w:val="18"/>
                <w:lang w:val="en-US"/>
              </w:rPr>
            </w:pPr>
            <w:r>
              <w:rPr>
                <w:rFonts w:asciiTheme="minorHAnsi" w:hAnsiTheme="minorHAnsi" w:cstheme="majorHAnsi"/>
                <w:sz w:val="18"/>
                <w:szCs w:val="18"/>
                <w:lang w:val="en-US"/>
              </w:rPr>
              <w:t xml:space="preserve">  No convalescent plasma, N</w:t>
            </w:r>
          </w:p>
        </w:tc>
        <w:tc>
          <w:tcPr>
            <w:tcW w:w="736" w:type="pct"/>
            <w:shd w:val="clear" w:color="auto" w:fill="ECECEC"/>
            <w:vAlign w:val="center"/>
          </w:tcPr>
          <w:p w14:paraId="6D66C621" w14:textId="51842D20" w:rsidR="00C575D2" w:rsidRPr="00007908" w:rsidRDefault="00FF22D9"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208</w:t>
            </w:r>
          </w:p>
        </w:tc>
        <w:tc>
          <w:tcPr>
            <w:tcW w:w="736" w:type="pct"/>
            <w:shd w:val="clear" w:color="auto" w:fill="ECECEC"/>
            <w:vAlign w:val="center"/>
          </w:tcPr>
          <w:p w14:paraId="1ACBC418" w14:textId="50A9871D" w:rsidR="00C575D2" w:rsidRPr="00007908" w:rsidRDefault="00FF22D9"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119</w:t>
            </w:r>
          </w:p>
        </w:tc>
        <w:tc>
          <w:tcPr>
            <w:tcW w:w="736" w:type="pct"/>
            <w:shd w:val="clear" w:color="auto" w:fill="ECECEC"/>
            <w:vAlign w:val="center"/>
          </w:tcPr>
          <w:p w14:paraId="162E99F9" w14:textId="383E1300" w:rsidR="00C575D2" w:rsidRPr="00007908" w:rsidRDefault="00FF22D9"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39</w:t>
            </w:r>
          </w:p>
        </w:tc>
        <w:tc>
          <w:tcPr>
            <w:tcW w:w="736" w:type="pct"/>
            <w:shd w:val="clear" w:color="auto" w:fill="ECECEC"/>
            <w:vAlign w:val="center"/>
          </w:tcPr>
          <w:p w14:paraId="14D5A35A" w14:textId="406BB347" w:rsidR="00C575D2" w:rsidRPr="00007908" w:rsidRDefault="00FF22D9"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7</w:t>
            </w:r>
          </w:p>
        </w:tc>
        <w:tc>
          <w:tcPr>
            <w:tcW w:w="736" w:type="pct"/>
            <w:shd w:val="clear" w:color="auto" w:fill="ECECEC"/>
            <w:vAlign w:val="center"/>
          </w:tcPr>
          <w:p w14:paraId="62E86885" w14:textId="136DD27A" w:rsidR="00C575D2" w:rsidRPr="00007908" w:rsidRDefault="00FF22D9"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95</w:t>
            </w:r>
          </w:p>
        </w:tc>
      </w:tr>
      <w:tr w:rsidR="00C575D2" w:rsidRPr="00007908" w14:paraId="29E4B316" w14:textId="77777777" w:rsidTr="00BB21F9">
        <w:trPr>
          <w:trHeight w:val="382"/>
        </w:trPr>
        <w:tc>
          <w:tcPr>
            <w:tcW w:w="1320" w:type="pct"/>
            <w:tcBorders>
              <w:left w:val="nil"/>
            </w:tcBorders>
            <w:shd w:val="clear" w:color="auto" w:fill="ECECEC"/>
            <w:vAlign w:val="center"/>
          </w:tcPr>
          <w:p w14:paraId="2217CF68" w14:textId="2630B2E2" w:rsidR="00C575D2" w:rsidRPr="00007908" w:rsidRDefault="00C575D2" w:rsidP="002858A9">
            <w:pPr>
              <w:rPr>
                <w:rFonts w:asciiTheme="minorHAnsi" w:hAnsiTheme="minorHAnsi" w:cstheme="majorHAnsi"/>
                <w:sz w:val="18"/>
                <w:szCs w:val="18"/>
                <w:lang w:val="en-US"/>
              </w:rPr>
            </w:pPr>
            <w:r>
              <w:rPr>
                <w:rFonts w:asciiTheme="minorHAnsi" w:hAnsiTheme="minorHAnsi" w:cstheme="majorHAnsi"/>
                <w:sz w:val="18"/>
                <w:szCs w:val="18"/>
                <w:lang w:val="en-US"/>
              </w:rPr>
              <w:t xml:space="preserve">  Convalescent plasma, N</w:t>
            </w:r>
          </w:p>
        </w:tc>
        <w:tc>
          <w:tcPr>
            <w:tcW w:w="736" w:type="pct"/>
            <w:shd w:val="clear" w:color="auto" w:fill="ECECEC"/>
            <w:vAlign w:val="center"/>
          </w:tcPr>
          <w:p w14:paraId="067C7F7C" w14:textId="1B901222" w:rsidR="00C575D2" w:rsidRPr="00007908" w:rsidRDefault="00FF22D9"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252</w:t>
            </w:r>
          </w:p>
        </w:tc>
        <w:tc>
          <w:tcPr>
            <w:tcW w:w="736" w:type="pct"/>
            <w:shd w:val="clear" w:color="auto" w:fill="ECECEC"/>
            <w:vAlign w:val="center"/>
          </w:tcPr>
          <w:p w14:paraId="71335C16" w14:textId="3D2D9AA4" w:rsidR="00C575D2" w:rsidRPr="00007908" w:rsidRDefault="00FF22D9"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143</w:t>
            </w:r>
          </w:p>
        </w:tc>
        <w:tc>
          <w:tcPr>
            <w:tcW w:w="736" w:type="pct"/>
            <w:shd w:val="clear" w:color="auto" w:fill="ECECEC"/>
            <w:vAlign w:val="center"/>
          </w:tcPr>
          <w:p w14:paraId="5A609FFE" w14:textId="1CC14BE9" w:rsidR="00C575D2" w:rsidRPr="00007908" w:rsidRDefault="00FF22D9"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52</w:t>
            </w:r>
          </w:p>
        </w:tc>
        <w:tc>
          <w:tcPr>
            <w:tcW w:w="736" w:type="pct"/>
            <w:shd w:val="clear" w:color="auto" w:fill="ECECEC"/>
            <w:vAlign w:val="center"/>
          </w:tcPr>
          <w:p w14:paraId="47E6B19C" w14:textId="3E89E776" w:rsidR="00C575D2" w:rsidRPr="00007908" w:rsidRDefault="00FF22D9"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4</w:t>
            </w:r>
          </w:p>
        </w:tc>
        <w:tc>
          <w:tcPr>
            <w:tcW w:w="736" w:type="pct"/>
            <w:shd w:val="clear" w:color="auto" w:fill="ECECEC"/>
            <w:vAlign w:val="center"/>
          </w:tcPr>
          <w:p w14:paraId="78387B72" w14:textId="3F4F0130" w:rsidR="00C575D2" w:rsidRPr="00007908" w:rsidRDefault="00FF22D9"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108</w:t>
            </w:r>
          </w:p>
        </w:tc>
      </w:tr>
      <w:tr w:rsidR="00FF22D9" w:rsidRPr="00007908" w14:paraId="333833B9" w14:textId="77777777" w:rsidTr="00BB21F9">
        <w:trPr>
          <w:trHeight w:val="382"/>
        </w:trPr>
        <w:tc>
          <w:tcPr>
            <w:tcW w:w="5000" w:type="pct"/>
            <w:gridSpan w:val="6"/>
            <w:tcBorders>
              <w:left w:val="nil"/>
            </w:tcBorders>
            <w:shd w:val="clear" w:color="auto" w:fill="ECECEC"/>
            <w:vAlign w:val="center"/>
          </w:tcPr>
          <w:p w14:paraId="7C7BC4C2" w14:textId="2AFA470E" w:rsidR="00FF22D9" w:rsidRPr="00FF22D9" w:rsidRDefault="00FF22D9" w:rsidP="00FF22D9">
            <w:pPr>
              <w:rPr>
                <w:rFonts w:asciiTheme="minorHAnsi" w:hAnsiTheme="minorHAnsi" w:cstheme="majorHAnsi"/>
                <w:i/>
                <w:iCs/>
                <w:sz w:val="18"/>
                <w:szCs w:val="18"/>
                <w:lang w:val="en-US"/>
              </w:rPr>
            </w:pPr>
            <w:r w:rsidRPr="00FF22D9">
              <w:rPr>
                <w:rFonts w:asciiTheme="minorHAnsi" w:hAnsiTheme="minorHAnsi" w:cstheme="majorHAnsi"/>
                <w:i/>
                <w:iCs/>
                <w:sz w:val="18"/>
                <w:szCs w:val="18"/>
                <w:lang w:val="en-US"/>
              </w:rPr>
              <w:t>Therapeutic Anticoagulation, N</w:t>
            </w:r>
          </w:p>
        </w:tc>
      </w:tr>
      <w:tr w:rsidR="00C575D2" w:rsidRPr="00007908" w14:paraId="534CB50C" w14:textId="77777777" w:rsidTr="00BB21F9">
        <w:trPr>
          <w:trHeight w:val="382"/>
        </w:trPr>
        <w:tc>
          <w:tcPr>
            <w:tcW w:w="1320" w:type="pct"/>
            <w:tcBorders>
              <w:left w:val="nil"/>
            </w:tcBorders>
            <w:shd w:val="clear" w:color="auto" w:fill="ECECEC"/>
            <w:vAlign w:val="center"/>
          </w:tcPr>
          <w:p w14:paraId="5E21C083" w14:textId="16BD4646" w:rsidR="00C575D2" w:rsidRPr="00007908" w:rsidRDefault="00C575D2" w:rsidP="002858A9">
            <w:pPr>
              <w:rPr>
                <w:rFonts w:asciiTheme="minorHAnsi" w:hAnsiTheme="minorHAnsi" w:cstheme="majorHAnsi"/>
                <w:sz w:val="18"/>
                <w:szCs w:val="18"/>
                <w:lang w:val="en-US"/>
              </w:rPr>
            </w:pPr>
            <w:r>
              <w:rPr>
                <w:rFonts w:asciiTheme="minorHAnsi" w:hAnsiTheme="minorHAnsi" w:cstheme="majorHAnsi"/>
                <w:sz w:val="18"/>
                <w:szCs w:val="18"/>
                <w:lang w:val="en-US"/>
              </w:rPr>
              <w:t xml:space="preserve">  Thrombopro</w:t>
            </w:r>
            <w:r w:rsidR="00BB21F9">
              <w:rPr>
                <w:rFonts w:asciiTheme="minorHAnsi" w:hAnsiTheme="minorHAnsi" w:cstheme="majorHAnsi"/>
                <w:sz w:val="18"/>
                <w:szCs w:val="18"/>
                <w:lang w:val="en-US"/>
              </w:rPr>
              <w:t>ph</w:t>
            </w:r>
            <w:r>
              <w:rPr>
                <w:rFonts w:asciiTheme="minorHAnsi" w:hAnsiTheme="minorHAnsi" w:cstheme="majorHAnsi"/>
                <w:sz w:val="18"/>
                <w:szCs w:val="18"/>
                <w:lang w:val="en-US"/>
              </w:rPr>
              <w:t>ylaxis, N</w:t>
            </w:r>
          </w:p>
        </w:tc>
        <w:tc>
          <w:tcPr>
            <w:tcW w:w="736" w:type="pct"/>
            <w:shd w:val="clear" w:color="auto" w:fill="ECECEC"/>
            <w:vAlign w:val="center"/>
          </w:tcPr>
          <w:p w14:paraId="4FE35C19" w14:textId="32927FCB" w:rsidR="00C575D2" w:rsidRPr="00007908" w:rsidRDefault="00FF22D9"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80</w:t>
            </w:r>
          </w:p>
        </w:tc>
        <w:tc>
          <w:tcPr>
            <w:tcW w:w="736" w:type="pct"/>
            <w:shd w:val="clear" w:color="auto" w:fill="ECECEC"/>
            <w:vAlign w:val="center"/>
          </w:tcPr>
          <w:p w14:paraId="6051043F" w14:textId="036F1957" w:rsidR="00C575D2" w:rsidRPr="00007908" w:rsidRDefault="00FF22D9"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54</w:t>
            </w:r>
          </w:p>
        </w:tc>
        <w:tc>
          <w:tcPr>
            <w:tcW w:w="736" w:type="pct"/>
            <w:shd w:val="clear" w:color="auto" w:fill="ECECEC"/>
            <w:vAlign w:val="center"/>
          </w:tcPr>
          <w:p w14:paraId="1F1CC493" w14:textId="25CAEE6C" w:rsidR="00C575D2" w:rsidRPr="00007908" w:rsidRDefault="00FF22D9"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18</w:t>
            </w:r>
          </w:p>
        </w:tc>
        <w:tc>
          <w:tcPr>
            <w:tcW w:w="736" w:type="pct"/>
            <w:shd w:val="clear" w:color="auto" w:fill="ECECEC"/>
            <w:vAlign w:val="center"/>
          </w:tcPr>
          <w:p w14:paraId="2DADED28" w14:textId="75296465" w:rsidR="00C575D2" w:rsidRPr="00007908" w:rsidRDefault="00FF22D9"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3</w:t>
            </w:r>
          </w:p>
        </w:tc>
        <w:tc>
          <w:tcPr>
            <w:tcW w:w="736" w:type="pct"/>
            <w:shd w:val="clear" w:color="auto" w:fill="ECECEC"/>
            <w:vAlign w:val="center"/>
          </w:tcPr>
          <w:p w14:paraId="046FE263" w14:textId="4A7C18DE" w:rsidR="00C575D2" w:rsidRPr="00007908" w:rsidRDefault="00FF22D9"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71</w:t>
            </w:r>
          </w:p>
        </w:tc>
      </w:tr>
      <w:tr w:rsidR="00C575D2" w:rsidRPr="00007908" w14:paraId="7F79ABD9" w14:textId="77777777" w:rsidTr="00BB21F9">
        <w:trPr>
          <w:trHeight w:val="382"/>
        </w:trPr>
        <w:tc>
          <w:tcPr>
            <w:tcW w:w="1320" w:type="pct"/>
            <w:tcBorders>
              <w:left w:val="nil"/>
            </w:tcBorders>
            <w:shd w:val="clear" w:color="auto" w:fill="ECECEC"/>
            <w:vAlign w:val="center"/>
          </w:tcPr>
          <w:p w14:paraId="0E8D319C" w14:textId="61694838" w:rsidR="00C575D2" w:rsidRPr="00007908" w:rsidRDefault="00C575D2" w:rsidP="002858A9">
            <w:pPr>
              <w:rPr>
                <w:rFonts w:asciiTheme="minorHAnsi" w:hAnsiTheme="minorHAnsi" w:cstheme="majorHAnsi"/>
                <w:sz w:val="18"/>
                <w:szCs w:val="18"/>
                <w:lang w:val="en-US"/>
              </w:rPr>
            </w:pPr>
            <w:r>
              <w:rPr>
                <w:rFonts w:asciiTheme="minorHAnsi" w:hAnsiTheme="minorHAnsi" w:cstheme="majorHAnsi"/>
                <w:sz w:val="18"/>
                <w:szCs w:val="18"/>
                <w:lang w:val="en-US"/>
              </w:rPr>
              <w:t xml:space="preserve">  Therapeutic anticoagulation, N</w:t>
            </w:r>
          </w:p>
        </w:tc>
        <w:tc>
          <w:tcPr>
            <w:tcW w:w="736" w:type="pct"/>
            <w:shd w:val="clear" w:color="auto" w:fill="ECECEC"/>
            <w:vAlign w:val="center"/>
          </w:tcPr>
          <w:p w14:paraId="59B4E47A" w14:textId="521706A1" w:rsidR="00C575D2" w:rsidRPr="00007908" w:rsidRDefault="00FF22D9"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90</w:t>
            </w:r>
          </w:p>
        </w:tc>
        <w:tc>
          <w:tcPr>
            <w:tcW w:w="736" w:type="pct"/>
            <w:shd w:val="clear" w:color="auto" w:fill="ECECEC"/>
            <w:vAlign w:val="center"/>
          </w:tcPr>
          <w:p w14:paraId="0BADFCBD" w14:textId="616558DA" w:rsidR="00C575D2" w:rsidRPr="00007908" w:rsidRDefault="00FF22D9"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40</w:t>
            </w:r>
          </w:p>
        </w:tc>
        <w:tc>
          <w:tcPr>
            <w:tcW w:w="736" w:type="pct"/>
            <w:shd w:val="clear" w:color="auto" w:fill="ECECEC"/>
            <w:vAlign w:val="center"/>
          </w:tcPr>
          <w:p w14:paraId="2CC5913D" w14:textId="2FF0A7A8" w:rsidR="00C575D2" w:rsidRPr="00007908" w:rsidRDefault="00FF22D9"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22</w:t>
            </w:r>
          </w:p>
        </w:tc>
        <w:tc>
          <w:tcPr>
            <w:tcW w:w="736" w:type="pct"/>
            <w:shd w:val="clear" w:color="auto" w:fill="ECECEC"/>
            <w:vAlign w:val="center"/>
          </w:tcPr>
          <w:p w14:paraId="32619BF1" w14:textId="3E5CA98E" w:rsidR="00C575D2" w:rsidRPr="00007908" w:rsidRDefault="00FF22D9"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7</w:t>
            </w:r>
          </w:p>
        </w:tc>
        <w:tc>
          <w:tcPr>
            <w:tcW w:w="736" w:type="pct"/>
            <w:shd w:val="clear" w:color="auto" w:fill="ECECEC"/>
            <w:vAlign w:val="center"/>
          </w:tcPr>
          <w:p w14:paraId="65A82AAA" w14:textId="7BC6EE19" w:rsidR="00C575D2" w:rsidRPr="00007908" w:rsidRDefault="00FF22D9" w:rsidP="002858A9">
            <w:pPr>
              <w:jc w:val="center"/>
              <w:rPr>
                <w:rFonts w:asciiTheme="minorHAnsi" w:hAnsiTheme="minorHAnsi" w:cstheme="majorHAnsi"/>
                <w:sz w:val="18"/>
                <w:szCs w:val="18"/>
                <w:lang w:val="en-US"/>
              </w:rPr>
            </w:pPr>
            <w:r>
              <w:rPr>
                <w:rFonts w:asciiTheme="minorHAnsi" w:hAnsiTheme="minorHAnsi" w:cstheme="majorHAnsi"/>
                <w:sz w:val="18"/>
                <w:szCs w:val="18"/>
                <w:lang w:val="en-US"/>
              </w:rPr>
              <w:t>77</w:t>
            </w:r>
          </w:p>
        </w:tc>
      </w:tr>
    </w:tbl>
    <w:p w14:paraId="30C631D7" w14:textId="3E72CB04" w:rsidR="00EC3CF5" w:rsidRPr="00F37253" w:rsidRDefault="00EC3CF5" w:rsidP="009C2A20">
      <w:pPr>
        <w:spacing w:line="360" w:lineRule="auto"/>
        <w:rPr>
          <w:rFonts w:asciiTheme="majorHAnsi" w:hAnsiTheme="majorHAnsi" w:cstheme="majorHAnsi"/>
          <w:sz w:val="22"/>
          <w:szCs w:val="22"/>
          <w:lang w:val="en-US"/>
        </w:rPr>
      </w:pPr>
    </w:p>
    <w:p w14:paraId="1083DE7A" w14:textId="77777777" w:rsidR="00EF25CC" w:rsidRPr="00F37253" w:rsidRDefault="00EF25CC" w:rsidP="009C2A20">
      <w:pPr>
        <w:spacing w:line="360" w:lineRule="auto"/>
        <w:rPr>
          <w:rFonts w:asciiTheme="majorHAnsi" w:hAnsiTheme="majorHAnsi" w:cstheme="majorHAnsi"/>
          <w:sz w:val="22"/>
          <w:szCs w:val="22"/>
          <w:lang w:val="en-US"/>
        </w:rPr>
      </w:pPr>
    </w:p>
    <w:p w14:paraId="6F5C00D1" w14:textId="77777777" w:rsidR="008974F1" w:rsidRPr="00F37253" w:rsidRDefault="008974F1" w:rsidP="009C2A20">
      <w:pPr>
        <w:spacing w:line="360" w:lineRule="auto"/>
        <w:rPr>
          <w:rFonts w:asciiTheme="majorHAnsi" w:hAnsiTheme="majorHAnsi" w:cstheme="majorHAnsi"/>
          <w:sz w:val="22"/>
          <w:szCs w:val="22"/>
          <w:lang w:val="en-US"/>
        </w:rPr>
      </w:pPr>
    </w:p>
    <w:p w14:paraId="3EB1B7C3" w14:textId="26A5447E" w:rsidR="00B84795" w:rsidRPr="005153A6" w:rsidRDefault="00736A8F" w:rsidP="005153A6">
      <w:pPr>
        <w:pStyle w:val="Heading2"/>
        <w:rPr>
          <w:rFonts w:asciiTheme="minorHAnsi" w:eastAsiaTheme="minorHAnsi" w:hAnsiTheme="minorHAnsi" w:cstheme="majorHAnsi"/>
          <w:sz w:val="24"/>
          <w:szCs w:val="24"/>
          <w:lang w:val="en-US" w:eastAsia="en-US"/>
        </w:rPr>
      </w:pPr>
      <w:bookmarkStart w:id="30" w:name="_Toc74659158"/>
      <w:r w:rsidRPr="005153A6">
        <w:rPr>
          <w:rFonts w:asciiTheme="minorHAnsi" w:eastAsiaTheme="minorHAnsi" w:hAnsiTheme="minorHAnsi" w:cstheme="majorHAnsi"/>
          <w:sz w:val="24"/>
          <w:szCs w:val="24"/>
          <w:lang w:val="en-US" w:eastAsia="en-US"/>
        </w:rPr>
        <w:t xml:space="preserve">Table S3. Sensitivity analyses of the </w:t>
      </w:r>
      <w:r w:rsidR="00F80FDA">
        <w:rPr>
          <w:rFonts w:asciiTheme="minorHAnsi" w:eastAsiaTheme="minorHAnsi" w:hAnsiTheme="minorHAnsi" w:cstheme="majorHAnsi"/>
          <w:sz w:val="24"/>
          <w:szCs w:val="24"/>
          <w:lang w:val="en-US" w:eastAsia="en-US"/>
        </w:rPr>
        <w:t>p</w:t>
      </w:r>
      <w:r w:rsidRPr="005153A6">
        <w:rPr>
          <w:rFonts w:asciiTheme="minorHAnsi" w:eastAsiaTheme="minorHAnsi" w:hAnsiTheme="minorHAnsi" w:cstheme="majorHAnsi"/>
          <w:sz w:val="24"/>
          <w:szCs w:val="24"/>
          <w:lang w:val="en-US" w:eastAsia="en-US"/>
        </w:rPr>
        <w:t xml:space="preserve">rimary </w:t>
      </w:r>
      <w:r w:rsidR="00F80FDA">
        <w:rPr>
          <w:rFonts w:asciiTheme="minorHAnsi" w:eastAsiaTheme="minorHAnsi" w:hAnsiTheme="minorHAnsi" w:cstheme="majorHAnsi"/>
          <w:sz w:val="24"/>
          <w:szCs w:val="24"/>
          <w:lang w:val="en-US" w:eastAsia="en-US"/>
        </w:rPr>
        <w:t>o</w:t>
      </w:r>
      <w:r w:rsidRPr="005153A6">
        <w:rPr>
          <w:rFonts w:asciiTheme="minorHAnsi" w:eastAsiaTheme="minorHAnsi" w:hAnsiTheme="minorHAnsi" w:cstheme="majorHAnsi"/>
          <w:sz w:val="24"/>
          <w:szCs w:val="24"/>
          <w:lang w:val="en-US" w:eastAsia="en-US"/>
        </w:rPr>
        <w:t>utcomes</w:t>
      </w:r>
      <w:bookmarkEnd w:id="30"/>
    </w:p>
    <w:p w14:paraId="05971E0D" w14:textId="116881A3" w:rsidR="00767260" w:rsidRDefault="00767260" w:rsidP="009C2A20">
      <w:pPr>
        <w:spacing w:line="360" w:lineRule="auto"/>
        <w:rPr>
          <w:rFonts w:asciiTheme="majorHAnsi" w:eastAsiaTheme="minorHAnsi" w:hAnsiTheme="majorHAnsi" w:cstheme="majorHAnsi"/>
          <w:sz w:val="22"/>
          <w:szCs w:val="22"/>
          <w:lang w:val="en-US" w:eastAsia="en-US"/>
        </w:rPr>
      </w:pPr>
    </w:p>
    <w:tbl>
      <w:tblPr>
        <w:tblW w:w="5000" w:type="pct"/>
        <w:tblCellMar>
          <w:left w:w="0" w:type="dxa"/>
          <w:right w:w="0" w:type="dxa"/>
        </w:tblCellMar>
        <w:tblLook w:val="01E0" w:firstRow="1" w:lastRow="1" w:firstColumn="1" w:lastColumn="1" w:noHBand="0" w:noVBand="0"/>
      </w:tblPr>
      <w:tblGrid>
        <w:gridCol w:w="2721"/>
        <w:gridCol w:w="1255"/>
        <w:gridCol w:w="1256"/>
        <w:gridCol w:w="1256"/>
        <w:gridCol w:w="1256"/>
        <w:gridCol w:w="1256"/>
        <w:gridCol w:w="20"/>
      </w:tblGrid>
      <w:tr w:rsidR="00767260" w:rsidRPr="00A76818" w14:paraId="203C2322" w14:textId="77777777" w:rsidTr="00BB21F9">
        <w:trPr>
          <w:gridAfter w:val="1"/>
          <w:wAfter w:w="12" w:type="pct"/>
          <w:trHeight w:val="510"/>
          <w:tblHeader/>
        </w:trPr>
        <w:tc>
          <w:tcPr>
            <w:tcW w:w="1509" w:type="pct"/>
            <w:tcBorders>
              <w:top w:val="single" w:sz="4" w:space="0" w:color="000000"/>
              <w:bottom w:val="single" w:sz="4" w:space="0" w:color="000000"/>
            </w:tcBorders>
            <w:shd w:val="clear" w:color="auto" w:fill="ECECEC"/>
          </w:tcPr>
          <w:p w14:paraId="3AF1DD5E" w14:textId="77777777" w:rsidR="00767260" w:rsidRPr="00A76818" w:rsidRDefault="00767260" w:rsidP="00BD0D49">
            <w:pPr>
              <w:pStyle w:val="TableParagraph"/>
              <w:spacing w:line="240" w:lineRule="auto"/>
              <w:jc w:val="left"/>
              <w:rPr>
                <w:sz w:val="18"/>
                <w:szCs w:val="18"/>
              </w:rPr>
            </w:pPr>
          </w:p>
          <w:p w14:paraId="6BC62AD3" w14:textId="77777777" w:rsidR="00767260" w:rsidRPr="00A76818" w:rsidRDefault="00767260" w:rsidP="00BD0D49">
            <w:pPr>
              <w:pStyle w:val="TableParagraph"/>
              <w:spacing w:line="240" w:lineRule="auto"/>
              <w:jc w:val="left"/>
              <w:rPr>
                <w:b/>
                <w:sz w:val="18"/>
                <w:szCs w:val="18"/>
              </w:rPr>
            </w:pPr>
            <w:bookmarkStart w:id="31" w:name="_bookmark76"/>
            <w:bookmarkEnd w:id="31"/>
            <w:r w:rsidRPr="00A76818">
              <w:rPr>
                <w:b/>
                <w:sz w:val="18"/>
                <w:szCs w:val="18"/>
              </w:rPr>
              <w:t>Outcome/Analysis</w:t>
            </w:r>
          </w:p>
        </w:tc>
        <w:tc>
          <w:tcPr>
            <w:tcW w:w="696" w:type="pct"/>
            <w:tcBorders>
              <w:top w:val="single" w:sz="4" w:space="0" w:color="000000"/>
              <w:bottom w:val="single" w:sz="4" w:space="0" w:color="000000"/>
            </w:tcBorders>
            <w:shd w:val="clear" w:color="auto" w:fill="ECECEC"/>
            <w:vAlign w:val="center"/>
          </w:tcPr>
          <w:p w14:paraId="2C65CC07" w14:textId="77777777" w:rsidR="00767260" w:rsidRPr="00A76818" w:rsidRDefault="00767260" w:rsidP="006F2FD5">
            <w:pPr>
              <w:pStyle w:val="TableParagraph"/>
              <w:spacing w:line="240" w:lineRule="auto"/>
              <w:rPr>
                <w:b/>
                <w:sz w:val="18"/>
                <w:szCs w:val="18"/>
              </w:rPr>
            </w:pPr>
            <w:r w:rsidRPr="00A76818">
              <w:rPr>
                <w:b/>
                <w:sz w:val="18"/>
                <w:szCs w:val="18"/>
              </w:rPr>
              <w:t>Tocilizumab</w:t>
            </w:r>
            <w:r w:rsidRPr="00A76818">
              <w:rPr>
                <w:b/>
                <w:spacing w:val="-7"/>
                <w:sz w:val="18"/>
                <w:szCs w:val="18"/>
              </w:rPr>
              <w:t xml:space="preserve"> </w:t>
            </w:r>
            <w:r w:rsidRPr="00A76818">
              <w:rPr>
                <w:b/>
                <w:sz w:val="18"/>
                <w:szCs w:val="18"/>
              </w:rPr>
              <w:t>(N=947)</w:t>
            </w:r>
          </w:p>
        </w:tc>
        <w:tc>
          <w:tcPr>
            <w:tcW w:w="696" w:type="pct"/>
            <w:tcBorders>
              <w:top w:val="single" w:sz="4" w:space="0" w:color="000000"/>
              <w:bottom w:val="single" w:sz="4" w:space="0" w:color="000000"/>
            </w:tcBorders>
            <w:shd w:val="clear" w:color="auto" w:fill="ECECEC"/>
            <w:vAlign w:val="center"/>
          </w:tcPr>
          <w:p w14:paraId="5850E742" w14:textId="77777777" w:rsidR="00767260" w:rsidRPr="00A76818" w:rsidRDefault="00767260" w:rsidP="006F2FD5">
            <w:pPr>
              <w:pStyle w:val="TableParagraph"/>
              <w:spacing w:line="240" w:lineRule="auto"/>
              <w:rPr>
                <w:sz w:val="18"/>
                <w:szCs w:val="18"/>
              </w:rPr>
            </w:pPr>
            <w:r w:rsidRPr="00A76818">
              <w:rPr>
                <w:b/>
                <w:sz w:val="18"/>
                <w:szCs w:val="18"/>
              </w:rPr>
              <w:t>Sarilumab</w:t>
            </w:r>
            <w:r w:rsidRPr="00A76818">
              <w:rPr>
                <w:b/>
                <w:spacing w:val="-6"/>
                <w:sz w:val="18"/>
                <w:szCs w:val="18"/>
              </w:rPr>
              <w:t xml:space="preserve"> </w:t>
            </w:r>
            <w:r w:rsidRPr="00A76818">
              <w:rPr>
                <w:b/>
                <w:sz w:val="18"/>
                <w:szCs w:val="18"/>
              </w:rPr>
              <w:t>(N=482)</w:t>
            </w:r>
          </w:p>
        </w:tc>
        <w:tc>
          <w:tcPr>
            <w:tcW w:w="696" w:type="pct"/>
            <w:tcBorders>
              <w:top w:val="single" w:sz="4" w:space="0" w:color="000000"/>
              <w:bottom w:val="single" w:sz="4" w:space="0" w:color="000000"/>
            </w:tcBorders>
            <w:shd w:val="clear" w:color="auto" w:fill="ECECEC"/>
            <w:vAlign w:val="center"/>
          </w:tcPr>
          <w:p w14:paraId="32C4AA17" w14:textId="77777777" w:rsidR="00767260" w:rsidRPr="00A76818" w:rsidRDefault="00767260" w:rsidP="006F2FD5">
            <w:pPr>
              <w:pStyle w:val="TableParagraph"/>
              <w:spacing w:line="240" w:lineRule="auto"/>
              <w:rPr>
                <w:sz w:val="18"/>
                <w:szCs w:val="18"/>
              </w:rPr>
            </w:pPr>
            <w:r w:rsidRPr="00A76818">
              <w:rPr>
                <w:b/>
                <w:sz w:val="18"/>
                <w:szCs w:val="18"/>
              </w:rPr>
              <w:t>Anakinra (N=373)</w:t>
            </w:r>
          </w:p>
        </w:tc>
        <w:tc>
          <w:tcPr>
            <w:tcW w:w="696" w:type="pct"/>
            <w:tcBorders>
              <w:top w:val="single" w:sz="4" w:space="0" w:color="000000"/>
              <w:bottom w:val="single" w:sz="4" w:space="0" w:color="000000"/>
            </w:tcBorders>
            <w:shd w:val="clear" w:color="auto" w:fill="ECECEC"/>
            <w:vAlign w:val="center"/>
          </w:tcPr>
          <w:p w14:paraId="515B5FAC" w14:textId="29361671" w:rsidR="00C80338" w:rsidRPr="00382E9F" w:rsidRDefault="00C80338" w:rsidP="006F2FD5">
            <w:pPr>
              <w:jc w:val="center"/>
              <w:rPr>
                <w:rFonts w:asciiTheme="majorHAnsi" w:hAnsiTheme="majorHAnsi" w:cstheme="majorHAnsi"/>
                <w:b/>
                <w:bCs/>
                <w:sz w:val="18"/>
                <w:szCs w:val="18"/>
                <w:lang w:val="en-US"/>
              </w:rPr>
            </w:pPr>
            <w:r w:rsidRPr="00382E9F">
              <w:rPr>
                <w:rFonts w:asciiTheme="majorHAnsi" w:hAnsiTheme="majorHAnsi" w:cstheme="majorHAnsi"/>
                <w:b/>
                <w:bCs/>
                <w:sz w:val="18"/>
                <w:szCs w:val="18"/>
                <w:lang w:val="en-US"/>
              </w:rPr>
              <w:t>Interferon-β1a</w:t>
            </w:r>
          </w:p>
          <w:p w14:paraId="3DBE0966" w14:textId="290E03EA" w:rsidR="00767260" w:rsidRPr="00A76818" w:rsidRDefault="00767260" w:rsidP="006F2FD5">
            <w:pPr>
              <w:pStyle w:val="TableParagraph"/>
              <w:spacing w:line="240" w:lineRule="auto"/>
              <w:rPr>
                <w:b/>
                <w:sz w:val="18"/>
                <w:szCs w:val="18"/>
              </w:rPr>
            </w:pPr>
            <w:r w:rsidRPr="00A76818">
              <w:rPr>
                <w:b/>
                <w:sz w:val="18"/>
                <w:szCs w:val="18"/>
              </w:rPr>
              <w:t>(N=19)</w:t>
            </w:r>
          </w:p>
        </w:tc>
        <w:tc>
          <w:tcPr>
            <w:tcW w:w="696" w:type="pct"/>
            <w:tcBorders>
              <w:top w:val="single" w:sz="4" w:space="0" w:color="000000"/>
              <w:bottom w:val="single" w:sz="4" w:space="0" w:color="000000"/>
            </w:tcBorders>
            <w:shd w:val="clear" w:color="auto" w:fill="ECECEC"/>
            <w:vAlign w:val="center"/>
          </w:tcPr>
          <w:p w14:paraId="3E7B6E1D" w14:textId="77777777" w:rsidR="00767260" w:rsidRPr="00A76818" w:rsidRDefault="00767260" w:rsidP="006F2FD5">
            <w:pPr>
              <w:pStyle w:val="TableParagraph"/>
              <w:spacing w:line="240" w:lineRule="auto"/>
              <w:rPr>
                <w:b/>
                <w:sz w:val="18"/>
                <w:szCs w:val="18"/>
              </w:rPr>
            </w:pPr>
            <w:r w:rsidRPr="00A76818">
              <w:rPr>
                <w:b/>
                <w:sz w:val="18"/>
                <w:szCs w:val="18"/>
              </w:rPr>
              <w:t>Control</w:t>
            </w:r>
            <w:r w:rsidRPr="00A76818">
              <w:rPr>
                <w:b/>
                <w:spacing w:val="-6"/>
                <w:sz w:val="18"/>
                <w:szCs w:val="18"/>
              </w:rPr>
              <w:t xml:space="preserve"> </w:t>
            </w:r>
            <w:r w:rsidRPr="00A76818">
              <w:rPr>
                <w:b/>
                <w:sz w:val="18"/>
                <w:szCs w:val="18"/>
              </w:rPr>
              <w:t>(N=405)</w:t>
            </w:r>
          </w:p>
        </w:tc>
      </w:tr>
      <w:tr w:rsidR="00206C13" w:rsidRPr="00A76818" w14:paraId="11B5013F" w14:textId="77777777" w:rsidTr="00BB21F9">
        <w:trPr>
          <w:trHeight w:val="602"/>
        </w:trPr>
        <w:tc>
          <w:tcPr>
            <w:tcW w:w="4988" w:type="pct"/>
            <w:gridSpan w:val="6"/>
            <w:tcBorders>
              <w:top w:val="single" w:sz="4" w:space="0" w:color="000000"/>
              <w:bottom w:val="dashSmallGap" w:sz="4" w:space="0" w:color="D8D8D8"/>
            </w:tcBorders>
            <w:shd w:val="clear" w:color="auto" w:fill="ECECEC"/>
          </w:tcPr>
          <w:p w14:paraId="673E2BE6" w14:textId="2B39CE02" w:rsidR="00206C13" w:rsidRPr="00CA20E0" w:rsidRDefault="00CA20E0" w:rsidP="00CA20E0">
            <w:pPr>
              <w:pStyle w:val="TableParagraph"/>
              <w:ind w:right="5126"/>
              <w:jc w:val="left"/>
              <w:rPr>
                <w:sz w:val="18"/>
                <w:szCs w:val="18"/>
              </w:rPr>
            </w:pPr>
            <w:r w:rsidRPr="00A76818">
              <w:rPr>
                <w:b/>
                <w:sz w:val="18"/>
                <w:szCs w:val="18"/>
              </w:rPr>
              <w:t>Secondary</w:t>
            </w:r>
            <w:r w:rsidRPr="00A76818">
              <w:rPr>
                <w:b/>
                <w:spacing w:val="-6"/>
                <w:sz w:val="18"/>
                <w:szCs w:val="18"/>
              </w:rPr>
              <w:t xml:space="preserve"> </w:t>
            </w:r>
            <w:r w:rsidRPr="00A76818">
              <w:rPr>
                <w:b/>
                <w:sz w:val="18"/>
                <w:szCs w:val="18"/>
              </w:rPr>
              <w:t>Analysis</w:t>
            </w:r>
            <w:r w:rsidRPr="00A76818">
              <w:rPr>
                <w:b/>
                <w:spacing w:val="-3"/>
                <w:sz w:val="18"/>
                <w:szCs w:val="18"/>
              </w:rPr>
              <w:t xml:space="preserve"> </w:t>
            </w:r>
            <w:r w:rsidRPr="00A76818">
              <w:rPr>
                <w:b/>
                <w:sz w:val="18"/>
                <w:szCs w:val="18"/>
              </w:rPr>
              <w:t>of</w:t>
            </w:r>
            <w:r w:rsidRPr="00A76818">
              <w:rPr>
                <w:b/>
                <w:spacing w:val="-6"/>
                <w:sz w:val="18"/>
                <w:szCs w:val="18"/>
              </w:rPr>
              <w:t xml:space="preserve"> </w:t>
            </w:r>
            <w:r w:rsidRPr="00A76818">
              <w:rPr>
                <w:b/>
                <w:sz w:val="18"/>
                <w:szCs w:val="18"/>
              </w:rPr>
              <w:t>Primary</w:t>
            </w:r>
            <w:r w:rsidRPr="00A76818">
              <w:rPr>
                <w:b/>
                <w:spacing w:val="-1"/>
                <w:sz w:val="18"/>
                <w:szCs w:val="18"/>
              </w:rPr>
              <w:t xml:space="preserve"> </w:t>
            </w:r>
            <w:r w:rsidRPr="00A76818">
              <w:rPr>
                <w:b/>
                <w:sz w:val="18"/>
                <w:szCs w:val="18"/>
              </w:rPr>
              <w:t>Outcome</w:t>
            </w:r>
            <w:r w:rsidRPr="00A76818">
              <w:rPr>
                <w:sz w:val="18"/>
                <w:szCs w:val="18"/>
              </w:rPr>
              <w:t>,</w:t>
            </w:r>
            <w:r w:rsidRPr="00A76818">
              <w:rPr>
                <w:spacing w:val="-6"/>
                <w:sz w:val="18"/>
                <w:szCs w:val="18"/>
              </w:rPr>
              <w:t xml:space="preserve"> </w:t>
            </w:r>
            <w:r w:rsidRPr="00A76818">
              <w:rPr>
                <w:sz w:val="18"/>
                <w:szCs w:val="18"/>
              </w:rPr>
              <w:t xml:space="preserve">for </w:t>
            </w:r>
            <w:r w:rsidRPr="00CA20E0">
              <w:rPr>
                <w:sz w:val="18"/>
                <w:szCs w:val="18"/>
              </w:rPr>
              <w:t>Unblinded ITT popula</w:t>
            </w:r>
            <w:r>
              <w:rPr>
                <w:sz w:val="18"/>
                <w:szCs w:val="18"/>
              </w:rPr>
              <w:t>ti</w:t>
            </w:r>
            <w:r w:rsidRPr="00CA20E0">
              <w:rPr>
                <w:sz w:val="18"/>
                <w:szCs w:val="18"/>
              </w:rPr>
              <w:t>on with nes</w:t>
            </w:r>
            <w:r>
              <w:rPr>
                <w:sz w:val="18"/>
                <w:szCs w:val="18"/>
              </w:rPr>
              <w:t>ti</w:t>
            </w:r>
            <w:r w:rsidRPr="00CA20E0">
              <w:rPr>
                <w:sz w:val="18"/>
                <w:szCs w:val="18"/>
              </w:rPr>
              <w:t>ng betwee</w:t>
            </w:r>
            <w:r>
              <w:rPr>
                <w:sz w:val="18"/>
                <w:szCs w:val="18"/>
              </w:rPr>
              <w:t xml:space="preserve">n </w:t>
            </w:r>
            <w:r w:rsidRPr="00CA20E0">
              <w:rPr>
                <w:sz w:val="18"/>
                <w:szCs w:val="18"/>
              </w:rPr>
              <w:t>IL-6ra interven</w:t>
            </w:r>
            <w:r>
              <w:rPr>
                <w:sz w:val="18"/>
                <w:szCs w:val="18"/>
              </w:rPr>
              <w:t>ti</w:t>
            </w:r>
            <w:r w:rsidRPr="00CA20E0">
              <w:rPr>
                <w:sz w:val="18"/>
                <w:szCs w:val="18"/>
              </w:rPr>
              <w:t>on effects</w:t>
            </w:r>
          </w:p>
        </w:tc>
        <w:tc>
          <w:tcPr>
            <w:tcW w:w="12" w:type="pct"/>
            <w:tcBorders>
              <w:top w:val="single" w:sz="4" w:space="0" w:color="000000"/>
              <w:bottom w:val="dashSmallGap" w:sz="4" w:space="0" w:color="D8D8D8"/>
            </w:tcBorders>
            <w:shd w:val="clear" w:color="auto" w:fill="ECECEC"/>
          </w:tcPr>
          <w:p w14:paraId="57271748" w14:textId="77777777" w:rsidR="00206C13" w:rsidRPr="00A76818" w:rsidRDefault="00206C13" w:rsidP="00BD0D49">
            <w:pPr>
              <w:pStyle w:val="TableParagraph"/>
              <w:spacing w:line="240" w:lineRule="auto"/>
              <w:ind w:right="5126"/>
              <w:jc w:val="left"/>
              <w:rPr>
                <w:b/>
                <w:sz w:val="18"/>
                <w:szCs w:val="18"/>
              </w:rPr>
            </w:pPr>
          </w:p>
        </w:tc>
      </w:tr>
      <w:tr w:rsidR="00767260" w:rsidRPr="00A76818" w14:paraId="4AD00D04" w14:textId="77777777" w:rsidTr="00BB21F9">
        <w:trPr>
          <w:gridAfter w:val="1"/>
          <w:wAfter w:w="12" w:type="pct"/>
          <w:trHeight w:val="285"/>
        </w:trPr>
        <w:tc>
          <w:tcPr>
            <w:tcW w:w="1509" w:type="pct"/>
            <w:tcBorders>
              <w:top w:val="dashSmallGap" w:sz="4" w:space="0" w:color="D8D8D8"/>
              <w:bottom w:val="dashSmallGap" w:sz="4" w:space="0" w:color="D8D8D8"/>
            </w:tcBorders>
            <w:shd w:val="clear" w:color="auto" w:fill="ECECEC"/>
          </w:tcPr>
          <w:p w14:paraId="67FD8A6D" w14:textId="77777777" w:rsidR="00767260" w:rsidRPr="00A76818" w:rsidRDefault="00767260" w:rsidP="00BD0D49">
            <w:pPr>
              <w:pStyle w:val="TableParagraph"/>
              <w:spacing w:line="240" w:lineRule="auto"/>
              <w:jc w:val="left"/>
              <w:rPr>
                <w:sz w:val="18"/>
                <w:szCs w:val="18"/>
              </w:rPr>
            </w:pPr>
            <w:r w:rsidRPr="00A76818">
              <w:rPr>
                <w:sz w:val="18"/>
                <w:szCs w:val="18"/>
              </w:rPr>
              <w:t>Adjusted</w:t>
            </w:r>
            <w:r w:rsidRPr="00A76818">
              <w:rPr>
                <w:spacing w:val="-3"/>
                <w:sz w:val="18"/>
                <w:szCs w:val="18"/>
              </w:rPr>
              <w:t xml:space="preserve"> </w:t>
            </w:r>
            <w:r w:rsidRPr="00A76818">
              <w:rPr>
                <w:sz w:val="18"/>
                <w:szCs w:val="18"/>
              </w:rPr>
              <w:t>OR</w:t>
            </w:r>
            <w:r w:rsidRPr="00A76818">
              <w:rPr>
                <w:spacing w:val="2"/>
                <w:sz w:val="18"/>
                <w:szCs w:val="18"/>
              </w:rPr>
              <w:t xml:space="preserve"> </w:t>
            </w:r>
            <w:r w:rsidRPr="00A76818">
              <w:rPr>
                <w:sz w:val="18"/>
                <w:szCs w:val="18"/>
              </w:rPr>
              <w:t>-</w:t>
            </w:r>
            <w:r w:rsidRPr="00A76818">
              <w:rPr>
                <w:spacing w:val="-2"/>
                <w:sz w:val="18"/>
                <w:szCs w:val="18"/>
              </w:rPr>
              <w:t xml:space="preserve"> </w:t>
            </w:r>
            <w:r w:rsidRPr="00A76818">
              <w:rPr>
                <w:sz w:val="18"/>
                <w:szCs w:val="18"/>
              </w:rPr>
              <w:t>mean</w:t>
            </w:r>
            <w:r w:rsidRPr="00A76818">
              <w:rPr>
                <w:spacing w:val="-3"/>
                <w:sz w:val="18"/>
                <w:szCs w:val="18"/>
              </w:rPr>
              <w:t xml:space="preserve"> </w:t>
            </w:r>
            <w:r w:rsidRPr="00A76818">
              <w:rPr>
                <w:sz w:val="18"/>
                <w:szCs w:val="18"/>
              </w:rPr>
              <w:t>(SD)</w:t>
            </w:r>
          </w:p>
        </w:tc>
        <w:tc>
          <w:tcPr>
            <w:tcW w:w="696" w:type="pct"/>
            <w:tcBorders>
              <w:top w:val="dashSmallGap" w:sz="4" w:space="0" w:color="D8D8D8"/>
              <w:bottom w:val="dashSmallGap" w:sz="4" w:space="0" w:color="D8D8D8"/>
            </w:tcBorders>
            <w:shd w:val="clear" w:color="auto" w:fill="ECECEC"/>
            <w:vAlign w:val="center"/>
          </w:tcPr>
          <w:p w14:paraId="04B46ED0" w14:textId="68D16215" w:rsidR="00767260" w:rsidRPr="006407DD" w:rsidRDefault="006407DD" w:rsidP="00507544">
            <w:pPr>
              <w:pStyle w:val="TableParagraph"/>
              <w:spacing w:line="240" w:lineRule="auto"/>
              <w:rPr>
                <w:sz w:val="18"/>
                <w:szCs w:val="18"/>
              </w:rPr>
            </w:pPr>
            <w:r w:rsidRPr="006407DD">
              <w:rPr>
                <w:sz w:val="18"/>
                <w:szCs w:val="18"/>
              </w:rPr>
              <w:t>1.52 (0.19)</w:t>
            </w:r>
          </w:p>
        </w:tc>
        <w:tc>
          <w:tcPr>
            <w:tcW w:w="696" w:type="pct"/>
            <w:tcBorders>
              <w:top w:val="dashSmallGap" w:sz="4" w:space="0" w:color="D8D8D8"/>
              <w:bottom w:val="dashSmallGap" w:sz="4" w:space="0" w:color="D8D8D8"/>
            </w:tcBorders>
            <w:shd w:val="clear" w:color="auto" w:fill="ECECEC"/>
            <w:vAlign w:val="center"/>
          </w:tcPr>
          <w:p w14:paraId="190BD4AB" w14:textId="525098C8" w:rsidR="00767260" w:rsidRPr="006407DD" w:rsidRDefault="006407DD" w:rsidP="006F2FD5">
            <w:pPr>
              <w:pStyle w:val="TableParagraph"/>
              <w:spacing w:line="240" w:lineRule="auto"/>
              <w:rPr>
                <w:sz w:val="18"/>
                <w:szCs w:val="18"/>
              </w:rPr>
            </w:pPr>
            <w:r>
              <w:rPr>
                <w:sz w:val="18"/>
                <w:szCs w:val="18"/>
              </w:rPr>
              <w:t>1.57 (0.20)</w:t>
            </w:r>
          </w:p>
        </w:tc>
        <w:tc>
          <w:tcPr>
            <w:tcW w:w="696" w:type="pct"/>
            <w:tcBorders>
              <w:top w:val="dashSmallGap" w:sz="4" w:space="0" w:color="D8D8D8"/>
              <w:bottom w:val="dashSmallGap" w:sz="4" w:space="0" w:color="D8D8D8"/>
            </w:tcBorders>
            <w:shd w:val="clear" w:color="auto" w:fill="ECECEC"/>
            <w:vAlign w:val="center"/>
          </w:tcPr>
          <w:p w14:paraId="75EA52F3" w14:textId="7C5A9D48" w:rsidR="00767260" w:rsidRPr="006407DD" w:rsidRDefault="006407DD" w:rsidP="006F2FD5">
            <w:pPr>
              <w:pStyle w:val="TableParagraph"/>
              <w:spacing w:line="240" w:lineRule="auto"/>
              <w:rPr>
                <w:sz w:val="18"/>
                <w:szCs w:val="18"/>
              </w:rPr>
            </w:pPr>
            <w:r>
              <w:rPr>
                <w:sz w:val="18"/>
                <w:szCs w:val="18"/>
              </w:rPr>
              <w:t>1.07 (0.17)</w:t>
            </w:r>
          </w:p>
        </w:tc>
        <w:tc>
          <w:tcPr>
            <w:tcW w:w="696" w:type="pct"/>
            <w:tcBorders>
              <w:top w:val="dashSmallGap" w:sz="4" w:space="0" w:color="D8D8D8"/>
              <w:bottom w:val="dashSmallGap" w:sz="4" w:space="0" w:color="D8D8D8"/>
            </w:tcBorders>
            <w:shd w:val="clear" w:color="auto" w:fill="ECECEC"/>
            <w:vAlign w:val="center"/>
          </w:tcPr>
          <w:p w14:paraId="397D2246" w14:textId="2BDA72A6" w:rsidR="00767260" w:rsidRPr="006407DD" w:rsidRDefault="006407DD" w:rsidP="006F2FD5">
            <w:pPr>
              <w:pStyle w:val="TableParagraph"/>
              <w:spacing w:line="240" w:lineRule="auto"/>
              <w:rPr>
                <w:sz w:val="18"/>
                <w:szCs w:val="18"/>
              </w:rPr>
            </w:pPr>
            <w:r>
              <w:rPr>
                <w:sz w:val="18"/>
                <w:szCs w:val="18"/>
              </w:rPr>
              <w:t>1.37 (0.56)</w:t>
            </w:r>
          </w:p>
        </w:tc>
        <w:tc>
          <w:tcPr>
            <w:tcW w:w="696" w:type="pct"/>
            <w:tcBorders>
              <w:top w:val="dashSmallGap" w:sz="4" w:space="0" w:color="D8D8D8"/>
              <w:bottom w:val="dashSmallGap" w:sz="4" w:space="0" w:color="D8D8D8"/>
            </w:tcBorders>
            <w:shd w:val="clear" w:color="auto" w:fill="ECECEC"/>
            <w:vAlign w:val="center"/>
          </w:tcPr>
          <w:p w14:paraId="1098A3C9" w14:textId="77777777" w:rsidR="00767260" w:rsidRPr="006407DD" w:rsidRDefault="00767260" w:rsidP="006F2FD5">
            <w:pPr>
              <w:pStyle w:val="TableParagraph"/>
              <w:spacing w:line="240" w:lineRule="auto"/>
              <w:rPr>
                <w:sz w:val="18"/>
                <w:szCs w:val="18"/>
              </w:rPr>
            </w:pPr>
            <w:r w:rsidRPr="006407DD">
              <w:rPr>
                <w:sz w:val="18"/>
                <w:szCs w:val="18"/>
              </w:rPr>
              <w:t>1</w:t>
            </w:r>
          </w:p>
        </w:tc>
      </w:tr>
      <w:tr w:rsidR="00767260" w:rsidRPr="00A76818" w14:paraId="11A1F528" w14:textId="77777777" w:rsidTr="00BB21F9">
        <w:trPr>
          <w:gridAfter w:val="1"/>
          <w:wAfter w:w="12" w:type="pct"/>
          <w:trHeight w:val="285"/>
        </w:trPr>
        <w:tc>
          <w:tcPr>
            <w:tcW w:w="1509" w:type="pct"/>
            <w:tcBorders>
              <w:top w:val="dashSmallGap" w:sz="4" w:space="0" w:color="D8D8D8"/>
              <w:bottom w:val="dashSmallGap" w:sz="4" w:space="0" w:color="D8D8D8"/>
            </w:tcBorders>
            <w:shd w:val="clear" w:color="auto" w:fill="ECECEC"/>
          </w:tcPr>
          <w:p w14:paraId="2A9038BB" w14:textId="77777777" w:rsidR="00767260" w:rsidRPr="00A76818" w:rsidRDefault="00767260" w:rsidP="00BD0D49">
            <w:pPr>
              <w:pStyle w:val="TableParagraph"/>
              <w:spacing w:line="240" w:lineRule="auto"/>
              <w:jc w:val="left"/>
              <w:rPr>
                <w:sz w:val="18"/>
                <w:szCs w:val="18"/>
              </w:rPr>
            </w:pPr>
            <w:r w:rsidRPr="00A76818">
              <w:rPr>
                <w:sz w:val="18"/>
                <w:szCs w:val="18"/>
              </w:rPr>
              <w:t>-</w:t>
            </w:r>
            <w:r w:rsidRPr="00A76818">
              <w:rPr>
                <w:spacing w:val="-3"/>
                <w:sz w:val="18"/>
                <w:szCs w:val="18"/>
              </w:rPr>
              <w:t xml:space="preserve"> </w:t>
            </w:r>
            <w:r w:rsidRPr="00A76818">
              <w:rPr>
                <w:sz w:val="18"/>
                <w:szCs w:val="18"/>
              </w:rPr>
              <w:t>median</w:t>
            </w:r>
            <w:r w:rsidRPr="00A76818">
              <w:rPr>
                <w:spacing w:val="-2"/>
                <w:sz w:val="18"/>
                <w:szCs w:val="18"/>
              </w:rPr>
              <w:t xml:space="preserve"> </w:t>
            </w:r>
            <w:r w:rsidRPr="00A76818">
              <w:rPr>
                <w:sz w:val="18"/>
                <w:szCs w:val="18"/>
              </w:rPr>
              <w:t>(95%</w:t>
            </w:r>
            <w:r w:rsidRPr="00A76818">
              <w:rPr>
                <w:spacing w:val="-1"/>
                <w:sz w:val="18"/>
                <w:szCs w:val="18"/>
              </w:rPr>
              <w:t xml:space="preserve"> </w:t>
            </w:r>
            <w:r w:rsidRPr="00A76818">
              <w:rPr>
                <w:sz w:val="18"/>
                <w:szCs w:val="18"/>
              </w:rPr>
              <w:t>CrI)</w:t>
            </w:r>
          </w:p>
        </w:tc>
        <w:tc>
          <w:tcPr>
            <w:tcW w:w="696" w:type="pct"/>
            <w:tcBorders>
              <w:top w:val="dashSmallGap" w:sz="4" w:space="0" w:color="D8D8D8"/>
              <w:bottom w:val="dashSmallGap" w:sz="4" w:space="0" w:color="D8D8D8"/>
            </w:tcBorders>
            <w:shd w:val="clear" w:color="auto" w:fill="ECECEC"/>
            <w:vAlign w:val="center"/>
          </w:tcPr>
          <w:p w14:paraId="79DD3572" w14:textId="4562425E" w:rsidR="00767260" w:rsidRPr="006407DD" w:rsidRDefault="006407DD" w:rsidP="00507544">
            <w:pPr>
              <w:pStyle w:val="TableParagraph"/>
              <w:spacing w:line="240" w:lineRule="auto"/>
              <w:rPr>
                <w:sz w:val="18"/>
                <w:szCs w:val="18"/>
              </w:rPr>
            </w:pPr>
            <w:r>
              <w:rPr>
                <w:sz w:val="18"/>
                <w:szCs w:val="18"/>
              </w:rPr>
              <w:t>1.51 (1.18 to 1.93)</w:t>
            </w:r>
          </w:p>
        </w:tc>
        <w:tc>
          <w:tcPr>
            <w:tcW w:w="696" w:type="pct"/>
            <w:tcBorders>
              <w:top w:val="dashSmallGap" w:sz="4" w:space="0" w:color="D8D8D8"/>
              <w:bottom w:val="dashSmallGap" w:sz="4" w:space="0" w:color="D8D8D8"/>
            </w:tcBorders>
            <w:shd w:val="clear" w:color="auto" w:fill="ECECEC"/>
            <w:vAlign w:val="center"/>
          </w:tcPr>
          <w:p w14:paraId="36585C9D" w14:textId="51B2672B" w:rsidR="00767260" w:rsidRPr="006407DD" w:rsidRDefault="005D0318" w:rsidP="006F2FD5">
            <w:pPr>
              <w:pStyle w:val="TableParagraph"/>
              <w:spacing w:line="240" w:lineRule="auto"/>
              <w:rPr>
                <w:sz w:val="18"/>
                <w:szCs w:val="18"/>
              </w:rPr>
            </w:pPr>
            <w:r w:rsidRPr="006407DD">
              <w:rPr>
                <w:sz w:val="18"/>
                <w:szCs w:val="18"/>
              </w:rPr>
              <w:t>1</w:t>
            </w:r>
            <w:r w:rsidR="006407DD">
              <w:rPr>
                <w:sz w:val="18"/>
                <w:szCs w:val="18"/>
              </w:rPr>
              <w:t>.56 (1.19 to 2.02)</w:t>
            </w:r>
          </w:p>
        </w:tc>
        <w:tc>
          <w:tcPr>
            <w:tcW w:w="696" w:type="pct"/>
            <w:tcBorders>
              <w:top w:val="dashSmallGap" w:sz="4" w:space="0" w:color="D8D8D8"/>
              <w:bottom w:val="dashSmallGap" w:sz="4" w:space="0" w:color="D8D8D8"/>
            </w:tcBorders>
            <w:shd w:val="clear" w:color="auto" w:fill="ECECEC"/>
            <w:vAlign w:val="center"/>
          </w:tcPr>
          <w:p w14:paraId="76E5B2CC" w14:textId="1CC94C65" w:rsidR="00767260" w:rsidRPr="006407DD" w:rsidRDefault="005D0318" w:rsidP="006F2FD5">
            <w:pPr>
              <w:pStyle w:val="TableParagraph"/>
              <w:spacing w:line="240" w:lineRule="auto"/>
              <w:rPr>
                <w:sz w:val="18"/>
                <w:szCs w:val="18"/>
              </w:rPr>
            </w:pPr>
            <w:r w:rsidRPr="006407DD">
              <w:rPr>
                <w:sz w:val="18"/>
                <w:szCs w:val="18"/>
              </w:rPr>
              <w:t>1</w:t>
            </w:r>
            <w:r w:rsidR="006407DD">
              <w:rPr>
                <w:sz w:val="18"/>
                <w:szCs w:val="18"/>
              </w:rPr>
              <w:t>.06 (0.77 to 1.44)</w:t>
            </w:r>
          </w:p>
        </w:tc>
        <w:tc>
          <w:tcPr>
            <w:tcW w:w="696" w:type="pct"/>
            <w:tcBorders>
              <w:top w:val="dashSmallGap" w:sz="4" w:space="0" w:color="D8D8D8"/>
              <w:bottom w:val="dashSmallGap" w:sz="4" w:space="0" w:color="D8D8D8"/>
            </w:tcBorders>
            <w:shd w:val="clear" w:color="auto" w:fill="ECECEC"/>
            <w:vAlign w:val="center"/>
          </w:tcPr>
          <w:p w14:paraId="65092C0D" w14:textId="5AEF57CE" w:rsidR="00767260" w:rsidRPr="006407DD" w:rsidRDefault="006407DD" w:rsidP="006F2FD5">
            <w:pPr>
              <w:pStyle w:val="TableParagraph"/>
              <w:spacing w:line="240" w:lineRule="auto"/>
              <w:rPr>
                <w:sz w:val="18"/>
                <w:szCs w:val="18"/>
              </w:rPr>
            </w:pPr>
            <w:r>
              <w:rPr>
                <w:sz w:val="18"/>
                <w:szCs w:val="18"/>
              </w:rPr>
              <w:t>1.27 (0.58 to 2.75)</w:t>
            </w:r>
          </w:p>
        </w:tc>
        <w:tc>
          <w:tcPr>
            <w:tcW w:w="696" w:type="pct"/>
            <w:tcBorders>
              <w:top w:val="dashSmallGap" w:sz="4" w:space="0" w:color="D8D8D8"/>
              <w:bottom w:val="dashSmallGap" w:sz="4" w:space="0" w:color="D8D8D8"/>
            </w:tcBorders>
            <w:shd w:val="clear" w:color="auto" w:fill="ECECEC"/>
            <w:vAlign w:val="center"/>
          </w:tcPr>
          <w:p w14:paraId="2BEBD6F3" w14:textId="77777777" w:rsidR="00767260" w:rsidRPr="006407DD" w:rsidRDefault="00767260" w:rsidP="006F2FD5">
            <w:pPr>
              <w:pStyle w:val="TableParagraph"/>
              <w:spacing w:line="240" w:lineRule="auto"/>
              <w:rPr>
                <w:sz w:val="18"/>
                <w:szCs w:val="18"/>
              </w:rPr>
            </w:pPr>
            <w:r w:rsidRPr="006407DD">
              <w:rPr>
                <w:sz w:val="18"/>
                <w:szCs w:val="18"/>
              </w:rPr>
              <w:t>1</w:t>
            </w:r>
          </w:p>
        </w:tc>
      </w:tr>
      <w:tr w:rsidR="00767260" w:rsidRPr="00A76818" w14:paraId="7196105F" w14:textId="77777777" w:rsidTr="00BB21F9">
        <w:trPr>
          <w:gridAfter w:val="1"/>
          <w:wAfter w:w="12" w:type="pct"/>
          <w:trHeight w:val="285"/>
        </w:trPr>
        <w:tc>
          <w:tcPr>
            <w:tcW w:w="1509" w:type="pct"/>
            <w:tcBorders>
              <w:top w:val="dashSmallGap" w:sz="4" w:space="0" w:color="D8D8D8"/>
              <w:bottom w:val="dashSmallGap" w:sz="4" w:space="0" w:color="D8D8D8"/>
            </w:tcBorders>
            <w:shd w:val="clear" w:color="auto" w:fill="ECECEC"/>
          </w:tcPr>
          <w:p w14:paraId="0D46C0F2" w14:textId="77777777" w:rsidR="00767260" w:rsidRPr="00A76818" w:rsidRDefault="00767260" w:rsidP="00BD0D49">
            <w:pPr>
              <w:pStyle w:val="TableParagraph"/>
              <w:spacing w:line="240" w:lineRule="auto"/>
              <w:jc w:val="left"/>
              <w:rPr>
                <w:sz w:val="18"/>
                <w:szCs w:val="18"/>
              </w:rPr>
            </w:pPr>
            <w:r w:rsidRPr="00A76818">
              <w:rPr>
                <w:sz w:val="18"/>
                <w:szCs w:val="18"/>
              </w:rPr>
              <w:t>Probability</w:t>
            </w:r>
            <w:r w:rsidRPr="00A76818">
              <w:rPr>
                <w:spacing w:val="-6"/>
                <w:sz w:val="18"/>
                <w:szCs w:val="18"/>
              </w:rPr>
              <w:t xml:space="preserve"> </w:t>
            </w:r>
            <w:r w:rsidRPr="00A76818">
              <w:rPr>
                <w:sz w:val="18"/>
                <w:szCs w:val="18"/>
              </w:rPr>
              <w:t>of</w:t>
            </w:r>
            <w:r w:rsidRPr="00A76818">
              <w:rPr>
                <w:spacing w:val="-3"/>
                <w:sz w:val="18"/>
                <w:szCs w:val="18"/>
              </w:rPr>
              <w:t xml:space="preserve"> </w:t>
            </w:r>
            <w:r w:rsidRPr="00A76818">
              <w:rPr>
                <w:sz w:val="18"/>
                <w:szCs w:val="18"/>
              </w:rPr>
              <w:t>superiority</w:t>
            </w:r>
            <w:r w:rsidRPr="00A76818">
              <w:rPr>
                <w:spacing w:val="-5"/>
                <w:sz w:val="18"/>
                <w:szCs w:val="18"/>
              </w:rPr>
              <w:t xml:space="preserve"> </w:t>
            </w:r>
            <w:r w:rsidRPr="00A76818">
              <w:rPr>
                <w:sz w:val="18"/>
                <w:szCs w:val="18"/>
              </w:rPr>
              <w:t>to</w:t>
            </w:r>
            <w:r w:rsidRPr="00A76818">
              <w:rPr>
                <w:spacing w:val="-4"/>
                <w:sz w:val="18"/>
                <w:szCs w:val="18"/>
              </w:rPr>
              <w:t xml:space="preserve"> </w:t>
            </w:r>
            <w:r w:rsidRPr="00A76818">
              <w:rPr>
                <w:sz w:val="18"/>
                <w:szCs w:val="18"/>
              </w:rPr>
              <w:t>control,</w:t>
            </w:r>
            <w:r w:rsidRPr="00A76818">
              <w:rPr>
                <w:spacing w:val="-3"/>
                <w:sz w:val="18"/>
                <w:szCs w:val="18"/>
              </w:rPr>
              <w:t xml:space="preserve"> </w:t>
            </w:r>
            <w:r w:rsidRPr="00A76818">
              <w:rPr>
                <w:sz w:val="18"/>
                <w:szCs w:val="18"/>
              </w:rPr>
              <w:t>%</w:t>
            </w:r>
          </w:p>
        </w:tc>
        <w:tc>
          <w:tcPr>
            <w:tcW w:w="696" w:type="pct"/>
            <w:tcBorders>
              <w:top w:val="dashSmallGap" w:sz="4" w:space="0" w:color="D8D8D8"/>
              <w:bottom w:val="dashSmallGap" w:sz="4" w:space="0" w:color="D8D8D8"/>
            </w:tcBorders>
            <w:shd w:val="clear" w:color="auto" w:fill="ECECEC"/>
            <w:vAlign w:val="center"/>
          </w:tcPr>
          <w:p w14:paraId="6E64CD57" w14:textId="29BAA6BD" w:rsidR="00767260" w:rsidRPr="006407DD" w:rsidRDefault="005D0318" w:rsidP="00507544">
            <w:pPr>
              <w:pStyle w:val="TableParagraph"/>
              <w:spacing w:line="240" w:lineRule="auto"/>
              <w:rPr>
                <w:sz w:val="18"/>
                <w:szCs w:val="18"/>
              </w:rPr>
            </w:pPr>
            <w:r w:rsidRPr="006407DD">
              <w:rPr>
                <w:sz w:val="18"/>
                <w:szCs w:val="18"/>
              </w:rPr>
              <w:t>&gt;99.9</w:t>
            </w:r>
          </w:p>
        </w:tc>
        <w:tc>
          <w:tcPr>
            <w:tcW w:w="696" w:type="pct"/>
            <w:tcBorders>
              <w:top w:val="dashSmallGap" w:sz="4" w:space="0" w:color="D8D8D8"/>
              <w:bottom w:val="dashSmallGap" w:sz="4" w:space="0" w:color="D8D8D8"/>
            </w:tcBorders>
            <w:shd w:val="clear" w:color="auto" w:fill="ECECEC"/>
            <w:vAlign w:val="center"/>
          </w:tcPr>
          <w:p w14:paraId="2C26831C" w14:textId="0EB5737D" w:rsidR="00767260" w:rsidRPr="006407DD" w:rsidRDefault="006407DD" w:rsidP="006F2FD5">
            <w:pPr>
              <w:pStyle w:val="TableParagraph"/>
              <w:spacing w:line="240" w:lineRule="auto"/>
              <w:rPr>
                <w:sz w:val="18"/>
                <w:szCs w:val="18"/>
              </w:rPr>
            </w:pPr>
            <w:r>
              <w:rPr>
                <w:sz w:val="18"/>
                <w:szCs w:val="18"/>
              </w:rPr>
              <w:t>99.9</w:t>
            </w:r>
          </w:p>
        </w:tc>
        <w:tc>
          <w:tcPr>
            <w:tcW w:w="696" w:type="pct"/>
            <w:tcBorders>
              <w:top w:val="dashSmallGap" w:sz="4" w:space="0" w:color="D8D8D8"/>
              <w:bottom w:val="dashSmallGap" w:sz="4" w:space="0" w:color="D8D8D8"/>
            </w:tcBorders>
            <w:shd w:val="clear" w:color="auto" w:fill="ECECEC"/>
            <w:vAlign w:val="center"/>
          </w:tcPr>
          <w:p w14:paraId="5C80906D" w14:textId="26B31B10" w:rsidR="00767260" w:rsidRPr="006407DD" w:rsidRDefault="006407DD" w:rsidP="006F2FD5">
            <w:pPr>
              <w:pStyle w:val="TableParagraph"/>
              <w:spacing w:line="240" w:lineRule="auto"/>
              <w:rPr>
                <w:sz w:val="18"/>
                <w:szCs w:val="18"/>
              </w:rPr>
            </w:pPr>
            <w:r>
              <w:rPr>
                <w:sz w:val="18"/>
                <w:szCs w:val="18"/>
              </w:rPr>
              <w:t>64.7</w:t>
            </w:r>
          </w:p>
        </w:tc>
        <w:tc>
          <w:tcPr>
            <w:tcW w:w="696" w:type="pct"/>
            <w:tcBorders>
              <w:top w:val="dashSmallGap" w:sz="4" w:space="0" w:color="D8D8D8"/>
              <w:bottom w:val="dashSmallGap" w:sz="4" w:space="0" w:color="D8D8D8"/>
            </w:tcBorders>
            <w:shd w:val="clear" w:color="auto" w:fill="ECECEC"/>
            <w:vAlign w:val="center"/>
          </w:tcPr>
          <w:p w14:paraId="4B319BD6" w14:textId="5E572C8C" w:rsidR="00767260" w:rsidRPr="006407DD" w:rsidRDefault="006407DD" w:rsidP="006F2FD5">
            <w:pPr>
              <w:pStyle w:val="TableParagraph"/>
              <w:spacing w:line="240" w:lineRule="auto"/>
              <w:rPr>
                <w:sz w:val="18"/>
                <w:szCs w:val="18"/>
              </w:rPr>
            </w:pPr>
            <w:r>
              <w:rPr>
                <w:sz w:val="18"/>
                <w:szCs w:val="18"/>
              </w:rPr>
              <w:t>72.8</w:t>
            </w:r>
          </w:p>
        </w:tc>
        <w:tc>
          <w:tcPr>
            <w:tcW w:w="696" w:type="pct"/>
            <w:tcBorders>
              <w:top w:val="dashSmallGap" w:sz="4" w:space="0" w:color="D8D8D8"/>
              <w:bottom w:val="dashSmallGap" w:sz="4" w:space="0" w:color="D8D8D8"/>
            </w:tcBorders>
            <w:shd w:val="clear" w:color="auto" w:fill="ECECEC"/>
            <w:vAlign w:val="center"/>
          </w:tcPr>
          <w:p w14:paraId="49342C58" w14:textId="77777777" w:rsidR="00767260" w:rsidRPr="006407DD" w:rsidRDefault="00767260" w:rsidP="006F2FD5">
            <w:pPr>
              <w:pStyle w:val="TableParagraph"/>
              <w:spacing w:line="240" w:lineRule="auto"/>
              <w:rPr>
                <w:sz w:val="18"/>
                <w:szCs w:val="18"/>
              </w:rPr>
            </w:pPr>
            <w:r w:rsidRPr="006407DD">
              <w:rPr>
                <w:sz w:val="18"/>
                <w:szCs w:val="18"/>
              </w:rPr>
              <w:t>-</w:t>
            </w:r>
          </w:p>
        </w:tc>
      </w:tr>
      <w:tr w:rsidR="00206C13" w:rsidRPr="00A76818" w14:paraId="114D1D1B" w14:textId="77777777" w:rsidTr="00BB21F9">
        <w:trPr>
          <w:gridAfter w:val="1"/>
          <w:wAfter w:w="12" w:type="pct"/>
          <w:trHeight w:val="522"/>
        </w:trPr>
        <w:tc>
          <w:tcPr>
            <w:tcW w:w="4988" w:type="pct"/>
            <w:gridSpan w:val="6"/>
            <w:tcBorders>
              <w:top w:val="dashSmallGap" w:sz="4" w:space="0" w:color="D8D8D8"/>
              <w:bottom w:val="dashSmallGap" w:sz="4" w:space="0" w:color="D8D8D8"/>
            </w:tcBorders>
            <w:shd w:val="clear" w:color="auto" w:fill="ECECEC"/>
          </w:tcPr>
          <w:p w14:paraId="6422420F" w14:textId="27DB82E8" w:rsidR="00206C13" w:rsidRPr="00A76818" w:rsidRDefault="00CA20E0" w:rsidP="00BD0D49">
            <w:pPr>
              <w:pStyle w:val="TableParagraph"/>
              <w:spacing w:line="240" w:lineRule="auto"/>
              <w:ind w:right="5491"/>
              <w:jc w:val="left"/>
              <w:rPr>
                <w:b/>
                <w:sz w:val="18"/>
                <w:szCs w:val="18"/>
              </w:rPr>
            </w:pPr>
            <w:r w:rsidRPr="00A76818">
              <w:rPr>
                <w:b/>
                <w:sz w:val="18"/>
                <w:szCs w:val="18"/>
              </w:rPr>
              <w:t>Secondary</w:t>
            </w:r>
            <w:r w:rsidRPr="00A76818">
              <w:rPr>
                <w:b/>
                <w:spacing w:val="-6"/>
                <w:sz w:val="18"/>
                <w:szCs w:val="18"/>
              </w:rPr>
              <w:t xml:space="preserve"> </w:t>
            </w:r>
            <w:r w:rsidRPr="00A76818">
              <w:rPr>
                <w:b/>
                <w:sz w:val="18"/>
                <w:szCs w:val="18"/>
              </w:rPr>
              <w:t>Analysis</w:t>
            </w:r>
            <w:r w:rsidRPr="00A76818">
              <w:rPr>
                <w:b/>
                <w:spacing w:val="-3"/>
                <w:sz w:val="18"/>
                <w:szCs w:val="18"/>
              </w:rPr>
              <w:t xml:space="preserve"> </w:t>
            </w:r>
            <w:r w:rsidRPr="00A76818">
              <w:rPr>
                <w:b/>
                <w:sz w:val="18"/>
                <w:szCs w:val="18"/>
              </w:rPr>
              <w:t>of</w:t>
            </w:r>
            <w:r w:rsidRPr="00A76818">
              <w:rPr>
                <w:b/>
                <w:spacing w:val="-6"/>
                <w:sz w:val="18"/>
                <w:szCs w:val="18"/>
              </w:rPr>
              <w:t xml:space="preserve"> </w:t>
            </w:r>
            <w:r>
              <w:rPr>
                <w:b/>
                <w:sz w:val="18"/>
                <w:szCs w:val="18"/>
              </w:rPr>
              <w:t>Hospital Survival</w:t>
            </w:r>
            <w:r w:rsidRPr="00A76818">
              <w:rPr>
                <w:sz w:val="18"/>
                <w:szCs w:val="18"/>
              </w:rPr>
              <w:t>,</w:t>
            </w:r>
            <w:r w:rsidRPr="00A76818">
              <w:rPr>
                <w:spacing w:val="-6"/>
                <w:sz w:val="18"/>
                <w:szCs w:val="18"/>
              </w:rPr>
              <w:t xml:space="preserve"> </w:t>
            </w:r>
            <w:r w:rsidRPr="00A76818">
              <w:rPr>
                <w:sz w:val="18"/>
                <w:szCs w:val="18"/>
              </w:rPr>
              <w:t xml:space="preserve">for </w:t>
            </w:r>
            <w:r w:rsidRPr="00CA20E0">
              <w:rPr>
                <w:sz w:val="18"/>
                <w:szCs w:val="18"/>
              </w:rPr>
              <w:t>Unblinded ITT popula</w:t>
            </w:r>
            <w:r>
              <w:rPr>
                <w:sz w:val="18"/>
                <w:szCs w:val="18"/>
              </w:rPr>
              <w:t>ti</w:t>
            </w:r>
            <w:r w:rsidRPr="00CA20E0">
              <w:rPr>
                <w:sz w:val="18"/>
                <w:szCs w:val="18"/>
              </w:rPr>
              <w:t>on with nes</w:t>
            </w:r>
            <w:r>
              <w:rPr>
                <w:sz w:val="18"/>
                <w:szCs w:val="18"/>
              </w:rPr>
              <w:t>ti</w:t>
            </w:r>
            <w:r w:rsidRPr="00CA20E0">
              <w:rPr>
                <w:sz w:val="18"/>
                <w:szCs w:val="18"/>
              </w:rPr>
              <w:t>ng betwee</w:t>
            </w:r>
            <w:r>
              <w:rPr>
                <w:sz w:val="18"/>
                <w:szCs w:val="18"/>
              </w:rPr>
              <w:t xml:space="preserve">n </w:t>
            </w:r>
            <w:r w:rsidRPr="00CA20E0">
              <w:rPr>
                <w:sz w:val="18"/>
                <w:szCs w:val="18"/>
              </w:rPr>
              <w:t>IL-6ra interven</w:t>
            </w:r>
            <w:r>
              <w:rPr>
                <w:sz w:val="18"/>
                <w:szCs w:val="18"/>
              </w:rPr>
              <w:t>ti</w:t>
            </w:r>
            <w:r w:rsidRPr="00CA20E0">
              <w:rPr>
                <w:sz w:val="18"/>
                <w:szCs w:val="18"/>
              </w:rPr>
              <w:t>on effects</w:t>
            </w:r>
          </w:p>
        </w:tc>
      </w:tr>
      <w:tr w:rsidR="006407DD" w:rsidRPr="00A76818" w14:paraId="52C8E955" w14:textId="77777777" w:rsidTr="00BB21F9">
        <w:trPr>
          <w:gridAfter w:val="1"/>
          <w:wAfter w:w="12" w:type="pct"/>
          <w:trHeight w:val="282"/>
        </w:trPr>
        <w:tc>
          <w:tcPr>
            <w:tcW w:w="1509" w:type="pct"/>
            <w:tcBorders>
              <w:top w:val="dashSmallGap" w:sz="4" w:space="0" w:color="D8D8D8"/>
              <w:bottom w:val="dashSmallGap" w:sz="6" w:space="0" w:color="D8D8D8"/>
            </w:tcBorders>
            <w:shd w:val="clear" w:color="auto" w:fill="ECECEC"/>
          </w:tcPr>
          <w:p w14:paraId="56625E9D" w14:textId="529041AB" w:rsidR="006407DD" w:rsidRPr="00A76818" w:rsidRDefault="006407DD" w:rsidP="006407DD">
            <w:pPr>
              <w:pStyle w:val="TableParagraph"/>
              <w:spacing w:line="240" w:lineRule="auto"/>
              <w:jc w:val="left"/>
              <w:rPr>
                <w:sz w:val="18"/>
                <w:szCs w:val="18"/>
              </w:rPr>
            </w:pPr>
            <w:r w:rsidRPr="00A76818">
              <w:rPr>
                <w:sz w:val="18"/>
                <w:szCs w:val="18"/>
              </w:rPr>
              <w:t>Adjusted</w:t>
            </w:r>
            <w:r w:rsidRPr="00A76818">
              <w:rPr>
                <w:spacing w:val="-3"/>
                <w:sz w:val="18"/>
                <w:szCs w:val="18"/>
              </w:rPr>
              <w:t xml:space="preserve"> </w:t>
            </w:r>
            <w:r w:rsidRPr="00A76818">
              <w:rPr>
                <w:sz w:val="18"/>
                <w:szCs w:val="18"/>
              </w:rPr>
              <w:t>OR</w:t>
            </w:r>
            <w:r w:rsidRPr="00A76818">
              <w:rPr>
                <w:spacing w:val="2"/>
                <w:sz w:val="18"/>
                <w:szCs w:val="18"/>
              </w:rPr>
              <w:t xml:space="preserve"> </w:t>
            </w:r>
            <w:r w:rsidRPr="00A76818">
              <w:rPr>
                <w:sz w:val="18"/>
                <w:szCs w:val="18"/>
              </w:rPr>
              <w:t>-</w:t>
            </w:r>
            <w:r w:rsidRPr="00A76818">
              <w:rPr>
                <w:spacing w:val="-2"/>
                <w:sz w:val="18"/>
                <w:szCs w:val="18"/>
              </w:rPr>
              <w:t xml:space="preserve"> </w:t>
            </w:r>
            <w:r w:rsidRPr="00A76818">
              <w:rPr>
                <w:sz w:val="18"/>
                <w:szCs w:val="18"/>
              </w:rPr>
              <w:t>mean</w:t>
            </w:r>
            <w:r w:rsidRPr="00A76818">
              <w:rPr>
                <w:spacing w:val="-3"/>
                <w:sz w:val="18"/>
                <w:szCs w:val="18"/>
              </w:rPr>
              <w:t xml:space="preserve"> </w:t>
            </w:r>
            <w:r w:rsidRPr="00A76818">
              <w:rPr>
                <w:sz w:val="18"/>
                <w:szCs w:val="18"/>
              </w:rPr>
              <w:t>(SD)</w:t>
            </w:r>
          </w:p>
        </w:tc>
        <w:tc>
          <w:tcPr>
            <w:tcW w:w="696" w:type="pct"/>
            <w:tcBorders>
              <w:top w:val="dashSmallGap" w:sz="4" w:space="0" w:color="D8D8D8"/>
              <w:bottom w:val="dashSmallGap" w:sz="6" w:space="0" w:color="D8D8D8"/>
            </w:tcBorders>
            <w:shd w:val="clear" w:color="auto" w:fill="ECECEC"/>
            <w:vAlign w:val="center"/>
          </w:tcPr>
          <w:p w14:paraId="16D483A8" w14:textId="614AE9F6" w:rsidR="006407DD" w:rsidRPr="00A76818" w:rsidRDefault="006407DD" w:rsidP="006407DD">
            <w:pPr>
              <w:pStyle w:val="TableParagraph"/>
              <w:spacing w:line="240" w:lineRule="auto"/>
              <w:rPr>
                <w:sz w:val="18"/>
                <w:szCs w:val="18"/>
              </w:rPr>
            </w:pPr>
            <w:r>
              <w:rPr>
                <w:sz w:val="18"/>
                <w:szCs w:val="18"/>
              </w:rPr>
              <w:t>1.47 (0.23)</w:t>
            </w:r>
          </w:p>
        </w:tc>
        <w:tc>
          <w:tcPr>
            <w:tcW w:w="696" w:type="pct"/>
            <w:tcBorders>
              <w:top w:val="dashSmallGap" w:sz="4" w:space="0" w:color="D8D8D8"/>
              <w:bottom w:val="dashSmallGap" w:sz="6" w:space="0" w:color="D8D8D8"/>
            </w:tcBorders>
            <w:shd w:val="clear" w:color="auto" w:fill="ECECEC"/>
            <w:vAlign w:val="center"/>
          </w:tcPr>
          <w:p w14:paraId="71CB769B" w14:textId="202F2A90" w:rsidR="006407DD" w:rsidRPr="00A76818" w:rsidRDefault="006407DD" w:rsidP="006407DD">
            <w:pPr>
              <w:pStyle w:val="TableParagraph"/>
              <w:spacing w:line="240" w:lineRule="auto"/>
              <w:rPr>
                <w:sz w:val="18"/>
                <w:szCs w:val="18"/>
              </w:rPr>
            </w:pPr>
            <w:r>
              <w:rPr>
                <w:sz w:val="18"/>
                <w:szCs w:val="18"/>
              </w:rPr>
              <w:t>1.55 (0.27)</w:t>
            </w:r>
          </w:p>
        </w:tc>
        <w:tc>
          <w:tcPr>
            <w:tcW w:w="696" w:type="pct"/>
            <w:tcBorders>
              <w:top w:val="dashSmallGap" w:sz="4" w:space="0" w:color="D8D8D8"/>
              <w:bottom w:val="dashSmallGap" w:sz="6" w:space="0" w:color="D8D8D8"/>
            </w:tcBorders>
            <w:shd w:val="clear" w:color="auto" w:fill="ECECEC"/>
            <w:vAlign w:val="center"/>
          </w:tcPr>
          <w:p w14:paraId="25920974" w14:textId="5AA9C1EB" w:rsidR="006407DD" w:rsidRPr="00A76818" w:rsidRDefault="006407DD" w:rsidP="006407DD">
            <w:pPr>
              <w:pStyle w:val="TableParagraph"/>
              <w:spacing w:line="240" w:lineRule="auto"/>
              <w:rPr>
                <w:sz w:val="18"/>
                <w:szCs w:val="18"/>
              </w:rPr>
            </w:pPr>
            <w:r>
              <w:rPr>
                <w:sz w:val="18"/>
                <w:szCs w:val="18"/>
              </w:rPr>
              <w:t>1.03 (0.20)</w:t>
            </w:r>
          </w:p>
        </w:tc>
        <w:tc>
          <w:tcPr>
            <w:tcW w:w="696" w:type="pct"/>
            <w:tcBorders>
              <w:top w:val="dashSmallGap" w:sz="4" w:space="0" w:color="D8D8D8"/>
              <w:bottom w:val="dashSmallGap" w:sz="6" w:space="0" w:color="D8D8D8"/>
            </w:tcBorders>
            <w:shd w:val="clear" w:color="auto" w:fill="ECECEC"/>
            <w:vAlign w:val="center"/>
          </w:tcPr>
          <w:p w14:paraId="6E816567" w14:textId="6AE03391" w:rsidR="006407DD" w:rsidRPr="00A76818" w:rsidRDefault="006407DD" w:rsidP="006407DD">
            <w:pPr>
              <w:pStyle w:val="TableParagraph"/>
              <w:spacing w:line="240" w:lineRule="auto"/>
              <w:rPr>
                <w:sz w:val="18"/>
                <w:szCs w:val="18"/>
              </w:rPr>
            </w:pPr>
            <w:r>
              <w:rPr>
                <w:sz w:val="18"/>
                <w:szCs w:val="18"/>
              </w:rPr>
              <w:t>1.42 (0.72)</w:t>
            </w:r>
          </w:p>
        </w:tc>
        <w:tc>
          <w:tcPr>
            <w:tcW w:w="696" w:type="pct"/>
            <w:tcBorders>
              <w:top w:val="dashSmallGap" w:sz="4" w:space="0" w:color="D8D8D8"/>
              <w:bottom w:val="dashSmallGap" w:sz="6" w:space="0" w:color="D8D8D8"/>
            </w:tcBorders>
            <w:shd w:val="clear" w:color="auto" w:fill="ECECEC"/>
            <w:vAlign w:val="center"/>
          </w:tcPr>
          <w:p w14:paraId="751C1E72" w14:textId="3A51E401" w:rsidR="006407DD" w:rsidRPr="00A76818" w:rsidRDefault="006407DD" w:rsidP="006407DD">
            <w:pPr>
              <w:pStyle w:val="TableParagraph"/>
              <w:spacing w:line="240" w:lineRule="auto"/>
              <w:rPr>
                <w:sz w:val="18"/>
                <w:szCs w:val="18"/>
              </w:rPr>
            </w:pPr>
            <w:r w:rsidRPr="006407DD">
              <w:rPr>
                <w:sz w:val="18"/>
                <w:szCs w:val="18"/>
              </w:rPr>
              <w:t>1</w:t>
            </w:r>
          </w:p>
        </w:tc>
      </w:tr>
      <w:tr w:rsidR="006407DD" w:rsidRPr="00A76818" w14:paraId="366B11B7" w14:textId="77777777" w:rsidTr="00BB21F9">
        <w:trPr>
          <w:gridAfter w:val="1"/>
          <w:wAfter w:w="12" w:type="pct"/>
          <w:trHeight w:val="282"/>
        </w:trPr>
        <w:tc>
          <w:tcPr>
            <w:tcW w:w="1509" w:type="pct"/>
            <w:tcBorders>
              <w:top w:val="dashSmallGap" w:sz="6" w:space="0" w:color="D8D8D8"/>
              <w:bottom w:val="dashSmallGap" w:sz="4" w:space="0" w:color="D8D8D8"/>
            </w:tcBorders>
            <w:shd w:val="clear" w:color="auto" w:fill="ECECEC"/>
          </w:tcPr>
          <w:p w14:paraId="00AC4DB4" w14:textId="03341D68" w:rsidR="006407DD" w:rsidRPr="00A76818" w:rsidRDefault="006407DD" w:rsidP="006407DD">
            <w:pPr>
              <w:pStyle w:val="TableParagraph"/>
              <w:spacing w:line="240" w:lineRule="auto"/>
              <w:jc w:val="left"/>
              <w:rPr>
                <w:sz w:val="18"/>
                <w:szCs w:val="18"/>
              </w:rPr>
            </w:pPr>
            <w:r w:rsidRPr="00A76818">
              <w:rPr>
                <w:sz w:val="18"/>
                <w:szCs w:val="18"/>
              </w:rPr>
              <w:t>-</w:t>
            </w:r>
            <w:r w:rsidRPr="00A76818">
              <w:rPr>
                <w:spacing w:val="-3"/>
                <w:sz w:val="18"/>
                <w:szCs w:val="18"/>
              </w:rPr>
              <w:t xml:space="preserve"> </w:t>
            </w:r>
            <w:r w:rsidRPr="00A76818">
              <w:rPr>
                <w:sz w:val="18"/>
                <w:szCs w:val="18"/>
              </w:rPr>
              <w:t>median</w:t>
            </w:r>
            <w:r w:rsidRPr="00A76818">
              <w:rPr>
                <w:spacing w:val="-2"/>
                <w:sz w:val="18"/>
                <w:szCs w:val="18"/>
              </w:rPr>
              <w:t xml:space="preserve"> </w:t>
            </w:r>
            <w:r w:rsidRPr="00A76818">
              <w:rPr>
                <w:sz w:val="18"/>
                <w:szCs w:val="18"/>
              </w:rPr>
              <w:t>(95%</w:t>
            </w:r>
            <w:r w:rsidRPr="00A76818">
              <w:rPr>
                <w:spacing w:val="-1"/>
                <w:sz w:val="18"/>
                <w:szCs w:val="18"/>
              </w:rPr>
              <w:t xml:space="preserve"> </w:t>
            </w:r>
            <w:r w:rsidRPr="00A76818">
              <w:rPr>
                <w:sz w:val="18"/>
                <w:szCs w:val="18"/>
              </w:rPr>
              <w:t>CrI)</w:t>
            </w:r>
          </w:p>
        </w:tc>
        <w:tc>
          <w:tcPr>
            <w:tcW w:w="696" w:type="pct"/>
            <w:tcBorders>
              <w:top w:val="dashSmallGap" w:sz="6" w:space="0" w:color="D8D8D8"/>
              <w:bottom w:val="dashSmallGap" w:sz="4" w:space="0" w:color="D8D8D8"/>
            </w:tcBorders>
            <w:shd w:val="clear" w:color="auto" w:fill="ECECEC"/>
            <w:vAlign w:val="center"/>
          </w:tcPr>
          <w:p w14:paraId="6D2DB47A" w14:textId="78A1989F" w:rsidR="006407DD" w:rsidRPr="00A76818" w:rsidRDefault="006407DD" w:rsidP="006407DD">
            <w:pPr>
              <w:pStyle w:val="TableParagraph"/>
              <w:spacing w:line="240" w:lineRule="auto"/>
              <w:rPr>
                <w:sz w:val="18"/>
                <w:szCs w:val="18"/>
              </w:rPr>
            </w:pPr>
            <w:r>
              <w:rPr>
                <w:sz w:val="18"/>
                <w:szCs w:val="18"/>
              </w:rPr>
              <w:t>1.45 (1.07 to 1.97)</w:t>
            </w:r>
          </w:p>
        </w:tc>
        <w:tc>
          <w:tcPr>
            <w:tcW w:w="696" w:type="pct"/>
            <w:tcBorders>
              <w:top w:val="dashSmallGap" w:sz="6" w:space="0" w:color="D8D8D8"/>
              <w:bottom w:val="dashSmallGap" w:sz="4" w:space="0" w:color="D8D8D8"/>
            </w:tcBorders>
            <w:shd w:val="clear" w:color="auto" w:fill="ECECEC"/>
            <w:vAlign w:val="center"/>
          </w:tcPr>
          <w:p w14:paraId="0D718E1B" w14:textId="42B3C19E" w:rsidR="006407DD" w:rsidRPr="00A76818" w:rsidRDefault="006407DD" w:rsidP="006407DD">
            <w:pPr>
              <w:pStyle w:val="TableParagraph"/>
              <w:spacing w:line="240" w:lineRule="auto"/>
              <w:rPr>
                <w:sz w:val="18"/>
                <w:szCs w:val="18"/>
              </w:rPr>
            </w:pPr>
            <w:r>
              <w:rPr>
                <w:sz w:val="18"/>
                <w:szCs w:val="18"/>
              </w:rPr>
              <w:t>1.53 (1.11 to 2.15)</w:t>
            </w:r>
          </w:p>
        </w:tc>
        <w:tc>
          <w:tcPr>
            <w:tcW w:w="696" w:type="pct"/>
            <w:tcBorders>
              <w:top w:val="dashSmallGap" w:sz="6" w:space="0" w:color="D8D8D8"/>
              <w:bottom w:val="dashSmallGap" w:sz="4" w:space="0" w:color="D8D8D8"/>
            </w:tcBorders>
            <w:shd w:val="clear" w:color="auto" w:fill="ECECEC"/>
            <w:vAlign w:val="center"/>
          </w:tcPr>
          <w:p w14:paraId="58656278" w14:textId="5547A58B" w:rsidR="006407DD" w:rsidRPr="00A76818" w:rsidRDefault="006407DD" w:rsidP="006407DD">
            <w:pPr>
              <w:pStyle w:val="TableParagraph"/>
              <w:spacing w:line="240" w:lineRule="auto"/>
              <w:rPr>
                <w:sz w:val="18"/>
                <w:szCs w:val="18"/>
              </w:rPr>
            </w:pPr>
            <w:r>
              <w:rPr>
                <w:sz w:val="18"/>
                <w:szCs w:val="18"/>
              </w:rPr>
              <w:t>1.01 (0.70 to 1.49)</w:t>
            </w:r>
          </w:p>
        </w:tc>
        <w:tc>
          <w:tcPr>
            <w:tcW w:w="696" w:type="pct"/>
            <w:tcBorders>
              <w:top w:val="dashSmallGap" w:sz="6" w:space="0" w:color="D8D8D8"/>
              <w:bottom w:val="dashSmallGap" w:sz="4" w:space="0" w:color="D8D8D8"/>
            </w:tcBorders>
            <w:shd w:val="clear" w:color="auto" w:fill="ECECEC"/>
            <w:vAlign w:val="center"/>
          </w:tcPr>
          <w:p w14:paraId="447F8C6E" w14:textId="6DC51340" w:rsidR="006407DD" w:rsidRPr="00A76818" w:rsidRDefault="006407DD" w:rsidP="006407DD">
            <w:pPr>
              <w:pStyle w:val="TableParagraph"/>
              <w:spacing w:line="240" w:lineRule="auto"/>
              <w:rPr>
                <w:sz w:val="18"/>
                <w:szCs w:val="18"/>
              </w:rPr>
            </w:pPr>
            <w:r>
              <w:rPr>
                <w:sz w:val="18"/>
                <w:szCs w:val="18"/>
              </w:rPr>
              <w:t>1.26 (0.52 to 3.22)</w:t>
            </w:r>
          </w:p>
        </w:tc>
        <w:tc>
          <w:tcPr>
            <w:tcW w:w="696" w:type="pct"/>
            <w:tcBorders>
              <w:top w:val="dashSmallGap" w:sz="6" w:space="0" w:color="D8D8D8"/>
              <w:bottom w:val="dashSmallGap" w:sz="4" w:space="0" w:color="D8D8D8"/>
            </w:tcBorders>
            <w:shd w:val="clear" w:color="auto" w:fill="ECECEC"/>
            <w:vAlign w:val="center"/>
          </w:tcPr>
          <w:p w14:paraId="6C3B34F2" w14:textId="72A4DA7E" w:rsidR="006407DD" w:rsidRPr="00A76818" w:rsidRDefault="006407DD" w:rsidP="006407DD">
            <w:pPr>
              <w:pStyle w:val="TableParagraph"/>
              <w:spacing w:line="240" w:lineRule="auto"/>
              <w:rPr>
                <w:sz w:val="18"/>
                <w:szCs w:val="18"/>
              </w:rPr>
            </w:pPr>
            <w:r w:rsidRPr="006407DD">
              <w:rPr>
                <w:sz w:val="18"/>
                <w:szCs w:val="18"/>
              </w:rPr>
              <w:t>1</w:t>
            </w:r>
          </w:p>
        </w:tc>
      </w:tr>
      <w:tr w:rsidR="006407DD" w:rsidRPr="00A76818" w14:paraId="13CCC1DD" w14:textId="77777777" w:rsidTr="00BB21F9">
        <w:trPr>
          <w:gridAfter w:val="1"/>
          <w:wAfter w:w="12" w:type="pct"/>
          <w:trHeight w:val="285"/>
        </w:trPr>
        <w:tc>
          <w:tcPr>
            <w:tcW w:w="1509" w:type="pct"/>
            <w:tcBorders>
              <w:top w:val="dashSmallGap" w:sz="4" w:space="0" w:color="D8D8D8"/>
              <w:bottom w:val="dashSmallGap" w:sz="4" w:space="0" w:color="D8D8D8"/>
            </w:tcBorders>
            <w:shd w:val="clear" w:color="auto" w:fill="ECECEC"/>
          </w:tcPr>
          <w:p w14:paraId="44935F3D" w14:textId="0158E1EC" w:rsidR="006407DD" w:rsidRPr="00A76818" w:rsidRDefault="006407DD" w:rsidP="006407DD">
            <w:pPr>
              <w:pStyle w:val="TableParagraph"/>
              <w:spacing w:line="240" w:lineRule="auto"/>
              <w:jc w:val="left"/>
              <w:rPr>
                <w:sz w:val="18"/>
                <w:szCs w:val="18"/>
              </w:rPr>
            </w:pPr>
            <w:r w:rsidRPr="00A76818">
              <w:rPr>
                <w:sz w:val="18"/>
                <w:szCs w:val="18"/>
              </w:rPr>
              <w:t>Probability</w:t>
            </w:r>
            <w:r w:rsidRPr="00A76818">
              <w:rPr>
                <w:spacing w:val="-6"/>
                <w:sz w:val="18"/>
                <w:szCs w:val="18"/>
              </w:rPr>
              <w:t xml:space="preserve"> </w:t>
            </w:r>
            <w:r w:rsidRPr="00A76818">
              <w:rPr>
                <w:sz w:val="18"/>
                <w:szCs w:val="18"/>
              </w:rPr>
              <w:t>of</w:t>
            </w:r>
            <w:r w:rsidRPr="00A76818">
              <w:rPr>
                <w:spacing w:val="-3"/>
                <w:sz w:val="18"/>
                <w:szCs w:val="18"/>
              </w:rPr>
              <w:t xml:space="preserve"> </w:t>
            </w:r>
            <w:r w:rsidRPr="00A76818">
              <w:rPr>
                <w:sz w:val="18"/>
                <w:szCs w:val="18"/>
              </w:rPr>
              <w:t>superiority</w:t>
            </w:r>
            <w:r w:rsidRPr="00A76818">
              <w:rPr>
                <w:spacing w:val="-5"/>
                <w:sz w:val="18"/>
                <w:szCs w:val="18"/>
              </w:rPr>
              <w:t xml:space="preserve"> </w:t>
            </w:r>
            <w:r w:rsidRPr="00A76818">
              <w:rPr>
                <w:sz w:val="18"/>
                <w:szCs w:val="18"/>
              </w:rPr>
              <w:t>to</w:t>
            </w:r>
            <w:r w:rsidRPr="00A76818">
              <w:rPr>
                <w:spacing w:val="-4"/>
                <w:sz w:val="18"/>
                <w:szCs w:val="18"/>
              </w:rPr>
              <w:t xml:space="preserve"> </w:t>
            </w:r>
            <w:r w:rsidRPr="00A76818">
              <w:rPr>
                <w:sz w:val="18"/>
                <w:szCs w:val="18"/>
              </w:rPr>
              <w:t>control,</w:t>
            </w:r>
            <w:r w:rsidRPr="00A76818">
              <w:rPr>
                <w:spacing w:val="-3"/>
                <w:sz w:val="18"/>
                <w:szCs w:val="18"/>
              </w:rPr>
              <w:t xml:space="preserve"> </w:t>
            </w:r>
            <w:r w:rsidRPr="00A76818">
              <w:rPr>
                <w:sz w:val="18"/>
                <w:szCs w:val="18"/>
              </w:rPr>
              <w:t>%</w:t>
            </w:r>
          </w:p>
        </w:tc>
        <w:tc>
          <w:tcPr>
            <w:tcW w:w="696" w:type="pct"/>
            <w:tcBorders>
              <w:top w:val="dashSmallGap" w:sz="4" w:space="0" w:color="D8D8D8"/>
              <w:bottom w:val="dashSmallGap" w:sz="4" w:space="0" w:color="D8D8D8"/>
            </w:tcBorders>
            <w:shd w:val="clear" w:color="auto" w:fill="ECECEC"/>
            <w:vAlign w:val="center"/>
          </w:tcPr>
          <w:p w14:paraId="64B9851E" w14:textId="2AD89D95" w:rsidR="006407DD" w:rsidRPr="00A76818" w:rsidRDefault="006407DD" w:rsidP="006407DD">
            <w:pPr>
              <w:pStyle w:val="TableParagraph"/>
              <w:spacing w:line="240" w:lineRule="auto"/>
              <w:rPr>
                <w:sz w:val="18"/>
                <w:szCs w:val="18"/>
              </w:rPr>
            </w:pPr>
            <w:r>
              <w:rPr>
                <w:sz w:val="18"/>
                <w:szCs w:val="18"/>
              </w:rPr>
              <w:t>99.3</w:t>
            </w:r>
          </w:p>
        </w:tc>
        <w:tc>
          <w:tcPr>
            <w:tcW w:w="696" w:type="pct"/>
            <w:tcBorders>
              <w:top w:val="dashSmallGap" w:sz="4" w:space="0" w:color="D8D8D8"/>
              <w:bottom w:val="dashSmallGap" w:sz="4" w:space="0" w:color="D8D8D8"/>
            </w:tcBorders>
            <w:shd w:val="clear" w:color="auto" w:fill="ECECEC"/>
            <w:vAlign w:val="center"/>
          </w:tcPr>
          <w:p w14:paraId="3C34C78F" w14:textId="31E6B882" w:rsidR="006407DD" w:rsidRPr="00A76818" w:rsidRDefault="006407DD" w:rsidP="006407DD">
            <w:pPr>
              <w:pStyle w:val="TableParagraph"/>
              <w:spacing w:line="240" w:lineRule="auto"/>
              <w:rPr>
                <w:sz w:val="18"/>
                <w:szCs w:val="18"/>
              </w:rPr>
            </w:pPr>
            <w:r>
              <w:rPr>
                <w:sz w:val="18"/>
                <w:szCs w:val="18"/>
              </w:rPr>
              <w:t>99.6</w:t>
            </w:r>
          </w:p>
        </w:tc>
        <w:tc>
          <w:tcPr>
            <w:tcW w:w="696" w:type="pct"/>
            <w:tcBorders>
              <w:top w:val="dashSmallGap" w:sz="4" w:space="0" w:color="D8D8D8"/>
              <w:bottom w:val="dashSmallGap" w:sz="4" w:space="0" w:color="D8D8D8"/>
            </w:tcBorders>
            <w:shd w:val="clear" w:color="auto" w:fill="ECECEC"/>
            <w:vAlign w:val="center"/>
          </w:tcPr>
          <w:p w14:paraId="4FD895DC" w14:textId="68A1D02B" w:rsidR="006407DD" w:rsidRPr="00A76818" w:rsidRDefault="006407DD" w:rsidP="006407DD">
            <w:pPr>
              <w:pStyle w:val="TableParagraph"/>
              <w:spacing w:line="240" w:lineRule="auto"/>
              <w:rPr>
                <w:sz w:val="18"/>
                <w:szCs w:val="18"/>
              </w:rPr>
            </w:pPr>
            <w:r>
              <w:rPr>
                <w:sz w:val="18"/>
                <w:szCs w:val="18"/>
              </w:rPr>
              <w:t>52.4</w:t>
            </w:r>
          </w:p>
        </w:tc>
        <w:tc>
          <w:tcPr>
            <w:tcW w:w="696" w:type="pct"/>
            <w:tcBorders>
              <w:top w:val="dashSmallGap" w:sz="4" w:space="0" w:color="D8D8D8"/>
              <w:bottom w:val="dashSmallGap" w:sz="4" w:space="0" w:color="D8D8D8"/>
            </w:tcBorders>
            <w:shd w:val="clear" w:color="auto" w:fill="ECECEC"/>
            <w:vAlign w:val="center"/>
          </w:tcPr>
          <w:p w14:paraId="42F9FBC1" w14:textId="40424F8E" w:rsidR="006407DD" w:rsidRPr="00A76818" w:rsidRDefault="006407DD" w:rsidP="006407DD">
            <w:pPr>
              <w:pStyle w:val="TableParagraph"/>
              <w:spacing w:line="240" w:lineRule="auto"/>
              <w:rPr>
                <w:sz w:val="18"/>
                <w:szCs w:val="18"/>
              </w:rPr>
            </w:pPr>
            <w:r>
              <w:rPr>
                <w:sz w:val="18"/>
                <w:szCs w:val="18"/>
              </w:rPr>
              <w:t>68.9</w:t>
            </w:r>
          </w:p>
        </w:tc>
        <w:tc>
          <w:tcPr>
            <w:tcW w:w="696" w:type="pct"/>
            <w:tcBorders>
              <w:top w:val="dashSmallGap" w:sz="4" w:space="0" w:color="D8D8D8"/>
              <w:bottom w:val="dashSmallGap" w:sz="4" w:space="0" w:color="D8D8D8"/>
            </w:tcBorders>
            <w:shd w:val="clear" w:color="auto" w:fill="ECECEC"/>
            <w:vAlign w:val="center"/>
          </w:tcPr>
          <w:p w14:paraId="0B3BE4FF" w14:textId="395F15B3" w:rsidR="006407DD" w:rsidRPr="00A76818" w:rsidRDefault="006407DD" w:rsidP="006407DD">
            <w:pPr>
              <w:pStyle w:val="TableParagraph"/>
              <w:spacing w:line="240" w:lineRule="auto"/>
              <w:rPr>
                <w:sz w:val="18"/>
                <w:szCs w:val="18"/>
              </w:rPr>
            </w:pPr>
            <w:r w:rsidRPr="006407DD">
              <w:rPr>
                <w:sz w:val="18"/>
                <w:szCs w:val="18"/>
              </w:rPr>
              <w:t>-</w:t>
            </w:r>
          </w:p>
        </w:tc>
      </w:tr>
      <w:tr w:rsidR="006407DD" w:rsidRPr="00A76818" w14:paraId="2A79AA01" w14:textId="77777777" w:rsidTr="00BB21F9">
        <w:trPr>
          <w:gridAfter w:val="1"/>
          <w:wAfter w:w="12" w:type="pct"/>
          <w:trHeight w:val="602"/>
        </w:trPr>
        <w:tc>
          <w:tcPr>
            <w:tcW w:w="4988" w:type="pct"/>
            <w:gridSpan w:val="6"/>
            <w:tcBorders>
              <w:top w:val="single" w:sz="4" w:space="0" w:color="000000"/>
              <w:bottom w:val="dashSmallGap" w:sz="4" w:space="0" w:color="D8D8D8"/>
            </w:tcBorders>
            <w:shd w:val="clear" w:color="auto" w:fill="ECECEC"/>
          </w:tcPr>
          <w:p w14:paraId="78608921" w14:textId="63C609F4" w:rsidR="006407DD" w:rsidRPr="00A76818" w:rsidRDefault="006407DD" w:rsidP="006407DD">
            <w:pPr>
              <w:pStyle w:val="TableParagraph"/>
              <w:spacing w:line="240" w:lineRule="auto"/>
              <w:ind w:right="5126"/>
              <w:jc w:val="left"/>
              <w:rPr>
                <w:b/>
                <w:sz w:val="18"/>
                <w:szCs w:val="18"/>
              </w:rPr>
            </w:pPr>
            <w:r w:rsidRPr="00A76818">
              <w:rPr>
                <w:b/>
                <w:sz w:val="18"/>
                <w:szCs w:val="18"/>
              </w:rPr>
              <w:lastRenderedPageBreak/>
              <w:t>Secondary</w:t>
            </w:r>
            <w:r w:rsidRPr="00A76818">
              <w:rPr>
                <w:b/>
                <w:spacing w:val="-6"/>
                <w:sz w:val="18"/>
                <w:szCs w:val="18"/>
              </w:rPr>
              <w:t xml:space="preserve"> </w:t>
            </w:r>
            <w:r w:rsidRPr="00A76818">
              <w:rPr>
                <w:b/>
                <w:sz w:val="18"/>
                <w:szCs w:val="18"/>
              </w:rPr>
              <w:t>Analysis</w:t>
            </w:r>
            <w:r w:rsidRPr="00A76818">
              <w:rPr>
                <w:b/>
                <w:spacing w:val="-3"/>
                <w:sz w:val="18"/>
                <w:szCs w:val="18"/>
              </w:rPr>
              <w:t xml:space="preserve"> </w:t>
            </w:r>
            <w:r w:rsidRPr="00A76818">
              <w:rPr>
                <w:b/>
                <w:sz w:val="18"/>
                <w:szCs w:val="18"/>
              </w:rPr>
              <w:t>of</w:t>
            </w:r>
            <w:r w:rsidRPr="00A76818">
              <w:rPr>
                <w:b/>
                <w:spacing w:val="-6"/>
                <w:sz w:val="18"/>
                <w:szCs w:val="18"/>
              </w:rPr>
              <w:t xml:space="preserve"> </w:t>
            </w:r>
            <w:r w:rsidRPr="00A76818">
              <w:rPr>
                <w:b/>
                <w:sz w:val="18"/>
                <w:szCs w:val="18"/>
              </w:rPr>
              <w:t>Primary</w:t>
            </w:r>
            <w:r w:rsidRPr="00A76818">
              <w:rPr>
                <w:b/>
                <w:spacing w:val="-1"/>
                <w:sz w:val="18"/>
                <w:szCs w:val="18"/>
              </w:rPr>
              <w:t xml:space="preserve"> </w:t>
            </w:r>
            <w:r w:rsidRPr="00A76818">
              <w:rPr>
                <w:b/>
                <w:sz w:val="18"/>
                <w:szCs w:val="18"/>
              </w:rPr>
              <w:t>Outcome</w:t>
            </w:r>
            <w:r w:rsidRPr="00A76818">
              <w:rPr>
                <w:sz w:val="18"/>
                <w:szCs w:val="18"/>
              </w:rPr>
              <w:t>,</w:t>
            </w:r>
            <w:r w:rsidRPr="00A76818">
              <w:rPr>
                <w:spacing w:val="-6"/>
                <w:sz w:val="18"/>
                <w:szCs w:val="18"/>
              </w:rPr>
              <w:t xml:space="preserve"> </w:t>
            </w:r>
            <w:r w:rsidRPr="00A76818">
              <w:rPr>
                <w:sz w:val="18"/>
                <w:szCs w:val="18"/>
              </w:rPr>
              <w:t xml:space="preserve">for </w:t>
            </w:r>
            <w:r w:rsidRPr="00CA20E0">
              <w:rPr>
                <w:sz w:val="18"/>
                <w:szCs w:val="18"/>
              </w:rPr>
              <w:t>Unblinded ITT popula</w:t>
            </w:r>
            <w:r>
              <w:rPr>
                <w:sz w:val="18"/>
                <w:szCs w:val="18"/>
              </w:rPr>
              <w:t>ti</w:t>
            </w:r>
            <w:r w:rsidRPr="00CA20E0">
              <w:rPr>
                <w:sz w:val="18"/>
                <w:szCs w:val="18"/>
              </w:rPr>
              <w:t xml:space="preserve">on with </w:t>
            </w:r>
            <w:r>
              <w:rPr>
                <w:sz w:val="18"/>
                <w:szCs w:val="18"/>
              </w:rPr>
              <w:t xml:space="preserve">independent </w:t>
            </w:r>
            <w:r w:rsidRPr="00CA20E0">
              <w:rPr>
                <w:sz w:val="18"/>
                <w:szCs w:val="18"/>
              </w:rPr>
              <w:t>IL-6ra interven</w:t>
            </w:r>
            <w:r>
              <w:rPr>
                <w:sz w:val="18"/>
                <w:szCs w:val="18"/>
              </w:rPr>
              <w:t>ti</w:t>
            </w:r>
            <w:r w:rsidRPr="00CA20E0">
              <w:rPr>
                <w:sz w:val="18"/>
                <w:szCs w:val="18"/>
              </w:rPr>
              <w:t>on effects</w:t>
            </w:r>
          </w:p>
        </w:tc>
      </w:tr>
      <w:tr w:rsidR="006407DD" w:rsidRPr="00A76818" w14:paraId="3742311D" w14:textId="77777777" w:rsidTr="00BB21F9">
        <w:trPr>
          <w:gridAfter w:val="1"/>
          <w:wAfter w:w="12" w:type="pct"/>
          <w:trHeight w:val="285"/>
        </w:trPr>
        <w:tc>
          <w:tcPr>
            <w:tcW w:w="1509" w:type="pct"/>
            <w:tcBorders>
              <w:top w:val="dashSmallGap" w:sz="4" w:space="0" w:color="D8D8D8"/>
              <w:bottom w:val="dashSmallGap" w:sz="4" w:space="0" w:color="D8D8D8"/>
            </w:tcBorders>
            <w:shd w:val="clear" w:color="auto" w:fill="ECECEC"/>
          </w:tcPr>
          <w:p w14:paraId="187BBB50" w14:textId="77777777" w:rsidR="006407DD" w:rsidRPr="00A76818" w:rsidRDefault="006407DD" w:rsidP="006407DD">
            <w:pPr>
              <w:pStyle w:val="TableParagraph"/>
              <w:spacing w:line="240" w:lineRule="auto"/>
              <w:jc w:val="left"/>
              <w:rPr>
                <w:sz w:val="18"/>
                <w:szCs w:val="18"/>
              </w:rPr>
            </w:pPr>
            <w:r w:rsidRPr="00A76818">
              <w:rPr>
                <w:sz w:val="18"/>
                <w:szCs w:val="18"/>
              </w:rPr>
              <w:t>Adjusted</w:t>
            </w:r>
            <w:r w:rsidRPr="00A76818">
              <w:rPr>
                <w:spacing w:val="-3"/>
                <w:sz w:val="18"/>
                <w:szCs w:val="18"/>
              </w:rPr>
              <w:t xml:space="preserve"> </w:t>
            </w:r>
            <w:r w:rsidRPr="00A76818">
              <w:rPr>
                <w:sz w:val="18"/>
                <w:szCs w:val="18"/>
              </w:rPr>
              <w:t>OR</w:t>
            </w:r>
            <w:r w:rsidRPr="00A76818">
              <w:rPr>
                <w:spacing w:val="2"/>
                <w:sz w:val="18"/>
                <w:szCs w:val="18"/>
              </w:rPr>
              <w:t xml:space="preserve"> </w:t>
            </w:r>
            <w:r w:rsidRPr="00A76818">
              <w:rPr>
                <w:sz w:val="18"/>
                <w:szCs w:val="18"/>
              </w:rPr>
              <w:t>-</w:t>
            </w:r>
            <w:r w:rsidRPr="00A76818">
              <w:rPr>
                <w:spacing w:val="-2"/>
                <w:sz w:val="18"/>
                <w:szCs w:val="18"/>
              </w:rPr>
              <w:t xml:space="preserve"> </w:t>
            </w:r>
            <w:r w:rsidRPr="00A76818">
              <w:rPr>
                <w:sz w:val="18"/>
                <w:szCs w:val="18"/>
              </w:rPr>
              <w:t>mean</w:t>
            </w:r>
            <w:r w:rsidRPr="00A76818">
              <w:rPr>
                <w:spacing w:val="-3"/>
                <w:sz w:val="18"/>
                <w:szCs w:val="18"/>
              </w:rPr>
              <w:t xml:space="preserve"> </w:t>
            </w:r>
            <w:r w:rsidRPr="00A76818">
              <w:rPr>
                <w:sz w:val="18"/>
                <w:szCs w:val="18"/>
              </w:rPr>
              <w:t>(SD)</w:t>
            </w:r>
          </w:p>
        </w:tc>
        <w:tc>
          <w:tcPr>
            <w:tcW w:w="696" w:type="pct"/>
            <w:tcBorders>
              <w:top w:val="dashSmallGap" w:sz="4" w:space="0" w:color="D8D8D8"/>
              <w:bottom w:val="dashSmallGap" w:sz="4" w:space="0" w:color="D8D8D8"/>
            </w:tcBorders>
            <w:shd w:val="clear" w:color="auto" w:fill="ECECEC"/>
            <w:vAlign w:val="center"/>
          </w:tcPr>
          <w:p w14:paraId="5DCDA275" w14:textId="0B5A5AA0" w:rsidR="006407DD" w:rsidRPr="006407DD" w:rsidRDefault="006407DD" w:rsidP="006407DD">
            <w:pPr>
              <w:pStyle w:val="TableParagraph"/>
              <w:spacing w:line="240" w:lineRule="auto"/>
              <w:rPr>
                <w:sz w:val="18"/>
                <w:szCs w:val="18"/>
              </w:rPr>
            </w:pPr>
            <w:r>
              <w:rPr>
                <w:sz w:val="18"/>
                <w:szCs w:val="18"/>
              </w:rPr>
              <w:t>1.50 (0.19)</w:t>
            </w:r>
          </w:p>
        </w:tc>
        <w:tc>
          <w:tcPr>
            <w:tcW w:w="696" w:type="pct"/>
            <w:tcBorders>
              <w:top w:val="dashSmallGap" w:sz="4" w:space="0" w:color="D8D8D8"/>
              <w:bottom w:val="dashSmallGap" w:sz="4" w:space="0" w:color="D8D8D8"/>
            </w:tcBorders>
            <w:shd w:val="clear" w:color="auto" w:fill="ECECEC"/>
            <w:vAlign w:val="center"/>
          </w:tcPr>
          <w:p w14:paraId="34DE5DC3" w14:textId="2EF7CBE2" w:rsidR="006407DD" w:rsidRPr="006407DD" w:rsidRDefault="006407DD" w:rsidP="006407DD">
            <w:pPr>
              <w:pStyle w:val="TableParagraph"/>
              <w:spacing w:line="240" w:lineRule="auto"/>
              <w:rPr>
                <w:sz w:val="18"/>
                <w:szCs w:val="18"/>
              </w:rPr>
            </w:pPr>
            <w:r>
              <w:rPr>
                <w:sz w:val="18"/>
                <w:szCs w:val="18"/>
              </w:rPr>
              <w:t>1.59 (0.22)</w:t>
            </w:r>
          </w:p>
        </w:tc>
        <w:tc>
          <w:tcPr>
            <w:tcW w:w="696" w:type="pct"/>
            <w:tcBorders>
              <w:top w:val="dashSmallGap" w:sz="4" w:space="0" w:color="D8D8D8"/>
              <w:bottom w:val="dashSmallGap" w:sz="4" w:space="0" w:color="D8D8D8"/>
            </w:tcBorders>
            <w:shd w:val="clear" w:color="auto" w:fill="ECECEC"/>
            <w:vAlign w:val="center"/>
          </w:tcPr>
          <w:p w14:paraId="51BFD3F6" w14:textId="64BAA4EF" w:rsidR="006407DD" w:rsidRPr="006407DD" w:rsidRDefault="006407DD" w:rsidP="006407DD">
            <w:pPr>
              <w:pStyle w:val="TableParagraph"/>
              <w:spacing w:line="240" w:lineRule="auto"/>
              <w:rPr>
                <w:sz w:val="18"/>
                <w:szCs w:val="18"/>
              </w:rPr>
            </w:pPr>
            <w:r>
              <w:rPr>
                <w:sz w:val="18"/>
                <w:szCs w:val="18"/>
              </w:rPr>
              <w:t>1.07 (0.17)</w:t>
            </w:r>
          </w:p>
        </w:tc>
        <w:tc>
          <w:tcPr>
            <w:tcW w:w="696" w:type="pct"/>
            <w:tcBorders>
              <w:top w:val="dashSmallGap" w:sz="4" w:space="0" w:color="D8D8D8"/>
              <w:bottom w:val="dashSmallGap" w:sz="4" w:space="0" w:color="D8D8D8"/>
            </w:tcBorders>
            <w:shd w:val="clear" w:color="auto" w:fill="ECECEC"/>
            <w:vAlign w:val="center"/>
          </w:tcPr>
          <w:p w14:paraId="47336134" w14:textId="312285C9" w:rsidR="006407DD" w:rsidRPr="006407DD" w:rsidRDefault="006407DD" w:rsidP="006407DD">
            <w:pPr>
              <w:pStyle w:val="TableParagraph"/>
              <w:spacing w:line="240" w:lineRule="auto"/>
              <w:rPr>
                <w:sz w:val="18"/>
                <w:szCs w:val="18"/>
              </w:rPr>
            </w:pPr>
            <w:r>
              <w:rPr>
                <w:sz w:val="18"/>
                <w:szCs w:val="18"/>
              </w:rPr>
              <w:t>1.36 (0.55)</w:t>
            </w:r>
          </w:p>
        </w:tc>
        <w:tc>
          <w:tcPr>
            <w:tcW w:w="696" w:type="pct"/>
            <w:tcBorders>
              <w:top w:val="dashSmallGap" w:sz="4" w:space="0" w:color="D8D8D8"/>
              <w:bottom w:val="dashSmallGap" w:sz="4" w:space="0" w:color="D8D8D8"/>
            </w:tcBorders>
            <w:shd w:val="clear" w:color="auto" w:fill="ECECEC"/>
            <w:vAlign w:val="center"/>
          </w:tcPr>
          <w:p w14:paraId="1924E3C1" w14:textId="77777777" w:rsidR="006407DD" w:rsidRPr="006407DD" w:rsidRDefault="006407DD" w:rsidP="006407DD">
            <w:pPr>
              <w:pStyle w:val="TableParagraph"/>
              <w:spacing w:line="240" w:lineRule="auto"/>
              <w:rPr>
                <w:sz w:val="18"/>
                <w:szCs w:val="18"/>
              </w:rPr>
            </w:pPr>
            <w:r w:rsidRPr="006407DD">
              <w:rPr>
                <w:sz w:val="18"/>
                <w:szCs w:val="18"/>
              </w:rPr>
              <w:t>1</w:t>
            </w:r>
          </w:p>
        </w:tc>
      </w:tr>
      <w:tr w:rsidR="006407DD" w:rsidRPr="00A76818" w14:paraId="061DAE99" w14:textId="77777777" w:rsidTr="00BB21F9">
        <w:trPr>
          <w:gridAfter w:val="1"/>
          <w:wAfter w:w="12" w:type="pct"/>
          <w:trHeight w:val="285"/>
        </w:trPr>
        <w:tc>
          <w:tcPr>
            <w:tcW w:w="1509" w:type="pct"/>
            <w:tcBorders>
              <w:top w:val="dashSmallGap" w:sz="4" w:space="0" w:color="D8D8D8"/>
              <w:bottom w:val="dashSmallGap" w:sz="4" w:space="0" w:color="D8D8D8"/>
            </w:tcBorders>
            <w:shd w:val="clear" w:color="auto" w:fill="ECECEC"/>
          </w:tcPr>
          <w:p w14:paraId="016302C0" w14:textId="77777777" w:rsidR="006407DD" w:rsidRPr="00A76818" w:rsidRDefault="006407DD" w:rsidP="006407DD">
            <w:pPr>
              <w:pStyle w:val="TableParagraph"/>
              <w:spacing w:line="240" w:lineRule="auto"/>
              <w:jc w:val="left"/>
              <w:rPr>
                <w:sz w:val="18"/>
                <w:szCs w:val="18"/>
              </w:rPr>
            </w:pPr>
            <w:r w:rsidRPr="00A76818">
              <w:rPr>
                <w:sz w:val="18"/>
                <w:szCs w:val="18"/>
              </w:rPr>
              <w:t>-</w:t>
            </w:r>
            <w:r w:rsidRPr="00A76818">
              <w:rPr>
                <w:spacing w:val="-3"/>
                <w:sz w:val="18"/>
                <w:szCs w:val="18"/>
              </w:rPr>
              <w:t xml:space="preserve"> </w:t>
            </w:r>
            <w:r w:rsidRPr="00A76818">
              <w:rPr>
                <w:sz w:val="18"/>
                <w:szCs w:val="18"/>
              </w:rPr>
              <w:t>median</w:t>
            </w:r>
            <w:r w:rsidRPr="00A76818">
              <w:rPr>
                <w:spacing w:val="-2"/>
                <w:sz w:val="18"/>
                <w:szCs w:val="18"/>
              </w:rPr>
              <w:t xml:space="preserve"> </w:t>
            </w:r>
            <w:r w:rsidRPr="00A76818">
              <w:rPr>
                <w:sz w:val="18"/>
                <w:szCs w:val="18"/>
              </w:rPr>
              <w:t>(95%</w:t>
            </w:r>
            <w:r w:rsidRPr="00A76818">
              <w:rPr>
                <w:spacing w:val="-1"/>
                <w:sz w:val="18"/>
                <w:szCs w:val="18"/>
              </w:rPr>
              <w:t xml:space="preserve"> </w:t>
            </w:r>
            <w:r w:rsidRPr="00A76818">
              <w:rPr>
                <w:sz w:val="18"/>
                <w:szCs w:val="18"/>
              </w:rPr>
              <w:t>CrI)</w:t>
            </w:r>
          </w:p>
        </w:tc>
        <w:tc>
          <w:tcPr>
            <w:tcW w:w="696" w:type="pct"/>
            <w:tcBorders>
              <w:top w:val="dashSmallGap" w:sz="4" w:space="0" w:color="D8D8D8"/>
              <w:bottom w:val="dashSmallGap" w:sz="4" w:space="0" w:color="D8D8D8"/>
            </w:tcBorders>
            <w:shd w:val="clear" w:color="auto" w:fill="ECECEC"/>
            <w:vAlign w:val="center"/>
          </w:tcPr>
          <w:p w14:paraId="4E6D31BA" w14:textId="6F45644A" w:rsidR="006407DD" w:rsidRPr="006407DD" w:rsidRDefault="006407DD" w:rsidP="006407DD">
            <w:pPr>
              <w:pStyle w:val="TableParagraph"/>
              <w:spacing w:line="240" w:lineRule="auto"/>
              <w:rPr>
                <w:sz w:val="18"/>
                <w:szCs w:val="18"/>
              </w:rPr>
            </w:pPr>
            <w:r>
              <w:rPr>
                <w:sz w:val="18"/>
                <w:szCs w:val="18"/>
              </w:rPr>
              <w:t>1.49 (1.16 to 1.91)</w:t>
            </w:r>
          </w:p>
        </w:tc>
        <w:tc>
          <w:tcPr>
            <w:tcW w:w="696" w:type="pct"/>
            <w:tcBorders>
              <w:top w:val="dashSmallGap" w:sz="4" w:space="0" w:color="D8D8D8"/>
              <w:bottom w:val="dashSmallGap" w:sz="4" w:space="0" w:color="D8D8D8"/>
            </w:tcBorders>
            <w:shd w:val="clear" w:color="auto" w:fill="ECECEC"/>
            <w:vAlign w:val="center"/>
          </w:tcPr>
          <w:p w14:paraId="4E198C54" w14:textId="5F9B4C9B" w:rsidR="006407DD" w:rsidRPr="006407DD" w:rsidRDefault="006407DD" w:rsidP="006407DD">
            <w:pPr>
              <w:pStyle w:val="TableParagraph"/>
              <w:spacing w:line="240" w:lineRule="auto"/>
              <w:rPr>
                <w:sz w:val="18"/>
                <w:szCs w:val="18"/>
              </w:rPr>
            </w:pPr>
            <w:r>
              <w:rPr>
                <w:sz w:val="18"/>
                <w:szCs w:val="18"/>
              </w:rPr>
              <w:t>1.57 (1.20 to 2.06)</w:t>
            </w:r>
          </w:p>
        </w:tc>
        <w:tc>
          <w:tcPr>
            <w:tcW w:w="696" w:type="pct"/>
            <w:tcBorders>
              <w:top w:val="dashSmallGap" w:sz="4" w:space="0" w:color="D8D8D8"/>
              <w:bottom w:val="dashSmallGap" w:sz="4" w:space="0" w:color="D8D8D8"/>
            </w:tcBorders>
            <w:shd w:val="clear" w:color="auto" w:fill="ECECEC"/>
            <w:vAlign w:val="center"/>
          </w:tcPr>
          <w:p w14:paraId="45295D10" w14:textId="15DCBC63" w:rsidR="006407DD" w:rsidRPr="006407DD" w:rsidRDefault="006407DD" w:rsidP="006407DD">
            <w:pPr>
              <w:pStyle w:val="TableParagraph"/>
              <w:spacing w:line="240" w:lineRule="auto"/>
              <w:rPr>
                <w:sz w:val="18"/>
                <w:szCs w:val="18"/>
              </w:rPr>
            </w:pPr>
            <w:r>
              <w:rPr>
                <w:sz w:val="18"/>
                <w:szCs w:val="18"/>
              </w:rPr>
              <w:t>1.06 (0.78 to 1.44)</w:t>
            </w:r>
          </w:p>
        </w:tc>
        <w:tc>
          <w:tcPr>
            <w:tcW w:w="696" w:type="pct"/>
            <w:tcBorders>
              <w:top w:val="dashSmallGap" w:sz="4" w:space="0" w:color="D8D8D8"/>
              <w:bottom w:val="dashSmallGap" w:sz="4" w:space="0" w:color="D8D8D8"/>
            </w:tcBorders>
            <w:shd w:val="clear" w:color="auto" w:fill="ECECEC"/>
            <w:vAlign w:val="center"/>
          </w:tcPr>
          <w:p w14:paraId="5EE413E4" w14:textId="1ADA546C" w:rsidR="006407DD" w:rsidRPr="006407DD" w:rsidRDefault="006407DD" w:rsidP="006407DD">
            <w:pPr>
              <w:pStyle w:val="TableParagraph"/>
              <w:spacing w:line="240" w:lineRule="auto"/>
              <w:rPr>
                <w:sz w:val="18"/>
                <w:szCs w:val="18"/>
              </w:rPr>
            </w:pPr>
            <w:r>
              <w:rPr>
                <w:sz w:val="18"/>
                <w:szCs w:val="18"/>
              </w:rPr>
              <w:t>1.26 (0.58 to 2.65)</w:t>
            </w:r>
          </w:p>
        </w:tc>
        <w:tc>
          <w:tcPr>
            <w:tcW w:w="696" w:type="pct"/>
            <w:tcBorders>
              <w:top w:val="dashSmallGap" w:sz="4" w:space="0" w:color="D8D8D8"/>
              <w:bottom w:val="dashSmallGap" w:sz="4" w:space="0" w:color="D8D8D8"/>
            </w:tcBorders>
            <w:shd w:val="clear" w:color="auto" w:fill="ECECEC"/>
            <w:vAlign w:val="center"/>
          </w:tcPr>
          <w:p w14:paraId="6EDBECF0" w14:textId="77777777" w:rsidR="006407DD" w:rsidRPr="006407DD" w:rsidRDefault="006407DD" w:rsidP="006407DD">
            <w:pPr>
              <w:pStyle w:val="TableParagraph"/>
              <w:spacing w:line="240" w:lineRule="auto"/>
              <w:rPr>
                <w:sz w:val="18"/>
                <w:szCs w:val="18"/>
              </w:rPr>
            </w:pPr>
            <w:r w:rsidRPr="006407DD">
              <w:rPr>
                <w:sz w:val="18"/>
                <w:szCs w:val="18"/>
              </w:rPr>
              <w:t>1</w:t>
            </w:r>
          </w:p>
        </w:tc>
      </w:tr>
      <w:tr w:rsidR="006407DD" w:rsidRPr="00A76818" w14:paraId="71E8258E" w14:textId="77777777" w:rsidTr="00BB21F9">
        <w:trPr>
          <w:gridAfter w:val="1"/>
          <w:wAfter w:w="12" w:type="pct"/>
          <w:trHeight w:val="285"/>
        </w:trPr>
        <w:tc>
          <w:tcPr>
            <w:tcW w:w="1509" w:type="pct"/>
            <w:tcBorders>
              <w:top w:val="dashSmallGap" w:sz="4" w:space="0" w:color="D8D8D8"/>
              <w:bottom w:val="dashSmallGap" w:sz="4" w:space="0" w:color="D8D8D8"/>
            </w:tcBorders>
            <w:shd w:val="clear" w:color="auto" w:fill="ECECEC"/>
          </w:tcPr>
          <w:p w14:paraId="3BBFDD5A" w14:textId="77777777" w:rsidR="006407DD" w:rsidRPr="00A76818" w:rsidRDefault="006407DD" w:rsidP="006407DD">
            <w:pPr>
              <w:pStyle w:val="TableParagraph"/>
              <w:spacing w:line="240" w:lineRule="auto"/>
              <w:jc w:val="left"/>
              <w:rPr>
                <w:sz w:val="18"/>
                <w:szCs w:val="18"/>
              </w:rPr>
            </w:pPr>
            <w:r w:rsidRPr="00A76818">
              <w:rPr>
                <w:sz w:val="18"/>
                <w:szCs w:val="18"/>
              </w:rPr>
              <w:t>Probability</w:t>
            </w:r>
            <w:r w:rsidRPr="00A76818">
              <w:rPr>
                <w:spacing w:val="-6"/>
                <w:sz w:val="18"/>
                <w:szCs w:val="18"/>
              </w:rPr>
              <w:t xml:space="preserve"> </w:t>
            </w:r>
            <w:r w:rsidRPr="00A76818">
              <w:rPr>
                <w:sz w:val="18"/>
                <w:szCs w:val="18"/>
              </w:rPr>
              <w:t>of</w:t>
            </w:r>
            <w:r w:rsidRPr="00A76818">
              <w:rPr>
                <w:spacing w:val="-3"/>
                <w:sz w:val="18"/>
                <w:szCs w:val="18"/>
              </w:rPr>
              <w:t xml:space="preserve"> </w:t>
            </w:r>
            <w:r w:rsidRPr="00A76818">
              <w:rPr>
                <w:sz w:val="18"/>
                <w:szCs w:val="18"/>
              </w:rPr>
              <w:t>superiority</w:t>
            </w:r>
            <w:r w:rsidRPr="00A76818">
              <w:rPr>
                <w:spacing w:val="-5"/>
                <w:sz w:val="18"/>
                <w:szCs w:val="18"/>
              </w:rPr>
              <w:t xml:space="preserve"> </w:t>
            </w:r>
            <w:r w:rsidRPr="00A76818">
              <w:rPr>
                <w:sz w:val="18"/>
                <w:szCs w:val="18"/>
              </w:rPr>
              <w:t>to</w:t>
            </w:r>
            <w:r w:rsidRPr="00A76818">
              <w:rPr>
                <w:spacing w:val="-4"/>
                <w:sz w:val="18"/>
                <w:szCs w:val="18"/>
              </w:rPr>
              <w:t xml:space="preserve"> </w:t>
            </w:r>
            <w:r w:rsidRPr="00A76818">
              <w:rPr>
                <w:sz w:val="18"/>
                <w:szCs w:val="18"/>
              </w:rPr>
              <w:t>control,</w:t>
            </w:r>
            <w:r w:rsidRPr="00A76818">
              <w:rPr>
                <w:spacing w:val="-3"/>
                <w:sz w:val="18"/>
                <w:szCs w:val="18"/>
              </w:rPr>
              <w:t xml:space="preserve"> </w:t>
            </w:r>
            <w:r w:rsidRPr="00A76818">
              <w:rPr>
                <w:sz w:val="18"/>
                <w:szCs w:val="18"/>
              </w:rPr>
              <w:t>%</w:t>
            </w:r>
          </w:p>
        </w:tc>
        <w:tc>
          <w:tcPr>
            <w:tcW w:w="696" w:type="pct"/>
            <w:tcBorders>
              <w:top w:val="dashSmallGap" w:sz="4" w:space="0" w:color="D8D8D8"/>
              <w:bottom w:val="dashSmallGap" w:sz="4" w:space="0" w:color="D8D8D8"/>
            </w:tcBorders>
            <w:shd w:val="clear" w:color="auto" w:fill="ECECEC"/>
            <w:vAlign w:val="center"/>
          </w:tcPr>
          <w:p w14:paraId="4A9BA142" w14:textId="7D566664" w:rsidR="006407DD" w:rsidRPr="006407DD" w:rsidRDefault="006407DD" w:rsidP="006407DD">
            <w:pPr>
              <w:pStyle w:val="TableParagraph"/>
              <w:spacing w:line="240" w:lineRule="auto"/>
              <w:rPr>
                <w:sz w:val="18"/>
                <w:szCs w:val="18"/>
              </w:rPr>
            </w:pPr>
            <w:r>
              <w:rPr>
                <w:sz w:val="18"/>
                <w:szCs w:val="18"/>
              </w:rPr>
              <w:t>99.9</w:t>
            </w:r>
          </w:p>
        </w:tc>
        <w:tc>
          <w:tcPr>
            <w:tcW w:w="696" w:type="pct"/>
            <w:tcBorders>
              <w:top w:val="dashSmallGap" w:sz="4" w:space="0" w:color="D8D8D8"/>
              <w:bottom w:val="dashSmallGap" w:sz="4" w:space="0" w:color="D8D8D8"/>
            </w:tcBorders>
            <w:shd w:val="clear" w:color="auto" w:fill="ECECEC"/>
            <w:vAlign w:val="center"/>
          </w:tcPr>
          <w:p w14:paraId="4F863977" w14:textId="6B3CE9F2" w:rsidR="006407DD" w:rsidRPr="006407DD" w:rsidRDefault="006407DD" w:rsidP="006407DD">
            <w:pPr>
              <w:pStyle w:val="TableParagraph"/>
              <w:spacing w:line="240" w:lineRule="auto"/>
              <w:rPr>
                <w:sz w:val="18"/>
                <w:szCs w:val="18"/>
              </w:rPr>
            </w:pPr>
            <w:r>
              <w:rPr>
                <w:sz w:val="18"/>
                <w:szCs w:val="18"/>
              </w:rPr>
              <w:t>99.9</w:t>
            </w:r>
          </w:p>
        </w:tc>
        <w:tc>
          <w:tcPr>
            <w:tcW w:w="696" w:type="pct"/>
            <w:tcBorders>
              <w:top w:val="dashSmallGap" w:sz="4" w:space="0" w:color="D8D8D8"/>
              <w:bottom w:val="dashSmallGap" w:sz="4" w:space="0" w:color="D8D8D8"/>
            </w:tcBorders>
            <w:shd w:val="clear" w:color="auto" w:fill="ECECEC"/>
            <w:vAlign w:val="center"/>
          </w:tcPr>
          <w:p w14:paraId="6B5777EC" w14:textId="5D6C194E" w:rsidR="006407DD" w:rsidRPr="006407DD" w:rsidRDefault="006407DD" w:rsidP="006407DD">
            <w:pPr>
              <w:pStyle w:val="TableParagraph"/>
              <w:spacing w:line="240" w:lineRule="auto"/>
              <w:rPr>
                <w:sz w:val="18"/>
                <w:szCs w:val="18"/>
              </w:rPr>
            </w:pPr>
            <w:r>
              <w:rPr>
                <w:sz w:val="18"/>
                <w:szCs w:val="18"/>
              </w:rPr>
              <w:t>64.6</w:t>
            </w:r>
          </w:p>
        </w:tc>
        <w:tc>
          <w:tcPr>
            <w:tcW w:w="696" w:type="pct"/>
            <w:tcBorders>
              <w:top w:val="dashSmallGap" w:sz="4" w:space="0" w:color="D8D8D8"/>
              <w:bottom w:val="dashSmallGap" w:sz="4" w:space="0" w:color="D8D8D8"/>
            </w:tcBorders>
            <w:shd w:val="clear" w:color="auto" w:fill="ECECEC"/>
            <w:vAlign w:val="center"/>
          </w:tcPr>
          <w:p w14:paraId="15A095F1" w14:textId="14AA7911" w:rsidR="006407DD" w:rsidRPr="006407DD" w:rsidRDefault="006407DD" w:rsidP="006407DD">
            <w:pPr>
              <w:pStyle w:val="TableParagraph"/>
              <w:spacing w:line="240" w:lineRule="auto"/>
              <w:rPr>
                <w:sz w:val="18"/>
                <w:szCs w:val="18"/>
              </w:rPr>
            </w:pPr>
            <w:r>
              <w:rPr>
                <w:sz w:val="18"/>
                <w:szCs w:val="18"/>
              </w:rPr>
              <w:t>71.9</w:t>
            </w:r>
          </w:p>
        </w:tc>
        <w:tc>
          <w:tcPr>
            <w:tcW w:w="696" w:type="pct"/>
            <w:tcBorders>
              <w:top w:val="dashSmallGap" w:sz="4" w:space="0" w:color="D8D8D8"/>
              <w:bottom w:val="dashSmallGap" w:sz="4" w:space="0" w:color="D8D8D8"/>
            </w:tcBorders>
            <w:shd w:val="clear" w:color="auto" w:fill="ECECEC"/>
            <w:vAlign w:val="center"/>
          </w:tcPr>
          <w:p w14:paraId="4CA5061B" w14:textId="77777777" w:rsidR="006407DD" w:rsidRPr="006407DD" w:rsidRDefault="006407DD" w:rsidP="006407DD">
            <w:pPr>
              <w:pStyle w:val="TableParagraph"/>
              <w:spacing w:line="240" w:lineRule="auto"/>
              <w:rPr>
                <w:sz w:val="18"/>
                <w:szCs w:val="18"/>
              </w:rPr>
            </w:pPr>
            <w:r w:rsidRPr="006407DD">
              <w:rPr>
                <w:sz w:val="18"/>
                <w:szCs w:val="18"/>
              </w:rPr>
              <w:t>-</w:t>
            </w:r>
          </w:p>
        </w:tc>
      </w:tr>
      <w:tr w:rsidR="006407DD" w:rsidRPr="00A76818" w14:paraId="76246426" w14:textId="77777777" w:rsidTr="00BB21F9">
        <w:trPr>
          <w:gridAfter w:val="1"/>
          <w:wAfter w:w="12" w:type="pct"/>
          <w:trHeight w:val="602"/>
        </w:trPr>
        <w:tc>
          <w:tcPr>
            <w:tcW w:w="4988" w:type="pct"/>
            <w:gridSpan w:val="6"/>
            <w:tcBorders>
              <w:top w:val="single" w:sz="4" w:space="0" w:color="000000"/>
              <w:bottom w:val="dashSmallGap" w:sz="4" w:space="0" w:color="D8D8D8"/>
            </w:tcBorders>
            <w:shd w:val="clear" w:color="auto" w:fill="ECECEC"/>
          </w:tcPr>
          <w:p w14:paraId="71F59A11" w14:textId="1FCECA8F" w:rsidR="006407DD" w:rsidRPr="00A76818" w:rsidRDefault="006407DD" w:rsidP="006407DD">
            <w:pPr>
              <w:pStyle w:val="TableParagraph"/>
              <w:spacing w:line="240" w:lineRule="auto"/>
              <w:ind w:right="5126"/>
              <w:jc w:val="left"/>
              <w:rPr>
                <w:b/>
                <w:sz w:val="18"/>
                <w:szCs w:val="18"/>
              </w:rPr>
            </w:pPr>
            <w:r w:rsidRPr="00A76818">
              <w:rPr>
                <w:b/>
                <w:sz w:val="18"/>
                <w:szCs w:val="18"/>
              </w:rPr>
              <w:t>Secondary</w:t>
            </w:r>
            <w:r w:rsidRPr="00A76818">
              <w:rPr>
                <w:b/>
                <w:spacing w:val="-6"/>
                <w:sz w:val="18"/>
                <w:szCs w:val="18"/>
              </w:rPr>
              <w:t xml:space="preserve"> </w:t>
            </w:r>
            <w:r w:rsidRPr="00A76818">
              <w:rPr>
                <w:b/>
                <w:sz w:val="18"/>
                <w:szCs w:val="18"/>
              </w:rPr>
              <w:t>Analysis</w:t>
            </w:r>
            <w:r w:rsidRPr="00A76818">
              <w:rPr>
                <w:b/>
                <w:spacing w:val="-3"/>
                <w:sz w:val="18"/>
                <w:szCs w:val="18"/>
              </w:rPr>
              <w:t xml:space="preserve"> </w:t>
            </w:r>
            <w:r w:rsidRPr="00A76818">
              <w:rPr>
                <w:b/>
                <w:sz w:val="18"/>
                <w:szCs w:val="18"/>
              </w:rPr>
              <w:t>of</w:t>
            </w:r>
            <w:r w:rsidRPr="00A76818">
              <w:rPr>
                <w:b/>
                <w:spacing w:val="-6"/>
                <w:sz w:val="18"/>
                <w:szCs w:val="18"/>
              </w:rPr>
              <w:t xml:space="preserve"> </w:t>
            </w:r>
            <w:r>
              <w:rPr>
                <w:b/>
                <w:sz w:val="18"/>
                <w:szCs w:val="18"/>
              </w:rPr>
              <w:t>Hospital Survival</w:t>
            </w:r>
            <w:r w:rsidRPr="00A76818">
              <w:rPr>
                <w:sz w:val="18"/>
                <w:szCs w:val="18"/>
              </w:rPr>
              <w:t>,</w:t>
            </w:r>
            <w:r w:rsidRPr="00A76818">
              <w:rPr>
                <w:spacing w:val="-6"/>
                <w:sz w:val="18"/>
                <w:szCs w:val="18"/>
              </w:rPr>
              <w:t xml:space="preserve"> </w:t>
            </w:r>
            <w:r w:rsidRPr="00A76818">
              <w:rPr>
                <w:sz w:val="18"/>
                <w:szCs w:val="18"/>
              </w:rPr>
              <w:t xml:space="preserve">for </w:t>
            </w:r>
            <w:r w:rsidRPr="00CA20E0">
              <w:rPr>
                <w:sz w:val="18"/>
                <w:szCs w:val="18"/>
              </w:rPr>
              <w:t>Unblinded ITT popula</w:t>
            </w:r>
            <w:r>
              <w:rPr>
                <w:sz w:val="18"/>
                <w:szCs w:val="18"/>
              </w:rPr>
              <w:t>ti</w:t>
            </w:r>
            <w:r w:rsidRPr="00CA20E0">
              <w:rPr>
                <w:sz w:val="18"/>
                <w:szCs w:val="18"/>
              </w:rPr>
              <w:t xml:space="preserve">on with </w:t>
            </w:r>
            <w:r>
              <w:rPr>
                <w:sz w:val="18"/>
                <w:szCs w:val="18"/>
              </w:rPr>
              <w:t xml:space="preserve">independent </w:t>
            </w:r>
            <w:r w:rsidRPr="00CA20E0">
              <w:rPr>
                <w:sz w:val="18"/>
                <w:szCs w:val="18"/>
              </w:rPr>
              <w:t>IL-6ra interven</w:t>
            </w:r>
            <w:r>
              <w:rPr>
                <w:sz w:val="18"/>
                <w:szCs w:val="18"/>
              </w:rPr>
              <w:t>ti</w:t>
            </w:r>
            <w:r w:rsidRPr="00CA20E0">
              <w:rPr>
                <w:sz w:val="18"/>
                <w:szCs w:val="18"/>
              </w:rPr>
              <w:t>on effects</w:t>
            </w:r>
          </w:p>
        </w:tc>
      </w:tr>
      <w:tr w:rsidR="006407DD" w:rsidRPr="00A76818" w14:paraId="356839E9" w14:textId="77777777" w:rsidTr="00BB21F9">
        <w:trPr>
          <w:gridAfter w:val="1"/>
          <w:wAfter w:w="12" w:type="pct"/>
          <w:trHeight w:val="285"/>
        </w:trPr>
        <w:tc>
          <w:tcPr>
            <w:tcW w:w="1509" w:type="pct"/>
            <w:tcBorders>
              <w:top w:val="dashSmallGap" w:sz="4" w:space="0" w:color="D8D8D8"/>
              <w:bottom w:val="dashSmallGap" w:sz="4" w:space="0" w:color="D8D8D8"/>
            </w:tcBorders>
            <w:shd w:val="clear" w:color="auto" w:fill="ECECEC"/>
          </w:tcPr>
          <w:p w14:paraId="6D230E3F" w14:textId="77777777" w:rsidR="006407DD" w:rsidRPr="00A76818" w:rsidRDefault="006407DD" w:rsidP="006407DD">
            <w:pPr>
              <w:pStyle w:val="TableParagraph"/>
              <w:spacing w:line="240" w:lineRule="auto"/>
              <w:jc w:val="left"/>
              <w:rPr>
                <w:sz w:val="18"/>
                <w:szCs w:val="18"/>
              </w:rPr>
            </w:pPr>
            <w:r w:rsidRPr="00A76818">
              <w:rPr>
                <w:sz w:val="18"/>
                <w:szCs w:val="18"/>
              </w:rPr>
              <w:t>Adjusted</w:t>
            </w:r>
            <w:r w:rsidRPr="00A76818">
              <w:rPr>
                <w:spacing w:val="-3"/>
                <w:sz w:val="18"/>
                <w:szCs w:val="18"/>
              </w:rPr>
              <w:t xml:space="preserve"> </w:t>
            </w:r>
            <w:r w:rsidRPr="00A76818">
              <w:rPr>
                <w:sz w:val="18"/>
                <w:szCs w:val="18"/>
              </w:rPr>
              <w:t>OR</w:t>
            </w:r>
            <w:r w:rsidRPr="00A76818">
              <w:rPr>
                <w:spacing w:val="2"/>
                <w:sz w:val="18"/>
                <w:szCs w:val="18"/>
              </w:rPr>
              <w:t xml:space="preserve"> </w:t>
            </w:r>
            <w:r w:rsidRPr="00A76818">
              <w:rPr>
                <w:sz w:val="18"/>
                <w:szCs w:val="18"/>
              </w:rPr>
              <w:t>-</w:t>
            </w:r>
            <w:r w:rsidRPr="00A76818">
              <w:rPr>
                <w:spacing w:val="-2"/>
                <w:sz w:val="18"/>
                <w:szCs w:val="18"/>
              </w:rPr>
              <w:t xml:space="preserve"> </w:t>
            </w:r>
            <w:r w:rsidRPr="00A76818">
              <w:rPr>
                <w:sz w:val="18"/>
                <w:szCs w:val="18"/>
              </w:rPr>
              <w:t>mean</w:t>
            </w:r>
            <w:r w:rsidRPr="00A76818">
              <w:rPr>
                <w:spacing w:val="-3"/>
                <w:sz w:val="18"/>
                <w:szCs w:val="18"/>
              </w:rPr>
              <w:t xml:space="preserve"> </w:t>
            </w:r>
            <w:r w:rsidRPr="00A76818">
              <w:rPr>
                <w:sz w:val="18"/>
                <w:szCs w:val="18"/>
              </w:rPr>
              <w:t>(SD)</w:t>
            </w:r>
          </w:p>
        </w:tc>
        <w:tc>
          <w:tcPr>
            <w:tcW w:w="696" w:type="pct"/>
            <w:tcBorders>
              <w:top w:val="dashSmallGap" w:sz="4" w:space="0" w:color="D8D8D8"/>
              <w:bottom w:val="dashSmallGap" w:sz="4" w:space="0" w:color="D8D8D8"/>
            </w:tcBorders>
            <w:shd w:val="clear" w:color="auto" w:fill="ECECEC"/>
            <w:vAlign w:val="center"/>
          </w:tcPr>
          <w:p w14:paraId="74E67E3F" w14:textId="4B77D2A8" w:rsidR="006407DD" w:rsidRPr="006407DD" w:rsidRDefault="006407DD" w:rsidP="006407DD">
            <w:pPr>
              <w:pStyle w:val="TableParagraph"/>
              <w:spacing w:line="240" w:lineRule="auto"/>
              <w:rPr>
                <w:sz w:val="18"/>
                <w:szCs w:val="18"/>
              </w:rPr>
            </w:pPr>
            <w:r>
              <w:rPr>
                <w:sz w:val="18"/>
                <w:szCs w:val="18"/>
              </w:rPr>
              <w:t>1.45 (0.23)</w:t>
            </w:r>
          </w:p>
        </w:tc>
        <w:tc>
          <w:tcPr>
            <w:tcW w:w="696" w:type="pct"/>
            <w:tcBorders>
              <w:top w:val="dashSmallGap" w:sz="4" w:space="0" w:color="D8D8D8"/>
              <w:bottom w:val="dashSmallGap" w:sz="4" w:space="0" w:color="D8D8D8"/>
            </w:tcBorders>
            <w:shd w:val="clear" w:color="auto" w:fill="ECECEC"/>
            <w:vAlign w:val="center"/>
          </w:tcPr>
          <w:p w14:paraId="49861E5D" w14:textId="2C111D80" w:rsidR="006407DD" w:rsidRPr="006407DD" w:rsidRDefault="006407DD" w:rsidP="006407DD">
            <w:pPr>
              <w:pStyle w:val="TableParagraph"/>
              <w:spacing w:line="240" w:lineRule="auto"/>
              <w:rPr>
                <w:sz w:val="18"/>
                <w:szCs w:val="18"/>
              </w:rPr>
            </w:pPr>
            <w:r>
              <w:rPr>
                <w:sz w:val="18"/>
                <w:szCs w:val="18"/>
              </w:rPr>
              <w:t>1.59 (0.29)</w:t>
            </w:r>
          </w:p>
        </w:tc>
        <w:tc>
          <w:tcPr>
            <w:tcW w:w="696" w:type="pct"/>
            <w:tcBorders>
              <w:top w:val="dashSmallGap" w:sz="4" w:space="0" w:color="D8D8D8"/>
              <w:bottom w:val="dashSmallGap" w:sz="4" w:space="0" w:color="D8D8D8"/>
            </w:tcBorders>
            <w:shd w:val="clear" w:color="auto" w:fill="ECECEC"/>
            <w:vAlign w:val="center"/>
          </w:tcPr>
          <w:p w14:paraId="3947A9C8" w14:textId="2885C57D" w:rsidR="006407DD" w:rsidRPr="006407DD" w:rsidRDefault="006407DD" w:rsidP="006407DD">
            <w:pPr>
              <w:pStyle w:val="TableParagraph"/>
              <w:spacing w:line="240" w:lineRule="auto"/>
              <w:rPr>
                <w:sz w:val="18"/>
                <w:szCs w:val="18"/>
              </w:rPr>
            </w:pPr>
            <w:r>
              <w:rPr>
                <w:sz w:val="18"/>
                <w:szCs w:val="18"/>
              </w:rPr>
              <w:t>1.03 (0.20)</w:t>
            </w:r>
          </w:p>
        </w:tc>
        <w:tc>
          <w:tcPr>
            <w:tcW w:w="696" w:type="pct"/>
            <w:tcBorders>
              <w:top w:val="dashSmallGap" w:sz="4" w:space="0" w:color="D8D8D8"/>
              <w:bottom w:val="dashSmallGap" w:sz="4" w:space="0" w:color="D8D8D8"/>
            </w:tcBorders>
            <w:shd w:val="clear" w:color="auto" w:fill="ECECEC"/>
            <w:vAlign w:val="center"/>
          </w:tcPr>
          <w:p w14:paraId="0D4928E3" w14:textId="7EE98247" w:rsidR="006407DD" w:rsidRPr="006407DD" w:rsidRDefault="006407DD" w:rsidP="006407DD">
            <w:pPr>
              <w:pStyle w:val="TableParagraph"/>
              <w:spacing w:line="240" w:lineRule="auto"/>
              <w:rPr>
                <w:sz w:val="18"/>
                <w:szCs w:val="18"/>
              </w:rPr>
            </w:pPr>
            <w:r>
              <w:rPr>
                <w:sz w:val="18"/>
                <w:szCs w:val="18"/>
              </w:rPr>
              <w:t>1.42 (0.72)</w:t>
            </w:r>
          </w:p>
        </w:tc>
        <w:tc>
          <w:tcPr>
            <w:tcW w:w="696" w:type="pct"/>
            <w:tcBorders>
              <w:top w:val="dashSmallGap" w:sz="4" w:space="0" w:color="D8D8D8"/>
              <w:bottom w:val="dashSmallGap" w:sz="4" w:space="0" w:color="D8D8D8"/>
            </w:tcBorders>
            <w:shd w:val="clear" w:color="auto" w:fill="ECECEC"/>
            <w:vAlign w:val="center"/>
          </w:tcPr>
          <w:p w14:paraId="4AB24E07" w14:textId="77777777" w:rsidR="006407DD" w:rsidRPr="006407DD" w:rsidRDefault="006407DD" w:rsidP="006407DD">
            <w:pPr>
              <w:pStyle w:val="TableParagraph"/>
              <w:spacing w:line="240" w:lineRule="auto"/>
              <w:rPr>
                <w:sz w:val="18"/>
                <w:szCs w:val="18"/>
              </w:rPr>
            </w:pPr>
            <w:r w:rsidRPr="006407DD">
              <w:rPr>
                <w:sz w:val="18"/>
                <w:szCs w:val="18"/>
              </w:rPr>
              <w:t>1</w:t>
            </w:r>
          </w:p>
        </w:tc>
      </w:tr>
      <w:tr w:rsidR="006407DD" w:rsidRPr="00A76818" w14:paraId="1F666543" w14:textId="77777777" w:rsidTr="00BB21F9">
        <w:trPr>
          <w:gridAfter w:val="1"/>
          <w:wAfter w:w="12" w:type="pct"/>
          <w:trHeight w:val="285"/>
        </w:trPr>
        <w:tc>
          <w:tcPr>
            <w:tcW w:w="1509" w:type="pct"/>
            <w:tcBorders>
              <w:top w:val="dashSmallGap" w:sz="4" w:space="0" w:color="D8D8D8"/>
              <w:bottom w:val="dashSmallGap" w:sz="4" w:space="0" w:color="D8D8D8"/>
            </w:tcBorders>
            <w:shd w:val="clear" w:color="auto" w:fill="ECECEC"/>
          </w:tcPr>
          <w:p w14:paraId="7A82718A" w14:textId="77777777" w:rsidR="006407DD" w:rsidRPr="00A76818" w:rsidRDefault="006407DD" w:rsidP="006407DD">
            <w:pPr>
              <w:pStyle w:val="TableParagraph"/>
              <w:spacing w:line="240" w:lineRule="auto"/>
              <w:jc w:val="left"/>
              <w:rPr>
                <w:sz w:val="18"/>
                <w:szCs w:val="18"/>
              </w:rPr>
            </w:pPr>
            <w:r w:rsidRPr="00A76818">
              <w:rPr>
                <w:sz w:val="18"/>
                <w:szCs w:val="18"/>
              </w:rPr>
              <w:t>-</w:t>
            </w:r>
            <w:r w:rsidRPr="00A76818">
              <w:rPr>
                <w:spacing w:val="-3"/>
                <w:sz w:val="18"/>
                <w:szCs w:val="18"/>
              </w:rPr>
              <w:t xml:space="preserve"> </w:t>
            </w:r>
            <w:r w:rsidRPr="00A76818">
              <w:rPr>
                <w:sz w:val="18"/>
                <w:szCs w:val="18"/>
              </w:rPr>
              <w:t>median</w:t>
            </w:r>
            <w:r w:rsidRPr="00A76818">
              <w:rPr>
                <w:spacing w:val="-2"/>
                <w:sz w:val="18"/>
                <w:szCs w:val="18"/>
              </w:rPr>
              <w:t xml:space="preserve"> </w:t>
            </w:r>
            <w:r w:rsidRPr="00A76818">
              <w:rPr>
                <w:sz w:val="18"/>
                <w:szCs w:val="18"/>
              </w:rPr>
              <w:t>(95%</w:t>
            </w:r>
            <w:r w:rsidRPr="00A76818">
              <w:rPr>
                <w:spacing w:val="-1"/>
                <w:sz w:val="18"/>
                <w:szCs w:val="18"/>
              </w:rPr>
              <w:t xml:space="preserve"> </w:t>
            </w:r>
            <w:r w:rsidRPr="00A76818">
              <w:rPr>
                <w:sz w:val="18"/>
                <w:szCs w:val="18"/>
              </w:rPr>
              <w:t>CrI)</w:t>
            </w:r>
          </w:p>
        </w:tc>
        <w:tc>
          <w:tcPr>
            <w:tcW w:w="696" w:type="pct"/>
            <w:tcBorders>
              <w:top w:val="dashSmallGap" w:sz="4" w:space="0" w:color="D8D8D8"/>
              <w:bottom w:val="dashSmallGap" w:sz="4" w:space="0" w:color="D8D8D8"/>
            </w:tcBorders>
            <w:shd w:val="clear" w:color="auto" w:fill="ECECEC"/>
            <w:vAlign w:val="center"/>
          </w:tcPr>
          <w:p w14:paraId="794AA96D" w14:textId="61429F50" w:rsidR="006407DD" w:rsidRPr="006407DD" w:rsidRDefault="006407DD" w:rsidP="006407DD">
            <w:pPr>
              <w:pStyle w:val="TableParagraph"/>
              <w:spacing w:line="240" w:lineRule="auto"/>
              <w:rPr>
                <w:sz w:val="18"/>
                <w:szCs w:val="18"/>
              </w:rPr>
            </w:pPr>
            <w:r>
              <w:rPr>
                <w:sz w:val="18"/>
                <w:szCs w:val="18"/>
              </w:rPr>
              <w:t>1.43 (1.05 to 1.95)</w:t>
            </w:r>
          </w:p>
        </w:tc>
        <w:tc>
          <w:tcPr>
            <w:tcW w:w="696" w:type="pct"/>
            <w:tcBorders>
              <w:top w:val="dashSmallGap" w:sz="4" w:space="0" w:color="D8D8D8"/>
              <w:bottom w:val="dashSmallGap" w:sz="4" w:space="0" w:color="D8D8D8"/>
            </w:tcBorders>
            <w:shd w:val="clear" w:color="auto" w:fill="ECECEC"/>
            <w:vAlign w:val="center"/>
          </w:tcPr>
          <w:p w14:paraId="4052A2D3" w14:textId="5F4B593E" w:rsidR="006407DD" w:rsidRPr="006407DD" w:rsidRDefault="006407DD" w:rsidP="006407DD">
            <w:pPr>
              <w:pStyle w:val="TableParagraph"/>
              <w:spacing w:line="240" w:lineRule="auto"/>
              <w:rPr>
                <w:sz w:val="18"/>
                <w:szCs w:val="18"/>
              </w:rPr>
            </w:pPr>
            <w:r>
              <w:rPr>
                <w:sz w:val="18"/>
                <w:szCs w:val="18"/>
              </w:rPr>
              <w:t>1.57 (1.10 to 2.22)</w:t>
            </w:r>
          </w:p>
        </w:tc>
        <w:tc>
          <w:tcPr>
            <w:tcW w:w="696" w:type="pct"/>
            <w:tcBorders>
              <w:top w:val="dashSmallGap" w:sz="4" w:space="0" w:color="D8D8D8"/>
              <w:bottom w:val="dashSmallGap" w:sz="4" w:space="0" w:color="D8D8D8"/>
            </w:tcBorders>
            <w:shd w:val="clear" w:color="auto" w:fill="ECECEC"/>
            <w:vAlign w:val="center"/>
          </w:tcPr>
          <w:p w14:paraId="3D3D459B" w14:textId="5096DBC1" w:rsidR="006407DD" w:rsidRPr="006407DD" w:rsidRDefault="006407DD" w:rsidP="006407DD">
            <w:pPr>
              <w:pStyle w:val="TableParagraph"/>
              <w:spacing w:line="240" w:lineRule="auto"/>
              <w:rPr>
                <w:sz w:val="18"/>
                <w:szCs w:val="18"/>
              </w:rPr>
            </w:pPr>
            <w:r>
              <w:rPr>
                <w:sz w:val="18"/>
                <w:szCs w:val="18"/>
              </w:rPr>
              <w:t>1.01 (0.70 to 1.49)</w:t>
            </w:r>
          </w:p>
        </w:tc>
        <w:tc>
          <w:tcPr>
            <w:tcW w:w="696" w:type="pct"/>
            <w:tcBorders>
              <w:top w:val="dashSmallGap" w:sz="4" w:space="0" w:color="D8D8D8"/>
              <w:bottom w:val="dashSmallGap" w:sz="4" w:space="0" w:color="D8D8D8"/>
            </w:tcBorders>
            <w:shd w:val="clear" w:color="auto" w:fill="ECECEC"/>
            <w:vAlign w:val="center"/>
          </w:tcPr>
          <w:p w14:paraId="72A413B0" w14:textId="522448B1" w:rsidR="006407DD" w:rsidRPr="006407DD" w:rsidRDefault="006407DD" w:rsidP="006407DD">
            <w:pPr>
              <w:pStyle w:val="TableParagraph"/>
              <w:spacing w:line="240" w:lineRule="auto"/>
              <w:rPr>
                <w:sz w:val="18"/>
                <w:szCs w:val="18"/>
              </w:rPr>
            </w:pPr>
            <w:r w:rsidRPr="006407DD">
              <w:rPr>
                <w:sz w:val="18"/>
                <w:szCs w:val="18"/>
              </w:rPr>
              <w:t>1</w:t>
            </w:r>
            <w:r>
              <w:rPr>
                <w:sz w:val="18"/>
                <w:szCs w:val="18"/>
              </w:rPr>
              <w:t>.26 (0.51 to 3.27)</w:t>
            </w:r>
          </w:p>
        </w:tc>
        <w:tc>
          <w:tcPr>
            <w:tcW w:w="696" w:type="pct"/>
            <w:tcBorders>
              <w:top w:val="dashSmallGap" w:sz="4" w:space="0" w:color="D8D8D8"/>
              <w:bottom w:val="dashSmallGap" w:sz="4" w:space="0" w:color="D8D8D8"/>
            </w:tcBorders>
            <w:shd w:val="clear" w:color="auto" w:fill="ECECEC"/>
            <w:vAlign w:val="center"/>
          </w:tcPr>
          <w:p w14:paraId="1B94329D" w14:textId="77777777" w:rsidR="006407DD" w:rsidRPr="006407DD" w:rsidRDefault="006407DD" w:rsidP="006407DD">
            <w:pPr>
              <w:pStyle w:val="TableParagraph"/>
              <w:spacing w:line="240" w:lineRule="auto"/>
              <w:rPr>
                <w:sz w:val="18"/>
                <w:szCs w:val="18"/>
              </w:rPr>
            </w:pPr>
            <w:r w:rsidRPr="006407DD">
              <w:rPr>
                <w:sz w:val="18"/>
                <w:szCs w:val="18"/>
              </w:rPr>
              <w:t>1</w:t>
            </w:r>
          </w:p>
        </w:tc>
      </w:tr>
      <w:tr w:rsidR="006407DD" w:rsidRPr="00A76818" w14:paraId="38103ACA" w14:textId="77777777" w:rsidTr="00BB21F9">
        <w:trPr>
          <w:gridAfter w:val="1"/>
          <w:wAfter w:w="12" w:type="pct"/>
          <w:trHeight w:val="285"/>
        </w:trPr>
        <w:tc>
          <w:tcPr>
            <w:tcW w:w="1509" w:type="pct"/>
            <w:tcBorders>
              <w:top w:val="dashSmallGap" w:sz="4" w:space="0" w:color="D8D8D8"/>
              <w:bottom w:val="dashSmallGap" w:sz="4" w:space="0" w:color="D8D8D8"/>
            </w:tcBorders>
            <w:shd w:val="clear" w:color="auto" w:fill="ECECEC"/>
          </w:tcPr>
          <w:p w14:paraId="364785F8" w14:textId="77777777" w:rsidR="006407DD" w:rsidRPr="00A76818" w:rsidRDefault="006407DD" w:rsidP="006407DD">
            <w:pPr>
              <w:pStyle w:val="TableParagraph"/>
              <w:spacing w:line="240" w:lineRule="auto"/>
              <w:jc w:val="left"/>
              <w:rPr>
                <w:sz w:val="18"/>
                <w:szCs w:val="18"/>
              </w:rPr>
            </w:pPr>
            <w:r w:rsidRPr="00A76818">
              <w:rPr>
                <w:sz w:val="18"/>
                <w:szCs w:val="18"/>
              </w:rPr>
              <w:t>Probability</w:t>
            </w:r>
            <w:r w:rsidRPr="00A76818">
              <w:rPr>
                <w:spacing w:val="-6"/>
                <w:sz w:val="18"/>
                <w:szCs w:val="18"/>
              </w:rPr>
              <w:t xml:space="preserve"> </w:t>
            </w:r>
            <w:r w:rsidRPr="00A76818">
              <w:rPr>
                <w:sz w:val="18"/>
                <w:szCs w:val="18"/>
              </w:rPr>
              <w:t>of</w:t>
            </w:r>
            <w:r w:rsidRPr="00A76818">
              <w:rPr>
                <w:spacing w:val="-3"/>
                <w:sz w:val="18"/>
                <w:szCs w:val="18"/>
              </w:rPr>
              <w:t xml:space="preserve"> </w:t>
            </w:r>
            <w:r w:rsidRPr="00A76818">
              <w:rPr>
                <w:sz w:val="18"/>
                <w:szCs w:val="18"/>
              </w:rPr>
              <w:t>superiority</w:t>
            </w:r>
            <w:r w:rsidRPr="00A76818">
              <w:rPr>
                <w:spacing w:val="-5"/>
                <w:sz w:val="18"/>
                <w:szCs w:val="18"/>
              </w:rPr>
              <w:t xml:space="preserve"> </w:t>
            </w:r>
            <w:r w:rsidRPr="00A76818">
              <w:rPr>
                <w:sz w:val="18"/>
                <w:szCs w:val="18"/>
              </w:rPr>
              <w:t>to</w:t>
            </w:r>
            <w:r w:rsidRPr="00A76818">
              <w:rPr>
                <w:spacing w:val="-4"/>
                <w:sz w:val="18"/>
                <w:szCs w:val="18"/>
              </w:rPr>
              <w:t xml:space="preserve"> </w:t>
            </w:r>
            <w:r w:rsidRPr="00A76818">
              <w:rPr>
                <w:sz w:val="18"/>
                <w:szCs w:val="18"/>
              </w:rPr>
              <w:t>control,</w:t>
            </w:r>
            <w:r w:rsidRPr="00A76818">
              <w:rPr>
                <w:spacing w:val="-3"/>
                <w:sz w:val="18"/>
                <w:szCs w:val="18"/>
              </w:rPr>
              <w:t xml:space="preserve"> </w:t>
            </w:r>
            <w:r w:rsidRPr="00A76818">
              <w:rPr>
                <w:sz w:val="18"/>
                <w:szCs w:val="18"/>
              </w:rPr>
              <w:t>%</w:t>
            </w:r>
          </w:p>
        </w:tc>
        <w:tc>
          <w:tcPr>
            <w:tcW w:w="696" w:type="pct"/>
            <w:tcBorders>
              <w:top w:val="dashSmallGap" w:sz="4" w:space="0" w:color="D8D8D8"/>
              <w:bottom w:val="dashSmallGap" w:sz="4" w:space="0" w:color="D8D8D8"/>
            </w:tcBorders>
            <w:shd w:val="clear" w:color="auto" w:fill="ECECEC"/>
            <w:vAlign w:val="center"/>
          </w:tcPr>
          <w:p w14:paraId="70EB51A2" w14:textId="459924C0" w:rsidR="006407DD" w:rsidRPr="006407DD" w:rsidRDefault="006407DD" w:rsidP="006407DD">
            <w:pPr>
              <w:pStyle w:val="TableParagraph"/>
              <w:spacing w:line="240" w:lineRule="auto"/>
              <w:rPr>
                <w:sz w:val="18"/>
                <w:szCs w:val="18"/>
              </w:rPr>
            </w:pPr>
            <w:r>
              <w:rPr>
                <w:sz w:val="18"/>
                <w:szCs w:val="18"/>
              </w:rPr>
              <w:t>99.0</w:t>
            </w:r>
          </w:p>
        </w:tc>
        <w:tc>
          <w:tcPr>
            <w:tcW w:w="696" w:type="pct"/>
            <w:tcBorders>
              <w:top w:val="dashSmallGap" w:sz="4" w:space="0" w:color="D8D8D8"/>
              <w:bottom w:val="dashSmallGap" w:sz="4" w:space="0" w:color="D8D8D8"/>
            </w:tcBorders>
            <w:shd w:val="clear" w:color="auto" w:fill="ECECEC"/>
            <w:vAlign w:val="center"/>
          </w:tcPr>
          <w:p w14:paraId="0EA7AC31" w14:textId="48BD34D2" w:rsidR="006407DD" w:rsidRPr="006407DD" w:rsidRDefault="006407DD" w:rsidP="006407DD">
            <w:pPr>
              <w:pStyle w:val="TableParagraph"/>
              <w:spacing w:line="240" w:lineRule="auto"/>
              <w:rPr>
                <w:sz w:val="18"/>
                <w:szCs w:val="18"/>
              </w:rPr>
            </w:pPr>
            <w:r>
              <w:rPr>
                <w:sz w:val="18"/>
                <w:szCs w:val="18"/>
              </w:rPr>
              <w:t>99.3</w:t>
            </w:r>
          </w:p>
        </w:tc>
        <w:tc>
          <w:tcPr>
            <w:tcW w:w="696" w:type="pct"/>
            <w:tcBorders>
              <w:top w:val="dashSmallGap" w:sz="4" w:space="0" w:color="D8D8D8"/>
              <w:bottom w:val="dashSmallGap" w:sz="4" w:space="0" w:color="D8D8D8"/>
            </w:tcBorders>
            <w:shd w:val="clear" w:color="auto" w:fill="ECECEC"/>
            <w:vAlign w:val="center"/>
          </w:tcPr>
          <w:p w14:paraId="51857C7C" w14:textId="01C508B0" w:rsidR="006407DD" w:rsidRPr="006407DD" w:rsidRDefault="006407DD" w:rsidP="006407DD">
            <w:pPr>
              <w:pStyle w:val="TableParagraph"/>
              <w:spacing w:line="240" w:lineRule="auto"/>
              <w:rPr>
                <w:sz w:val="18"/>
                <w:szCs w:val="18"/>
              </w:rPr>
            </w:pPr>
            <w:r>
              <w:rPr>
                <w:sz w:val="18"/>
                <w:szCs w:val="18"/>
              </w:rPr>
              <w:t>52.9</w:t>
            </w:r>
          </w:p>
        </w:tc>
        <w:tc>
          <w:tcPr>
            <w:tcW w:w="696" w:type="pct"/>
            <w:tcBorders>
              <w:top w:val="dashSmallGap" w:sz="4" w:space="0" w:color="D8D8D8"/>
              <w:bottom w:val="dashSmallGap" w:sz="4" w:space="0" w:color="D8D8D8"/>
            </w:tcBorders>
            <w:shd w:val="clear" w:color="auto" w:fill="ECECEC"/>
            <w:vAlign w:val="center"/>
          </w:tcPr>
          <w:p w14:paraId="09059317" w14:textId="0E2DD226" w:rsidR="006407DD" w:rsidRPr="006407DD" w:rsidRDefault="006407DD" w:rsidP="006407DD">
            <w:pPr>
              <w:pStyle w:val="TableParagraph"/>
              <w:spacing w:line="240" w:lineRule="auto"/>
              <w:rPr>
                <w:sz w:val="18"/>
                <w:szCs w:val="18"/>
              </w:rPr>
            </w:pPr>
            <w:r>
              <w:rPr>
                <w:sz w:val="18"/>
                <w:szCs w:val="18"/>
              </w:rPr>
              <w:t>69.1</w:t>
            </w:r>
          </w:p>
        </w:tc>
        <w:tc>
          <w:tcPr>
            <w:tcW w:w="696" w:type="pct"/>
            <w:tcBorders>
              <w:top w:val="dashSmallGap" w:sz="4" w:space="0" w:color="D8D8D8"/>
              <w:bottom w:val="dashSmallGap" w:sz="4" w:space="0" w:color="D8D8D8"/>
            </w:tcBorders>
            <w:shd w:val="clear" w:color="auto" w:fill="ECECEC"/>
            <w:vAlign w:val="center"/>
          </w:tcPr>
          <w:p w14:paraId="35E89E5E" w14:textId="77777777" w:rsidR="006407DD" w:rsidRPr="006407DD" w:rsidRDefault="006407DD" w:rsidP="006407DD">
            <w:pPr>
              <w:pStyle w:val="TableParagraph"/>
              <w:spacing w:line="240" w:lineRule="auto"/>
              <w:rPr>
                <w:sz w:val="18"/>
                <w:szCs w:val="18"/>
              </w:rPr>
            </w:pPr>
            <w:r w:rsidRPr="006407DD">
              <w:rPr>
                <w:sz w:val="18"/>
                <w:szCs w:val="18"/>
              </w:rPr>
              <w:t>-</w:t>
            </w:r>
          </w:p>
        </w:tc>
      </w:tr>
      <w:tr w:rsidR="006407DD" w:rsidRPr="00A76818" w14:paraId="250EB336" w14:textId="77777777" w:rsidTr="00BB21F9">
        <w:trPr>
          <w:gridAfter w:val="1"/>
          <w:wAfter w:w="12" w:type="pct"/>
          <w:trHeight w:val="602"/>
        </w:trPr>
        <w:tc>
          <w:tcPr>
            <w:tcW w:w="4988" w:type="pct"/>
            <w:gridSpan w:val="6"/>
            <w:tcBorders>
              <w:top w:val="single" w:sz="4" w:space="0" w:color="000000"/>
              <w:bottom w:val="dashSmallGap" w:sz="4" w:space="0" w:color="D8D8D8"/>
            </w:tcBorders>
            <w:shd w:val="clear" w:color="auto" w:fill="ECECEC"/>
          </w:tcPr>
          <w:p w14:paraId="61AC2B87" w14:textId="64229092" w:rsidR="006407DD" w:rsidRPr="00A76818" w:rsidRDefault="006407DD" w:rsidP="006407DD">
            <w:pPr>
              <w:pStyle w:val="TableParagraph"/>
              <w:spacing w:line="240" w:lineRule="auto"/>
              <w:ind w:right="5126"/>
              <w:jc w:val="left"/>
              <w:rPr>
                <w:b/>
                <w:sz w:val="18"/>
                <w:szCs w:val="18"/>
              </w:rPr>
            </w:pPr>
            <w:r w:rsidRPr="00A76818">
              <w:rPr>
                <w:b/>
                <w:sz w:val="18"/>
                <w:szCs w:val="18"/>
              </w:rPr>
              <w:t>Secondary</w:t>
            </w:r>
            <w:r w:rsidRPr="00A76818">
              <w:rPr>
                <w:b/>
                <w:spacing w:val="-6"/>
                <w:sz w:val="18"/>
                <w:szCs w:val="18"/>
              </w:rPr>
              <w:t xml:space="preserve"> </w:t>
            </w:r>
            <w:r w:rsidRPr="00A76818">
              <w:rPr>
                <w:b/>
                <w:sz w:val="18"/>
                <w:szCs w:val="18"/>
              </w:rPr>
              <w:t>Analysis</w:t>
            </w:r>
            <w:r w:rsidRPr="00A76818">
              <w:rPr>
                <w:b/>
                <w:spacing w:val="-3"/>
                <w:sz w:val="18"/>
                <w:szCs w:val="18"/>
              </w:rPr>
              <w:t xml:space="preserve"> </w:t>
            </w:r>
            <w:r w:rsidRPr="00A76818">
              <w:rPr>
                <w:b/>
                <w:sz w:val="18"/>
                <w:szCs w:val="18"/>
              </w:rPr>
              <w:t>of</w:t>
            </w:r>
            <w:r w:rsidRPr="00A76818">
              <w:rPr>
                <w:b/>
                <w:spacing w:val="-6"/>
                <w:sz w:val="18"/>
                <w:szCs w:val="18"/>
              </w:rPr>
              <w:t xml:space="preserve"> </w:t>
            </w:r>
            <w:r w:rsidRPr="00A76818">
              <w:rPr>
                <w:b/>
                <w:sz w:val="18"/>
                <w:szCs w:val="18"/>
              </w:rPr>
              <w:t>Primary</w:t>
            </w:r>
            <w:r w:rsidRPr="00A76818">
              <w:rPr>
                <w:b/>
                <w:spacing w:val="-1"/>
                <w:sz w:val="18"/>
                <w:szCs w:val="18"/>
              </w:rPr>
              <w:t xml:space="preserve"> </w:t>
            </w:r>
            <w:r w:rsidRPr="00A76818">
              <w:rPr>
                <w:b/>
                <w:sz w:val="18"/>
                <w:szCs w:val="18"/>
              </w:rPr>
              <w:t>Outcome</w:t>
            </w:r>
            <w:r w:rsidRPr="00A76818">
              <w:rPr>
                <w:sz w:val="18"/>
                <w:szCs w:val="18"/>
              </w:rPr>
              <w:t>,</w:t>
            </w:r>
            <w:r w:rsidRPr="00A76818">
              <w:rPr>
                <w:spacing w:val="-6"/>
                <w:sz w:val="18"/>
                <w:szCs w:val="18"/>
              </w:rPr>
              <w:t xml:space="preserve"> </w:t>
            </w:r>
            <w:r w:rsidRPr="00A76818">
              <w:rPr>
                <w:sz w:val="18"/>
                <w:szCs w:val="18"/>
              </w:rPr>
              <w:t xml:space="preserve">for </w:t>
            </w:r>
            <w:r w:rsidRPr="00CA20E0">
              <w:rPr>
                <w:sz w:val="18"/>
                <w:szCs w:val="18"/>
              </w:rPr>
              <w:t>Unblinded ITT popula</w:t>
            </w:r>
            <w:r>
              <w:rPr>
                <w:sz w:val="18"/>
                <w:szCs w:val="18"/>
              </w:rPr>
              <w:t>ti</w:t>
            </w:r>
            <w:r w:rsidRPr="00CA20E0">
              <w:rPr>
                <w:sz w:val="18"/>
                <w:szCs w:val="18"/>
              </w:rPr>
              <w:t xml:space="preserve">on with </w:t>
            </w:r>
            <w:r>
              <w:rPr>
                <w:sz w:val="18"/>
                <w:szCs w:val="18"/>
              </w:rPr>
              <w:t xml:space="preserve">pooled </w:t>
            </w:r>
            <w:r w:rsidRPr="00CA20E0">
              <w:rPr>
                <w:sz w:val="18"/>
                <w:szCs w:val="18"/>
              </w:rPr>
              <w:t>IL-6ra interven</w:t>
            </w:r>
            <w:r>
              <w:rPr>
                <w:sz w:val="18"/>
                <w:szCs w:val="18"/>
              </w:rPr>
              <w:t>ti</w:t>
            </w:r>
            <w:r w:rsidRPr="00CA20E0">
              <w:rPr>
                <w:sz w:val="18"/>
                <w:szCs w:val="18"/>
              </w:rPr>
              <w:t>on effects</w:t>
            </w:r>
            <w:r w:rsidR="00A046A9">
              <w:rPr>
                <w:sz w:val="18"/>
                <w:szCs w:val="18"/>
              </w:rPr>
              <w:t>*</w:t>
            </w:r>
          </w:p>
        </w:tc>
      </w:tr>
      <w:tr w:rsidR="0074329D" w:rsidRPr="00A76818" w14:paraId="6D1A98A2" w14:textId="77777777" w:rsidTr="00BB21F9">
        <w:trPr>
          <w:gridAfter w:val="1"/>
          <w:wAfter w:w="12" w:type="pct"/>
          <w:trHeight w:val="285"/>
        </w:trPr>
        <w:tc>
          <w:tcPr>
            <w:tcW w:w="1509" w:type="pct"/>
            <w:tcBorders>
              <w:top w:val="dashSmallGap" w:sz="4" w:space="0" w:color="D8D8D8"/>
              <w:bottom w:val="dashSmallGap" w:sz="4" w:space="0" w:color="D8D8D8"/>
            </w:tcBorders>
            <w:shd w:val="clear" w:color="auto" w:fill="ECECEC"/>
          </w:tcPr>
          <w:p w14:paraId="3FFDD7F0" w14:textId="77777777" w:rsidR="0074329D" w:rsidRPr="00A76818" w:rsidRDefault="0074329D" w:rsidP="006407DD">
            <w:pPr>
              <w:pStyle w:val="TableParagraph"/>
              <w:spacing w:line="240" w:lineRule="auto"/>
              <w:jc w:val="left"/>
              <w:rPr>
                <w:sz w:val="18"/>
                <w:szCs w:val="18"/>
              </w:rPr>
            </w:pPr>
            <w:r w:rsidRPr="00A76818">
              <w:rPr>
                <w:sz w:val="18"/>
                <w:szCs w:val="18"/>
              </w:rPr>
              <w:t>Adjusted</w:t>
            </w:r>
            <w:r w:rsidRPr="00A76818">
              <w:rPr>
                <w:spacing w:val="-3"/>
                <w:sz w:val="18"/>
                <w:szCs w:val="18"/>
              </w:rPr>
              <w:t xml:space="preserve"> </w:t>
            </w:r>
            <w:r w:rsidRPr="00A76818">
              <w:rPr>
                <w:sz w:val="18"/>
                <w:szCs w:val="18"/>
              </w:rPr>
              <w:t>OR</w:t>
            </w:r>
            <w:r w:rsidRPr="00A76818">
              <w:rPr>
                <w:spacing w:val="2"/>
                <w:sz w:val="18"/>
                <w:szCs w:val="18"/>
              </w:rPr>
              <w:t xml:space="preserve"> </w:t>
            </w:r>
            <w:r w:rsidRPr="00A76818">
              <w:rPr>
                <w:sz w:val="18"/>
                <w:szCs w:val="18"/>
              </w:rPr>
              <w:t>-</w:t>
            </w:r>
            <w:r w:rsidRPr="00A76818">
              <w:rPr>
                <w:spacing w:val="-2"/>
                <w:sz w:val="18"/>
                <w:szCs w:val="18"/>
              </w:rPr>
              <w:t xml:space="preserve"> </w:t>
            </w:r>
            <w:r w:rsidRPr="00A76818">
              <w:rPr>
                <w:sz w:val="18"/>
                <w:szCs w:val="18"/>
              </w:rPr>
              <w:t>mean</w:t>
            </w:r>
            <w:r w:rsidRPr="00A76818">
              <w:rPr>
                <w:spacing w:val="-3"/>
                <w:sz w:val="18"/>
                <w:szCs w:val="18"/>
              </w:rPr>
              <w:t xml:space="preserve"> </w:t>
            </w:r>
            <w:r w:rsidRPr="00A76818">
              <w:rPr>
                <w:sz w:val="18"/>
                <w:szCs w:val="18"/>
              </w:rPr>
              <w:t>(SD)</w:t>
            </w:r>
          </w:p>
        </w:tc>
        <w:tc>
          <w:tcPr>
            <w:tcW w:w="1391" w:type="pct"/>
            <w:gridSpan w:val="2"/>
            <w:tcBorders>
              <w:top w:val="dashSmallGap" w:sz="4" w:space="0" w:color="D8D8D8"/>
              <w:bottom w:val="dashSmallGap" w:sz="4" w:space="0" w:color="D8D8D8"/>
            </w:tcBorders>
            <w:shd w:val="clear" w:color="auto" w:fill="ECECEC"/>
            <w:vAlign w:val="center"/>
          </w:tcPr>
          <w:p w14:paraId="49967D30" w14:textId="3609D5E5" w:rsidR="0074329D" w:rsidRPr="0074329D" w:rsidRDefault="0074329D" w:rsidP="0074329D">
            <w:pPr>
              <w:pStyle w:val="TableParagraph"/>
              <w:spacing w:line="240" w:lineRule="auto"/>
              <w:rPr>
                <w:sz w:val="18"/>
                <w:szCs w:val="18"/>
              </w:rPr>
            </w:pPr>
            <w:r>
              <w:rPr>
                <w:sz w:val="18"/>
                <w:szCs w:val="18"/>
              </w:rPr>
              <w:t>1.53 (0.19)</w:t>
            </w:r>
          </w:p>
        </w:tc>
        <w:tc>
          <w:tcPr>
            <w:tcW w:w="696" w:type="pct"/>
            <w:tcBorders>
              <w:top w:val="dashSmallGap" w:sz="4" w:space="0" w:color="D8D8D8"/>
              <w:bottom w:val="dashSmallGap" w:sz="4" w:space="0" w:color="D8D8D8"/>
            </w:tcBorders>
            <w:shd w:val="clear" w:color="auto" w:fill="ECECEC"/>
            <w:vAlign w:val="center"/>
          </w:tcPr>
          <w:p w14:paraId="2D4D85E3" w14:textId="12B2EEBB" w:rsidR="0074329D" w:rsidRPr="0074329D" w:rsidRDefault="0074329D" w:rsidP="006407DD">
            <w:pPr>
              <w:pStyle w:val="TableParagraph"/>
              <w:spacing w:line="240" w:lineRule="auto"/>
              <w:rPr>
                <w:sz w:val="18"/>
                <w:szCs w:val="18"/>
              </w:rPr>
            </w:pPr>
            <w:r>
              <w:rPr>
                <w:sz w:val="18"/>
                <w:szCs w:val="18"/>
              </w:rPr>
              <w:t>1.07 (0.17)</w:t>
            </w:r>
          </w:p>
        </w:tc>
        <w:tc>
          <w:tcPr>
            <w:tcW w:w="696" w:type="pct"/>
            <w:tcBorders>
              <w:top w:val="dashSmallGap" w:sz="4" w:space="0" w:color="D8D8D8"/>
              <w:bottom w:val="dashSmallGap" w:sz="4" w:space="0" w:color="D8D8D8"/>
            </w:tcBorders>
            <w:shd w:val="clear" w:color="auto" w:fill="ECECEC"/>
            <w:vAlign w:val="center"/>
          </w:tcPr>
          <w:p w14:paraId="12161B14" w14:textId="386BB84C" w:rsidR="0074329D" w:rsidRPr="0074329D" w:rsidRDefault="0074329D" w:rsidP="006407DD">
            <w:pPr>
              <w:pStyle w:val="TableParagraph"/>
              <w:spacing w:line="240" w:lineRule="auto"/>
              <w:rPr>
                <w:sz w:val="18"/>
                <w:szCs w:val="18"/>
              </w:rPr>
            </w:pPr>
            <w:r>
              <w:rPr>
                <w:sz w:val="18"/>
                <w:szCs w:val="18"/>
              </w:rPr>
              <w:t>1.36 (0.56)</w:t>
            </w:r>
          </w:p>
        </w:tc>
        <w:tc>
          <w:tcPr>
            <w:tcW w:w="696" w:type="pct"/>
            <w:tcBorders>
              <w:top w:val="dashSmallGap" w:sz="4" w:space="0" w:color="D8D8D8"/>
              <w:bottom w:val="dashSmallGap" w:sz="4" w:space="0" w:color="D8D8D8"/>
            </w:tcBorders>
            <w:shd w:val="clear" w:color="auto" w:fill="ECECEC"/>
            <w:vAlign w:val="center"/>
          </w:tcPr>
          <w:p w14:paraId="751977EC" w14:textId="77777777" w:rsidR="0074329D" w:rsidRPr="0074329D" w:rsidRDefault="0074329D" w:rsidP="006407DD">
            <w:pPr>
              <w:pStyle w:val="TableParagraph"/>
              <w:spacing w:line="240" w:lineRule="auto"/>
              <w:rPr>
                <w:sz w:val="18"/>
                <w:szCs w:val="18"/>
              </w:rPr>
            </w:pPr>
            <w:r w:rsidRPr="0074329D">
              <w:rPr>
                <w:sz w:val="18"/>
                <w:szCs w:val="18"/>
              </w:rPr>
              <w:t>1</w:t>
            </w:r>
          </w:p>
        </w:tc>
      </w:tr>
      <w:tr w:rsidR="0074329D" w:rsidRPr="00A76818" w14:paraId="6FD3825A" w14:textId="77777777" w:rsidTr="00BB21F9">
        <w:trPr>
          <w:gridAfter w:val="1"/>
          <w:wAfter w:w="12" w:type="pct"/>
          <w:trHeight w:val="285"/>
        </w:trPr>
        <w:tc>
          <w:tcPr>
            <w:tcW w:w="1509" w:type="pct"/>
            <w:tcBorders>
              <w:top w:val="dashSmallGap" w:sz="4" w:space="0" w:color="D8D8D8"/>
              <w:bottom w:val="dashSmallGap" w:sz="4" w:space="0" w:color="D8D8D8"/>
            </w:tcBorders>
            <w:shd w:val="clear" w:color="auto" w:fill="ECECEC"/>
          </w:tcPr>
          <w:p w14:paraId="305E8174" w14:textId="77777777" w:rsidR="0074329D" w:rsidRPr="00A76818" w:rsidRDefault="0074329D" w:rsidP="006407DD">
            <w:pPr>
              <w:pStyle w:val="TableParagraph"/>
              <w:spacing w:line="240" w:lineRule="auto"/>
              <w:jc w:val="left"/>
              <w:rPr>
                <w:sz w:val="18"/>
                <w:szCs w:val="18"/>
              </w:rPr>
            </w:pPr>
            <w:r w:rsidRPr="00A76818">
              <w:rPr>
                <w:sz w:val="18"/>
                <w:szCs w:val="18"/>
              </w:rPr>
              <w:t>-</w:t>
            </w:r>
            <w:r w:rsidRPr="00A76818">
              <w:rPr>
                <w:spacing w:val="-3"/>
                <w:sz w:val="18"/>
                <w:szCs w:val="18"/>
              </w:rPr>
              <w:t xml:space="preserve"> </w:t>
            </w:r>
            <w:r w:rsidRPr="00A76818">
              <w:rPr>
                <w:sz w:val="18"/>
                <w:szCs w:val="18"/>
              </w:rPr>
              <w:t>median</w:t>
            </w:r>
            <w:r w:rsidRPr="00A76818">
              <w:rPr>
                <w:spacing w:val="-2"/>
                <w:sz w:val="18"/>
                <w:szCs w:val="18"/>
              </w:rPr>
              <w:t xml:space="preserve"> </w:t>
            </w:r>
            <w:r w:rsidRPr="00A76818">
              <w:rPr>
                <w:sz w:val="18"/>
                <w:szCs w:val="18"/>
              </w:rPr>
              <w:t>(95%</w:t>
            </w:r>
            <w:r w:rsidRPr="00A76818">
              <w:rPr>
                <w:spacing w:val="-1"/>
                <w:sz w:val="18"/>
                <w:szCs w:val="18"/>
              </w:rPr>
              <w:t xml:space="preserve"> </w:t>
            </w:r>
            <w:r w:rsidRPr="00A76818">
              <w:rPr>
                <w:sz w:val="18"/>
                <w:szCs w:val="18"/>
              </w:rPr>
              <w:t>CrI)</w:t>
            </w:r>
          </w:p>
        </w:tc>
        <w:tc>
          <w:tcPr>
            <w:tcW w:w="1391" w:type="pct"/>
            <w:gridSpan w:val="2"/>
            <w:tcBorders>
              <w:top w:val="dashSmallGap" w:sz="4" w:space="0" w:color="D8D8D8"/>
              <w:bottom w:val="dashSmallGap" w:sz="4" w:space="0" w:color="D8D8D8"/>
            </w:tcBorders>
            <w:shd w:val="clear" w:color="auto" w:fill="ECECEC"/>
            <w:vAlign w:val="center"/>
          </w:tcPr>
          <w:p w14:paraId="6E15C13C" w14:textId="729AF4B9" w:rsidR="0074329D" w:rsidRPr="0074329D" w:rsidRDefault="0074329D" w:rsidP="006407DD">
            <w:pPr>
              <w:pStyle w:val="TableParagraph"/>
              <w:spacing w:line="240" w:lineRule="auto"/>
              <w:rPr>
                <w:sz w:val="18"/>
                <w:szCs w:val="18"/>
              </w:rPr>
            </w:pPr>
            <w:r>
              <w:rPr>
                <w:sz w:val="18"/>
                <w:szCs w:val="18"/>
              </w:rPr>
              <w:t>1.52 (1.19 to 1.94)</w:t>
            </w:r>
          </w:p>
        </w:tc>
        <w:tc>
          <w:tcPr>
            <w:tcW w:w="696" w:type="pct"/>
            <w:tcBorders>
              <w:top w:val="dashSmallGap" w:sz="4" w:space="0" w:color="D8D8D8"/>
              <w:bottom w:val="dashSmallGap" w:sz="4" w:space="0" w:color="D8D8D8"/>
            </w:tcBorders>
            <w:shd w:val="clear" w:color="auto" w:fill="ECECEC"/>
            <w:vAlign w:val="center"/>
          </w:tcPr>
          <w:p w14:paraId="53A31740" w14:textId="3395B99A" w:rsidR="0074329D" w:rsidRPr="0074329D" w:rsidRDefault="0074329D" w:rsidP="006407DD">
            <w:pPr>
              <w:pStyle w:val="TableParagraph"/>
              <w:spacing w:line="240" w:lineRule="auto"/>
              <w:rPr>
                <w:sz w:val="18"/>
                <w:szCs w:val="18"/>
              </w:rPr>
            </w:pPr>
            <w:r>
              <w:rPr>
                <w:sz w:val="18"/>
                <w:szCs w:val="18"/>
              </w:rPr>
              <w:t>1.05 (0.78 to 1.45)</w:t>
            </w:r>
          </w:p>
        </w:tc>
        <w:tc>
          <w:tcPr>
            <w:tcW w:w="696" w:type="pct"/>
            <w:tcBorders>
              <w:top w:val="dashSmallGap" w:sz="4" w:space="0" w:color="D8D8D8"/>
              <w:bottom w:val="dashSmallGap" w:sz="4" w:space="0" w:color="D8D8D8"/>
            </w:tcBorders>
            <w:shd w:val="clear" w:color="auto" w:fill="ECECEC"/>
            <w:vAlign w:val="center"/>
          </w:tcPr>
          <w:p w14:paraId="32BFE737" w14:textId="06A66A02" w:rsidR="0074329D" w:rsidRPr="0074329D" w:rsidRDefault="0074329D" w:rsidP="006407DD">
            <w:pPr>
              <w:pStyle w:val="TableParagraph"/>
              <w:spacing w:line="240" w:lineRule="auto"/>
              <w:rPr>
                <w:sz w:val="18"/>
                <w:szCs w:val="18"/>
              </w:rPr>
            </w:pPr>
            <w:r>
              <w:rPr>
                <w:sz w:val="18"/>
                <w:szCs w:val="18"/>
              </w:rPr>
              <w:t>1.26 (0.58 to 2.69)</w:t>
            </w:r>
          </w:p>
        </w:tc>
        <w:tc>
          <w:tcPr>
            <w:tcW w:w="696" w:type="pct"/>
            <w:tcBorders>
              <w:top w:val="dashSmallGap" w:sz="4" w:space="0" w:color="D8D8D8"/>
              <w:bottom w:val="dashSmallGap" w:sz="4" w:space="0" w:color="D8D8D8"/>
            </w:tcBorders>
            <w:shd w:val="clear" w:color="auto" w:fill="ECECEC"/>
            <w:vAlign w:val="center"/>
          </w:tcPr>
          <w:p w14:paraId="0715F137" w14:textId="77777777" w:rsidR="0074329D" w:rsidRPr="0074329D" w:rsidRDefault="0074329D" w:rsidP="006407DD">
            <w:pPr>
              <w:pStyle w:val="TableParagraph"/>
              <w:spacing w:line="240" w:lineRule="auto"/>
              <w:rPr>
                <w:sz w:val="18"/>
                <w:szCs w:val="18"/>
              </w:rPr>
            </w:pPr>
            <w:r w:rsidRPr="0074329D">
              <w:rPr>
                <w:sz w:val="18"/>
                <w:szCs w:val="18"/>
              </w:rPr>
              <w:t>1</w:t>
            </w:r>
          </w:p>
        </w:tc>
      </w:tr>
      <w:tr w:rsidR="0074329D" w:rsidRPr="00A76818" w14:paraId="11CB4DD2" w14:textId="77777777" w:rsidTr="00BB21F9">
        <w:trPr>
          <w:gridAfter w:val="1"/>
          <w:wAfter w:w="12" w:type="pct"/>
          <w:trHeight w:val="285"/>
        </w:trPr>
        <w:tc>
          <w:tcPr>
            <w:tcW w:w="1509" w:type="pct"/>
            <w:tcBorders>
              <w:top w:val="dashSmallGap" w:sz="4" w:space="0" w:color="D8D8D8"/>
              <w:bottom w:val="dashSmallGap" w:sz="4" w:space="0" w:color="D8D8D8"/>
            </w:tcBorders>
            <w:shd w:val="clear" w:color="auto" w:fill="ECECEC"/>
          </w:tcPr>
          <w:p w14:paraId="203C9974" w14:textId="77777777" w:rsidR="0074329D" w:rsidRPr="00A76818" w:rsidRDefault="0074329D" w:rsidP="006407DD">
            <w:pPr>
              <w:pStyle w:val="TableParagraph"/>
              <w:spacing w:line="240" w:lineRule="auto"/>
              <w:jc w:val="left"/>
              <w:rPr>
                <w:sz w:val="18"/>
                <w:szCs w:val="18"/>
              </w:rPr>
            </w:pPr>
            <w:r w:rsidRPr="00A76818">
              <w:rPr>
                <w:sz w:val="18"/>
                <w:szCs w:val="18"/>
              </w:rPr>
              <w:t>Probability</w:t>
            </w:r>
            <w:r w:rsidRPr="00A76818">
              <w:rPr>
                <w:spacing w:val="-6"/>
                <w:sz w:val="18"/>
                <w:szCs w:val="18"/>
              </w:rPr>
              <w:t xml:space="preserve"> </w:t>
            </w:r>
            <w:r w:rsidRPr="00A76818">
              <w:rPr>
                <w:sz w:val="18"/>
                <w:szCs w:val="18"/>
              </w:rPr>
              <w:t>of</w:t>
            </w:r>
            <w:r w:rsidRPr="00A76818">
              <w:rPr>
                <w:spacing w:val="-3"/>
                <w:sz w:val="18"/>
                <w:szCs w:val="18"/>
              </w:rPr>
              <w:t xml:space="preserve"> </w:t>
            </w:r>
            <w:r w:rsidRPr="00A76818">
              <w:rPr>
                <w:sz w:val="18"/>
                <w:szCs w:val="18"/>
              </w:rPr>
              <w:t>superiority</w:t>
            </w:r>
            <w:r w:rsidRPr="00A76818">
              <w:rPr>
                <w:spacing w:val="-5"/>
                <w:sz w:val="18"/>
                <w:szCs w:val="18"/>
              </w:rPr>
              <w:t xml:space="preserve"> </w:t>
            </w:r>
            <w:r w:rsidRPr="00A76818">
              <w:rPr>
                <w:sz w:val="18"/>
                <w:szCs w:val="18"/>
              </w:rPr>
              <w:t>to</w:t>
            </w:r>
            <w:r w:rsidRPr="00A76818">
              <w:rPr>
                <w:spacing w:val="-4"/>
                <w:sz w:val="18"/>
                <w:szCs w:val="18"/>
              </w:rPr>
              <w:t xml:space="preserve"> </w:t>
            </w:r>
            <w:r w:rsidRPr="00A76818">
              <w:rPr>
                <w:sz w:val="18"/>
                <w:szCs w:val="18"/>
              </w:rPr>
              <w:t>control,</w:t>
            </w:r>
            <w:r w:rsidRPr="00A76818">
              <w:rPr>
                <w:spacing w:val="-3"/>
                <w:sz w:val="18"/>
                <w:szCs w:val="18"/>
              </w:rPr>
              <w:t xml:space="preserve"> </w:t>
            </w:r>
            <w:r w:rsidRPr="00A76818">
              <w:rPr>
                <w:sz w:val="18"/>
                <w:szCs w:val="18"/>
              </w:rPr>
              <w:t>%</w:t>
            </w:r>
          </w:p>
        </w:tc>
        <w:tc>
          <w:tcPr>
            <w:tcW w:w="1391" w:type="pct"/>
            <w:gridSpan w:val="2"/>
            <w:tcBorders>
              <w:top w:val="dashSmallGap" w:sz="4" w:space="0" w:color="D8D8D8"/>
              <w:bottom w:val="dashSmallGap" w:sz="4" w:space="0" w:color="D8D8D8"/>
            </w:tcBorders>
            <w:shd w:val="clear" w:color="auto" w:fill="ECECEC"/>
            <w:vAlign w:val="center"/>
          </w:tcPr>
          <w:p w14:paraId="220F262C" w14:textId="1E4917A9" w:rsidR="0074329D" w:rsidRPr="0074329D" w:rsidRDefault="0074329D" w:rsidP="006407DD">
            <w:pPr>
              <w:pStyle w:val="TableParagraph"/>
              <w:spacing w:line="240" w:lineRule="auto"/>
              <w:rPr>
                <w:sz w:val="18"/>
                <w:szCs w:val="18"/>
              </w:rPr>
            </w:pPr>
            <w:r>
              <w:rPr>
                <w:sz w:val="18"/>
                <w:szCs w:val="18"/>
              </w:rPr>
              <w:t>&gt;99.9</w:t>
            </w:r>
          </w:p>
        </w:tc>
        <w:tc>
          <w:tcPr>
            <w:tcW w:w="696" w:type="pct"/>
            <w:tcBorders>
              <w:top w:val="dashSmallGap" w:sz="4" w:space="0" w:color="D8D8D8"/>
              <w:bottom w:val="dashSmallGap" w:sz="4" w:space="0" w:color="D8D8D8"/>
            </w:tcBorders>
            <w:shd w:val="clear" w:color="auto" w:fill="ECECEC"/>
            <w:vAlign w:val="center"/>
          </w:tcPr>
          <w:p w14:paraId="3A383230" w14:textId="50B36F66" w:rsidR="0074329D" w:rsidRPr="0074329D" w:rsidRDefault="0074329D" w:rsidP="006407DD">
            <w:pPr>
              <w:pStyle w:val="TableParagraph"/>
              <w:spacing w:line="240" w:lineRule="auto"/>
              <w:rPr>
                <w:sz w:val="18"/>
                <w:szCs w:val="18"/>
              </w:rPr>
            </w:pPr>
            <w:r>
              <w:rPr>
                <w:sz w:val="18"/>
                <w:szCs w:val="18"/>
              </w:rPr>
              <w:t>63.9</w:t>
            </w:r>
          </w:p>
        </w:tc>
        <w:tc>
          <w:tcPr>
            <w:tcW w:w="696" w:type="pct"/>
            <w:tcBorders>
              <w:top w:val="dashSmallGap" w:sz="4" w:space="0" w:color="D8D8D8"/>
              <w:bottom w:val="dashSmallGap" w:sz="4" w:space="0" w:color="D8D8D8"/>
            </w:tcBorders>
            <w:shd w:val="clear" w:color="auto" w:fill="ECECEC"/>
            <w:vAlign w:val="center"/>
          </w:tcPr>
          <w:p w14:paraId="18EA2ADD" w14:textId="0F22DFE7" w:rsidR="0074329D" w:rsidRPr="0074329D" w:rsidRDefault="0074329D" w:rsidP="006407DD">
            <w:pPr>
              <w:pStyle w:val="TableParagraph"/>
              <w:spacing w:line="240" w:lineRule="auto"/>
              <w:rPr>
                <w:sz w:val="18"/>
                <w:szCs w:val="18"/>
              </w:rPr>
            </w:pPr>
            <w:r>
              <w:rPr>
                <w:sz w:val="18"/>
                <w:szCs w:val="18"/>
              </w:rPr>
              <w:t>72.4</w:t>
            </w:r>
          </w:p>
        </w:tc>
        <w:tc>
          <w:tcPr>
            <w:tcW w:w="696" w:type="pct"/>
            <w:tcBorders>
              <w:top w:val="dashSmallGap" w:sz="4" w:space="0" w:color="D8D8D8"/>
              <w:bottom w:val="dashSmallGap" w:sz="4" w:space="0" w:color="D8D8D8"/>
            </w:tcBorders>
            <w:shd w:val="clear" w:color="auto" w:fill="ECECEC"/>
            <w:vAlign w:val="center"/>
          </w:tcPr>
          <w:p w14:paraId="6A7B2870" w14:textId="77777777" w:rsidR="0074329D" w:rsidRPr="0074329D" w:rsidRDefault="0074329D" w:rsidP="006407DD">
            <w:pPr>
              <w:pStyle w:val="TableParagraph"/>
              <w:spacing w:line="240" w:lineRule="auto"/>
              <w:rPr>
                <w:sz w:val="18"/>
                <w:szCs w:val="18"/>
              </w:rPr>
            </w:pPr>
            <w:r w:rsidRPr="0074329D">
              <w:rPr>
                <w:sz w:val="18"/>
                <w:szCs w:val="18"/>
              </w:rPr>
              <w:t>-</w:t>
            </w:r>
          </w:p>
        </w:tc>
      </w:tr>
      <w:tr w:rsidR="006407DD" w:rsidRPr="00A76818" w14:paraId="0E046E60" w14:textId="77777777" w:rsidTr="00BB21F9">
        <w:trPr>
          <w:gridAfter w:val="1"/>
          <w:wAfter w:w="12" w:type="pct"/>
          <w:trHeight w:val="602"/>
        </w:trPr>
        <w:tc>
          <w:tcPr>
            <w:tcW w:w="4988" w:type="pct"/>
            <w:gridSpan w:val="6"/>
            <w:tcBorders>
              <w:top w:val="single" w:sz="4" w:space="0" w:color="000000"/>
              <w:bottom w:val="dashSmallGap" w:sz="4" w:space="0" w:color="D8D8D8"/>
            </w:tcBorders>
            <w:shd w:val="clear" w:color="auto" w:fill="ECECEC"/>
          </w:tcPr>
          <w:p w14:paraId="3F7531CD" w14:textId="1D112195" w:rsidR="006407DD" w:rsidRPr="00A76818" w:rsidRDefault="006407DD" w:rsidP="006407DD">
            <w:pPr>
              <w:pStyle w:val="TableParagraph"/>
              <w:spacing w:line="240" w:lineRule="auto"/>
              <w:ind w:right="5126"/>
              <w:jc w:val="left"/>
              <w:rPr>
                <w:b/>
                <w:sz w:val="18"/>
                <w:szCs w:val="18"/>
              </w:rPr>
            </w:pPr>
            <w:r w:rsidRPr="00A76818">
              <w:rPr>
                <w:b/>
                <w:sz w:val="18"/>
                <w:szCs w:val="18"/>
              </w:rPr>
              <w:t>Secondary</w:t>
            </w:r>
            <w:r w:rsidRPr="00A76818">
              <w:rPr>
                <w:b/>
                <w:spacing w:val="-6"/>
                <w:sz w:val="18"/>
                <w:szCs w:val="18"/>
              </w:rPr>
              <w:t xml:space="preserve"> </w:t>
            </w:r>
            <w:r w:rsidRPr="00A76818">
              <w:rPr>
                <w:b/>
                <w:sz w:val="18"/>
                <w:szCs w:val="18"/>
              </w:rPr>
              <w:t>Analysis</w:t>
            </w:r>
            <w:r w:rsidRPr="00A76818">
              <w:rPr>
                <w:b/>
                <w:spacing w:val="-3"/>
                <w:sz w:val="18"/>
                <w:szCs w:val="18"/>
              </w:rPr>
              <w:t xml:space="preserve"> </w:t>
            </w:r>
            <w:r w:rsidRPr="00A76818">
              <w:rPr>
                <w:b/>
                <w:sz w:val="18"/>
                <w:szCs w:val="18"/>
              </w:rPr>
              <w:t>of</w:t>
            </w:r>
            <w:r w:rsidRPr="00A76818">
              <w:rPr>
                <w:b/>
                <w:spacing w:val="-6"/>
                <w:sz w:val="18"/>
                <w:szCs w:val="18"/>
              </w:rPr>
              <w:t xml:space="preserve"> </w:t>
            </w:r>
            <w:r>
              <w:rPr>
                <w:b/>
                <w:sz w:val="18"/>
                <w:szCs w:val="18"/>
              </w:rPr>
              <w:t>Hospital Survival</w:t>
            </w:r>
            <w:r w:rsidRPr="00A76818">
              <w:rPr>
                <w:sz w:val="18"/>
                <w:szCs w:val="18"/>
              </w:rPr>
              <w:t>,</w:t>
            </w:r>
            <w:r w:rsidRPr="00A76818">
              <w:rPr>
                <w:spacing w:val="-6"/>
                <w:sz w:val="18"/>
                <w:szCs w:val="18"/>
              </w:rPr>
              <w:t xml:space="preserve"> </w:t>
            </w:r>
            <w:r w:rsidRPr="00A76818">
              <w:rPr>
                <w:sz w:val="18"/>
                <w:szCs w:val="18"/>
              </w:rPr>
              <w:t xml:space="preserve">for </w:t>
            </w:r>
            <w:r w:rsidRPr="00CA20E0">
              <w:rPr>
                <w:sz w:val="18"/>
                <w:szCs w:val="18"/>
              </w:rPr>
              <w:t>Unblinded ITT popula</w:t>
            </w:r>
            <w:r>
              <w:rPr>
                <w:sz w:val="18"/>
                <w:szCs w:val="18"/>
              </w:rPr>
              <w:t>ti</w:t>
            </w:r>
            <w:r w:rsidRPr="00CA20E0">
              <w:rPr>
                <w:sz w:val="18"/>
                <w:szCs w:val="18"/>
              </w:rPr>
              <w:t xml:space="preserve">on with </w:t>
            </w:r>
            <w:r>
              <w:rPr>
                <w:sz w:val="18"/>
                <w:szCs w:val="18"/>
              </w:rPr>
              <w:t xml:space="preserve">pooled </w:t>
            </w:r>
            <w:r w:rsidRPr="00CA20E0">
              <w:rPr>
                <w:sz w:val="18"/>
                <w:szCs w:val="18"/>
              </w:rPr>
              <w:t>IL-6ra interven</w:t>
            </w:r>
            <w:r>
              <w:rPr>
                <w:sz w:val="18"/>
                <w:szCs w:val="18"/>
              </w:rPr>
              <w:t>ti</w:t>
            </w:r>
            <w:r w:rsidRPr="00CA20E0">
              <w:rPr>
                <w:sz w:val="18"/>
                <w:szCs w:val="18"/>
              </w:rPr>
              <w:t>on effects</w:t>
            </w:r>
            <w:r w:rsidR="00A046A9">
              <w:rPr>
                <w:sz w:val="18"/>
                <w:szCs w:val="18"/>
              </w:rPr>
              <w:t>*</w:t>
            </w:r>
          </w:p>
        </w:tc>
      </w:tr>
      <w:tr w:rsidR="0074329D" w:rsidRPr="00A76818" w14:paraId="410474AA" w14:textId="77777777" w:rsidTr="00BB21F9">
        <w:trPr>
          <w:gridAfter w:val="1"/>
          <w:wAfter w:w="12" w:type="pct"/>
          <w:trHeight w:val="285"/>
        </w:trPr>
        <w:tc>
          <w:tcPr>
            <w:tcW w:w="1509" w:type="pct"/>
            <w:tcBorders>
              <w:top w:val="dashSmallGap" w:sz="4" w:space="0" w:color="D8D8D8"/>
              <w:bottom w:val="dashSmallGap" w:sz="4" w:space="0" w:color="D8D8D8"/>
            </w:tcBorders>
            <w:shd w:val="clear" w:color="auto" w:fill="ECECEC"/>
          </w:tcPr>
          <w:p w14:paraId="5B0B17BD" w14:textId="77777777" w:rsidR="0074329D" w:rsidRPr="00A76818" w:rsidRDefault="0074329D" w:rsidP="006407DD">
            <w:pPr>
              <w:pStyle w:val="TableParagraph"/>
              <w:spacing w:line="240" w:lineRule="auto"/>
              <w:jc w:val="left"/>
              <w:rPr>
                <w:sz w:val="18"/>
                <w:szCs w:val="18"/>
              </w:rPr>
            </w:pPr>
            <w:r w:rsidRPr="00A76818">
              <w:rPr>
                <w:sz w:val="18"/>
                <w:szCs w:val="18"/>
              </w:rPr>
              <w:t>Adjusted</w:t>
            </w:r>
            <w:r w:rsidRPr="00A76818">
              <w:rPr>
                <w:spacing w:val="-3"/>
                <w:sz w:val="18"/>
                <w:szCs w:val="18"/>
              </w:rPr>
              <w:t xml:space="preserve"> </w:t>
            </w:r>
            <w:r w:rsidRPr="00A76818">
              <w:rPr>
                <w:sz w:val="18"/>
                <w:szCs w:val="18"/>
              </w:rPr>
              <w:t>OR</w:t>
            </w:r>
            <w:r w:rsidRPr="00A76818">
              <w:rPr>
                <w:spacing w:val="2"/>
                <w:sz w:val="18"/>
                <w:szCs w:val="18"/>
              </w:rPr>
              <w:t xml:space="preserve"> </w:t>
            </w:r>
            <w:r w:rsidRPr="00A76818">
              <w:rPr>
                <w:sz w:val="18"/>
                <w:szCs w:val="18"/>
              </w:rPr>
              <w:t>-</w:t>
            </w:r>
            <w:r w:rsidRPr="00A76818">
              <w:rPr>
                <w:spacing w:val="-2"/>
                <w:sz w:val="18"/>
                <w:szCs w:val="18"/>
              </w:rPr>
              <w:t xml:space="preserve"> </w:t>
            </w:r>
            <w:r w:rsidRPr="00A76818">
              <w:rPr>
                <w:sz w:val="18"/>
                <w:szCs w:val="18"/>
              </w:rPr>
              <w:t>mean</w:t>
            </w:r>
            <w:r w:rsidRPr="00A76818">
              <w:rPr>
                <w:spacing w:val="-3"/>
                <w:sz w:val="18"/>
                <w:szCs w:val="18"/>
              </w:rPr>
              <w:t xml:space="preserve"> </w:t>
            </w:r>
            <w:r w:rsidRPr="00A76818">
              <w:rPr>
                <w:sz w:val="18"/>
                <w:szCs w:val="18"/>
              </w:rPr>
              <w:t>(SD)</w:t>
            </w:r>
          </w:p>
        </w:tc>
        <w:tc>
          <w:tcPr>
            <w:tcW w:w="1391" w:type="pct"/>
            <w:gridSpan w:val="2"/>
            <w:tcBorders>
              <w:top w:val="dashSmallGap" w:sz="4" w:space="0" w:color="D8D8D8"/>
              <w:bottom w:val="dashSmallGap" w:sz="4" w:space="0" w:color="D8D8D8"/>
            </w:tcBorders>
            <w:shd w:val="clear" w:color="auto" w:fill="ECECEC"/>
            <w:vAlign w:val="center"/>
          </w:tcPr>
          <w:p w14:paraId="6C9490EB" w14:textId="3A4D86D1" w:rsidR="0074329D" w:rsidRPr="0074329D" w:rsidRDefault="0074329D" w:rsidP="006407DD">
            <w:pPr>
              <w:pStyle w:val="TableParagraph"/>
              <w:spacing w:line="240" w:lineRule="auto"/>
              <w:rPr>
                <w:sz w:val="18"/>
                <w:szCs w:val="18"/>
              </w:rPr>
            </w:pPr>
            <w:r>
              <w:rPr>
                <w:sz w:val="18"/>
                <w:szCs w:val="18"/>
              </w:rPr>
              <w:t>1.49 (0.23)</w:t>
            </w:r>
          </w:p>
        </w:tc>
        <w:tc>
          <w:tcPr>
            <w:tcW w:w="696" w:type="pct"/>
            <w:tcBorders>
              <w:top w:val="dashSmallGap" w:sz="4" w:space="0" w:color="D8D8D8"/>
              <w:bottom w:val="dashSmallGap" w:sz="4" w:space="0" w:color="D8D8D8"/>
            </w:tcBorders>
            <w:shd w:val="clear" w:color="auto" w:fill="ECECEC"/>
            <w:vAlign w:val="center"/>
          </w:tcPr>
          <w:p w14:paraId="1A88682E" w14:textId="13B72885" w:rsidR="0074329D" w:rsidRPr="0074329D" w:rsidRDefault="0074329D" w:rsidP="006407DD">
            <w:pPr>
              <w:pStyle w:val="TableParagraph"/>
              <w:spacing w:line="240" w:lineRule="auto"/>
              <w:rPr>
                <w:sz w:val="18"/>
                <w:szCs w:val="18"/>
              </w:rPr>
            </w:pPr>
            <w:r>
              <w:rPr>
                <w:sz w:val="18"/>
                <w:szCs w:val="18"/>
              </w:rPr>
              <w:t>1.03 (0.20)</w:t>
            </w:r>
          </w:p>
        </w:tc>
        <w:tc>
          <w:tcPr>
            <w:tcW w:w="696" w:type="pct"/>
            <w:tcBorders>
              <w:top w:val="dashSmallGap" w:sz="4" w:space="0" w:color="D8D8D8"/>
              <w:bottom w:val="dashSmallGap" w:sz="4" w:space="0" w:color="D8D8D8"/>
            </w:tcBorders>
            <w:shd w:val="clear" w:color="auto" w:fill="ECECEC"/>
            <w:vAlign w:val="center"/>
          </w:tcPr>
          <w:p w14:paraId="7E117A42" w14:textId="3ACFDB53" w:rsidR="0074329D" w:rsidRPr="0074329D" w:rsidRDefault="0074329D" w:rsidP="006407DD">
            <w:pPr>
              <w:pStyle w:val="TableParagraph"/>
              <w:spacing w:line="240" w:lineRule="auto"/>
              <w:rPr>
                <w:sz w:val="18"/>
                <w:szCs w:val="18"/>
              </w:rPr>
            </w:pPr>
            <w:r>
              <w:rPr>
                <w:sz w:val="18"/>
                <w:szCs w:val="18"/>
              </w:rPr>
              <w:t>1.42 (0.72)</w:t>
            </w:r>
          </w:p>
        </w:tc>
        <w:tc>
          <w:tcPr>
            <w:tcW w:w="696" w:type="pct"/>
            <w:tcBorders>
              <w:top w:val="dashSmallGap" w:sz="4" w:space="0" w:color="D8D8D8"/>
              <w:bottom w:val="dashSmallGap" w:sz="4" w:space="0" w:color="D8D8D8"/>
            </w:tcBorders>
            <w:shd w:val="clear" w:color="auto" w:fill="ECECEC"/>
            <w:vAlign w:val="center"/>
          </w:tcPr>
          <w:p w14:paraId="7F8C361A" w14:textId="77777777" w:rsidR="0074329D" w:rsidRPr="0074329D" w:rsidRDefault="0074329D" w:rsidP="006407DD">
            <w:pPr>
              <w:pStyle w:val="TableParagraph"/>
              <w:spacing w:line="240" w:lineRule="auto"/>
              <w:rPr>
                <w:sz w:val="18"/>
                <w:szCs w:val="18"/>
              </w:rPr>
            </w:pPr>
            <w:r w:rsidRPr="0074329D">
              <w:rPr>
                <w:sz w:val="18"/>
                <w:szCs w:val="18"/>
              </w:rPr>
              <w:t>1</w:t>
            </w:r>
          </w:p>
        </w:tc>
      </w:tr>
      <w:tr w:rsidR="0074329D" w:rsidRPr="00A76818" w14:paraId="53C4DBB5" w14:textId="77777777" w:rsidTr="00BB21F9">
        <w:trPr>
          <w:gridAfter w:val="1"/>
          <w:wAfter w:w="12" w:type="pct"/>
          <w:trHeight w:val="285"/>
        </w:trPr>
        <w:tc>
          <w:tcPr>
            <w:tcW w:w="1509" w:type="pct"/>
            <w:tcBorders>
              <w:top w:val="dashSmallGap" w:sz="4" w:space="0" w:color="D8D8D8"/>
              <w:bottom w:val="dashSmallGap" w:sz="4" w:space="0" w:color="D8D8D8"/>
            </w:tcBorders>
            <w:shd w:val="clear" w:color="auto" w:fill="ECECEC"/>
          </w:tcPr>
          <w:p w14:paraId="62FC62EA" w14:textId="77777777" w:rsidR="0074329D" w:rsidRPr="00A76818" w:rsidRDefault="0074329D" w:rsidP="006407DD">
            <w:pPr>
              <w:pStyle w:val="TableParagraph"/>
              <w:spacing w:line="240" w:lineRule="auto"/>
              <w:jc w:val="left"/>
              <w:rPr>
                <w:sz w:val="18"/>
                <w:szCs w:val="18"/>
              </w:rPr>
            </w:pPr>
            <w:r w:rsidRPr="00A76818">
              <w:rPr>
                <w:sz w:val="18"/>
                <w:szCs w:val="18"/>
              </w:rPr>
              <w:t>-</w:t>
            </w:r>
            <w:r w:rsidRPr="00A76818">
              <w:rPr>
                <w:spacing w:val="-3"/>
                <w:sz w:val="18"/>
                <w:szCs w:val="18"/>
              </w:rPr>
              <w:t xml:space="preserve"> </w:t>
            </w:r>
            <w:r w:rsidRPr="00A76818">
              <w:rPr>
                <w:sz w:val="18"/>
                <w:szCs w:val="18"/>
              </w:rPr>
              <w:t>median</w:t>
            </w:r>
            <w:r w:rsidRPr="00A76818">
              <w:rPr>
                <w:spacing w:val="-2"/>
                <w:sz w:val="18"/>
                <w:szCs w:val="18"/>
              </w:rPr>
              <w:t xml:space="preserve"> </w:t>
            </w:r>
            <w:r w:rsidRPr="00A76818">
              <w:rPr>
                <w:sz w:val="18"/>
                <w:szCs w:val="18"/>
              </w:rPr>
              <w:t>(95%</w:t>
            </w:r>
            <w:r w:rsidRPr="00A76818">
              <w:rPr>
                <w:spacing w:val="-1"/>
                <w:sz w:val="18"/>
                <w:szCs w:val="18"/>
              </w:rPr>
              <w:t xml:space="preserve"> </w:t>
            </w:r>
            <w:r w:rsidRPr="00A76818">
              <w:rPr>
                <w:sz w:val="18"/>
                <w:szCs w:val="18"/>
              </w:rPr>
              <w:t>CrI)</w:t>
            </w:r>
          </w:p>
        </w:tc>
        <w:tc>
          <w:tcPr>
            <w:tcW w:w="1391" w:type="pct"/>
            <w:gridSpan w:val="2"/>
            <w:tcBorders>
              <w:top w:val="dashSmallGap" w:sz="4" w:space="0" w:color="D8D8D8"/>
              <w:bottom w:val="dashSmallGap" w:sz="4" w:space="0" w:color="D8D8D8"/>
            </w:tcBorders>
            <w:shd w:val="clear" w:color="auto" w:fill="ECECEC"/>
            <w:vAlign w:val="center"/>
          </w:tcPr>
          <w:p w14:paraId="46973F2E" w14:textId="4B43DCA6" w:rsidR="0074329D" w:rsidRPr="0074329D" w:rsidRDefault="0074329D" w:rsidP="006407DD">
            <w:pPr>
              <w:pStyle w:val="TableParagraph"/>
              <w:spacing w:line="240" w:lineRule="auto"/>
              <w:rPr>
                <w:sz w:val="18"/>
                <w:szCs w:val="18"/>
              </w:rPr>
            </w:pPr>
            <w:r>
              <w:rPr>
                <w:sz w:val="18"/>
                <w:szCs w:val="18"/>
              </w:rPr>
              <w:t>1.48 (1.09 to 2.00)</w:t>
            </w:r>
          </w:p>
        </w:tc>
        <w:tc>
          <w:tcPr>
            <w:tcW w:w="696" w:type="pct"/>
            <w:tcBorders>
              <w:top w:val="dashSmallGap" w:sz="4" w:space="0" w:color="D8D8D8"/>
              <w:bottom w:val="dashSmallGap" w:sz="4" w:space="0" w:color="D8D8D8"/>
            </w:tcBorders>
            <w:shd w:val="clear" w:color="auto" w:fill="ECECEC"/>
            <w:vAlign w:val="center"/>
          </w:tcPr>
          <w:p w14:paraId="335FA1A0" w14:textId="78C062FA" w:rsidR="0074329D" w:rsidRPr="0074329D" w:rsidRDefault="0074329D" w:rsidP="006407DD">
            <w:pPr>
              <w:pStyle w:val="TableParagraph"/>
              <w:spacing w:line="240" w:lineRule="auto"/>
              <w:rPr>
                <w:sz w:val="18"/>
                <w:szCs w:val="18"/>
              </w:rPr>
            </w:pPr>
            <w:r>
              <w:rPr>
                <w:sz w:val="18"/>
                <w:szCs w:val="18"/>
              </w:rPr>
              <w:t>1.01 (0.69 to 1.47)</w:t>
            </w:r>
          </w:p>
        </w:tc>
        <w:tc>
          <w:tcPr>
            <w:tcW w:w="696" w:type="pct"/>
            <w:tcBorders>
              <w:top w:val="dashSmallGap" w:sz="4" w:space="0" w:color="D8D8D8"/>
              <w:bottom w:val="dashSmallGap" w:sz="4" w:space="0" w:color="D8D8D8"/>
            </w:tcBorders>
            <w:shd w:val="clear" w:color="auto" w:fill="ECECEC"/>
            <w:vAlign w:val="center"/>
          </w:tcPr>
          <w:p w14:paraId="76C84FC3" w14:textId="30CE13BB" w:rsidR="0074329D" w:rsidRPr="0074329D" w:rsidRDefault="0074329D" w:rsidP="006407DD">
            <w:pPr>
              <w:pStyle w:val="TableParagraph"/>
              <w:spacing w:line="240" w:lineRule="auto"/>
              <w:rPr>
                <w:sz w:val="18"/>
                <w:szCs w:val="18"/>
              </w:rPr>
            </w:pPr>
            <w:r w:rsidRPr="0074329D">
              <w:rPr>
                <w:sz w:val="18"/>
                <w:szCs w:val="18"/>
              </w:rPr>
              <w:t>1</w:t>
            </w:r>
            <w:r>
              <w:rPr>
                <w:sz w:val="18"/>
                <w:szCs w:val="18"/>
              </w:rPr>
              <w:t>.27 (0.51 to 3.25)</w:t>
            </w:r>
          </w:p>
        </w:tc>
        <w:tc>
          <w:tcPr>
            <w:tcW w:w="696" w:type="pct"/>
            <w:tcBorders>
              <w:top w:val="dashSmallGap" w:sz="4" w:space="0" w:color="D8D8D8"/>
              <w:bottom w:val="dashSmallGap" w:sz="4" w:space="0" w:color="D8D8D8"/>
            </w:tcBorders>
            <w:shd w:val="clear" w:color="auto" w:fill="ECECEC"/>
            <w:vAlign w:val="center"/>
          </w:tcPr>
          <w:p w14:paraId="7DA8E778" w14:textId="77777777" w:rsidR="0074329D" w:rsidRPr="0074329D" w:rsidRDefault="0074329D" w:rsidP="006407DD">
            <w:pPr>
              <w:pStyle w:val="TableParagraph"/>
              <w:spacing w:line="240" w:lineRule="auto"/>
              <w:rPr>
                <w:sz w:val="18"/>
                <w:szCs w:val="18"/>
              </w:rPr>
            </w:pPr>
            <w:r w:rsidRPr="0074329D">
              <w:rPr>
                <w:sz w:val="18"/>
                <w:szCs w:val="18"/>
              </w:rPr>
              <w:t>1</w:t>
            </w:r>
          </w:p>
        </w:tc>
      </w:tr>
      <w:tr w:rsidR="0074329D" w:rsidRPr="00A76818" w14:paraId="2454D7AD" w14:textId="77777777" w:rsidTr="00BB21F9">
        <w:trPr>
          <w:gridAfter w:val="1"/>
          <w:wAfter w:w="12" w:type="pct"/>
          <w:trHeight w:val="285"/>
        </w:trPr>
        <w:tc>
          <w:tcPr>
            <w:tcW w:w="1509" w:type="pct"/>
            <w:tcBorders>
              <w:top w:val="dashSmallGap" w:sz="4" w:space="0" w:color="D8D8D8"/>
              <w:bottom w:val="dashSmallGap" w:sz="4" w:space="0" w:color="D8D8D8"/>
            </w:tcBorders>
            <w:shd w:val="clear" w:color="auto" w:fill="ECECEC"/>
          </w:tcPr>
          <w:p w14:paraId="422D84FF" w14:textId="77777777" w:rsidR="0074329D" w:rsidRPr="00A76818" w:rsidRDefault="0074329D" w:rsidP="006407DD">
            <w:pPr>
              <w:pStyle w:val="TableParagraph"/>
              <w:spacing w:line="240" w:lineRule="auto"/>
              <w:jc w:val="left"/>
              <w:rPr>
                <w:sz w:val="18"/>
                <w:szCs w:val="18"/>
              </w:rPr>
            </w:pPr>
            <w:r w:rsidRPr="00A76818">
              <w:rPr>
                <w:sz w:val="18"/>
                <w:szCs w:val="18"/>
              </w:rPr>
              <w:t>Probability</w:t>
            </w:r>
            <w:r w:rsidRPr="00A76818">
              <w:rPr>
                <w:spacing w:val="-6"/>
                <w:sz w:val="18"/>
                <w:szCs w:val="18"/>
              </w:rPr>
              <w:t xml:space="preserve"> </w:t>
            </w:r>
            <w:r w:rsidRPr="00A76818">
              <w:rPr>
                <w:sz w:val="18"/>
                <w:szCs w:val="18"/>
              </w:rPr>
              <w:t>of</w:t>
            </w:r>
            <w:r w:rsidRPr="00A76818">
              <w:rPr>
                <w:spacing w:val="-3"/>
                <w:sz w:val="18"/>
                <w:szCs w:val="18"/>
              </w:rPr>
              <w:t xml:space="preserve"> </w:t>
            </w:r>
            <w:r w:rsidRPr="00A76818">
              <w:rPr>
                <w:sz w:val="18"/>
                <w:szCs w:val="18"/>
              </w:rPr>
              <w:t>superiority</w:t>
            </w:r>
            <w:r w:rsidRPr="00A76818">
              <w:rPr>
                <w:spacing w:val="-5"/>
                <w:sz w:val="18"/>
                <w:szCs w:val="18"/>
              </w:rPr>
              <w:t xml:space="preserve"> </w:t>
            </w:r>
            <w:r w:rsidRPr="00A76818">
              <w:rPr>
                <w:sz w:val="18"/>
                <w:szCs w:val="18"/>
              </w:rPr>
              <w:t>to</w:t>
            </w:r>
            <w:r w:rsidRPr="00A76818">
              <w:rPr>
                <w:spacing w:val="-4"/>
                <w:sz w:val="18"/>
                <w:szCs w:val="18"/>
              </w:rPr>
              <w:t xml:space="preserve"> </w:t>
            </w:r>
            <w:r w:rsidRPr="00A76818">
              <w:rPr>
                <w:sz w:val="18"/>
                <w:szCs w:val="18"/>
              </w:rPr>
              <w:t>control,</w:t>
            </w:r>
            <w:r w:rsidRPr="00A76818">
              <w:rPr>
                <w:spacing w:val="-3"/>
                <w:sz w:val="18"/>
                <w:szCs w:val="18"/>
              </w:rPr>
              <w:t xml:space="preserve"> </w:t>
            </w:r>
            <w:r w:rsidRPr="00A76818">
              <w:rPr>
                <w:sz w:val="18"/>
                <w:szCs w:val="18"/>
              </w:rPr>
              <w:t>%</w:t>
            </w:r>
          </w:p>
        </w:tc>
        <w:tc>
          <w:tcPr>
            <w:tcW w:w="1391" w:type="pct"/>
            <w:gridSpan w:val="2"/>
            <w:tcBorders>
              <w:top w:val="dashSmallGap" w:sz="4" w:space="0" w:color="D8D8D8"/>
              <w:bottom w:val="dashSmallGap" w:sz="4" w:space="0" w:color="D8D8D8"/>
            </w:tcBorders>
            <w:shd w:val="clear" w:color="auto" w:fill="ECECEC"/>
            <w:vAlign w:val="center"/>
          </w:tcPr>
          <w:p w14:paraId="1DA12978" w14:textId="063D2EA8" w:rsidR="0074329D" w:rsidRPr="0074329D" w:rsidRDefault="0074329D" w:rsidP="006407DD">
            <w:pPr>
              <w:pStyle w:val="TableParagraph"/>
              <w:spacing w:line="240" w:lineRule="auto"/>
              <w:rPr>
                <w:sz w:val="18"/>
                <w:szCs w:val="18"/>
              </w:rPr>
            </w:pPr>
            <w:r>
              <w:rPr>
                <w:sz w:val="18"/>
                <w:szCs w:val="18"/>
              </w:rPr>
              <w:t>99.4</w:t>
            </w:r>
          </w:p>
        </w:tc>
        <w:tc>
          <w:tcPr>
            <w:tcW w:w="696" w:type="pct"/>
            <w:tcBorders>
              <w:top w:val="dashSmallGap" w:sz="4" w:space="0" w:color="D8D8D8"/>
              <w:bottom w:val="dashSmallGap" w:sz="4" w:space="0" w:color="D8D8D8"/>
            </w:tcBorders>
            <w:shd w:val="clear" w:color="auto" w:fill="ECECEC"/>
            <w:vAlign w:val="center"/>
          </w:tcPr>
          <w:p w14:paraId="4AC09CD6" w14:textId="0D168969" w:rsidR="0074329D" w:rsidRPr="0074329D" w:rsidRDefault="0074329D" w:rsidP="006407DD">
            <w:pPr>
              <w:pStyle w:val="TableParagraph"/>
              <w:spacing w:line="240" w:lineRule="auto"/>
              <w:rPr>
                <w:sz w:val="18"/>
                <w:szCs w:val="18"/>
              </w:rPr>
            </w:pPr>
            <w:r>
              <w:rPr>
                <w:sz w:val="18"/>
                <w:szCs w:val="18"/>
              </w:rPr>
              <w:t>51.6</w:t>
            </w:r>
          </w:p>
        </w:tc>
        <w:tc>
          <w:tcPr>
            <w:tcW w:w="696" w:type="pct"/>
            <w:tcBorders>
              <w:top w:val="dashSmallGap" w:sz="4" w:space="0" w:color="D8D8D8"/>
              <w:bottom w:val="dashSmallGap" w:sz="4" w:space="0" w:color="D8D8D8"/>
            </w:tcBorders>
            <w:shd w:val="clear" w:color="auto" w:fill="ECECEC"/>
            <w:vAlign w:val="center"/>
          </w:tcPr>
          <w:p w14:paraId="5A4D9914" w14:textId="0BB69E3A" w:rsidR="0074329D" w:rsidRPr="0074329D" w:rsidRDefault="0074329D" w:rsidP="006407DD">
            <w:pPr>
              <w:pStyle w:val="TableParagraph"/>
              <w:spacing w:line="240" w:lineRule="auto"/>
              <w:rPr>
                <w:sz w:val="18"/>
                <w:szCs w:val="18"/>
              </w:rPr>
            </w:pPr>
            <w:r>
              <w:rPr>
                <w:sz w:val="18"/>
                <w:szCs w:val="18"/>
              </w:rPr>
              <w:t>69.2</w:t>
            </w:r>
          </w:p>
        </w:tc>
        <w:tc>
          <w:tcPr>
            <w:tcW w:w="696" w:type="pct"/>
            <w:tcBorders>
              <w:top w:val="dashSmallGap" w:sz="4" w:space="0" w:color="D8D8D8"/>
              <w:bottom w:val="dashSmallGap" w:sz="4" w:space="0" w:color="D8D8D8"/>
            </w:tcBorders>
            <w:shd w:val="clear" w:color="auto" w:fill="ECECEC"/>
            <w:vAlign w:val="center"/>
          </w:tcPr>
          <w:p w14:paraId="6DF67E36" w14:textId="77777777" w:rsidR="0074329D" w:rsidRPr="0074329D" w:rsidRDefault="0074329D" w:rsidP="006407DD">
            <w:pPr>
              <w:pStyle w:val="TableParagraph"/>
              <w:spacing w:line="240" w:lineRule="auto"/>
              <w:rPr>
                <w:sz w:val="18"/>
                <w:szCs w:val="18"/>
              </w:rPr>
            </w:pPr>
            <w:r w:rsidRPr="0074329D">
              <w:rPr>
                <w:sz w:val="18"/>
                <w:szCs w:val="18"/>
              </w:rPr>
              <w:t>-</w:t>
            </w:r>
          </w:p>
        </w:tc>
      </w:tr>
      <w:tr w:rsidR="006407DD" w:rsidRPr="00A76818" w14:paraId="78EF61D3" w14:textId="77777777" w:rsidTr="00BB21F9">
        <w:trPr>
          <w:gridAfter w:val="1"/>
          <w:wAfter w:w="12" w:type="pct"/>
          <w:trHeight w:val="572"/>
        </w:trPr>
        <w:tc>
          <w:tcPr>
            <w:tcW w:w="4988" w:type="pct"/>
            <w:gridSpan w:val="6"/>
            <w:tcBorders>
              <w:top w:val="dashSmallGap" w:sz="4" w:space="0" w:color="D8D8D8"/>
              <w:bottom w:val="dashSmallGap" w:sz="4" w:space="0" w:color="D8D8D8"/>
            </w:tcBorders>
            <w:shd w:val="clear" w:color="auto" w:fill="ECECEC"/>
          </w:tcPr>
          <w:p w14:paraId="13066F7A" w14:textId="3542243A" w:rsidR="006407DD" w:rsidRPr="00A76818" w:rsidRDefault="006407DD" w:rsidP="006407DD">
            <w:pPr>
              <w:pStyle w:val="TableParagraph"/>
              <w:spacing w:line="240" w:lineRule="auto"/>
              <w:ind w:right="5491"/>
              <w:jc w:val="left"/>
              <w:rPr>
                <w:b/>
                <w:sz w:val="18"/>
                <w:szCs w:val="18"/>
              </w:rPr>
            </w:pPr>
            <w:r w:rsidRPr="00A76818">
              <w:rPr>
                <w:b/>
                <w:sz w:val="18"/>
                <w:szCs w:val="18"/>
              </w:rPr>
              <w:t>Secondary</w:t>
            </w:r>
            <w:r w:rsidRPr="00A76818">
              <w:rPr>
                <w:b/>
                <w:spacing w:val="-6"/>
                <w:sz w:val="18"/>
                <w:szCs w:val="18"/>
              </w:rPr>
              <w:t xml:space="preserve"> </w:t>
            </w:r>
            <w:r w:rsidRPr="00A76818">
              <w:rPr>
                <w:b/>
                <w:sz w:val="18"/>
                <w:szCs w:val="18"/>
              </w:rPr>
              <w:t>Analysis</w:t>
            </w:r>
            <w:r w:rsidRPr="00A76818">
              <w:rPr>
                <w:b/>
                <w:spacing w:val="-3"/>
                <w:sz w:val="18"/>
                <w:szCs w:val="18"/>
              </w:rPr>
              <w:t xml:space="preserve"> </w:t>
            </w:r>
            <w:r w:rsidRPr="00A76818">
              <w:rPr>
                <w:b/>
                <w:sz w:val="18"/>
                <w:szCs w:val="18"/>
              </w:rPr>
              <w:t>of</w:t>
            </w:r>
            <w:r w:rsidRPr="00A76818">
              <w:rPr>
                <w:b/>
                <w:spacing w:val="-6"/>
                <w:sz w:val="18"/>
                <w:szCs w:val="18"/>
              </w:rPr>
              <w:t xml:space="preserve"> </w:t>
            </w:r>
            <w:r w:rsidRPr="00A76818">
              <w:rPr>
                <w:b/>
                <w:sz w:val="18"/>
                <w:szCs w:val="18"/>
              </w:rPr>
              <w:t>Primary</w:t>
            </w:r>
            <w:r w:rsidRPr="00A76818">
              <w:rPr>
                <w:b/>
                <w:spacing w:val="-1"/>
                <w:sz w:val="18"/>
                <w:szCs w:val="18"/>
              </w:rPr>
              <w:t xml:space="preserve"> </w:t>
            </w:r>
            <w:r w:rsidRPr="00A76818">
              <w:rPr>
                <w:b/>
                <w:sz w:val="18"/>
                <w:szCs w:val="18"/>
              </w:rPr>
              <w:t>Outcome</w:t>
            </w:r>
            <w:r w:rsidRPr="00A76818">
              <w:rPr>
                <w:sz w:val="18"/>
                <w:szCs w:val="18"/>
              </w:rPr>
              <w:t>,</w:t>
            </w:r>
            <w:r w:rsidRPr="00A76818">
              <w:rPr>
                <w:spacing w:val="-6"/>
                <w:sz w:val="18"/>
                <w:szCs w:val="18"/>
              </w:rPr>
              <w:t xml:space="preserve"> </w:t>
            </w:r>
            <w:r w:rsidRPr="00A76818">
              <w:rPr>
                <w:sz w:val="18"/>
                <w:szCs w:val="18"/>
              </w:rPr>
              <w:t xml:space="preserve">for </w:t>
            </w:r>
            <w:r w:rsidRPr="00CA20E0">
              <w:rPr>
                <w:sz w:val="18"/>
                <w:szCs w:val="18"/>
              </w:rPr>
              <w:t>Unblinded ITT popula</w:t>
            </w:r>
            <w:r>
              <w:rPr>
                <w:sz w:val="18"/>
                <w:szCs w:val="18"/>
              </w:rPr>
              <w:t>ti</w:t>
            </w:r>
            <w:r w:rsidRPr="00CA20E0">
              <w:rPr>
                <w:sz w:val="18"/>
                <w:szCs w:val="18"/>
              </w:rPr>
              <w:t xml:space="preserve">on with </w:t>
            </w:r>
            <w:r>
              <w:rPr>
                <w:sz w:val="18"/>
                <w:szCs w:val="18"/>
              </w:rPr>
              <w:t xml:space="preserve">additional unblinded interaction </w:t>
            </w:r>
            <w:r w:rsidRPr="00CA20E0">
              <w:rPr>
                <w:sz w:val="18"/>
                <w:szCs w:val="18"/>
              </w:rPr>
              <w:t>effects</w:t>
            </w:r>
            <w:r w:rsidR="00A046A9">
              <w:rPr>
                <w:sz w:val="18"/>
                <w:szCs w:val="18"/>
              </w:rPr>
              <w:t>*</w:t>
            </w:r>
          </w:p>
        </w:tc>
      </w:tr>
      <w:tr w:rsidR="006438E4" w:rsidRPr="00A76818" w14:paraId="18B69480" w14:textId="77777777" w:rsidTr="00BB21F9">
        <w:trPr>
          <w:gridAfter w:val="1"/>
          <w:wAfter w:w="12" w:type="pct"/>
          <w:trHeight w:val="282"/>
        </w:trPr>
        <w:tc>
          <w:tcPr>
            <w:tcW w:w="1509" w:type="pct"/>
            <w:tcBorders>
              <w:top w:val="dashSmallGap" w:sz="4" w:space="0" w:color="D8D8D8"/>
              <w:bottom w:val="dashSmallGap" w:sz="6" w:space="0" w:color="D8D8D8"/>
            </w:tcBorders>
            <w:shd w:val="clear" w:color="auto" w:fill="ECECEC"/>
          </w:tcPr>
          <w:p w14:paraId="1288D8EF" w14:textId="77777777" w:rsidR="006438E4" w:rsidRPr="00A76818" w:rsidRDefault="006438E4" w:rsidP="006407DD">
            <w:pPr>
              <w:pStyle w:val="TableParagraph"/>
              <w:spacing w:line="240" w:lineRule="auto"/>
              <w:jc w:val="left"/>
              <w:rPr>
                <w:sz w:val="18"/>
                <w:szCs w:val="18"/>
              </w:rPr>
            </w:pPr>
            <w:r w:rsidRPr="00A76818">
              <w:rPr>
                <w:sz w:val="18"/>
                <w:szCs w:val="18"/>
              </w:rPr>
              <w:t>Adjusted</w:t>
            </w:r>
            <w:r w:rsidRPr="00A76818">
              <w:rPr>
                <w:spacing w:val="-3"/>
                <w:sz w:val="18"/>
                <w:szCs w:val="18"/>
              </w:rPr>
              <w:t xml:space="preserve"> </w:t>
            </w:r>
            <w:r w:rsidRPr="00A76818">
              <w:rPr>
                <w:sz w:val="18"/>
                <w:szCs w:val="18"/>
              </w:rPr>
              <w:t>OR</w:t>
            </w:r>
            <w:r w:rsidRPr="00A76818">
              <w:rPr>
                <w:spacing w:val="2"/>
                <w:sz w:val="18"/>
                <w:szCs w:val="18"/>
              </w:rPr>
              <w:t xml:space="preserve"> </w:t>
            </w:r>
            <w:r w:rsidRPr="00A76818">
              <w:rPr>
                <w:sz w:val="18"/>
                <w:szCs w:val="18"/>
              </w:rPr>
              <w:t>-</w:t>
            </w:r>
            <w:r w:rsidRPr="00A76818">
              <w:rPr>
                <w:spacing w:val="-2"/>
                <w:sz w:val="18"/>
                <w:szCs w:val="18"/>
              </w:rPr>
              <w:t xml:space="preserve"> </w:t>
            </w:r>
            <w:r w:rsidRPr="00A76818">
              <w:rPr>
                <w:sz w:val="18"/>
                <w:szCs w:val="18"/>
              </w:rPr>
              <w:t>mean</w:t>
            </w:r>
            <w:r w:rsidRPr="00A76818">
              <w:rPr>
                <w:spacing w:val="-3"/>
                <w:sz w:val="18"/>
                <w:szCs w:val="18"/>
              </w:rPr>
              <w:t xml:space="preserve"> </w:t>
            </w:r>
            <w:r w:rsidRPr="00A76818">
              <w:rPr>
                <w:sz w:val="18"/>
                <w:szCs w:val="18"/>
              </w:rPr>
              <w:t>(SD)</w:t>
            </w:r>
          </w:p>
        </w:tc>
        <w:tc>
          <w:tcPr>
            <w:tcW w:w="1391" w:type="pct"/>
            <w:gridSpan w:val="2"/>
            <w:tcBorders>
              <w:top w:val="dashSmallGap" w:sz="4" w:space="0" w:color="D8D8D8"/>
              <w:bottom w:val="dashSmallGap" w:sz="6" w:space="0" w:color="D8D8D8"/>
            </w:tcBorders>
            <w:shd w:val="clear" w:color="auto" w:fill="ECECEC"/>
            <w:vAlign w:val="center"/>
          </w:tcPr>
          <w:p w14:paraId="7044B916" w14:textId="5226DFB8" w:rsidR="006438E4" w:rsidRPr="006438E4" w:rsidRDefault="006438E4" w:rsidP="006407DD">
            <w:pPr>
              <w:pStyle w:val="TableParagraph"/>
              <w:spacing w:line="240" w:lineRule="auto"/>
              <w:rPr>
                <w:sz w:val="18"/>
                <w:szCs w:val="18"/>
              </w:rPr>
            </w:pPr>
            <w:r w:rsidRPr="006438E4">
              <w:rPr>
                <w:sz w:val="18"/>
                <w:szCs w:val="18"/>
              </w:rPr>
              <w:t>1.45 (0.40)</w:t>
            </w:r>
          </w:p>
        </w:tc>
        <w:tc>
          <w:tcPr>
            <w:tcW w:w="696" w:type="pct"/>
            <w:tcBorders>
              <w:top w:val="dashSmallGap" w:sz="4" w:space="0" w:color="D8D8D8"/>
              <w:bottom w:val="dashSmallGap" w:sz="6" w:space="0" w:color="D8D8D8"/>
            </w:tcBorders>
            <w:shd w:val="clear" w:color="auto" w:fill="ECECEC"/>
            <w:vAlign w:val="center"/>
          </w:tcPr>
          <w:p w14:paraId="177D66F9" w14:textId="56F061AF" w:rsidR="006438E4" w:rsidRPr="006438E4" w:rsidRDefault="006438E4" w:rsidP="006407DD">
            <w:pPr>
              <w:pStyle w:val="TableParagraph"/>
              <w:spacing w:line="240" w:lineRule="auto"/>
              <w:rPr>
                <w:sz w:val="18"/>
                <w:szCs w:val="18"/>
              </w:rPr>
            </w:pPr>
            <w:r>
              <w:rPr>
                <w:sz w:val="18"/>
                <w:szCs w:val="18"/>
              </w:rPr>
              <w:t>1.08 (0.19)</w:t>
            </w:r>
          </w:p>
        </w:tc>
        <w:tc>
          <w:tcPr>
            <w:tcW w:w="696" w:type="pct"/>
            <w:tcBorders>
              <w:top w:val="dashSmallGap" w:sz="4" w:space="0" w:color="D8D8D8"/>
              <w:bottom w:val="dashSmallGap" w:sz="6" w:space="0" w:color="D8D8D8"/>
            </w:tcBorders>
            <w:shd w:val="clear" w:color="auto" w:fill="ECECEC"/>
            <w:vAlign w:val="center"/>
          </w:tcPr>
          <w:p w14:paraId="40E41A2D" w14:textId="15128176" w:rsidR="006438E4" w:rsidRPr="006438E4" w:rsidRDefault="006438E4" w:rsidP="006407DD">
            <w:pPr>
              <w:pStyle w:val="TableParagraph"/>
              <w:spacing w:line="240" w:lineRule="auto"/>
              <w:rPr>
                <w:sz w:val="18"/>
                <w:szCs w:val="18"/>
              </w:rPr>
            </w:pPr>
            <w:r>
              <w:rPr>
                <w:sz w:val="18"/>
                <w:szCs w:val="18"/>
              </w:rPr>
              <w:t>1.35 (0.55)</w:t>
            </w:r>
          </w:p>
        </w:tc>
        <w:tc>
          <w:tcPr>
            <w:tcW w:w="696" w:type="pct"/>
            <w:tcBorders>
              <w:top w:val="dashSmallGap" w:sz="4" w:space="0" w:color="D8D8D8"/>
              <w:bottom w:val="dashSmallGap" w:sz="6" w:space="0" w:color="D8D8D8"/>
            </w:tcBorders>
            <w:shd w:val="clear" w:color="auto" w:fill="ECECEC"/>
            <w:vAlign w:val="center"/>
          </w:tcPr>
          <w:p w14:paraId="09CD0146" w14:textId="77777777" w:rsidR="006438E4" w:rsidRPr="006438E4" w:rsidRDefault="006438E4" w:rsidP="006407DD">
            <w:pPr>
              <w:pStyle w:val="TableParagraph"/>
              <w:spacing w:line="240" w:lineRule="auto"/>
              <w:rPr>
                <w:sz w:val="18"/>
                <w:szCs w:val="18"/>
              </w:rPr>
            </w:pPr>
            <w:r w:rsidRPr="006438E4">
              <w:rPr>
                <w:sz w:val="18"/>
                <w:szCs w:val="18"/>
              </w:rPr>
              <w:t>1</w:t>
            </w:r>
          </w:p>
        </w:tc>
      </w:tr>
      <w:tr w:rsidR="006438E4" w:rsidRPr="00A76818" w14:paraId="201D9A6A" w14:textId="77777777" w:rsidTr="00BB21F9">
        <w:trPr>
          <w:gridAfter w:val="1"/>
          <w:wAfter w:w="12" w:type="pct"/>
          <w:trHeight w:val="282"/>
        </w:trPr>
        <w:tc>
          <w:tcPr>
            <w:tcW w:w="1509" w:type="pct"/>
            <w:tcBorders>
              <w:top w:val="dashSmallGap" w:sz="6" w:space="0" w:color="D8D8D8"/>
              <w:bottom w:val="dashSmallGap" w:sz="4" w:space="0" w:color="D8D8D8"/>
            </w:tcBorders>
            <w:shd w:val="clear" w:color="auto" w:fill="ECECEC"/>
          </w:tcPr>
          <w:p w14:paraId="2F6BC393" w14:textId="77777777" w:rsidR="006438E4" w:rsidRPr="00A76818" w:rsidRDefault="006438E4" w:rsidP="006407DD">
            <w:pPr>
              <w:pStyle w:val="TableParagraph"/>
              <w:spacing w:line="240" w:lineRule="auto"/>
              <w:jc w:val="left"/>
              <w:rPr>
                <w:sz w:val="18"/>
                <w:szCs w:val="18"/>
              </w:rPr>
            </w:pPr>
            <w:r w:rsidRPr="00A76818">
              <w:rPr>
                <w:sz w:val="18"/>
                <w:szCs w:val="18"/>
              </w:rPr>
              <w:t>-</w:t>
            </w:r>
            <w:r w:rsidRPr="00A76818">
              <w:rPr>
                <w:spacing w:val="-3"/>
                <w:sz w:val="18"/>
                <w:szCs w:val="18"/>
              </w:rPr>
              <w:t xml:space="preserve"> </w:t>
            </w:r>
            <w:r w:rsidRPr="00A76818">
              <w:rPr>
                <w:sz w:val="18"/>
                <w:szCs w:val="18"/>
              </w:rPr>
              <w:t>median</w:t>
            </w:r>
            <w:r w:rsidRPr="00A76818">
              <w:rPr>
                <w:spacing w:val="-2"/>
                <w:sz w:val="18"/>
                <w:szCs w:val="18"/>
              </w:rPr>
              <w:t xml:space="preserve"> </w:t>
            </w:r>
            <w:r w:rsidRPr="00A76818">
              <w:rPr>
                <w:sz w:val="18"/>
                <w:szCs w:val="18"/>
              </w:rPr>
              <w:t>(95%</w:t>
            </w:r>
            <w:r w:rsidRPr="00A76818">
              <w:rPr>
                <w:spacing w:val="-1"/>
                <w:sz w:val="18"/>
                <w:szCs w:val="18"/>
              </w:rPr>
              <w:t xml:space="preserve"> </w:t>
            </w:r>
            <w:r w:rsidRPr="00A76818">
              <w:rPr>
                <w:sz w:val="18"/>
                <w:szCs w:val="18"/>
              </w:rPr>
              <w:t>CrI)</w:t>
            </w:r>
          </w:p>
        </w:tc>
        <w:tc>
          <w:tcPr>
            <w:tcW w:w="1391" w:type="pct"/>
            <w:gridSpan w:val="2"/>
            <w:tcBorders>
              <w:top w:val="dashSmallGap" w:sz="6" w:space="0" w:color="D8D8D8"/>
              <w:bottom w:val="dashSmallGap" w:sz="4" w:space="0" w:color="D8D8D8"/>
            </w:tcBorders>
            <w:shd w:val="clear" w:color="auto" w:fill="ECECEC"/>
            <w:vAlign w:val="center"/>
          </w:tcPr>
          <w:p w14:paraId="690ED2F9" w14:textId="58A4B662" w:rsidR="006438E4" w:rsidRPr="006438E4" w:rsidRDefault="006438E4" w:rsidP="006407DD">
            <w:pPr>
              <w:pStyle w:val="TableParagraph"/>
              <w:spacing w:line="240" w:lineRule="auto"/>
              <w:rPr>
                <w:sz w:val="18"/>
                <w:szCs w:val="18"/>
              </w:rPr>
            </w:pPr>
            <w:r w:rsidRPr="006438E4">
              <w:rPr>
                <w:sz w:val="18"/>
                <w:szCs w:val="18"/>
              </w:rPr>
              <w:t>1.39 (0.82 to 2.38)</w:t>
            </w:r>
          </w:p>
        </w:tc>
        <w:tc>
          <w:tcPr>
            <w:tcW w:w="696" w:type="pct"/>
            <w:tcBorders>
              <w:top w:val="dashSmallGap" w:sz="6" w:space="0" w:color="D8D8D8"/>
              <w:bottom w:val="dashSmallGap" w:sz="4" w:space="0" w:color="D8D8D8"/>
            </w:tcBorders>
            <w:shd w:val="clear" w:color="auto" w:fill="ECECEC"/>
            <w:vAlign w:val="center"/>
          </w:tcPr>
          <w:p w14:paraId="78C08993" w14:textId="6207EFC3" w:rsidR="006438E4" w:rsidRPr="006438E4" w:rsidRDefault="006438E4" w:rsidP="006407DD">
            <w:pPr>
              <w:pStyle w:val="TableParagraph"/>
              <w:spacing w:line="240" w:lineRule="auto"/>
              <w:rPr>
                <w:sz w:val="18"/>
                <w:szCs w:val="18"/>
              </w:rPr>
            </w:pPr>
            <w:r w:rsidRPr="006438E4">
              <w:rPr>
                <w:sz w:val="18"/>
                <w:szCs w:val="18"/>
              </w:rPr>
              <w:t>1</w:t>
            </w:r>
            <w:r>
              <w:rPr>
                <w:sz w:val="18"/>
                <w:szCs w:val="18"/>
              </w:rPr>
              <w:t>.07 (0.76 to 1.49)</w:t>
            </w:r>
          </w:p>
        </w:tc>
        <w:tc>
          <w:tcPr>
            <w:tcW w:w="696" w:type="pct"/>
            <w:tcBorders>
              <w:top w:val="dashSmallGap" w:sz="6" w:space="0" w:color="D8D8D8"/>
              <w:bottom w:val="dashSmallGap" w:sz="4" w:space="0" w:color="D8D8D8"/>
            </w:tcBorders>
            <w:shd w:val="clear" w:color="auto" w:fill="ECECEC"/>
            <w:vAlign w:val="center"/>
          </w:tcPr>
          <w:p w14:paraId="0D6AB48E" w14:textId="22DE23CB" w:rsidR="006438E4" w:rsidRPr="006438E4" w:rsidRDefault="006438E4" w:rsidP="006407DD">
            <w:pPr>
              <w:pStyle w:val="TableParagraph"/>
              <w:spacing w:line="240" w:lineRule="auto"/>
              <w:rPr>
                <w:sz w:val="18"/>
                <w:szCs w:val="18"/>
              </w:rPr>
            </w:pPr>
            <w:r>
              <w:rPr>
                <w:sz w:val="18"/>
                <w:szCs w:val="18"/>
              </w:rPr>
              <w:t>1.25 (0.56 to 2.68)</w:t>
            </w:r>
          </w:p>
        </w:tc>
        <w:tc>
          <w:tcPr>
            <w:tcW w:w="696" w:type="pct"/>
            <w:tcBorders>
              <w:top w:val="dashSmallGap" w:sz="6" w:space="0" w:color="D8D8D8"/>
              <w:bottom w:val="dashSmallGap" w:sz="4" w:space="0" w:color="D8D8D8"/>
            </w:tcBorders>
            <w:shd w:val="clear" w:color="auto" w:fill="ECECEC"/>
            <w:vAlign w:val="center"/>
          </w:tcPr>
          <w:p w14:paraId="519D71A5" w14:textId="77777777" w:rsidR="006438E4" w:rsidRPr="006438E4" w:rsidRDefault="006438E4" w:rsidP="006407DD">
            <w:pPr>
              <w:pStyle w:val="TableParagraph"/>
              <w:spacing w:line="240" w:lineRule="auto"/>
              <w:rPr>
                <w:sz w:val="18"/>
                <w:szCs w:val="18"/>
              </w:rPr>
            </w:pPr>
            <w:r w:rsidRPr="006438E4">
              <w:rPr>
                <w:sz w:val="18"/>
                <w:szCs w:val="18"/>
              </w:rPr>
              <w:t>1</w:t>
            </w:r>
          </w:p>
        </w:tc>
      </w:tr>
      <w:tr w:rsidR="006438E4" w:rsidRPr="00A76818" w14:paraId="20C7AB5A" w14:textId="77777777" w:rsidTr="00BB21F9">
        <w:trPr>
          <w:gridAfter w:val="1"/>
          <w:wAfter w:w="12" w:type="pct"/>
          <w:trHeight w:val="285"/>
        </w:trPr>
        <w:tc>
          <w:tcPr>
            <w:tcW w:w="1509" w:type="pct"/>
            <w:tcBorders>
              <w:top w:val="dashSmallGap" w:sz="4" w:space="0" w:color="D8D8D8"/>
              <w:bottom w:val="dashSmallGap" w:sz="4" w:space="0" w:color="D8D8D8"/>
            </w:tcBorders>
            <w:shd w:val="clear" w:color="auto" w:fill="ECECEC"/>
          </w:tcPr>
          <w:p w14:paraId="2AB99553" w14:textId="77777777" w:rsidR="006438E4" w:rsidRPr="00A76818" w:rsidRDefault="006438E4" w:rsidP="006407DD">
            <w:pPr>
              <w:pStyle w:val="TableParagraph"/>
              <w:spacing w:line="240" w:lineRule="auto"/>
              <w:jc w:val="left"/>
              <w:rPr>
                <w:sz w:val="18"/>
                <w:szCs w:val="18"/>
              </w:rPr>
            </w:pPr>
            <w:r w:rsidRPr="00A76818">
              <w:rPr>
                <w:sz w:val="18"/>
                <w:szCs w:val="18"/>
              </w:rPr>
              <w:t>Probability</w:t>
            </w:r>
            <w:r w:rsidRPr="00A76818">
              <w:rPr>
                <w:spacing w:val="-6"/>
                <w:sz w:val="18"/>
                <w:szCs w:val="18"/>
              </w:rPr>
              <w:t xml:space="preserve"> </w:t>
            </w:r>
            <w:r w:rsidRPr="00A76818">
              <w:rPr>
                <w:sz w:val="18"/>
                <w:szCs w:val="18"/>
              </w:rPr>
              <w:t>of</w:t>
            </w:r>
            <w:r w:rsidRPr="00A76818">
              <w:rPr>
                <w:spacing w:val="-3"/>
                <w:sz w:val="18"/>
                <w:szCs w:val="18"/>
              </w:rPr>
              <w:t xml:space="preserve"> </w:t>
            </w:r>
            <w:r w:rsidRPr="00A76818">
              <w:rPr>
                <w:sz w:val="18"/>
                <w:szCs w:val="18"/>
              </w:rPr>
              <w:t>superiority</w:t>
            </w:r>
            <w:r w:rsidRPr="00A76818">
              <w:rPr>
                <w:spacing w:val="-5"/>
                <w:sz w:val="18"/>
                <w:szCs w:val="18"/>
              </w:rPr>
              <w:t xml:space="preserve"> </w:t>
            </w:r>
            <w:r w:rsidRPr="00A76818">
              <w:rPr>
                <w:sz w:val="18"/>
                <w:szCs w:val="18"/>
              </w:rPr>
              <w:t>to</w:t>
            </w:r>
            <w:r w:rsidRPr="00A76818">
              <w:rPr>
                <w:spacing w:val="-4"/>
                <w:sz w:val="18"/>
                <w:szCs w:val="18"/>
              </w:rPr>
              <w:t xml:space="preserve"> </w:t>
            </w:r>
            <w:r w:rsidRPr="00A76818">
              <w:rPr>
                <w:sz w:val="18"/>
                <w:szCs w:val="18"/>
              </w:rPr>
              <w:t>control,</w:t>
            </w:r>
            <w:r w:rsidRPr="00A76818">
              <w:rPr>
                <w:spacing w:val="-3"/>
                <w:sz w:val="18"/>
                <w:szCs w:val="18"/>
              </w:rPr>
              <w:t xml:space="preserve"> </w:t>
            </w:r>
            <w:r w:rsidRPr="00A76818">
              <w:rPr>
                <w:sz w:val="18"/>
                <w:szCs w:val="18"/>
              </w:rPr>
              <w:t>%</w:t>
            </w:r>
          </w:p>
        </w:tc>
        <w:tc>
          <w:tcPr>
            <w:tcW w:w="1391" w:type="pct"/>
            <w:gridSpan w:val="2"/>
            <w:tcBorders>
              <w:top w:val="dashSmallGap" w:sz="4" w:space="0" w:color="D8D8D8"/>
              <w:bottom w:val="dashSmallGap" w:sz="4" w:space="0" w:color="D8D8D8"/>
            </w:tcBorders>
            <w:shd w:val="clear" w:color="auto" w:fill="ECECEC"/>
            <w:vAlign w:val="center"/>
          </w:tcPr>
          <w:p w14:paraId="68DEFE45" w14:textId="3314A5C9" w:rsidR="006438E4" w:rsidRPr="006438E4" w:rsidRDefault="006438E4" w:rsidP="006407DD">
            <w:pPr>
              <w:pStyle w:val="TableParagraph"/>
              <w:spacing w:line="240" w:lineRule="auto"/>
              <w:rPr>
                <w:sz w:val="18"/>
                <w:szCs w:val="18"/>
              </w:rPr>
            </w:pPr>
            <w:r w:rsidRPr="006438E4">
              <w:rPr>
                <w:sz w:val="18"/>
                <w:szCs w:val="18"/>
              </w:rPr>
              <w:t>88.9</w:t>
            </w:r>
          </w:p>
        </w:tc>
        <w:tc>
          <w:tcPr>
            <w:tcW w:w="696" w:type="pct"/>
            <w:tcBorders>
              <w:top w:val="dashSmallGap" w:sz="4" w:space="0" w:color="D8D8D8"/>
              <w:bottom w:val="dashSmallGap" w:sz="4" w:space="0" w:color="D8D8D8"/>
            </w:tcBorders>
            <w:shd w:val="clear" w:color="auto" w:fill="ECECEC"/>
            <w:vAlign w:val="center"/>
          </w:tcPr>
          <w:p w14:paraId="4DCD879D" w14:textId="54E452DE" w:rsidR="006438E4" w:rsidRPr="006438E4" w:rsidRDefault="006438E4" w:rsidP="006407DD">
            <w:pPr>
              <w:pStyle w:val="TableParagraph"/>
              <w:spacing w:line="240" w:lineRule="auto"/>
              <w:rPr>
                <w:sz w:val="18"/>
                <w:szCs w:val="18"/>
              </w:rPr>
            </w:pPr>
            <w:r>
              <w:rPr>
                <w:sz w:val="18"/>
                <w:szCs w:val="18"/>
              </w:rPr>
              <w:t>64.9</w:t>
            </w:r>
          </w:p>
        </w:tc>
        <w:tc>
          <w:tcPr>
            <w:tcW w:w="696" w:type="pct"/>
            <w:tcBorders>
              <w:top w:val="dashSmallGap" w:sz="4" w:space="0" w:color="D8D8D8"/>
              <w:bottom w:val="dashSmallGap" w:sz="4" w:space="0" w:color="D8D8D8"/>
            </w:tcBorders>
            <w:shd w:val="clear" w:color="auto" w:fill="ECECEC"/>
            <w:vAlign w:val="center"/>
          </w:tcPr>
          <w:p w14:paraId="60D8771D" w14:textId="0F4E1606" w:rsidR="006438E4" w:rsidRPr="006438E4" w:rsidRDefault="006438E4" w:rsidP="006407DD">
            <w:pPr>
              <w:pStyle w:val="TableParagraph"/>
              <w:spacing w:line="240" w:lineRule="auto"/>
              <w:rPr>
                <w:sz w:val="18"/>
                <w:szCs w:val="18"/>
              </w:rPr>
            </w:pPr>
            <w:r>
              <w:rPr>
                <w:sz w:val="18"/>
                <w:szCs w:val="18"/>
              </w:rPr>
              <w:t>71.5</w:t>
            </w:r>
          </w:p>
        </w:tc>
        <w:tc>
          <w:tcPr>
            <w:tcW w:w="696" w:type="pct"/>
            <w:tcBorders>
              <w:top w:val="dashSmallGap" w:sz="4" w:space="0" w:color="D8D8D8"/>
              <w:bottom w:val="dashSmallGap" w:sz="4" w:space="0" w:color="D8D8D8"/>
            </w:tcBorders>
            <w:shd w:val="clear" w:color="auto" w:fill="ECECEC"/>
            <w:vAlign w:val="center"/>
          </w:tcPr>
          <w:p w14:paraId="6B5E6EA5" w14:textId="77777777" w:rsidR="006438E4" w:rsidRPr="006438E4" w:rsidRDefault="006438E4" w:rsidP="006407DD">
            <w:pPr>
              <w:pStyle w:val="TableParagraph"/>
              <w:spacing w:line="240" w:lineRule="auto"/>
              <w:rPr>
                <w:sz w:val="18"/>
                <w:szCs w:val="18"/>
              </w:rPr>
            </w:pPr>
            <w:r w:rsidRPr="006438E4">
              <w:rPr>
                <w:sz w:val="18"/>
                <w:szCs w:val="18"/>
              </w:rPr>
              <w:t>-</w:t>
            </w:r>
          </w:p>
        </w:tc>
      </w:tr>
      <w:tr w:rsidR="006407DD" w:rsidRPr="00A76818" w14:paraId="60779DF0" w14:textId="77777777" w:rsidTr="00BB21F9">
        <w:trPr>
          <w:gridAfter w:val="1"/>
          <w:wAfter w:w="12" w:type="pct"/>
          <w:trHeight w:val="602"/>
        </w:trPr>
        <w:tc>
          <w:tcPr>
            <w:tcW w:w="4988" w:type="pct"/>
            <w:gridSpan w:val="6"/>
            <w:tcBorders>
              <w:top w:val="single" w:sz="4" w:space="0" w:color="000000"/>
              <w:bottom w:val="dashSmallGap" w:sz="4" w:space="0" w:color="D8D8D8"/>
            </w:tcBorders>
            <w:shd w:val="clear" w:color="auto" w:fill="ECECEC"/>
          </w:tcPr>
          <w:p w14:paraId="350A1FED" w14:textId="45748968" w:rsidR="006407DD" w:rsidRPr="00A76818" w:rsidRDefault="006407DD" w:rsidP="006407DD">
            <w:pPr>
              <w:pStyle w:val="TableParagraph"/>
              <w:spacing w:line="240" w:lineRule="auto"/>
              <w:ind w:right="5126"/>
              <w:jc w:val="left"/>
              <w:rPr>
                <w:b/>
                <w:sz w:val="18"/>
                <w:szCs w:val="18"/>
              </w:rPr>
            </w:pPr>
            <w:r w:rsidRPr="00A76818">
              <w:rPr>
                <w:b/>
                <w:sz w:val="18"/>
                <w:szCs w:val="18"/>
              </w:rPr>
              <w:t>Secondary</w:t>
            </w:r>
            <w:r w:rsidRPr="00A76818">
              <w:rPr>
                <w:b/>
                <w:spacing w:val="-6"/>
                <w:sz w:val="18"/>
                <w:szCs w:val="18"/>
              </w:rPr>
              <w:t xml:space="preserve"> </w:t>
            </w:r>
            <w:r w:rsidRPr="00A76818">
              <w:rPr>
                <w:b/>
                <w:sz w:val="18"/>
                <w:szCs w:val="18"/>
              </w:rPr>
              <w:t>Analysis</w:t>
            </w:r>
            <w:r w:rsidRPr="00A76818">
              <w:rPr>
                <w:b/>
                <w:spacing w:val="-3"/>
                <w:sz w:val="18"/>
                <w:szCs w:val="18"/>
              </w:rPr>
              <w:t xml:space="preserve"> </w:t>
            </w:r>
            <w:r w:rsidRPr="00A76818">
              <w:rPr>
                <w:b/>
                <w:sz w:val="18"/>
                <w:szCs w:val="18"/>
              </w:rPr>
              <w:t>of</w:t>
            </w:r>
            <w:r w:rsidRPr="00A76818">
              <w:rPr>
                <w:b/>
                <w:spacing w:val="-6"/>
                <w:sz w:val="18"/>
                <w:szCs w:val="18"/>
              </w:rPr>
              <w:t xml:space="preserve"> </w:t>
            </w:r>
            <w:r>
              <w:rPr>
                <w:b/>
                <w:sz w:val="18"/>
                <w:szCs w:val="18"/>
              </w:rPr>
              <w:t>Hospital Survival</w:t>
            </w:r>
            <w:r w:rsidRPr="00A76818">
              <w:rPr>
                <w:sz w:val="18"/>
                <w:szCs w:val="18"/>
              </w:rPr>
              <w:t>,</w:t>
            </w:r>
            <w:r w:rsidRPr="00A76818">
              <w:rPr>
                <w:spacing w:val="-6"/>
                <w:sz w:val="18"/>
                <w:szCs w:val="18"/>
              </w:rPr>
              <w:t xml:space="preserve"> </w:t>
            </w:r>
            <w:r w:rsidRPr="00A76818">
              <w:rPr>
                <w:sz w:val="18"/>
                <w:szCs w:val="18"/>
              </w:rPr>
              <w:t xml:space="preserve">for </w:t>
            </w:r>
            <w:r w:rsidRPr="00CA20E0">
              <w:rPr>
                <w:sz w:val="18"/>
                <w:szCs w:val="18"/>
              </w:rPr>
              <w:t>Unblinded ITT popula</w:t>
            </w:r>
            <w:r>
              <w:rPr>
                <w:sz w:val="18"/>
                <w:szCs w:val="18"/>
              </w:rPr>
              <w:t>ti</w:t>
            </w:r>
            <w:r w:rsidRPr="00CA20E0">
              <w:rPr>
                <w:sz w:val="18"/>
                <w:szCs w:val="18"/>
              </w:rPr>
              <w:t xml:space="preserve">on with </w:t>
            </w:r>
            <w:r>
              <w:rPr>
                <w:sz w:val="18"/>
                <w:szCs w:val="18"/>
              </w:rPr>
              <w:t xml:space="preserve">additional unblinded interaction </w:t>
            </w:r>
            <w:r w:rsidRPr="00CA20E0">
              <w:rPr>
                <w:sz w:val="18"/>
                <w:szCs w:val="18"/>
              </w:rPr>
              <w:t>effects</w:t>
            </w:r>
            <w:r w:rsidR="00A046A9">
              <w:rPr>
                <w:sz w:val="18"/>
                <w:szCs w:val="18"/>
              </w:rPr>
              <w:t>*</w:t>
            </w:r>
          </w:p>
        </w:tc>
      </w:tr>
      <w:tr w:rsidR="006438E4" w:rsidRPr="00CA20E0" w14:paraId="5BF76C2B" w14:textId="77777777" w:rsidTr="00BB21F9">
        <w:trPr>
          <w:gridAfter w:val="1"/>
          <w:wAfter w:w="12" w:type="pct"/>
          <w:trHeight w:val="285"/>
        </w:trPr>
        <w:tc>
          <w:tcPr>
            <w:tcW w:w="1509" w:type="pct"/>
            <w:tcBorders>
              <w:top w:val="dashSmallGap" w:sz="4" w:space="0" w:color="D8D8D8"/>
              <w:bottom w:val="dashSmallGap" w:sz="4" w:space="0" w:color="D8D8D8"/>
            </w:tcBorders>
            <w:shd w:val="clear" w:color="auto" w:fill="ECECEC"/>
          </w:tcPr>
          <w:p w14:paraId="67F2EE08" w14:textId="77777777" w:rsidR="006438E4" w:rsidRPr="00A76818" w:rsidRDefault="006438E4" w:rsidP="006407DD">
            <w:pPr>
              <w:pStyle w:val="TableParagraph"/>
              <w:spacing w:line="240" w:lineRule="auto"/>
              <w:jc w:val="left"/>
              <w:rPr>
                <w:sz w:val="18"/>
                <w:szCs w:val="18"/>
              </w:rPr>
            </w:pPr>
            <w:r w:rsidRPr="00A76818">
              <w:rPr>
                <w:sz w:val="18"/>
                <w:szCs w:val="18"/>
              </w:rPr>
              <w:t>Adjusted</w:t>
            </w:r>
            <w:r w:rsidRPr="00A76818">
              <w:rPr>
                <w:spacing w:val="-3"/>
                <w:sz w:val="18"/>
                <w:szCs w:val="18"/>
              </w:rPr>
              <w:t xml:space="preserve"> </w:t>
            </w:r>
            <w:r w:rsidRPr="00A76818">
              <w:rPr>
                <w:sz w:val="18"/>
                <w:szCs w:val="18"/>
              </w:rPr>
              <w:t>OR</w:t>
            </w:r>
            <w:r w:rsidRPr="00A76818">
              <w:rPr>
                <w:spacing w:val="2"/>
                <w:sz w:val="18"/>
                <w:szCs w:val="18"/>
              </w:rPr>
              <w:t xml:space="preserve"> </w:t>
            </w:r>
            <w:r w:rsidRPr="00A76818">
              <w:rPr>
                <w:sz w:val="18"/>
                <w:szCs w:val="18"/>
              </w:rPr>
              <w:t>-</w:t>
            </w:r>
            <w:r w:rsidRPr="00A76818">
              <w:rPr>
                <w:spacing w:val="-2"/>
                <w:sz w:val="18"/>
                <w:szCs w:val="18"/>
              </w:rPr>
              <w:t xml:space="preserve"> </w:t>
            </w:r>
            <w:r w:rsidRPr="00A76818">
              <w:rPr>
                <w:sz w:val="18"/>
                <w:szCs w:val="18"/>
              </w:rPr>
              <w:t>mean</w:t>
            </w:r>
            <w:r w:rsidRPr="00A76818">
              <w:rPr>
                <w:spacing w:val="-3"/>
                <w:sz w:val="18"/>
                <w:szCs w:val="18"/>
              </w:rPr>
              <w:t xml:space="preserve"> </w:t>
            </w:r>
            <w:r w:rsidRPr="00A76818">
              <w:rPr>
                <w:sz w:val="18"/>
                <w:szCs w:val="18"/>
              </w:rPr>
              <w:t>(SD)</w:t>
            </w:r>
          </w:p>
        </w:tc>
        <w:tc>
          <w:tcPr>
            <w:tcW w:w="1391" w:type="pct"/>
            <w:gridSpan w:val="2"/>
            <w:tcBorders>
              <w:top w:val="dashSmallGap" w:sz="4" w:space="0" w:color="D8D8D8"/>
              <w:bottom w:val="dashSmallGap" w:sz="4" w:space="0" w:color="D8D8D8"/>
            </w:tcBorders>
            <w:shd w:val="clear" w:color="auto" w:fill="ECECEC"/>
            <w:vAlign w:val="center"/>
          </w:tcPr>
          <w:p w14:paraId="1022582E" w14:textId="2DFF691B" w:rsidR="006438E4" w:rsidRPr="006438E4" w:rsidRDefault="006438E4" w:rsidP="006407DD">
            <w:pPr>
              <w:pStyle w:val="TableParagraph"/>
              <w:spacing w:line="240" w:lineRule="auto"/>
              <w:rPr>
                <w:sz w:val="18"/>
                <w:szCs w:val="18"/>
              </w:rPr>
            </w:pPr>
            <w:r w:rsidRPr="006438E4">
              <w:rPr>
                <w:sz w:val="18"/>
                <w:szCs w:val="18"/>
              </w:rPr>
              <w:t>2.11 (0.90)</w:t>
            </w:r>
          </w:p>
        </w:tc>
        <w:tc>
          <w:tcPr>
            <w:tcW w:w="696" w:type="pct"/>
            <w:tcBorders>
              <w:top w:val="dashSmallGap" w:sz="4" w:space="0" w:color="D8D8D8"/>
              <w:bottom w:val="dashSmallGap" w:sz="4" w:space="0" w:color="D8D8D8"/>
            </w:tcBorders>
            <w:shd w:val="clear" w:color="auto" w:fill="ECECEC"/>
            <w:vAlign w:val="center"/>
          </w:tcPr>
          <w:p w14:paraId="109D9BE1" w14:textId="6654B7BC" w:rsidR="006438E4" w:rsidRPr="006438E4" w:rsidRDefault="00A87B55" w:rsidP="006407DD">
            <w:pPr>
              <w:pStyle w:val="TableParagraph"/>
              <w:spacing w:line="240" w:lineRule="auto"/>
              <w:rPr>
                <w:sz w:val="18"/>
                <w:szCs w:val="18"/>
              </w:rPr>
            </w:pPr>
            <w:r>
              <w:rPr>
                <w:sz w:val="18"/>
                <w:szCs w:val="18"/>
              </w:rPr>
              <w:t>1.05 (0.23)</w:t>
            </w:r>
          </w:p>
        </w:tc>
        <w:tc>
          <w:tcPr>
            <w:tcW w:w="696" w:type="pct"/>
            <w:tcBorders>
              <w:top w:val="dashSmallGap" w:sz="4" w:space="0" w:color="D8D8D8"/>
              <w:bottom w:val="dashSmallGap" w:sz="4" w:space="0" w:color="D8D8D8"/>
            </w:tcBorders>
            <w:shd w:val="clear" w:color="auto" w:fill="ECECEC"/>
            <w:vAlign w:val="center"/>
          </w:tcPr>
          <w:p w14:paraId="0971BEF0" w14:textId="45EECE7B" w:rsidR="006438E4" w:rsidRPr="006438E4" w:rsidRDefault="00A87B55" w:rsidP="006407DD">
            <w:pPr>
              <w:pStyle w:val="TableParagraph"/>
              <w:spacing w:line="240" w:lineRule="auto"/>
              <w:rPr>
                <w:sz w:val="18"/>
                <w:szCs w:val="18"/>
              </w:rPr>
            </w:pPr>
            <w:r>
              <w:rPr>
                <w:sz w:val="18"/>
                <w:szCs w:val="18"/>
              </w:rPr>
              <w:t>1.41 (0.72)</w:t>
            </w:r>
          </w:p>
        </w:tc>
        <w:tc>
          <w:tcPr>
            <w:tcW w:w="696" w:type="pct"/>
            <w:tcBorders>
              <w:top w:val="dashSmallGap" w:sz="4" w:space="0" w:color="D8D8D8"/>
              <w:bottom w:val="dashSmallGap" w:sz="4" w:space="0" w:color="D8D8D8"/>
            </w:tcBorders>
            <w:shd w:val="clear" w:color="auto" w:fill="ECECEC"/>
            <w:vAlign w:val="center"/>
          </w:tcPr>
          <w:p w14:paraId="6BB6B981" w14:textId="77777777" w:rsidR="006438E4" w:rsidRPr="006438E4" w:rsidRDefault="006438E4" w:rsidP="006407DD">
            <w:pPr>
              <w:pStyle w:val="TableParagraph"/>
              <w:spacing w:line="240" w:lineRule="auto"/>
              <w:rPr>
                <w:sz w:val="18"/>
                <w:szCs w:val="18"/>
              </w:rPr>
            </w:pPr>
            <w:r w:rsidRPr="006438E4">
              <w:rPr>
                <w:sz w:val="18"/>
                <w:szCs w:val="18"/>
              </w:rPr>
              <w:t>1</w:t>
            </w:r>
          </w:p>
        </w:tc>
      </w:tr>
      <w:tr w:rsidR="006438E4" w:rsidRPr="00CA20E0" w14:paraId="0CEB3B7C" w14:textId="77777777" w:rsidTr="00BB21F9">
        <w:trPr>
          <w:gridAfter w:val="1"/>
          <w:wAfter w:w="12" w:type="pct"/>
          <w:trHeight w:val="285"/>
        </w:trPr>
        <w:tc>
          <w:tcPr>
            <w:tcW w:w="1509" w:type="pct"/>
            <w:tcBorders>
              <w:top w:val="dashSmallGap" w:sz="4" w:space="0" w:color="D8D8D8"/>
              <w:bottom w:val="dashSmallGap" w:sz="4" w:space="0" w:color="D8D8D8"/>
            </w:tcBorders>
            <w:shd w:val="clear" w:color="auto" w:fill="ECECEC"/>
          </w:tcPr>
          <w:p w14:paraId="3DFD9373" w14:textId="77777777" w:rsidR="006438E4" w:rsidRPr="00A76818" w:rsidRDefault="006438E4" w:rsidP="006407DD">
            <w:pPr>
              <w:pStyle w:val="TableParagraph"/>
              <w:spacing w:line="240" w:lineRule="auto"/>
              <w:jc w:val="left"/>
              <w:rPr>
                <w:sz w:val="18"/>
                <w:szCs w:val="18"/>
              </w:rPr>
            </w:pPr>
            <w:r w:rsidRPr="00A76818">
              <w:rPr>
                <w:sz w:val="18"/>
                <w:szCs w:val="18"/>
              </w:rPr>
              <w:t>-</w:t>
            </w:r>
            <w:r w:rsidRPr="00A76818">
              <w:rPr>
                <w:spacing w:val="-3"/>
                <w:sz w:val="18"/>
                <w:szCs w:val="18"/>
              </w:rPr>
              <w:t xml:space="preserve"> </w:t>
            </w:r>
            <w:r w:rsidRPr="00A76818">
              <w:rPr>
                <w:sz w:val="18"/>
                <w:szCs w:val="18"/>
              </w:rPr>
              <w:t>median</w:t>
            </w:r>
            <w:r w:rsidRPr="00A76818">
              <w:rPr>
                <w:spacing w:val="-2"/>
                <w:sz w:val="18"/>
                <w:szCs w:val="18"/>
              </w:rPr>
              <w:t xml:space="preserve"> </w:t>
            </w:r>
            <w:r w:rsidRPr="00A76818">
              <w:rPr>
                <w:sz w:val="18"/>
                <w:szCs w:val="18"/>
              </w:rPr>
              <w:t>(95%</w:t>
            </w:r>
            <w:r w:rsidRPr="00A76818">
              <w:rPr>
                <w:spacing w:val="-1"/>
                <w:sz w:val="18"/>
                <w:szCs w:val="18"/>
              </w:rPr>
              <w:t xml:space="preserve"> </w:t>
            </w:r>
            <w:r w:rsidRPr="00A76818">
              <w:rPr>
                <w:sz w:val="18"/>
                <w:szCs w:val="18"/>
              </w:rPr>
              <w:t>CrI)</w:t>
            </w:r>
          </w:p>
        </w:tc>
        <w:tc>
          <w:tcPr>
            <w:tcW w:w="1391" w:type="pct"/>
            <w:gridSpan w:val="2"/>
            <w:tcBorders>
              <w:top w:val="dashSmallGap" w:sz="4" w:space="0" w:color="D8D8D8"/>
              <w:bottom w:val="dashSmallGap" w:sz="4" w:space="0" w:color="D8D8D8"/>
            </w:tcBorders>
            <w:shd w:val="clear" w:color="auto" w:fill="ECECEC"/>
            <w:vAlign w:val="center"/>
          </w:tcPr>
          <w:p w14:paraId="79F23506" w14:textId="4F62F78E" w:rsidR="006438E4" w:rsidRPr="006438E4" w:rsidRDefault="006438E4" w:rsidP="006407DD">
            <w:pPr>
              <w:pStyle w:val="TableParagraph"/>
              <w:spacing w:line="240" w:lineRule="auto"/>
              <w:rPr>
                <w:sz w:val="18"/>
                <w:szCs w:val="18"/>
              </w:rPr>
            </w:pPr>
            <w:r w:rsidRPr="006438E4">
              <w:rPr>
                <w:sz w:val="18"/>
                <w:szCs w:val="18"/>
              </w:rPr>
              <w:t>1.93 (0.90 to 4.35)</w:t>
            </w:r>
          </w:p>
        </w:tc>
        <w:tc>
          <w:tcPr>
            <w:tcW w:w="696" w:type="pct"/>
            <w:tcBorders>
              <w:top w:val="dashSmallGap" w:sz="4" w:space="0" w:color="D8D8D8"/>
              <w:bottom w:val="dashSmallGap" w:sz="4" w:space="0" w:color="D8D8D8"/>
            </w:tcBorders>
            <w:shd w:val="clear" w:color="auto" w:fill="ECECEC"/>
            <w:vAlign w:val="center"/>
          </w:tcPr>
          <w:p w14:paraId="5BE93159" w14:textId="2FCA598A" w:rsidR="006438E4" w:rsidRPr="006438E4" w:rsidRDefault="00A87B55" w:rsidP="006407DD">
            <w:pPr>
              <w:pStyle w:val="TableParagraph"/>
              <w:spacing w:line="240" w:lineRule="auto"/>
              <w:rPr>
                <w:sz w:val="18"/>
                <w:szCs w:val="18"/>
              </w:rPr>
            </w:pPr>
            <w:r>
              <w:rPr>
                <w:sz w:val="18"/>
                <w:szCs w:val="18"/>
              </w:rPr>
              <w:t>1.02 (0.68 to 1.56)</w:t>
            </w:r>
          </w:p>
        </w:tc>
        <w:tc>
          <w:tcPr>
            <w:tcW w:w="696" w:type="pct"/>
            <w:tcBorders>
              <w:top w:val="dashSmallGap" w:sz="4" w:space="0" w:color="D8D8D8"/>
              <w:bottom w:val="dashSmallGap" w:sz="4" w:space="0" w:color="D8D8D8"/>
            </w:tcBorders>
            <w:shd w:val="clear" w:color="auto" w:fill="ECECEC"/>
            <w:vAlign w:val="center"/>
          </w:tcPr>
          <w:p w14:paraId="1C16FB13" w14:textId="6801FB99" w:rsidR="006438E4" w:rsidRPr="006438E4" w:rsidRDefault="00A87B55" w:rsidP="006407DD">
            <w:pPr>
              <w:pStyle w:val="TableParagraph"/>
              <w:spacing w:line="240" w:lineRule="auto"/>
              <w:rPr>
                <w:sz w:val="18"/>
                <w:szCs w:val="18"/>
              </w:rPr>
            </w:pPr>
            <w:r>
              <w:rPr>
                <w:sz w:val="18"/>
                <w:szCs w:val="18"/>
              </w:rPr>
              <w:t>1.26 (0.50 to 3.26)</w:t>
            </w:r>
          </w:p>
        </w:tc>
        <w:tc>
          <w:tcPr>
            <w:tcW w:w="696" w:type="pct"/>
            <w:tcBorders>
              <w:top w:val="dashSmallGap" w:sz="4" w:space="0" w:color="D8D8D8"/>
              <w:bottom w:val="dashSmallGap" w:sz="4" w:space="0" w:color="D8D8D8"/>
            </w:tcBorders>
            <w:shd w:val="clear" w:color="auto" w:fill="ECECEC"/>
            <w:vAlign w:val="center"/>
          </w:tcPr>
          <w:p w14:paraId="38AAD647" w14:textId="77777777" w:rsidR="006438E4" w:rsidRPr="006438E4" w:rsidRDefault="006438E4" w:rsidP="006407DD">
            <w:pPr>
              <w:pStyle w:val="TableParagraph"/>
              <w:spacing w:line="240" w:lineRule="auto"/>
              <w:rPr>
                <w:sz w:val="18"/>
                <w:szCs w:val="18"/>
              </w:rPr>
            </w:pPr>
            <w:r w:rsidRPr="006438E4">
              <w:rPr>
                <w:sz w:val="18"/>
                <w:szCs w:val="18"/>
              </w:rPr>
              <w:t>1</w:t>
            </w:r>
          </w:p>
        </w:tc>
      </w:tr>
      <w:tr w:rsidR="006438E4" w:rsidRPr="00CA20E0" w14:paraId="341C5641" w14:textId="77777777" w:rsidTr="00BB21F9">
        <w:trPr>
          <w:gridAfter w:val="1"/>
          <w:wAfter w:w="12" w:type="pct"/>
          <w:trHeight w:val="285"/>
        </w:trPr>
        <w:tc>
          <w:tcPr>
            <w:tcW w:w="1509" w:type="pct"/>
            <w:tcBorders>
              <w:top w:val="dashSmallGap" w:sz="4" w:space="0" w:color="D8D8D8"/>
              <w:bottom w:val="dashSmallGap" w:sz="4" w:space="0" w:color="D8D8D8"/>
            </w:tcBorders>
            <w:shd w:val="clear" w:color="auto" w:fill="ECECEC"/>
          </w:tcPr>
          <w:p w14:paraId="3755C7C8" w14:textId="77777777" w:rsidR="006438E4" w:rsidRPr="00A76818" w:rsidRDefault="006438E4" w:rsidP="006407DD">
            <w:pPr>
              <w:pStyle w:val="TableParagraph"/>
              <w:spacing w:line="240" w:lineRule="auto"/>
              <w:jc w:val="left"/>
              <w:rPr>
                <w:sz w:val="18"/>
                <w:szCs w:val="18"/>
              </w:rPr>
            </w:pPr>
            <w:r w:rsidRPr="00A76818">
              <w:rPr>
                <w:sz w:val="18"/>
                <w:szCs w:val="18"/>
              </w:rPr>
              <w:t>Probability</w:t>
            </w:r>
            <w:r w:rsidRPr="00A76818">
              <w:rPr>
                <w:spacing w:val="-6"/>
                <w:sz w:val="18"/>
                <w:szCs w:val="18"/>
              </w:rPr>
              <w:t xml:space="preserve"> </w:t>
            </w:r>
            <w:r w:rsidRPr="00A76818">
              <w:rPr>
                <w:sz w:val="18"/>
                <w:szCs w:val="18"/>
              </w:rPr>
              <w:t>of</w:t>
            </w:r>
            <w:r w:rsidRPr="00A76818">
              <w:rPr>
                <w:spacing w:val="-3"/>
                <w:sz w:val="18"/>
                <w:szCs w:val="18"/>
              </w:rPr>
              <w:t xml:space="preserve"> </w:t>
            </w:r>
            <w:r w:rsidRPr="00A76818">
              <w:rPr>
                <w:sz w:val="18"/>
                <w:szCs w:val="18"/>
              </w:rPr>
              <w:t>superiority</w:t>
            </w:r>
            <w:r w:rsidRPr="00A76818">
              <w:rPr>
                <w:spacing w:val="-5"/>
                <w:sz w:val="18"/>
                <w:szCs w:val="18"/>
              </w:rPr>
              <w:t xml:space="preserve"> </w:t>
            </w:r>
            <w:r w:rsidRPr="00A76818">
              <w:rPr>
                <w:sz w:val="18"/>
                <w:szCs w:val="18"/>
              </w:rPr>
              <w:t>to</w:t>
            </w:r>
            <w:r w:rsidRPr="00A76818">
              <w:rPr>
                <w:spacing w:val="-4"/>
                <w:sz w:val="18"/>
                <w:szCs w:val="18"/>
              </w:rPr>
              <w:t xml:space="preserve"> </w:t>
            </w:r>
            <w:r w:rsidRPr="00A76818">
              <w:rPr>
                <w:sz w:val="18"/>
                <w:szCs w:val="18"/>
              </w:rPr>
              <w:t>control,</w:t>
            </w:r>
            <w:r w:rsidRPr="00A76818">
              <w:rPr>
                <w:spacing w:val="-3"/>
                <w:sz w:val="18"/>
                <w:szCs w:val="18"/>
              </w:rPr>
              <w:t xml:space="preserve"> </w:t>
            </w:r>
            <w:r w:rsidRPr="00A76818">
              <w:rPr>
                <w:sz w:val="18"/>
                <w:szCs w:val="18"/>
              </w:rPr>
              <w:t>%</w:t>
            </w:r>
          </w:p>
        </w:tc>
        <w:tc>
          <w:tcPr>
            <w:tcW w:w="1391" w:type="pct"/>
            <w:gridSpan w:val="2"/>
            <w:tcBorders>
              <w:top w:val="dashSmallGap" w:sz="4" w:space="0" w:color="D8D8D8"/>
              <w:bottom w:val="dashSmallGap" w:sz="4" w:space="0" w:color="D8D8D8"/>
            </w:tcBorders>
            <w:shd w:val="clear" w:color="auto" w:fill="ECECEC"/>
            <w:vAlign w:val="center"/>
          </w:tcPr>
          <w:p w14:paraId="1549555D" w14:textId="5339C8B2" w:rsidR="006438E4" w:rsidRPr="006438E4" w:rsidRDefault="006438E4" w:rsidP="006407DD">
            <w:pPr>
              <w:pStyle w:val="TableParagraph"/>
              <w:spacing w:line="240" w:lineRule="auto"/>
              <w:rPr>
                <w:sz w:val="18"/>
                <w:szCs w:val="18"/>
              </w:rPr>
            </w:pPr>
            <w:r w:rsidRPr="006438E4">
              <w:rPr>
                <w:sz w:val="18"/>
                <w:szCs w:val="18"/>
              </w:rPr>
              <w:t>95.4</w:t>
            </w:r>
          </w:p>
        </w:tc>
        <w:tc>
          <w:tcPr>
            <w:tcW w:w="696" w:type="pct"/>
            <w:tcBorders>
              <w:top w:val="dashSmallGap" w:sz="4" w:space="0" w:color="D8D8D8"/>
              <w:bottom w:val="dashSmallGap" w:sz="4" w:space="0" w:color="D8D8D8"/>
            </w:tcBorders>
            <w:shd w:val="clear" w:color="auto" w:fill="ECECEC"/>
            <w:vAlign w:val="center"/>
          </w:tcPr>
          <w:p w14:paraId="395C7D5E" w14:textId="5C00F2FA" w:rsidR="006438E4" w:rsidRPr="006438E4" w:rsidRDefault="00A87B55" w:rsidP="006407DD">
            <w:pPr>
              <w:pStyle w:val="TableParagraph"/>
              <w:spacing w:line="240" w:lineRule="auto"/>
              <w:rPr>
                <w:sz w:val="18"/>
                <w:szCs w:val="18"/>
              </w:rPr>
            </w:pPr>
            <w:r>
              <w:rPr>
                <w:sz w:val="18"/>
                <w:szCs w:val="18"/>
              </w:rPr>
              <w:t>53.9</w:t>
            </w:r>
          </w:p>
        </w:tc>
        <w:tc>
          <w:tcPr>
            <w:tcW w:w="696" w:type="pct"/>
            <w:tcBorders>
              <w:top w:val="dashSmallGap" w:sz="4" w:space="0" w:color="D8D8D8"/>
              <w:bottom w:val="dashSmallGap" w:sz="4" w:space="0" w:color="D8D8D8"/>
            </w:tcBorders>
            <w:shd w:val="clear" w:color="auto" w:fill="ECECEC"/>
            <w:vAlign w:val="center"/>
          </w:tcPr>
          <w:p w14:paraId="2C425BE9" w14:textId="0AADE28C" w:rsidR="006438E4" w:rsidRPr="006438E4" w:rsidRDefault="00A87B55" w:rsidP="006407DD">
            <w:pPr>
              <w:pStyle w:val="TableParagraph"/>
              <w:spacing w:line="240" w:lineRule="auto"/>
              <w:rPr>
                <w:sz w:val="18"/>
                <w:szCs w:val="18"/>
              </w:rPr>
            </w:pPr>
            <w:r>
              <w:rPr>
                <w:sz w:val="18"/>
                <w:szCs w:val="18"/>
              </w:rPr>
              <w:t>68.6</w:t>
            </w:r>
          </w:p>
        </w:tc>
        <w:tc>
          <w:tcPr>
            <w:tcW w:w="696" w:type="pct"/>
            <w:tcBorders>
              <w:top w:val="dashSmallGap" w:sz="4" w:space="0" w:color="D8D8D8"/>
              <w:bottom w:val="dashSmallGap" w:sz="4" w:space="0" w:color="D8D8D8"/>
            </w:tcBorders>
            <w:shd w:val="clear" w:color="auto" w:fill="ECECEC"/>
            <w:vAlign w:val="center"/>
          </w:tcPr>
          <w:p w14:paraId="08CCCE8B" w14:textId="77777777" w:rsidR="006438E4" w:rsidRPr="006438E4" w:rsidRDefault="006438E4" w:rsidP="006407DD">
            <w:pPr>
              <w:pStyle w:val="TableParagraph"/>
              <w:spacing w:line="240" w:lineRule="auto"/>
              <w:rPr>
                <w:sz w:val="18"/>
                <w:szCs w:val="18"/>
              </w:rPr>
            </w:pPr>
            <w:r w:rsidRPr="006438E4">
              <w:rPr>
                <w:sz w:val="18"/>
                <w:szCs w:val="18"/>
              </w:rPr>
              <w:t>-</w:t>
            </w:r>
          </w:p>
        </w:tc>
      </w:tr>
      <w:tr w:rsidR="006407DD" w:rsidRPr="00A76818" w14:paraId="1EB4221C" w14:textId="77777777" w:rsidTr="00BB21F9">
        <w:trPr>
          <w:gridAfter w:val="1"/>
          <w:wAfter w:w="12" w:type="pct"/>
          <w:trHeight w:val="572"/>
        </w:trPr>
        <w:tc>
          <w:tcPr>
            <w:tcW w:w="4988" w:type="pct"/>
            <w:gridSpan w:val="6"/>
            <w:tcBorders>
              <w:top w:val="dashSmallGap" w:sz="4" w:space="0" w:color="D8D8D8"/>
              <w:bottom w:val="dashSmallGap" w:sz="4" w:space="0" w:color="D8D8D8"/>
            </w:tcBorders>
            <w:shd w:val="clear" w:color="auto" w:fill="ECECEC"/>
          </w:tcPr>
          <w:p w14:paraId="045A7E83" w14:textId="0EA5ACA5" w:rsidR="006407DD" w:rsidRPr="00A76818" w:rsidRDefault="006407DD" w:rsidP="006407DD">
            <w:pPr>
              <w:pStyle w:val="TableParagraph"/>
              <w:spacing w:line="240" w:lineRule="auto"/>
              <w:ind w:right="5491"/>
              <w:jc w:val="left"/>
              <w:rPr>
                <w:b/>
                <w:sz w:val="18"/>
                <w:szCs w:val="18"/>
              </w:rPr>
            </w:pPr>
            <w:r w:rsidRPr="00A76818">
              <w:rPr>
                <w:b/>
                <w:sz w:val="18"/>
                <w:szCs w:val="18"/>
              </w:rPr>
              <w:t>Secondary</w:t>
            </w:r>
            <w:r w:rsidRPr="00A76818">
              <w:rPr>
                <w:b/>
                <w:spacing w:val="-6"/>
                <w:sz w:val="18"/>
                <w:szCs w:val="18"/>
              </w:rPr>
              <w:t xml:space="preserve"> </w:t>
            </w:r>
            <w:r w:rsidRPr="00A76818">
              <w:rPr>
                <w:b/>
                <w:sz w:val="18"/>
                <w:szCs w:val="18"/>
              </w:rPr>
              <w:t>Analysis</w:t>
            </w:r>
            <w:r w:rsidRPr="00A76818">
              <w:rPr>
                <w:b/>
                <w:spacing w:val="-3"/>
                <w:sz w:val="18"/>
                <w:szCs w:val="18"/>
              </w:rPr>
              <w:t xml:space="preserve"> </w:t>
            </w:r>
            <w:r w:rsidRPr="00A76818">
              <w:rPr>
                <w:b/>
                <w:sz w:val="18"/>
                <w:szCs w:val="18"/>
              </w:rPr>
              <w:t>of</w:t>
            </w:r>
            <w:r w:rsidRPr="00A76818">
              <w:rPr>
                <w:b/>
                <w:spacing w:val="-6"/>
                <w:sz w:val="18"/>
                <w:szCs w:val="18"/>
              </w:rPr>
              <w:t xml:space="preserve"> </w:t>
            </w:r>
            <w:r w:rsidRPr="00A76818">
              <w:rPr>
                <w:b/>
                <w:sz w:val="18"/>
                <w:szCs w:val="18"/>
              </w:rPr>
              <w:t>Primary</w:t>
            </w:r>
            <w:r w:rsidRPr="00A76818">
              <w:rPr>
                <w:b/>
                <w:spacing w:val="-1"/>
                <w:sz w:val="18"/>
                <w:szCs w:val="18"/>
              </w:rPr>
              <w:t xml:space="preserve"> </w:t>
            </w:r>
            <w:r w:rsidRPr="00A76818">
              <w:rPr>
                <w:b/>
                <w:sz w:val="18"/>
                <w:szCs w:val="18"/>
              </w:rPr>
              <w:t>Outcome</w:t>
            </w:r>
            <w:r w:rsidRPr="00A76818">
              <w:rPr>
                <w:sz w:val="18"/>
                <w:szCs w:val="18"/>
              </w:rPr>
              <w:t>,</w:t>
            </w:r>
            <w:r w:rsidRPr="00A76818">
              <w:rPr>
                <w:spacing w:val="-6"/>
                <w:sz w:val="18"/>
                <w:szCs w:val="18"/>
              </w:rPr>
              <w:t xml:space="preserve"> </w:t>
            </w:r>
            <w:r w:rsidRPr="00A76818">
              <w:rPr>
                <w:sz w:val="18"/>
                <w:szCs w:val="18"/>
              </w:rPr>
              <w:t xml:space="preserve">for </w:t>
            </w:r>
            <w:r w:rsidRPr="00CA20E0">
              <w:rPr>
                <w:sz w:val="18"/>
                <w:szCs w:val="18"/>
              </w:rPr>
              <w:t>Unblinded ITT popula</w:t>
            </w:r>
            <w:r>
              <w:rPr>
                <w:sz w:val="18"/>
                <w:szCs w:val="18"/>
              </w:rPr>
              <w:t>ti</w:t>
            </w:r>
            <w:r w:rsidRPr="00CA20E0">
              <w:rPr>
                <w:sz w:val="18"/>
                <w:szCs w:val="18"/>
              </w:rPr>
              <w:t xml:space="preserve">on </w:t>
            </w:r>
            <w:r>
              <w:rPr>
                <w:sz w:val="18"/>
                <w:szCs w:val="18"/>
              </w:rPr>
              <w:t>restricted to non-negative COVID-19</w:t>
            </w:r>
          </w:p>
        </w:tc>
      </w:tr>
      <w:tr w:rsidR="006407DD" w:rsidRPr="00CA20E0" w14:paraId="3C85B509" w14:textId="77777777" w:rsidTr="00BB21F9">
        <w:trPr>
          <w:gridAfter w:val="1"/>
          <w:wAfter w:w="12" w:type="pct"/>
          <w:trHeight w:val="282"/>
        </w:trPr>
        <w:tc>
          <w:tcPr>
            <w:tcW w:w="1509" w:type="pct"/>
            <w:tcBorders>
              <w:top w:val="dashSmallGap" w:sz="4" w:space="0" w:color="D8D8D8"/>
              <w:bottom w:val="dashSmallGap" w:sz="6" w:space="0" w:color="D8D8D8"/>
            </w:tcBorders>
            <w:shd w:val="clear" w:color="auto" w:fill="ECECEC"/>
          </w:tcPr>
          <w:p w14:paraId="7F8D60B0" w14:textId="77777777" w:rsidR="006407DD" w:rsidRPr="00A76818" w:rsidRDefault="006407DD" w:rsidP="006407DD">
            <w:pPr>
              <w:pStyle w:val="TableParagraph"/>
              <w:spacing w:line="240" w:lineRule="auto"/>
              <w:jc w:val="left"/>
              <w:rPr>
                <w:sz w:val="18"/>
                <w:szCs w:val="18"/>
              </w:rPr>
            </w:pPr>
            <w:r w:rsidRPr="00A76818">
              <w:rPr>
                <w:sz w:val="18"/>
                <w:szCs w:val="18"/>
              </w:rPr>
              <w:t>Adjusted</w:t>
            </w:r>
            <w:r w:rsidRPr="00A76818">
              <w:rPr>
                <w:spacing w:val="-3"/>
                <w:sz w:val="18"/>
                <w:szCs w:val="18"/>
              </w:rPr>
              <w:t xml:space="preserve"> </w:t>
            </w:r>
            <w:r w:rsidRPr="00A76818">
              <w:rPr>
                <w:sz w:val="18"/>
                <w:szCs w:val="18"/>
              </w:rPr>
              <w:t>OR</w:t>
            </w:r>
            <w:r w:rsidRPr="00A76818">
              <w:rPr>
                <w:spacing w:val="2"/>
                <w:sz w:val="18"/>
                <w:szCs w:val="18"/>
              </w:rPr>
              <w:t xml:space="preserve"> </w:t>
            </w:r>
            <w:r w:rsidRPr="00A76818">
              <w:rPr>
                <w:sz w:val="18"/>
                <w:szCs w:val="18"/>
              </w:rPr>
              <w:t>-</w:t>
            </w:r>
            <w:r w:rsidRPr="00A76818">
              <w:rPr>
                <w:spacing w:val="-2"/>
                <w:sz w:val="18"/>
                <w:szCs w:val="18"/>
              </w:rPr>
              <w:t xml:space="preserve"> </w:t>
            </w:r>
            <w:r w:rsidRPr="00A76818">
              <w:rPr>
                <w:sz w:val="18"/>
                <w:szCs w:val="18"/>
              </w:rPr>
              <w:t>mean</w:t>
            </w:r>
            <w:r w:rsidRPr="00A76818">
              <w:rPr>
                <w:spacing w:val="-3"/>
                <w:sz w:val="18"/>
                <w:szCs w:val="18"/>
              </w:rPr>
              <w:t xml:space="preserve"> </w:t>
            </w:r>
            <w:r w:rsidRPr="00A76818">
              <w:rPr>
                <w:sz w:val="18"/>
                <w:szCs w:val="18"/>
              </w:rPr>
              <w:t>(SD)</w:t>
            </w:r>
          </w:p>
        </w:tc>
        <w:tc>
          <w:tcPr>
            <w:tcW w:w="696" w:type="pct"/>
            <w:tcBorders>
              <w:top w:val="dashSmallGap" w:sz="4" w:space="0" w:color="D8D8D8"/>
              <w:bottom w:val="dashSmallGap" w:sz="6" w:space="0" w:color="D8D8D8"/>
            </w:tcBorders>
            <w:shd w:val="clear" w:color="auto" w:fill="ECECEC"/>
            <w:vAlign w:val="center"/>
          </w:tcPr>
          <w:p w14:paraId="6DC33BF1" w14:textId="075D5A67" w:rsidR="006407DD" w:rsidRPr="00CB5289" w:rsidRDefault="00CB5289" w:rsidP="006407DD">
            <w:pPr>
              <w:pStyle w:val="TableParagraph"/>
              <w:spacing w:line="240" w:lineRule="auto"/>
              <w:rPr>
                <w:sz w:val="18"/>
                <w:szCs w:val="18"/>
              </w:rPr>
            </w:pPr>
            <w:r w:rsidRPr="00CB5289">
              <w:rPr>
                <w:sz w:val="18"/>
                <w:szCs w:val="18"/>
              </w:rPr>
              <w:t>1.55 (0.20)</w:t>
            </w:r>
          </w:p>
        </w:tc>
        <w:tc>
          <w:tcPr>
            <w:tcW w:w="696" w:type="pct"/>
            <w:tcBorders>
              <w:top w:val="dashSmallGap" w:sz="4" w:space="0" w:color="D8D8D8"/>
              <w:bottom w:val="dashSmallGap" w:sz="6" w:space="0" w:color="D8D8D8"/>
            </w:tcBorders>
            <w:shd w:val="clear" w:color="auto" w:fill="ECECEC"/>
            <w:vAlign w:val="center"/>
          </w:tcPr>
          <w:p w14:paraId="75DF7E10" w14:textId="1C2EB7BB" w:rsidR="006407DD" w:rsidRPr="00CB5289" w:rsidRDefault="00CB5289" w:rsidP="006407DD">
            <w:pPr>
              <w:pStyle w:val="TableParagraph"/>
              <w:spacing w:line="240" w:lineRule="auto"/>
              <w:rPr>
                <w:sz w:val="18"/>
                <w:szCs w:val="18"/>
              </w:rPr>
            </w:pPr>
            <w:r>
              <w:rPr>
                <w:sz w:val="18"/>
                <w:szCs w:val="18"/>
              </w:rPr>
              <w:t>1.69 (0.25)</w:t>
            </w:r>
          </w:p>
        </w:tc>
        <w:tc>
          <w:tcPr>
            <w:tcW w:w="696" w:type="pct"/>
            <w:tcBorders>
              <w:top w:val="dashSmallGap" w:sz="4" w:space="0" w:color="D8D8D8"/>
              <w:bottom w:val="dashSmallGap" w:sz="6" w:space="0" w:color="D8D8D8"/>
            </w:tcBorders>
            <w:shd w:val="clear" w:color="auto" w:fill="ECECEC"/>
            <w:vAlign w:val="center"/>
          </w:tcPr>
          <w:p w14:paraId="19F43336" w14:textId="0F3A5930" w:rsidR="006407DD" w:rsidRPr="00CB5289" w:rsidRDefault="00CB5289" w:rsidP="006407DD">
            <w:pPr>
              <w:pStyle w:val="TableParagraph"/>
              <w:spacing w:line="240" w:lineRule="auto"/>
              <w:rPr>
                <w:sz w:val="18"/>
                <w:szCs w:val="18"/>
              </w:rPr>
            </w:pPr>
            <w:r>
              <w:rPr>
                <w:sz w:val="18"/>
                <w:szCs w:val="18"/>
              </w:rPr>
              <w:t>1.11 (0.18)</w:t>
            </w:r>
          </w:p>
        </w:tc>
        <w:tc>
          <w:tcPr>
            <w:tcW w:w="696" w:type="pct"/>
            <w:tcBorders>
              <w:top w:val="dashSmallGap" w:sz="4" w:space="0" w:color="D8D8D8"/>
              <w:bottom w:val="dashSmallGap" w:sz="6" w:space="0" w:color="D8D8D8"/>
            </w:tcBorders>
            <w:shd w:val="clear" w:color="auto" w:fill="ECECEC"/>
            <w:vAlign w:val="center"/>
          </w:tcPr>
          <w:p w14:paraId="485D5AC9" w14:textId="4F612A19" w:rsidR="006407DD" w:rsidRPr="00CB5289" w:rsidRDefault="00CB5289" w:rsidP="006407DD">
            <w:pPr>
              <w:pStyle w:val="TableParagraph"/>
              <w:spacing w:line="240" w:lineRule="auto"/>
              <w:rPr>
                <w:sz w:val="18"/>
                <w:szCs w:val="18"/>
              </w:rPr>
            </w:pPr>
            <w:r>
              <w:rPr>
                <w:sz w:val="18"/>
                <w:szCs w:val="18"/>
              </w:rPr>
              <w:t>1.08 (0.50)</w:t>
            </w:r>
          </w:p>
        </w:tc>
        <w:tc>
          <w:tcPr>
            <w:tcW w:w="696" w:type="pct"/>
            <w:tcBorders>
              <w:top w:val="dashSmallGap" w:sz="4" w:space="0" w:color="D8D8D8"/>
              <w:bottom w:val="dashSmallGap" w:sz="6" w:space="0" w:color="D8D8D8"/>
            </w:tcBorders>
            <w:shd w:val="clear" w:color="auto" w:fill="ECECEC"/>
            <w:vAlign w:val="center"/>
          </w:tcPr>
          <w:p w14:paraId="4070A564" w14:textId="77777777" w:rsidR="006407DD" w:rsidRPr="00CB5289" w:rsidRDefault="006407DD" w:rsidP="006407DD">
            <w:pPr>
              <w:pStyle w:val="TableParagraph"/>
              <w:spacing w:line="240" w:lineRule="auto"/>
              <w:rPr>
                <w:sz w:val="18"/>
                <w:szCs w:val="18"/>
              </w:rPr>
            </w:pPr>
            <w:r w:rsidRPr="00CB5289">
              <w:rPr>
                <w:sz w:val="18"/>
                <w:szCs w:val="18"/>
              </w:rPr>
              <w:t>1</w:t>
            </w:r>
          </w:p>
        </w:tc>
      </w:tr>
      <w:tr w:rsidR="006407DD" w:rsidRPr="00CA20E0" w14:paraId="23AF28EA" w14:textId="77777777" w:rsidTr="00BB21F9">
        <w:trPr>
          <w:gridAfter w:val="1"/>
          <w:wAfter w:w="12" w:type="pct"/>
          <w:trHeight w:val="282"/>
        </w:trPr>
        <w:tc>
          <w:tcPr>
            <w:tcW w:w="1509" w:type="pct"/>
            <w:tcBorders>
              <w:top w:val="dashSmallGap" w:sz="6" w:space="0" w:color="D8D8D8"/>
              <w:bottom w:val="dashSmallGap" w:sz="4" w:space="0" w:color="D8D8D8"/>
            </w:tcBorders>
            <w:shd w:val="clear" w:color="auto" w:fill="ECECEC"/>
          </w:tcPr>
          <w:p w14:paraId="707EED96" w14:textId="77777777" w:rsidR="006407DD" w:rsidRPr="00A76818" w:rsidRDefault="006407DD" w:rsidP="006407DD">
            <w:pPr>
              <w:pStyle w:val="TableParagraph"/>
              <w:spacing w:line="240" w:lineRule="auto"/>
              <w:jc w:val="left"/>
              <w:rPr>
                <w:sz w:val="18"/>
                <w:szCs w:val="18"/>
              </w:rPr>
            </w:pPr>
            <w:r w:rsidRPr="00A76818">
              <w:rPr>
                <w:sz w:val="18"/>
                <w:szCs w:val="18"/>
              </w:rPr>
              <w:t>-</w:t>
            </w:r>
            <w:r w:rsidRPr="00A76818">
              <w:rPr>
                <w:spacing w:val="-3"/>
                <w:sz w:val="18"/>
                <w:szCs w:val="18"/>
              </w:rPr>
              <w:t xml:space="preserve"> </w:t>
            </w:r>
            <w:r w:rsidRPr="00A76818">
              <w:rPr>
                <w:sz w:val="18"/>
                <w:szCs w:val="18"/>
              </w:rPr>
              <w:t>median</w:t>
            </w:r>
            <w:r w:rsidRPr="00A76818">
              <w:rPr>
                <w:spacing w:val="-2"/>
                <w:sz w:val="18"/>
                <w:szCs w:val="18"/>
              </w:rPr>
              <w:t xml:space="preserve"> </w:t>
            </w:r>
            <w:r w:rsidRPr="00A76818">
              <w:rPr>
                <w:sz w:val="18"/>
                <w:szCs w:val="18"/>
              </w:rPr>
              <w:t>(95%</w:t>
            </w:r>
            <w:r w:rsidRPr="00A76818">
              <w:rPr>
                <w:spacing w:val="-1"/>
                <w:sz w:val="18"/>
                <w:szCs w:val="18"/>
              </w:rPr>
              <w:t xml:space="preserve"> </w:t>
            </w:r>
            <w:r w:rsidRPr="00A76818">
              <w:rPr>
                <w:sz w:val="18"/>
                <w:szCs w:val="18"/>
              </w:rPr>
              <w:t>CrI)</w:t>
            </w:r>
          </w:p>
        </w:tc>
        <w:tc>
          <w:tcPr>
            <w:tcW w:w="696" w:type="pct"/>
            <w:tcBorders>
              <w:top w:val="dashSmallGap" w:sz="6" w:space="0" w:color="D8D8D8"/>
              <w:bottom w:val="dashSmallGap" w:sz="4" w:space="0" w:color="D8D8D8"/>
            </w:tcBorders>
            <w:shd w:val="clear" w:color="auto" w:fill="ECECEC"/>
            <w:vAlign w:val="center"/>
          </w:tcPr>
          <w:p w14:paraId="506D9318" w14:textId="21B8B305" w:rsidR="006407DD" w:rsidRPr="00CB5289" w:rsidRDefault="00CB5289" w:rsidP="006407DD">
            <w:pPr>
              <w:pStyle w:val="TableParagraph"/>
              <w:spacing w:line="240" w:lineRule="auto"/>
              <w:rPr>
                <w:sz w:val="18"/>
                <w:szCs w:val="18"/>
              </w:rPr>
            </w:pPr>
            <w:r>
              <w:rPr>
                <w:sz w:val="18"/>
                <w:szCs w:val="18"/>
              </w:rPr>
              <w:t>1.53 (1.18 to 1.99)</w:t>
            </w:r>
          </w:p>
        </w:tc>
        <w:tc>
          <w:tcPr>
            <w:tcW w:w="696" w:type="pct"/>
            <w:tcBorders>
              <w:top w:val="dashSmallGap" w:sz="6" w:space="0" w:color="D8D8D8"/>
              <w:bottom w:val="dashSmallGap" w:sz="4" w:space="0" w:color="D8D8D8"/>
            </w:tcBorders>
            <w:shd w:val="clear" w:color="auto" w:fill="ECECEC"/>
            <w:vAlign w:val="center"/>
          </w:tcPr>
          <w:p w14:paraId="16B0E673" w14:textId="34D2053D" w:rsidR="006407DD" w:rsidRPr="00CB5289" w:rsidRDefault="00CB5289" w:rsidP="006407DD">
            <w:pPr>
              <w:pStyle w:val="TableParagraph"/>
              <w:spacing w:line="240" w:lineRule="auto"/>
              <w:rPr>
                <w:sz w:val="18"/>
                <w:szCs w:val="18"/>
              </w:rPr>
            </w:pPr>
            <w:r>
              <w:rPr>
                <w:sz w:val="18"/>
                <w:szCs w:val="18"/>
              </w:rPr>
              <w:t>1.68 (1.26 to 2.23)</w:t>
            </w:r>
          </w:p>
        </w:tc>
        <w:tc>
          <w:tcPr>
            <w:tcW w:w="696" w:type="pct"/>
            <w:tcBorders>
              <w:top w:val="dashSmallGap" w:sz="6" w:space="0" w:color="D8D8D8"/>
              <w:bottom w:val="dashSmallGap" w:sz="4" w:space="0" w:color="D8D8D8"/>
            </w:tcBorders>
            <w:shd w:val="clear" w:color="auto" w:fill="ECECEC"/>
            <w:vAlign w:val="center"/>
          </w:tcPr>
          <w:p w14:paraId="1B857E61" w14:textId="3B3A81C7" w:rsidR="006407DD" w:rsidRPr="00CB5289" w:rsidRDefault="00CB5289" w:rsidP="006407DD">
            <w:pPr>
              <w:pStyle w:val="TableParagraph"/>
              <w:spacing w:line="240" w:lineRule="auto"/>
              <w:rPr>
                <w:sz w:val="18"/>
                <w:szCs w:val="18"/>
              </w:rPr>
            </w:pPr>
            <w:r>
              <w:rPr>
                <w:sz w:val="18"/>
                <w:szCs w:val="18"/>
              </w:rPr>
              <w:t>1.10 (0.80 to 1.51)</w:t>
            </w:r>
          </w:p>
        </w:tc>
        <w:tc>
          <w:tcPr>
            <w:tcW w:w="696" w:type="pct"/>
            <w:tcBorders>
              <w:top w:val="dashSmallGap" w:sz="6" w:space="0" w:color="D8D8D8"/>
              <w:bottom w:val="dashSmallGap" w:sz="4" w:space="0" w:color="D8D8D8"/>
            </w:tcBorders>
            <w:shd w:val="clear" w:color="auto" w:fill="ECECEC"/>
            <w:vAlign w:val="center"/>
          </w:tcPr>
          <w:p w14:paraId="6B4E1658" w14:textId="754E2543" w:rsidR="006407DD" w:rsidRPr="00CB5289" w:rsidRDefault="00CB5289" w:rsidP="006407DD">
            <w:pPr>
              <w:pStyle w:val="TableParagraph"/>
              <w:spacing w:line="240" w:lineRule="auto"/>
              <w:rPr>
                <w:sz w:val="18"/>
                <w:szCs w:val="18"/>
              </w:rPr>
            </w:pPr>
            <w:r>
              <w:rPr>
                <w:sz w:val="18"/>
                <w:szCs w:val="18"/>
              </w:rPr>
              <w:t>0.99 (0.41 to 2.31)</w:t>
            </w:r>
          </w:p>
        </w:tc>
        <w:tc>
          <w:tcPr>
            <w:tcW w:w="696" w:type="pct"/>
            <w:tcBorders>
              <w:top w:val="dashSmallGap" w:sz="6" w:space="0" w:color="D8D8D8"/>
              <w:bottom w:val="dashSmallGap" w:sz="4" w:space="0" w:color="D8D8D8"/>
            </w:tcBorders>
            <w:shd w:val="clear" w:color="auto" w:fill="ECECEC"/>
            <w:vAlign w:val="center"/>
          </w:tcPr>
          <w:p w14:paraId="2DBC1645" w14:textId="77777777" w:rsidR="006407DD" w:rsidRPr="00CB5289" w:rsidRDefault="006407DD" w:rsidP="006407DD">
            <w:pPr>
              <w:pStyle w:val="TableParagraph"/>
              <w:spacing w:line="240" w:lineRule="auto"/>
              <w:rPr>
                <w:sz w:val="18"/>
                <w:szCs w:val="18"/>
              </w:rPr>
            </w:pPr>
            <w:r w:rsidRPr="00CB5289">
              <w:rPr>
                <w:sz w:val="18"/>
                <w:szCs w:val="18"/>
              </w:rPr>
              <w:t>1</w:t>
            </w:r>
          </w:p>
        </w:tc>
      </w:tr>
      <w:tr w:rsidR="006407DD" w:rsidRPr="00CA20E0" w14:paraId="7DE29496" w14:textId="77777777" w:rsidTr="00BB21F9">
        <w:trPr>
          <w:gridAfter w:val="1"/>
          <w:wAfter w:w="12" w:type="pct"/>
          <w:trHeight w:val="285"/>
        </w:trPr>
        <w:tc>
          <w:tcPr>
            <w:tcW w:w="1509" w:type="pct"/>
            <w:tcBorders>
              <w:top w:val="dashSmallGap" w:sz="4" w:space="0" w:color="D8D8D8"/>
              <w:bottom w:val="dashSmallGap" w:sz="4" w:space="0" w:color="D8D8D8"/>
            </w:tcBorders>
            <w:shd w:val="clear" w:color="auto" w:fill="ECECEC"/>
          </w:tcPr>
          <w:p w14:paraId="11C1564D" w14:textId="77777777" w:rsidR="006407DD" w:rsidRPr="00A76818" w:rsidRDefault="006407DD" w:rsidP="006407DD">
            <w:pPr>
              <w:pStyle w:val="TableParagraph"/>
              <w:spacing w:line="240" w:lineRule="auto"/>
              <w:jc w:val="left"/>
              <w:rPr>
                <w:sz w:val="18"/>
                <w:szCs w:val="18"/>
              </w:rPr>
            </w:pPr>
            <w:r w:rsidRPr="00A76818">
              <w:rPr>
                <w:sz w:val="18"/>
                <w:szCs w:val="18"/>
              </w:rPr>
              <w:t>Probability</w:t>
            </w:r>
            <w:r w:rsidRPr="00A76818">
              <w:rPr>
                <w:spacing w:val="-6"/>
                <w:sz w:val="18"/>
                <w:szCs w:val="18"/>
              </w:rPr>
              <w:t xml:space="preserve"> </w:t>
            </w:r>
            <w:r w:rsidRPr="00A76818">
              <w:rPr>
                <w:sz w:val="18"/>
                <w:szCs w:val="18"/>
              </w:rPr>
              <w:t>of</w:t>
            </w:r>
            <w:r w:rsidRPr="00A76818">
              <w:rPr>
                <w:spacing w:val="-3"/>
                <w:sz w:val="18"/>
                <w:szCs w:val="18"/>
              </w:rPr>
              <w:t xml:space="preserve"> </w:t>
            </w:r>
            <w:r w:rsidRPr="00A76818">
              <w:rPr>
                <w:sz w:val="18"/>
                <w:szCs w:val="18"/>
              </w:rPr>
              <w:t>superiority</w:t>
            </w:r>
            <w:r w:rsidRPr="00A76818">
              <w:rPr>
                <w:spacing w:val="-5"/>
                <w:sz w:val="18"/>
                <w:szCs w:val="18"/>
              </w:rPr>
              <w:t xml:space="preserve"> </w:t>
            </w:r>
            <w:r w:rsidRPr="00A76818">
              <w:rPr>
                <w:sz w:val="18"/>
                <w:szCs w:val="18"/>
              </w:rPr>
              <w:t>to</w:t>
            </w:r>
            <w:r w:rsidRPr="00A76818">
              <w:rPr>
                <w:spacing w:val="-4"/>
                <w:sz w:val="18"/>
                <w:szCs w:val="18"/>
              </w:rPr>
              <w:t xml:space="preserve"> </w:t>
            </w:r>
            <w:r w:rsidRPr="00A76818">
              <w:rPr>
                <w:sz w:val="18"/>
                <w:szCs w:val="18"/>
              </w:rPr>
              <w:t>control,</w:t>
            </w:r>
            <w:r w:rsidRPr="00A76818">
              <w:rPr>
                <w:spacing w:val="-3"/>
                <w:sz w:val="18"/>
                <w:szCs w:val="18"/>
              </w:rPr>
              <w:t xml:space="preserve"> </w:t>
            </w:r>
            <w:r w:rsidRPr="00A76818">
              <w:rPr>
                <w:sz w:val="18"/>
                <w:szCs w:val="18"/>
              </w:rPr>
              <w:t>%</w:t>
            </w:r>
          </w:p>
        </w:tc>
        <w:tc>
          <w:tcPr>
            <w:tcW w:w="696" w:type="pct"/>
            <w:tcBorders>
              <w:top w:val="dashSmallGap" w:sz="4" w:space="0" w:color="D8D8D8"/>
              <w:bottom w:val="dashSmallGap" w:sz="4" w:space="0" w:color="D8D8D8"/>
            </w:tcBorders>
            <w:shd w:val="clear" w:color="auto" w:fill="ECECEC"/>
            <w:vAlign w:val="center"/>
          </w:tcPr>
          <w:p w14:paraId="411891C7" w14:textId="24A416B3" w:rsidR="006407DD" w:rsidRPr="00CB5289" w:rsidRDefault="00CB5289" w:rsidP="006407DD">
            <w:pPr>
              <w:pStyle w:val="TableParagraph"/>
              <w:spacing w:line="240" w:lineRule="auto"/>
              <w:rPr>
                <w:sz w:val="18"/>
                <w:szCs w:val="18"/>
              </w:rPr>
            </w:pPr>
            <w:r>
              <w:rPr>
                <w:sz w:val="18"/>
                <w:szCs w:val="18"/>
              </w:rPr>
              <w:t>99.9</w:t>
            </w:r>
          </w:p>
        </w:tc>
        <w:tc>
          <w:tcPr>
            <w:tcW w:w="696" w:type="pct"/>
            <w:tcBorders>
              <w:top w:val="dashSmallGap" w:sz="4" w:space="0" w:color="D8D8D8"/>
              <w:bottom w:val="dashSmallGap" w:sz="4" w:space="0" w:color="D8D8D8"/>
            </w:tcBorders>
            <w:shd w:val="clear" w:color="auto" w:fill="ECECEC"/>
            <w:vAlign w:val="center"/>
          </w:tcPr>
          <w:p w14:paraId="669D55E8" w14:textId="7F27A1FD" w:rsidR="006407DD" w:rsidRPr="00CB5289" w:rsidRDefault="00CB5289" w:rsidP="006407DD">
            <w:pPr>
              <w:pStyle w:val="TableParagraph"/>
              <w:spacing w:line="240" w:lineRule="auto"/>
              <w:rPr>
                <w:sz w:val="18"/>
                <w:szCs w:val="18"/>
              </w:rPr>
            </w:pPr>
            <w:r>
              <w:rPr>
                <w:sz w:val="18"/>
                <w:szCs w:val="18"/>
              </w:rPr>
              <w:t>&gt;99.9</w:t>
            </w:r>
          </w:p>
        </w:tc>
        <w:tc>
          <w:tcPr>
            <w:tcW w:w="696" w:type="pct"/>
            <w:tcBorders>
              <w:top w:val="dashSmallGap" w:sz="4" w:space="0" w:color="D8D8D8"/>
              <w:bottom w:val="dashSmallGap" w:sz="4" w:space="0" w:color="D8D8D8"/>
            </w:tcBorders>
            <w:shd w:val="clear" w:color="auto" w:fill="ECECEC"/>
            <w:vAlign w:val="center"/>
          </w:tcPr>
          <w:p w14:paraId="3CF5A496" w14:textId="486EE359" w:rsidR="006407DD" w:rsidRPr="00CB5289" w:rsidRDefault="00CB5289" w:rsidP="006407DD">
            <w:pPr>
              <w:pStyle w:val="TableParagraph"/>
              <w:spacing w:line="240" w:lineRule="auto"/>
              <w:rPr>
                <w:sz w:val="18"/>
                <w:szCs w:val="18"/>
              </w:rPr>
            </w:pPr>
            <w:r>
              <w:rPr>
                <w:sz w:val="18"/>
                <w:szCs w:val="18"/>
              </w:rPr>
              <w:t>72.1</w:t>
            </w:r>
          </w:p>
        </w:tc>
        <w:tc>
          <w:tcPr>
            <w:tcW w:w="696" w:type="pct"/>
            <w:tcBorders>
              <w:top w:val="dashSmallGap" w:sz="4" w:space="0" w:color="D8D8D8"/>
              <w:bottom w:val="dashSmallGap" w:sz="4" w:space="0" w:color="D8D8D8"/>
            </w:tcBorders>
            <w:shd w:val="clear" w:color="auto" w:fill="ECECEC"/>
            <w:vAlign w:val="center"/>
          </w:tcPr>
          <w:p w14:paraId="36B7D946" w14:textId="32BC6CE2" w:rsidR="006407DD" w:rsidRPr="00CB5289" w:rsidRDefault="00CB5289" w:rsidP="006407DD">
            <w:pPr>
              <w:pStyle w:val="TableParagraph"/>
              <w:spacing w:line="240" w:lineRule="auto"/>
              <w:rPr>
                <w:sz w:val="18"/>
                <w:szCs w:val="18"/>
              </w:rPr>
            </w:pPr>
            <w:r>
              <w:rPr>
                <w:sz w:val="18"/>
                <w:szCs w:val="18"/>
              </w:rPr>
              <w:t>49.3</w:t>
            </w:r>
          </w:p>
        </w:tc>
        <w:tc>
          <w:tcPr>
            <w:tcW w:w="696" w:type="pct"/>
            <w:tcBorders>
              <w:top w:val="dashSmallGap" w:sz="4" w:space="0" w:color="D8D8D8"/>
              <w:bottom w:val="dashSmallGap" w:sz="4" w:space="0" w:color="D8D8D8"/>
            </w:tcBorders>
            <w:shd w:val="clear" w:color="auto" w:fill="ECECEC"/>
            <w:vAlign w:val="center"/>
          </w:tcPr>
          <w:p w14:paraId="4617108C" w14:textId="77777777" w:rsidR="006407DD" w:rsidRPr="00CB5289" w:rsidRDefault="006407DD" w:rsidP="006407DD">
            <w:pPr>
              <w:pStyle w:val="TableParagraph"/>
              <w:spacing w:line="240" w:lineRule="auto"/>
              <w:rPr>
                <w:sz w:val="18"/>
                <w:szCs w:val="18"/>
              </w:rPr>
            </w:pPr>
            <w:r w:rsidRPr="00CB5289">
              <w:rPr>
                <w:sz w:val="18"/>
                <w:szCs w:val="18"/>
              </w:rPr>
              <w:t>-</w:t>
            </w:r>
          </w:p>
        </w:tc>
      </w:tr>
      <w:tr w:rsidR="006407DD" w:rsidRPr="00A76818" w14:paraId="43CA1600" w14:textId="77777777" w:rsidTr="00BB21F9">
        <w:trPr>
          <w:gridAfter w:val="1"/>
          <w:wAfter w:w="12" w:type="pct"/>
          <w:trHeight w:val="602"/>
        </w:trPr>
        <w:tc>
          <w:tcPr>
            <w:tcW w:w="4988" w:type="pct"/>
            <w:gridSpan w:val="6"/>
            <w:tcBorders>
              <w:top w:val="single" w:sz="4" w:space="0" w:color="000000"/>
              <w:bottom w:val="dashSmallGap" w:sz="4" w:space="0" w:color="D8D8D8"/>
            </w:tcBorders>
            <w:shd w:val="clear" w:color="auto" w:fill="ECECEC"/>
          </w:tcPr>
          <w:p w14:paraId="786B3480" w14:textId="2E7273C4" w:rsidR="006407DD" w:rsidRPr="00CB5289" w:rsidRDefault="006407DD" w:rsidP="006407DD">
            <w:pPr>
              <w:pStyle w:val="TableParagraph"/>
              <w:spacing w:line="240" w:lineRule="auto"/>
              <w:ind w:right="5126"/>
              <w:jc w:val="left"/>
              <w:rPr>
                <w:b/>
                <w:sz w:val="18"/>
                <w:szCs w:val="18"/>
              </w:rPr>
            </w:pPr>
            <w:r w:rsidRPr="00CB5289">
              <w:rPr>
                <w:b/>
                <w:sz w:val="18"/>
                <w:szCs w:val="18"/>
              </w:rPr>
              <w:lastRenderedPageBreak/>
              <w:t>Secondary</w:t>
            </w:r>
            <w:r w:rsidRPr="00CB5289">
              <w:rPr>
                <w:b/>
                <w:spacing w:val="-6"/>
                <w:sz w:val="18"/>
                <w:szCs w:val="18"/>
              </w:rPr>
              <w:t xml:space="preserve"> </w:t>
            </w:r>
            <w:r w:rsidRPr="00CB5289">
              <w:rPr>
                <w:b/>
                <w:sz w:val="18"/>
                <w:szCs w:val="18"/>
              </w:rPr>
              <w:t>Analysis</w:t>
            </w:r>
            <w:r w:rsidRPr="00CB5289">
              <w:rPr>
                <w:b/>
                <w:spacing w:val="-3"/>
                <w:sz w:val="18"/>
                <w:szCs w:val="18"/>
              </w:rPr>
              <w:t xml:space="preserve"> </w:t>
            </w:r>
            <w:r w:rsidRPr="00CB5289">
              <w:rPr>
                <w:b/>
                <w:sz w:val="18"/>
                <w:szCs w:val="18"/>
              </w:rPr>
              <w:t>of</w:t>
            </w:r>
            <w:r w:rsidRPr="00CB5289">
              <w:rPr>
                <w:b/>
                <w:spacing w:val="-6"/>
                <w:sz w:val="18"/>
                <w:szCs w:val="18"/>
              </w:rPr>
              <w:t xml:space="preserve"> </w:t>
            </w:r>
            <w:r w:rsidRPr="00CB5289">
              <w:rPr>
                <w:b/>
                <w:sz w:val="18"/>
                <w:szCs w:val="18"/>
              </w:rPr>
              <w:t>Hospital Survival</w:t>
            </w:r>
            <w:r w:rsidRPr="00CB5289">
              <w:rPr>
                <w:sz w:val="18"/>
                <w:szCs w:val="18"/>
              </w:rPr>
              <w:t>,</w:t>
            </w:r>
            <w:r w:rsidRPr="00CB5289">
              <w:rPr>
                <w:spacing w:val="-6"/>
                <w:sz w:val="18"/>
                <w:szCs w:val="18"/>
              </w:rPr>
              <w:t xml:space="preserve"> </w:t>
            </w:r>
            <w:r w:rsidRPr="00CB5289">
              <w:rPr>
                <w:sz w:val="18"/>
                <w:szCs w:val="18"/>
              </w:rPr>
              <w:t>for Unblinded ITT population restricted to non-negative COVID-19</w:t>
            </w:r>
          </w:p>
        </w:tc>
      </w:tr>
      <w:tr w:rsidR="006407DD" w:rsidRPr="00CA20E0" w14:paraId="55129AD0" w14:textId="77777777" w:rsidTr="00BB21F9">
        <w:trPr>
          <w:gridAfter w:val="1"/>
          <w:wAfter w:w="12" w:type="pct"/>
          <w:trHeight w:val="285"/>
        </w:trPr>
        <w:tc>
          <w:tcPr>
            <w:tcW w:w="1509" w:type="pct"/>
            <w:tcBorders>
              <w:top w:val="dashSmallGap" w:sz="4" w:space="0" w:color="D8D8D8"/>
              <w:bottom w:val="dashSmallGap" w:sz="4" w:space="0" w:color="D8D8D8"/>
            </w:tcBorders>
            <w:shd w:val="clear" w:color="auto" w:fill="ECECEC"/>
          </w:tcPr>
          <w:p w14:paraId="3ABACF73" w14:textId="77777777" w:rsidR="006407DD" w:rsidRPr="00A76818" w:rsidRDefault="006407DD" w:rsidP="006407DD">
            <w:pPr>
              <w:pStyle w:val="TableParagraph"/>
              <w:spacing w:line="240" w:lineRule="auto"/>
              <w:jc w:val="left"/>
              <w:rPr>
                <w:sz w:val="18"/>
                <w:szCs w:val="18"/>
              </w:rPr>
            </w:pPr>
            <w:r w:rsidRPr="00A76818">
              <w:rPr>
                <w:sz w:val="18"/>
                <w:szCs w:val="18"/>
              </w:rPr>
              <w:t>Adjusted</w:t>
            </w:r>
            <w:r w:rsidRPr="00A76818">
              <w:rPr>
                <w:spacing w:val="-3"/>
                <w:sz w:val="18"/>
                <w:szCs w:val="18"/>
              </w:rPr>
              <w:t xml:space="preserve"> </w:t>
            </w:r>
            <w:r w:rsidRPr="00A76818">
              <w:rPr>
                <w:sz w:val="18"/>
                <w:szCs w:val="18"/>
              </w:rPr>
              <w:t>OR</w:t>
            </w:r>
            <w:r w:rsidRPr="00A76818">
              <w:rPr>
                <w:spacing w:val="2"/>
                <w:sz w:val="18"/>
                <w:szCs w:val="18"/>
              </w:rPr>
              <w:t xml:space="preserve"> </w:t>
            </w:r>
            <w:r w:rsidRPr="00A76818">
              <w:rPr>
                <w:sz w:val="18"/>
                <w:szCs w:val="18"/>
              </w:rPr>
              <w:t>-</w:t>
            </w:r>
            <w:r w:rsidRPr="00A76818">
              <w:rPr>
                <w:spacing w:val="-2"/>
                <w:sz w:val="18"/>
                <w:szCs w:val="18"/>
              </w:rPr>
              <w:t xml:space="preserve"> </w:t>
            </w:r>
            <w:r w:rsidRPr="00A76818">
              <w:rPr>
                <w:sz w:val="18"/>
                <w:szCs w:val="18"/>
              </w:rPr>
              <w:t>mean</w:t>
            </w:r>
            <w:r w:rsidRPr="00A76818">
              <w:rPr>
                <w:spacing w:val="-3"/>
                <w:sz w:val="18"/>
                <w:szCs w:val="18"/>
              </w:rPr>
              <w:t xml:space="preserve"> </w:t>
            </w:r>
            <w:r w:rsidRPr="00A76818">
              <w:rPr>
                <w:sz w:val="18"/>
                <w:szCs w:val="18"/>
              </w:rPr>
              <w:t>(SD)</w:t>
            </w:r>
          </w:p>
        </w:tc>
        <w:tc>
          <w:tcPr>
            <w:tcW w:w="696" w:type="pct"/>
            <w:tcBorders>
              <w:top w:val="dashSmallGap" w:sz="4" w:space="0" w:color="D8D8D8"/>
              <w:bottom w:val="dashSmallGap" w:sz="4" w:space="0" w:color="D8D8D8"/>
            </w:tcBorders>
            <w:shd w:val="clear" w:color="auto" w:fill="ECECEC"/>
            <w:vAlign w:val="center"/>
          </w:tcPr>
          <w:p w14:paraId="2BB53343" w14:textId="4957B094" w:rsidR="006407DD" w:rsidRPr="00CC2AB5" w:rsidRDefault="00CC2AB5" w:rsidP="006407DD">
            <w:pPr>
              <w:pStyle w:val="TableParagraph"/>
              <w:spacing w:line="240" w:lineRule="auto"/>
              <w:rPr>
                <w:sz w:val="18"/>
                <w:szCs w:val="18"/>
              </w:rPr>
            </w:pPr>
            <w:r w:rsidRPr="00CC2AB5">
              <w:rPr>
                <w:sz w:val="18"/>
                <w:szCs w:val="18"/>
              </w:rPr>
              <w:t>1.48 (0.24)</w:t>
            </w:r>
          </w:p>
        </w:tc>
        <w:tc>
          <w:tcPr>
            <w:tcW w:w="696" w:type="pct"/>
            <w:tcBorders>
              <w:top w:val="dashSmallGap" w:sz="4" w:space="0" w:color="D8D8D8"/>
              <w:bottom w:val="dashSmallGap" w:sz="4" w:space="0" w:color="D8D8D8"/>
            </w:tcBorders>
            <w:shd w:val="clear" w:color="auto" w:fill="ECECEC"/>
            <w:vAlign w:val="center"/>
          </w:tcPr>
          <w:p w14:paraId="617C6BED" w14:textId="41AED5FA" w:rsidR="006407DD" w:rsidRPr="00CC2AB5" w:rsidRDefault="00CC2AB5" w:rsidP="006407DD">
            <w:pPr>
              <w:pStyle w:val="TableParagraph"/>
              <w:spacing w:line="240" w:lineRule="auto"/>
              <w:rPr>
                <w:sz w:val="18"/>
                <w:szCs w:val="18"/>
              </w:rPr>
            </w:pPr>
            <w:r w:rsidRPr="00CC2AB5">
              <w:rPr>
                <w:sz w:val="18"/>
                <w:szCs w:val="18"/>
              </w:rPr>
              <w:t>1.68 (0.31)</w:t>
            </w:r>
          </w:p>
        </w:tc>
        <w:tc>
          <w:tcPr>
            <w:tcW w:w="696" w:type="pct"/>
            <w:tcBorders>
              <w:top w:val="dashSmallGap" w:sz="4" w:space="0" w:color="D8D8D8"/>
              <w:bottom w:val="dashSmallGap" w:sz="4" w:space="0" w:color="D8D8D8"/>
            </w:tcBorders>
            <w:shd w:val="clear" w:color="auto" w:fill="ECECEC"/>
            <w:vAlign w:val="center"/>
          </w:tcPr>
          <w:p w14:paraId="7D455416" w14:textId="69CF033B" w:rsidR="006407DD" w:rsidRPr="00CC2AB5" w:rsidRDefault="00CC2AB5" w:rsidP="00CB5289">
            <w:pPr>
              <w:pStyle w:val="TableParagraph"/>
              <w:spacing w:line="240" w:lineRule="auto"/>
              <w:jc w:val="left"/>
              <w:rPr>
                <w:sz w:val="18"/>
                <w:szCs w:val="18"/>
              </w:rPr>
            </w:pPr>
            <w:r w:rsidRPr="00CC2AB5">
              <w:rPr>
                <w:sz w:val="18"/>
                <w:szCs w:val="18"/>
              </w:rPr>
              <w:t>1.06 (0.21)</w:t>
            </w:r>
          </w:p>
        </w:tc>
        <w:tc>
          <w:tcPr>
            <w:tcW w:w="696" w:type="pct"/>
            <w:tcBorders>
              <w:top w:val="dashSmallGap" w:sz="4" w:space="0" w:color="D8D8D8"/>
              <w:bottom w:val="dashSmallGap" w:sz="4" w:space="0" w:color="D8D8D8"/>
            </w:tcBorders>
            <w:shd w:val="clear" w:color="auto" w:fill="ECECEC"/>
            <w:vAlign w:val="center"/>
          </w:tcPr>
          <w:p w14:paraId="67B7CCE5" w14:textId="3299F0C4" w:rsidR="006407DD" w:rsidRPr="00CC2AB5" w:rsidRDefault="00CC2AB5" w:rsidP="006407DD">
            <w:pPr>
              <w:pStyle w:val="TableParagraph"/>
              <w:spacing w:line="240" w:lineRule="auto"/>
              <w:rPr>
                <w:sz w:val="18"/>
                <w:szCs w:val="18"/>
              </w:rPr>
            </w:pPr>
            <w:r w:rsidRPr="00CC2AB5">
              <w:rPr>
                <w:sz w:val="18"/>
                <w:szCs w:val="18"/>
              </w:rPr>
              <w:t>1.04 (0.58)</w:t>
            </w:r>
          </w:p>
        </w:tc>
        <w:tc>
          <w:tcPr>
            <w:tcW w:w="696" w:type="pct"/>
            <w:tcBorders>
              <w:top w:val="dashSmallGap" w:sz="4" w:space="0" w:color="D8D8D8"/>
              <w:bottom w:val="dashSmallGap" w:sz="4" w:space="0" w:color="D8D8D8"/>
            </w:tcBorders>
            <w:shd w:val="clear" w:color="auto" w:fill="ECECEC"/>
            <w:vAlign w:val="center"/>
          </w:tcPr>
          <w:p w14:paraId="113C659B" w14:textId="77777777" w:rsidR="006407DD" w:rsidRPr="00CB5289" w:rsidRDefault="006407DD" w:rsidP="006407DD">
            <w:pPr>
              <w:pStyle w:val="TableParagraph"/>
              <w:spacing w:line="240" w:lineRule="auto"/>
              <w:rPr>
                <w:sz w:val="18"/>
                <w:szCs w:val="18"/>
              </w:rPr>
            </w:pPr>
            <w:r w:rsidRPr="00CB5289">
              <w:rPr>
                <w:sz w:val="18"/>
                <w:szCs w:val="18"/>
              </w:rPr>
              <w:t>1</w:t>
            </w:r>
          </w:p>
        </w:tc>
      </w:tr>
      <w:tr w:rsidR="006407DD" w:rsidRPr="00CA20E0" w14:paraId="2204BE2D" w14:textId="77777777" w:rsidTr="00BB21F9">
        <w:trPr>
          <w:gridAfter w:val="1"/>
          <w:wAfter w:w="12" w:type="pct"/>
          <w:trHeight w:val="285"/>
        </w:trPr>
        <w:tc>
          <w:tcPr>
            <w:tcW w:w="1509" w:type="pct"/>
            <w:tcBorders>
              <w:top w:val="dashSmallGap" w:sz="4" w:space="0" w:color="D8D8D8"/>
              <w:bottom w:val="dashSmallGap" w:sz="4" w:space="0" w:color="D8D8D8"/>
            </w:tcBorders>
            <w:shd w:val="clear" w:color="auto" w:fill="ECECEC"/>
          </w:tcPr>
          <w:p w14:paraId="45C9FD8C" w14:textId="77777777" w:rsidR="006407DD" w:rsidRPr="00A76818" w:rsidRDefault="006407DD" w:rsidP="006407DD">
            <w:pPr>
              <w:pStyle w:val="TableParagraph"/>
              <w:spacing w:line="240" w:lineRule="auto"/>
              <w:jc w:val="left"/>
              <w:rPr>
                <w:sz w:val="18"/>
                <w:szCs w:val="18"/>
              </w:rPr>
            </w:pPr>
            <w:r w:rsidRPr="00A76818">
              <w:rPr>
                <w:sz w:val="18"/>
                <w:szCs w:val="18"/>
              </w:rPr>
              <w:t>-</w:t>
            </w:r>
            <w:r w:rsidRPr="00A76818">
              <w:rPr>
                <w:spacing w:val="-3"/>
                <w:sz w:val="18"/>
                <w:szCs w:val="18"/>
              </w:rPr>
              <w:t xml:space="preserve"> </w:t>
            </w:r>
            <w:r w:rsidRPr="00A76818">
              <w:rPr>
                <w:sz w:val="18"/>
                <w:szCs w:val="18"/>
              </w:rPr>
              <w:t>median</w:t>
            </w:r>
            <w:r w:rsidRPr="00A76818">
              <w:rPr>
                <w:spacing w:val="-2"/>
                <w:sz w:val="18"/>
                <w:szCs w:val="18"/>
              </w:rPr>
              <w:t xml:space="preserve"> </w:t>
            </w:r>
            <w:r w:rsidRPr="00A76818">
              <w:rPr>
                <w:sz w:val="18"/>
                <w:szCs w:val="18"/>
              </w:rPr>
              <w:t>(95%</w:t>
            </w:r>
            <w:r w:rsidRPr="00A76818">
              <w:rPr>
                <w:spacing w:val="-1"/>
                <w:sz w:val="18"/>
                <w:szCs w:val="18"/>
              </w:rPr>
              <w:t xml:space="preserve"> </w:t>
            </w:r>
            <w:r w:rsidRPr="00A76818">
              <w:rPr>
                <w:sz w:val="18"/>
                <w:szCs w:val="18"/>
              </w:rPr>
              <w:t>CrI)</w:t>
            </w:r>
          </w:p>
        </w:tc>
        <w:tc>
          <w:tcPr>
            <w:tcW w:w="696" w:type="pct"/>
            <w:tcBorders>
              <w:top w:val="dashSmallGap" w:sz="4" w:space="0" w:color="D8D8D8"/>
              <w:bottom w:val="dashSmallGap" w:sz="4" w:space="0" w:color="D8D8D8"/>
            </w:tcBorders>
            <w:shd w:val="clear" w:color="auto" w:fill="ECECEC"/>
            <w:vAlign w:val="center"/>
          </w:tcPr>
          <w:p w14:paraId="7110B17B" w14:textId="2C97FE4E" w:rsidR="006407DD" w:rsidRPr="00CC2AB5" w:rsidRDefault="00CC2AB5" w:rsidP="006407DD">
            <w:pPr>
              <w:pStyle w:val="TableParagraph"/>
              <w:spacing w:line="240" w:lineRule="auto"/>
              <w:rPr>
                <w:sz w:val="18"/>
                <w:szCs w:val="18"/>
              </w:rPr>
            </w:pPr>
            <w:r w:rsidRPr="00CC2AB5">
              <w:rPr>
                <w:sz w:val="18"/>
                <w:szCs w:val="18"/>
              </w:rPr>
              <w:t>1.46 (1.06 to 2.00)</w:t>
            </w:r>
          </w:p>
        </w:tc>
        <w:tc>
          <w:tcPr>
            <w:tcW w:w="696" w:type="pct"/>
            <w:tcBorders>
              <w:top w:val="dashSmallGap" w:sz="4" w:space="0" w:color="D8D8D8"/>
              <w:bottom w:val="dashSmallGap" w:sz="4" w:space="0" w:color="D8D8D8"/>
            </w:tcBorders>
            <w:shd w:val="clear" w:color="auto" w:fill="ECECEC"/>
            <w:vAlign w:val="center"/>
          </w:tcPr>
          <w:p w14:paraId="2875C2C8" w14:textId="4E1564AD" w:rsidR="006407DD" w:rsidRPr="00CC2AB5" w:rsidRDefault="00CC2AB5" w:rsidP="006407DD">
            <w:pPr>
              <w:pStyle w:val="TableParagraph"/>
              <w:spacing w:line="240" w:lineRule="auto"/>
              <w:rPr>
                <w:sz w:val="18"/>
                <w:szCs w:val="18"/>
              </w:rPr>
            </w:pPr>
            <w:r w:rsidRPr="00CC2AB5">
              <w:rPr>
                <w:sz w:val="18"/>
                <w:szCs w:val="18"/>
              </w:rPr>
              <w:t>1.65 (1.15 to 2.37)</w:t>
            </w:r>
          </w:p>
        </w:tc>
        <w:tc>
          <w:tcPr>
            <w:tcW w:w="696" w:type="pct"/>
            <w:tcBorders>
              <w:top w:val="dashSmallGap" w:sz="4" w:space="0" w:color="D8D8D8"/>
              <w:bottom w:val="dashSmallGap" w:sz="4" w:space="0" w:color="D8D8D8"/>
            </w:tcBorders>
            <w:shd w:val="clear" w:color="auto" w:fill="ECECEC"/>
            <w:vAlign w:val="center"/>
          </w:tcPr>
          <w:p w14:paraId="48BE3950" w14:textId="5B8E8B6E" w:rsidR="006407DD" w:rsidRPr="00CC2AB5" w:rsidRDefault="00CC2AB5" w:rsidP="006407DD">
            <w:pPr>
              <w:pStyle w:val="TableParagraph"/>
              <w:spacing w:line="240" w:lineRule="auto"/>
              <w:rPr>
                <w:sz w:val="18"/>
                <w:szCs w:val="18"/>
              </w:rPr>
            </w:pPr>
            <w:r w:rsidRPr="00CC2AB5">
              <w:rPr>
                <w:sz w:val="18"/>
                <w:szCs w:val="18"/>
              </w:rPr>
              <w:t>1.04 (0.70 to 1.52)</w:t>
            </w:r>
          </w:p>
        </w:tc>
        <w:tc>
          <w:tcPr>
            <w:tcW w:w="696" w:type="pct"/>
            <w:tcBorders>
              <w:top w:val="dashSmallGap" w:sz="4" w:space="0" w:color="D8D8D8"/>
              <w:bottom w:val="dashSmallGap" w:sz="4" w:space="0" w:color="D8D8D8"/>
            </w:tcBorders>
            <w:shd w:val="clear" w:color="auto" w:fill="ECECEC"/>
            <w:vAlign w:val="center"/>
          </w:tcPr>
          <w:p w14:paraId="44A996EB" w14:textId="6F47E785" w:rsidR="006407DD" w:rsidRPr="00CC2AB5" w:rsidRDefault="00CC2AB5" w:rsidP="006407DD">
            <w:pPr>
              <w:pStyle w:val="TableParagraph"/>
              <w:spacing w:line="240" w:lineRule="auto"/>
              <w:rPr>
                <w:sz w:val="18"/>
                <w:szCs w:val="18"/>
              </w:rPr>
            </w:pPr>
            <w:r w:rsidRPr="00CC2AB5">
              <w:rPr>
                <w:sz w:val="18"/>
                <w:szCs w:val="18"/>
              </w:rPr>
              <w:t>0.90 (0.33 to 2.51)</w:t>
            </w:r>
          </w:p>
        </w:tc>
        <w:tc>
          <w:tcPr>
            <w:tcW w:w="696" w:type="pct"/>
            <w:tcBorders>
              <w:top w:val="dashSmallGap" w:sz="4" w:space="0" w:color="D8D8D8"/>
              <w:bottom w:val="dashSmallGap" w:sz="4" w:space="0" w:color="D8D8D8"/>
            </w:tcBorders>
            <w:shd w:val="clear" w:color="auto" w:fill="ECECEC"/>
            <w:vAlign w:val="center"/>
          </w:tcPr>
          <w:p w14:paraId="390F7B94" w14:textId="77777777" w:rsidR="006407DD" w:rsidRPr="00CB5289" w:rsidRDefault="006407DD" w:rsidP="006407DD">
            <w:pPr>
              <w:pStyle w:val="TableParagraph"/>
              <w:spacing w:line="240" w:lineRule="auto"/>
              <w:rPr>
                <w:sz w:val="18"/>
                <w:szCs w:val="18"/>
              </w:rPr>
            </w:pPr>
            <w:r w:rsidRPr="00CB5289">
              <w:rPr>
                <w:sz w:val="18"/>
                <w:szCs w:val="18"/>
              </w:rPr>
              <w:t>1</w:t>
            </w:r>
          </w:p>
        </w:tc>
      </w:tr>
      <w:tr w:rsidR="006407DD" w:rsidRPr="00CA20E0" w14:paraId="565C365A" w14:textId="77777777" w:rsidTr="00BB21F9">
        <w:trPr>
          <w:gridAfter w:val="1"/>
          <w:wAfter w:w="12" w:type="pct"/>
          <w:trHeight w:val="285"/>
        </w:trPr>
        <w:tc>
          <w:tcPr>
            <w:tcW w:w="1509" w:type="pct"/>
            <w:tcBorders>
              <w:top w:val="dashSmallGap" w:sz="4" w:space="0" w:color="D8D8D8"/>
              <w:bottom w:val="dashSmallGap" w:sz="4" w:space="0" w:color="D8D8D8"/>
            </w:tcBorders>
            <w:shd w:val="clear" w:color="auto" w:fill="ECECEC"/>
          </w:tcPr>
          <w:p w14:paraId="2B007CEC" w14:textId="77777777" w:rsidR="006407DD" w:rsidRPr="00A76818" w:rsidRDefault="006407DD" w:rsidP="006407DD">
            <w:pPr>
              <w:pStyle w:val="TableParagraph"/>
              <w:spacing w:line="240" w:lineRule="auto"/>
              <w:jc w:val="left"/>
              <w:rPr>
                <w:sz w:val="18"/>
                <w:szCs w:val="18"/>
              </w:rPr>
            </w:pPr>
            <w:r w:rsidRPr="00A76818">
              <w:rPr>
                <w:sz w:val="18"/>
                <w:szCs w:val="18"/>
              </w:rPr>
              <w:t>Probability</w:t>
            </w:r>
            <w:r w:rsidRPr="00A76818">
              <w:rPr>
                <w:spacing w:val="-6"/>
                <w:sz w:val="18"/>
                <w:szCs w:val="18"/>
              </w:rPr>
              <w:t xml:space="preserve"> </w:t>
            </w:r>
            <w:r w:rsidRPr="00A76818">
              <w:rPr>
                <w:sz w:val="18"/>
                <w:szCs w:val="18"/>
              </w:rPr>
              <w:t>of</w:t>
            </w:r>
            <w:r w:rsidRPr="00A76818">
              <w:rPr>
                <w:spacing w:val="-3"/>
                <w:sz w:val="18"/>
                <w:szCs w:val="18"/>
              </w:rPr>
              <w:t xml:space="preserve"> </w:t>
            </w:r>
            <w:r w:rsidRPr="00A76818">
              <w:rPr>
                <w:sz w:val="18"/>
                <w:szCs w:val="18"/>
              </w:rPr>
              <w:t>superiority</w:t>
            </w:r>
            <w:r w:rsidRPr="00A76818">
              <w:rPr>
                <w:spacing w:val="-5"/>
                <w:sz w:val="18"/>
                <w:szCs w:val="18"/>
              </w:rPr>
              <w:t xml:space="preserve"> </w:t>
            </w:r>
            <w:r w:rsidRPr="00A76818">
              <w:rPr>
                <w:sz w:val="18"/>
                <w:szCs w:val="18"/>
              </w:rPr>
              <w:t>to</w:t>
            </w:r>
            <w:r w:rsidRPr="00A76818">
              <w:rPr>
                <w:spacing w:val="-4"/>
                <w:sz w:val="18"/>
                <w:szCs w:val="18"/>
              </w:rPr>
              <w:t xml:space="preserve"> </w:t>
            </w:r>
            <w:r w:rsidRPr="00A76818">
              <w:rPr>
                <w:sz w:val="18"/>
                <w:szCs w:val="18"/>
              </w:rPr>
              <w:t>control,</w:t>
            </w:r>
            <w:r w:rsidRPr="00A76818">
              <w:rPr>
                <w:spacing w:val="-3"/>
                <w:sz w:val="18"/>
                <w:szCs w:val="18"/>
              </w:rPr>
              <w:t xml:space="preserve"> </w:t>
            </w:r>
            <w:r w:rsidRPr="00A76818">
              <w:rPr>
                <w:sz w:val="18"/>
                <w:szCs w:val="18"/>
              </w:rPr>
              <w:t>%</w:t>
            </w:r>
          </w:p>
        </w:tc>
        <w:tc>
          <w:tcPr>
            <w:tcW w:w="696" w:type="pct"/>
            <w:tcBorders>
              <w:top w:val="dashSmallGap" w:sz="4" w:space="0" w:color="D8D8D8"/>
              <w:bottom w:val="dashSmallGap" w:sz="4" w:space="0" w:color="D8D8D8"/>
            </w:tcBorders>
            <w:shd w:val="clear" w:color="auto" w:fill="ECECEC"/>
            <w:vAlign w:val="center"/>
          </w:tcPr>
          <w:p w14:paraId="4CC52288" w14:textId="6B53B5B4" w:rsidR="006407DD" w:rsidRPr="00CC2AB5" w:rsidRDefault="00CC2AB5" w:rsidP="006407DD">
            <w:pPr>
              <w:pStyle w:val="TableParagraph"/>
              <w:spacing w:line="240" w:lineRule="auto"/>
              <w:rPr>
                <w:sz w:val="18"/>
                <w:szCs w:val="18"/>
              </w:rPr>
            </w:pPr>
            <w:r w:rsidRPr="00CC2AB5">
              <w:rPr>
                <w:sz w:val="18"/>
                <w:szCs w:val="18"/>
              </w:rPr>
              <w:t>99.0</w:t>
            </w:r>
          </w:p>
        </w:tc>
        <w:tc>
          <w:tcPr>
            <w:tcW w:w="696" w:type="pct"/>
            <w:tcBorders>
              <w:top w:val="dashSmallGap" w:sz="4" w:space="0" w:color="D8D8D8"/>
              <w:bottom w:val="dashSmallGap" w:sz="4" w:space="0" w:color="D8D8D8"/>
            </w:tcBorders>
            <w:shd w:val="clear" w:color="auto" w:fill="ECECEC"/>
            <w:vAlign w:val="center"/>
          </w:tcPr>
          <w:p w14:paraId="41CA891B" w14:textId="55475555" w:rsidR="006407DD" w:rsidRPr="00CC2AB5" w:rsidRDefault="00CC2AB5" w:rsidP="006407DD">
            <w:pPr>
              <w:pStyle w:val="TableParagraph"/>
              <w:spacing w:line="240" w:lineRule="auto"/>
              <w:rPr>
                <w:sz w:val="18"/>
                <w:szCs w:val="18"/>
              </w:rPr>
            </w:pPr>
            <w:r w:rsidRPr="00CC2AB5">
              <w:rPr>
                <w:sz w:val="18"/>
                <w:szCs w:val="18"/>
              </w:rPr>
              <w:t>99.8</w:t>
            </w:r>
          </w:p>
        </w:tc>
        <w:tc>
          <w:tcPr>
            <w:tcW w:w="696" w:type="pct"/>
            <w:tcBorders>
              <w:top w:val="dashSmallGap" w:sz="4" w:space="0" w:color="D8D8D8"/>
              <w:bottom w:val="dashSmallGap" w:sz="4" w:space="0" w:color="D8D8D8"/>
            </w:tcBorders>
            <w:shd w:val="clear" w:color="auto" w:fill="ECECEC"/>
            <w:vAlign w:val="center"/>
          </w:tcPr>
          <w:p w14:paraId="11FAB883" w14:textId="59B73EB8" w:rsidR="006407DD" w:rsidRPr="00CC2AB5" w:rsidRDefault="00CC2AB5" w:rsidP="006407DD">
            <w:pPr>
              <w:pStyle w:val="TableParagraph"/>
              <w:spacing w:line="240" w:lineRule="auto"/>
              <w:rPr>
                <w:sz w:val="18"/>
                <w:szCs w:val="18"/>
              </w:rPr>
            </w:pPr>
            <w:r w:rsidRPr="00CC2AB5">
              <w:rPr>
                <w:sz w:val="18"/>
                <w:szCs w:val="18"/>
              </w:rPr>
              <w:t>57.6</w:t>
            </w:r>
          </w:p>
        </w:tc>
        <w:tc>
          <w:tcPr>
            <w:tcW w:w="696" w:type="pct"/>
            <w:tcBorders>
              <w:top w:val="dashSmallGap" w:sz="4" w:space="0" w:color="D8D8D8"/>
              <w:bottom w:val="dashSmallGap" w:sz="4" w:space="0" w:color="D8D8D8"/>
            </w:tcBorders>
            <w:shd w:val="clear" w:color="auto" w:fill="ECECEC"/>
            <w:vAlign w:val="center"/>
          </w:tcPr>
          <w:p w14:paraId="5A853C0D" w14:textId="3C2BDCF8" w:rsidR="006407DD" w:rsidRPr="00CC2AB5" w:rsidRDefault="00CC2AB5" w:rsidP="006407DD">
            <w:pPr>
              <w:pStyle w:val="TableParagraph"/>
              <w:spacing w:line="240" w:lineRule="auto"/>
              <w:rPr>
                <w:sz w:val="18"/>
                <w:szCs w:val="18"/>
              </w:rPr>
            </w:pPr>
            <w:r w:rsidRPr="00CC2AB5">
              <w:rPr>
                <w:sz w:val="18"/>
                <w:szCs w:val="18"/>
              </w:rPr>
              <w:t>42.1</w:t>
            </w:r>
          </w:p>
        </w:tc>
        <w:tc>
          <w:tcPr>
            <w:tcW w:w="696" w:type="pct"/>
            <w:tcBorders>
              <w:top w:val="dashSmallGap" w:sz="4" w:space="0" w:color="D8D8D8"/>
              <w:bottom w:val="dashSmallGap" w:sz="4" w:space="0" w:color="D8D8D8"/>
            </w:tcBorders>
            <w:shd w:val="clear" w:color="auto" w:fill="ECECEC"/>
            <w:vAlign w:val="center"/>
          </w:tcPr>
          <w:p w14:paraId="445D9CFC" w14:textId="77777777" w:rsidR="006407DD" w:rsidRPr="00CB5289" w:rsidRDefault="006407DD" w:rsidP="006407DD">
            <w:pPr>
              <w:pStyle w:val="TableParagraph"/>
              <w:spacing w:line="240" w:lineRule="auto"/>
              <w:rPr>
                <w:sz w:val="18"/>
                <w:szCs w:val="18"/>
              </w:rPr>
            </w:pPr>
            <w:r w:rsidRPr="00CB5289">
              <w:rPr>
                <w:sz w:val="18"/>
                <w:szCs w:val="18"/>
              </w:rPr>
              <w:t>-</w:t>
            </w:r>
          </w:p>
        </w:tc>
      </w:tr>
      <w:tr w:rsidR="006407DD" w:rsidRPr="00A76818" w14:paraId="06D39B9D" w14:textId="77777777" w:rsidTr="00BB21F9">
        <w:trPr>
          <w:gridAfter w:val="1"/>
          <w:wAfter w:w="12" w:type="pct"/>
          <w:trHeight w:val="572"/>
        </w:trPr>
        <w:tc>
          <w:tcPr>
            <w:tcW w:w="4988" w:type="pct"/>
            <w:gridSpan w:val="6"/>
            <w:tcBorders>
              <w:top w:val="dashSmallGap" w:sz="4" w:space="0" w:color="D8D8D8"/>
              <w:bottom w:val="dashSmallGap" w:sz="4" w:space="0" w:color="D8D8D8"/>
            </w:tcBorders>
            <w:shd w:val="clear" w:color="auto" w:fill="ECECEC"/>
          </w:tcPr>
          <w:p w14:paraId="3E98CBEA" w14:textId="7128A4A8" w:rsidR="006407DD" w:rsidRPr="00CB5289" w:rsidRDefault="006407DD" w:rsidP="006407DD">
            <w:pPr>
              <w:pStyle w:val="TableParagraph"/>
              <w:spacing w:line="240" w:lineRule="auto"/>
              <w:ind w:right="5491"/>
              <w:jc w:val="left"/>
              <w:rPr>
                <w:b/>
                <w:sz w:val="18"/>
                <w:szCs w:val="18"/>
              </w:rPr>
            </w:pPr>
            <w:r w:rsidRPr="00CB5289">
              <w:rPr>
                <w:b/>
                <w:sz w:val="18"/>
                <w:szCs w:val="18"/>
              </w:rPr>
              <w:t>Secondary</w:t>
            </w:r>
            <w:r w:rsidRPr="00CB5289">
              <w:rPr>
                <w:b/>
                <w:spacing w:val="-6"/>
                <w:sz w:val="18"/>
                <w:szCs w:val="18"/>
              </w:rPr>
              <w:t xml:space="preserve"> </w:t>
            </w:r>
            <w:r w:rsidRPr="00CB5289">
              <w:rPr>
                <w:b/>
                <w:sz w:val="18"/>
                <w:szCs w:val="18"/>
              </w:rPr>
              <w:t>Analysis</w:t>
            </w:r>
            <w:r w:rsidRPr="00CB5289">
              <w:rPr>
                <w:b/>
                <w:spacing w:val="-3"/>
                <w:sz w:val="18"/>
                <w:szCs w:val="18"/>
              </w:rPr>
              <w:t xml:space="preserve"> </w:t>
            </w:r>
            <w:r w:rsidRPr="00CB5289">
              <w:rPr>
                <w:b/>
                <w:sz w:val="18"/>
                <w:szCs w:val="18"/>
              </w:rPr>
              <w:t>of</w:t>
            </w:r>
            <w:r w:rsidRPr="00CB5289">
              <w:rPr>
                <w:b/>
                <w:spacing w:val="-6"/>
                <w:sz w:val="18"/>
                <w:szCs w:val="18"/>
              </w:rPr>
              <w:t xml:space="preserve"> </w:t>
            </w:r>
            <w:r w:rsidRPr="00CB5289">
              <w:rPr>
                <w:b/>
                <w:sz w:val="18"/>
                <w:szCs w:val="18"/>
              </w:rPr>
              <w:t>Primary</w:t>
            </w:r>
            <w:r w:rsidRPr="00CB5289">
              <w:rPr>
                <w:b/>
                <w:spacing w:val="-1"/>
                <w:sz w:val="18"/>
                <w:szCs w:val="18"/>
              </w:rPr>
              <w:t xml:space="preserve"> </w:t>
            </w:r>
            <w:r w:rsidRPr="00CB5289">
              <w:rPr>
                <w:b/>
                <w:sz w:val="18"/>
                <w:szCs w:val="18"/>
              </w:rPr>
              <w:t>Outcome</w:t>
            </w:r>
            <w:r w:rsidRPr="00CB5289">
              <w:rPr>
                <w:sz w:val="18"/>
                <w:szCs w:val="18"/>
              </w:rPr>
              <w:t>,</w:t>
            </w:r>
            <w:r w:rsidRPr="00CB5289">
              <w:rPr>
                <w:spacing w:val="-6"/>
                <w:sz w:val="18"/>
                <w:szCs w:val="18"/>
              </w:rPr>
              <w:t xml:space="preserve"> </w:t>
            </w:r>
            <w:r w:rsidRPr="00CB5289">
              <w:rPr>
                <w:sz w:val="18"/>
                <w:szCs w:val="18"/>
              </w:rPr>
              <w:t>for Immune Modulation Therapy ITT population</w:t>
            </w:r>
          </w:p>
        </w:tc>
      </w:tr>
      <w:tr w:rsidR="006407DD" w:rsidRPr="00CA20E0" w14:paraId="3938730F" w14:textId="77777777" w:rsidTr="00BB21F9">
        <w:trPr>
          <w:gridAfter w:val="1"/>
          <w:wAfter w:w="12" w:type="pct"/>
          <w:trHeight w:val="282"/>
        </w:trPr>
        <w:tc>
          <w:tcPr>
            <w:tcW w:w="1509" w:type="pct"/>
            <w:tcBorders>
              <w:top w:val="dashSmallGap" w:sz="4" w:space="0" w:color="D8D8D8"/>
              <w:bottom w:val="dashSmallGap" w:sz="6" w:space="0" w:color="D8D8D8"/>
            </w:tcBorders>
            <w:shd w:val="clear" w:color="auto" w:fill="ECECEC"/>
          </w:tcPr>
          <w:p w14:paraId="7F059412" w14:textId="77777777" w:rsidR="006407DD" w:rsidRPr="00A76818" w:rsidRDefault="006407DD" w:rsidP="006407DD">
            <w:pPr>
              <w:pStyle w:val="TableParagraph"/>
              <w:spacing w:line="240" w:lineRule="auto"/>
              <w:jc w:val="left"/>
              <w:rPr>
                <w:sz w:val="18"/>
                <w:szCs w:val="18"/>
              </w:rPr>
            </w:pPr>
            <w:r w:rsidRPr="00A76818">
              <w:rPr>
                <w:sz w:val="18"/>
                <w:szCs w:val="18"/>
              </w:rPr>
              <w:t>Adjusted</w:t>
            </w:r>
            <w:r w:rsidRPr="00A76818">
              <w:rPr>
                <w:spacing w:val="-3"/>
                <w:sz w:val="18"/>
                <w:szCs w:val="18"/>
              </w:rPr>
              <w:t xml:space="preserve"> </w:t>
            </w:r>
            <w:r w:rsidRPr="00A76818">
              <w:rPr>
                <w:sz w:val="18"/>
                <w:szCs w:val="18"/>
              </w:rPr>
              <w:t>OR</w:t>
            </w:r>
            <w:r w:rsidRPr="00A76818">
              <w:rPr>
                <w:spacing w:val="2"/>
                <w:sz w:val="18"/>
                <w:szCs w:val="18"/>
              </w:rPr>
              <w:t xml:space="preserve"> </w:t>
            </w:r>
            <w:r w:rsidRPr="00A76818">
              <w:rPr>
                <w:sz w:val="18"/>
                <w:szCs w:val="18"/>
              </w:rPr>
              <w:t>-</w:t>
            </w:r>
            <w:r w:rsidRPr="00A76818">
              <w:rPr>
                <w:spacing w:val="-2"/>
                <w:sz w:val="18"/>
                <w:szCs w:val="18"/>
              </w:rPr>
              <w:t xml:space="preserve"> </w:t>
            </w:r>
            <w:r w:rsidRPr="00A76818">
              <w:rPr>
                <w:sz w:val="18"/>
                <w:szCs w:val="18"/>
              </w:rPr>
              <w:t>mean</w:t>
            </w:r>
            <w:r w:rsidRPr="00A76818">
              <w:rPr>
                <w:spacing w:val="-3"/>
                <w:sz w:val="18"/>
                <w:szCs w:val="18"/>
              </w:rPr>
              <w:t xml:space="preserve"> </w:t>
            </w:r>
            <w:r w:rsidRPr="00A76818">
              <w:rPr>
                <w:sz w:val="18"/>
                <w:szCs w:val="18"/>
              </w:rPr>
              <w:t>(SD)</w:t>
            </w:r>
          </w:p>
        </w:tc>
        <w:tc>
          <w:tcPr>
            <w:tcW w:w="696" w:type="pct"/>
            <w:tcBorders>
              <w:top w:val="dashSmallGap" w:sz="4" w:space="0" w:color="D8D8D8"/>
              <w:bottom w:val="dashSmallGap" w:sz="6" w:space="0" w:color="D8D8D8"/>
            </w:tcBorders>
            <w:shd w:val="clear" w:color="auto" w:fill="ECECEC"/>
            <w:vAlign w:val="center"/>
          </w:tcPr>
          <w:p w14:paraId="140E8608" w14:textId="1D158178" w:rsidR="006407DD" w:rsidRPr="00CB5289" w:rsidRDefault="00CB5289" w:rsidP="006407DD">
            <w:pPr>
              <w:pStyle w:val="TableParagraph"/>
              <w:spacing w:line="240" w:lineRule="auto"/>
              <w:rPr>
                <w:sz w:val="18"/>
                <w:szCs w:val="18"/>
              </w:rPr>
            </w:pPr>
            <w:r w:rsidRPr="00CB5289">
              <w:rPr>
                <w:sz w:val="18"/>
                <w:szCs w:val="18"/>
              </w:rPr>
              <w:t>1.55 (0.19)</w:t>
            </w:r>
          </w:p>
        </w:tc>
        <w:tc>
          <w:tcPr>
            <w:tcW w:w="696" w:type="pct"/>
            <w:tcBorders>
              <w:top w:val="dashSmallGap" w:sz="4" w:space="0" w:color="D8D8D8"/>
              <w:bottom w:val="dashSmallGap" w:sz="6" w:space="0" w:color="D8D8D8"/>
            </w:tcBorders>
            <w:shd w:val="clear" w:color="auto" w:fill="ECECEC"/>
            <w:vAlign w:val="center"/>
          </w:tcPr>
          <w:p w14:paraId="0C388E64" w14:textId="2140708F" w:rsidR="006407DD" w:rsidRPr="00CB5289" w:rsidRDefault="00CB5289" w:rsidP="00CB5289">
            <w:pPr>
              <w:pStyle w:val="TableParagraph"/>
              <w:spacing w:line="240" w:lineRule="auto"/>
              <w:rPr>
                <w:sz w:val="18"/>
                <w:szCs w:val="18"/>
              </w:rPr>
            </w:pPr>
            <w:r w:rsidRPr="00CB5289">
              <w:rPr>
                <w:sz w:val="18"/>
                <w:szCs w:val="18"/>
              </w:rPr>
              <w:t>1.67 (0.25)</w:t>
            </w:r>
          </w:p>
        </w:tc>
        <w:tc>
          <w:tcPr>
            <w:tcW w:w="696" w:type="pct"/>
            <w:tcBorders>
              <w:top w:val="dashSmallGap" w:sz="4" w:space="0" w:color="D8D8D8"/>
              <w:bottom w:val="dashSmallGap" w:sz="6" w:space="0" w:color="D8D8D8"/>
            </w:tcBorders>
            <w:shd w:val="clear" w:color="auto" w:fill="ECECEC"/>
            <w:vAlign w:val="center"/>
          </w:tcPr>
          <w:p w14:paraId="70BB4F9E" w14:textId="5D3B5DA2" w:rsidR="006407DD" w:rsidRPr="00CB5289" w:rsidRDefault="00CB5289" w:rsidP="006407DD">
            <w:pPr>
              <w:pStyle w:val="TableParagraph"/>
              <w:spacing w:line="240" w:lineRule="auto"/>
              <w:rPr>
                <w:sz w:val="18"/>
                <w:szCs w:val="18"/>
              </w:rPr>
            </w:pPr>
            <w:r>
              <w:rPr>
                <w:sz w:val="18"/>
                <w:szCs w:val="18"/>
              </w:rPr>
              <w:t>1.16 (0.19)</w:t>
            </w:r>
          </w:p>
        </w:tc>
        <w:tc>
          <w:tcPr>
            <w:tcW w:w="696" w:type="pct"/>
            <w:tcBorders>
              <w:top w:val="dashSmallGap" w:sz="4" w:space="0" w:color="D8D8D8"/>
              <w:bottom w:val="dashSmallGap" w:sz="6" w:space="0" w:color="D8D8D8"/>
            </w:tcBorders>
            <w:shd w:val="clear" w:color="auto" w:fill="ECECEC"/>
            <w:vAlign w:val="center"/>
          </w:tcPr>
          <w:p w14:paraId="5CEA5091" w14:textId="36B5975B" w:rsidR="006407DD" w:rsidRPr="00CB5289" w:rsidRDefault="00CB5289" w:rsidP="006407DD">
            <w:pPr>
              <w:pStyle w:val="TableParagraph"/>
              <w:spacing w:line="240" w:lineRule="auto"/>
              <w:rPr>
                <w:sz w:val="18"/>
                <w:szCs w:val="18"/>
              </w:rPr>
            </w:pPr>
            <w:r>
              <w:rPr>
                <w:sz w:val="18"/>
                <w:szCs w:val="18"/>
              </w:rPr>
              <w:t>1.29 (0.53)</w:t>
            </w:r>
          </w:p>
        </w:tc>
        <w:tc>
          <w:tcPr>
            <w:tcW w:w="696" w:type="pct"/>
            <w:tcBorders>
              <w:top w:val="dashSmallGap" w:sz="4" w:space="0" w:color="D8D8D8"/>
              <w:bottom w:val="dashSmallGap" w:sz="6" w:space="0" w:color="D8D8D8"/>
            </w:tcBorders>
            <w:shd w:val="clear" w:color="auto" w:fill="ECECEC"/>
            <w:vAlign w:val="center"/>
          </w:tcPr>
          <w:p w14:paraId="2421A15F" w14:textId="77777777" w:rsidR="006407DD" w:rsidRPr="00CB5289" w:rsidRDefault="006407DD" w:rsidP="006407DD">
            <w:pPr>
              <w:pStyle w:val="TableParagraph"/>
              <w:spacing w:line="240" w:lineRule="auto"/>
              <w:rPr>
                <w:sz w:val="18"/>
                <w:szCs w:val="18"/>
              </w:rPr>
            </w:pPr>
            <w:r w:rsidRPr="00CB5289">
              <w:rPr>
                <w:sz w:val="18"/>
                <w:szCs w:val="18"/>
              </w:rPr>
              <w:t>1</w:t>
            </w:r>
          </w:p>
        </w:tc>
      </w:tr>
      <w:tr w:rsidR="006407DD" w:rsidRPr="00CA20E0" w14:paraId="38ABC7E1" w14:textId="77777777" w:rsidTr="00BB21F9">
        <w:trPr>
          <w:gridAfter w:val="1"/>
          <w:wAfter w:w="12" w:type="pct"/>
          <w:trHeight w:val="282"/>
        </w:trPr>
        <w:tc>
          <w:tcPr>
            <w:tcW w:w="1509" w:type="pct"/>
            <w:tcBorders>
              <w:top w:val="dashSmallGap" w:sz="6" w:space="0" w:color="D8D8D8"/>
              <w:bottom w:val="dashSmallGap" w:sz="4" w:space="0" w:color="D8D8D8"/>
            </w:tcBorders>
            <w:shd w:val="clear" w:color="auto" w:fill="ECECEC"/>
          </w:tcPr>
          <w:p w14:paraId="45A2CD1B" w14:textId="77777777" w:rsidR="006407DD" w:rsidRPr="00A76818" w:rsidRDefault="006407DD" w:rsidP="006407DD">
            <w:pPr>
              <w:pStyle w:val="TableParagraph"/>
              <w:spacing w:line="240" w:lineRule="auto"/>
              <w:jc w:val="left"/>
              <w:rPr>
                <w:sz w:val="18"/>
                <w:szCs w:val="18"/>
              </w:rPr>
            </w:pPr>
            <w:r w:rsidRPr="00A76818">
              <w:rPr>
                <w:sz w:val="18"/>
                <w:szCs w:val="18"/>
              </w:rPr>
              <w:t>-</w:t>
            </w:r>
            <w:r w:rsidRPr="00A76818">
              <w:rPr>
                <w:spacing w:val="-3"/>
                <w:sz w:val="18"/>
                <w:szCs w:val="18"/>
              </w:rPr>
              <w:t xml:space="preserve"> </w:t>
            </w:r>
            <w:r w:rsidRPr="00A76818">
              <w:rPr>
                <w:sz w:val="18"/>
                <w:szCs w:val="18"/>
              </w:rPr>
              <w:t>median</w:t>
            </w:r>
            <w:r w:rsidRPr="00A76818">
              <w:rPr>
                <w:spacing w:val="-2"/>
                <w:sz w:val="18"/>
                <w:szCs w:val="18"/>
              </w:rPr>
              <w:t xml:space="preserve"> </w:t>
            </w:r>
            <w:r w:rsidRPr="00A76818">
              <w:rPr>
                <w:sz w:val="18"/>
                <w:szCs w:val="18"/>
              </w:rPr>
              <w:t>(95%</w:t>
            </w:r>
            <w:r w:rsidRPr="00A76818">
              <w:rPr>
                <w:spacing w:val="-1"/>
                <w:sz w:val="18"/>
                <w:szCs w:val="18"/>
              </w:rPr>
              <w:t xml:space="preserve"> </w:t>
            </w:r>
            <w:r w:rsidRPr="00A76818">
              <w:rPr>
                <w:sz w:val="18"/>
                <w:szCs w:val="18"/>
              </w:rPr>
              <w:t>CrI)</w:t>
            </w:r>
          </w:p>
        </w:tc>
        <w:tc>
          <w:tcPr>
            <w:tcW w:w="696" w:type="pct"/>
            <w:tcBorders>
              <w:top w:val="dashSmallGap" w:sz="6" w:space="0" w:color="D8D8D8"/>
              <w:bottom w:val="dashSmallGap" w:sz="4" w:space="0" w:color="D8D8D8"/>
            </w:tcBorders>
            <w:shd w:val="clear" w:color="auto" w:fill="ECECEC"/>
            <w:vAlign w:val="center"/>
          </w:tcPr>
          <w:p w14:paraId="11A369AA" w14:textId="2C027E00" w:rsidR="006407DD" w:rsidRPr="00CB5289" w:rsidRDefault="00CB5289" w:rsidP="006407DD">
            <w:pPr>
              <w:pStyle w:val="TableParagraph"/>
              <w:spacing w:line="240" w:lineRule="auto"/>
              <w:rPr>
                <w:sz w:val="18"/>
                <w:szCs w:val="18"/>
              </w:rPr>
            </w:pPr>
            <w:r w:rsidRPr="00CB5289">
              <w:rPr>
                <w:sz w:val="18"/>
                <w:szCs w:val="18"/>
              </w:rPr>
              <w:t>1.54 (1.22 to 1.95)</w:t>
            </w:r>
          </w:p>
        </w:tc>
        <w:tc>
          <w:tcPr>
            <w:tcW w:w="696" w:type="pct"/>
            <w:tcBorders>
              <w:top w:val="dashSmallGap" w:sz="6" w:space="0" w:color="D8D8D8"/>
              <w:bottom w:val="dashSmallGap" w:sz="4" w:space="0" w:color="D8D8D8"/>
            </w:tcBorders>
            <w:shd w:val="clear" w:color="auto" w:fill="ECECEC"/>
            <w:vAlign w:val="center"/>
          </w:tcPr>
          <w:p w14:paraId="451964F7" w14:textId="02E51820" w:rsidR="006407DD" w:rsidRPr="00CB5289" w:rsidRDefault="00CB5289" w:rsidP="006407DD">
            <w:pPr>
              <w:pStyle w:val="TableParagraph"/>
              <w:spacing w:line="240" w:lineRule="auto"/>
              <w:rPr>
                <w:sz w:val="18"/>
                <w:szCs w:val="18"/>
              </w:rPr>
            </w:pPr>
            <w:r w:rsidRPr="00CB5289">
              <w:rPr>
                <w:sz w:val="18"/>
                <w:szCs w:val="18"/>
              </w:rPr>
              <w:t>1.65 (1.23 to 2.22)</w:t>
            </w:r>
          </w:p>
        </w:tc>
        <w:tc>
          <w:tcPr>
            <w:tcW w:w="696" w:type="pct"/>
            <w:tcBorders>
              <w:top w:val="dashSmallGap" w:sz="6" w:space="0" w:color="D8D8D8"/>
              <w:bottom w:val="dashSmallGap" w:sz="4" w:space="0" w:color="D8D8D8"/>
            </w:tcBorders>
            <w:shd w:val="clear" w:color="auto" w:fill="ECECEC"/>
            <w:vAlign w:val="center"/>
          </w:tcPr>
          <w:p w14:paraId="7A433922" w14:textId="2AEA50BB" w:rsidR="006407DD" w:rsidRPr="00CB5289" w:rsidRDefault="00CB5289" w:rsidP="006407DD">
            <w:pPr>
              <w:pStyle w:val="TableParagraph"/>
              <w:spacing w:line="240" w:lineRule="auto"/>
              <w:rPr>
                <w:sz w:val="18"/>
                <w:szCs w:val="18"/>
              </w:rPr>
            </w:pPr>
            <w:r>
              <w:rPr>
                <w:sz w:val="18"/>
                <w:szCs w:val="18"/>
              </w:rPr>
              <w:t>1.14 (0.83 to 1.57)</w:t>
            </w:r>
          </w:p>
        </w:tc>
        <w:tc>
          <w:tcPr>
            <w:tcW w:w="696" w:type="pct"/>
            <w:tcBorders>
              <w:top w:val="dashSmallGap" w:sz="6" w:space="0" w:color="D8D8D8"/>
              <w:bottom w:val="dashSmallGap" w:sz="4" w:space="0" w:color="D8D8D8"/>
            </w:tcBorders>
            <w:shd w:val="clear" w:color="auto" w:fill="ECECEC"/>
            <w:vAlign w:val="center"/>
          </w:tcPr>
          <w:p w14:paraId="7FF3D2A5" w14:textId="38A2506F" w:rsidR="006407DD" w:rsidRPr="00CB5289" w:rsidRDefault="00CB5289" w:rsidP="006407DD">
            <w:pPr>
              <w:pStyle w:val="TableParagraph"/>
              <w:spacing w:line="240" w:lineRule="auto"/>
              <w:rPr>
                <w:sz w:val="18"/>
                <w:szCs w:val="18"/>
              </w:rPr>
            </w:pPr>
            <w:r>
              <w:rPr>
                <w:sz w:val="18"/>
                <w:szCs w:val="18"/>
              </w:rPr>
              <w:t>1.20 (0.55 to 2.59)</w:t>
            </w:r>
          </w:p>
        </w:tc>
        <w:tc>
          <w:tcPr>
            <w:tcW w:w="696" w:type="pct"/>
            <w:tcBorders>
              <w:top w:val="dashSmallGap" w:sz="6" w:space="0" w:color="D8D8D8"/>
              <w:bottom w:val="dashSmallGap" w:sz="4" w:space="0" w:color="D8D8D8"/>
            </w:tcBorders>
            <w:shd w:val="clear" w:color="auto" w:fill="ECECEC"/>
            <w:vAlign w:val="center"/>
          </w:tcPr>
          <w:p w14:paraId="47E5098A" w14:textId="77777777" w:rsidR="006407DD" w:rsidRPr="00CB5289" w:rsidRDefault="006407DD" w:rsidP="006407DD">
            <w:pPr>
              <w:pStyle w:val="TableParagraph"/>
              <w:spacing w:line="240" w:lineRule="auto"/>
              <w:rPr>
                <w:sz w:val="18"/>
                <w:szCs w:val="18"/>
              </w:rPr>
            </w:pPr>
            <w:r w:rsidRPr="00CB5289">
              <w:rPr>
                <w:sz w:val="18"/>
                <w:szCs w:val="18"/>
              </w:rPr>
              <w:t>1</w:t>
            </w:r>
          </w:p>
        </w:tc>
      </w:tr>
      <w:tr w:rsidR="006407DD" w:rsidRPr="00CA20E0" w14:paraId="719EE60F" w14:textId="77777777" w:rsidTr="00BB21F9">
        <w:trPr>
          <w:gridAfter w:val="1"/>
          <w:wAfter w:w="12" w:type="pct"/>
          <w:trHeight w:val="285"/>
        </w:trPr>
        <w:tc>
          <w:tcPr>
            <w:tcW w:w="1509" w:type="pct"/>
            <w:tcBorders>
              <w:top w:val="dashSmallGap" w:sz="4" w:space="0" w:color="D8D8D8"/>
              <w:bottom w:val="dashSmallGap" w:sz="4" w:space="0" w:color="D8D8D8"/>
            </w:tcBorders>
            <w:shd w:val="clear" w:color="auto" w:fill="ECECEC"/>
          </w:tcPr>
          <w:p w14:paraId="311FC6ED" w14:textId="77777777" w:rsidR="006407DD" w:rsidRPr="00A76818" w:rsidRDefault="006407DD" w:rsidP="006407DD">
            <w:pPr>
              <w:pStyle w:val="TableParagraph"/>
              <w:spacing w:line="240" w:lineRule="auto"/>
              <w:jc w:val="left"/>
              <w:rPr>
                <w:sz w:val="18"/>
                <w:szCs w:val="18"/>
              </w:rPr>
            </w:pPr>
            <w:r w:rsidRPr="00A76818">
              <w:rPr>
                <w:sz w:val="18"/>
                <w:szCs w:val="18"/>
              </w:rPr>
              <w:t>Probability</w:t>
            </w:r>
            <w:r w:rsidRPr="00A76818">
              <w:rPr>
                <w:spacing w:val="-6"/>
                <w:sz w:val="18"/>
                <w:szCs w:val="18"/>
              </w:rPr>
              <w:t xml:space="preserve"> </w:t>
            </w:r>
            <w:r w:rsidRPr="00A76818">
              <w:rPr>
                <w:sz w:val="18"/>
                <w:szCs w:val="18"/>
              </w:rPr>
              <w:t>of</w:t>
            </w:r>
            <w:r w:rsidRPr="00A76818">
              <w:rPr>
                <w:spacing w:val="-3"/>
                <w:sz w:val="18"/>
                <w:szCs w:val="18"/>
              </w:rPr>
              <w:t xml:space="preserve"> </w:t>
            </w:r>
            <w:r w:rsidRPr="00A76818">
              <w:rPr>
                <w:sz w:val="18"/>
                <w:szCs w:val="18"/>
              </w:rPr>
              <w:t>superiority</w:t>
            </w:r>
            <w:r w:rsidRPr="00A76818">
              <w:rPr>
                <w:spacing w:val="-5"/>
                <w:sz w:val="18"/>
                <w:szCs w:val="18"/>
              </w:rPr>
              <w:t xml:space="preserve"> </w:t>
            </w:r>
            <w:r w:rsidRPr="00A76818">
              <w:rPr>
                <w:sz w:val="18"/>
                <w:szCs w:val="18"/>
              </w:rPr>
              <w:t>to</w:t>
            </w:r>
            <w:r w:rsidRPr="00A76818">
              <w:rPr>
                <w:spacing w:val="-4"/>
                <w:sz w:val="18"/>
                <w:szCs w:val="18"/>
              </w:rPr>
              <w:t xml:space="preserve"> </w:t>
            </w:r>
            <w:r w:rsidRPr="00A76818">
              <w:rPr>
                <w:sz w:val="18"/>
                <w:szCs w:val="18"/>
              </w:rPr>
              <w:t>control,</w:t>
            </w:r>
            <w:r w:rsidRPr="00A76818">
              <w:rPr>
                <w:spacing w:val="-3"/>
                <w:sz w:val="18"/>
                <w:szCs w:val="18"/>
              </w:rPr>
              <w:t xml:space="preserve"> </w:t>
            </w:r>
            <w:r w:rsidRPr="00A76818">
              <w:rPr>
                <w:sz w:val="18"/>
                <w:szCs w:val="18"/>
              </w:rPr>
              <w:t>%</w:t>
            </w:r>
          </w:p>
        </w:tc>
        <w:tc>
          <w:tcPr>
            <w:tcW w:w="696" w:type="pct"/>
            <w:tcBorders>
              <w:top w:val="dashSmallGap" w:sz="4" w:space="0" w:color="D8D8D8"/>
              <w:bottom w:val="dashSmallGap" w:sz="4" w:space="0" w:color="D8D8D8"/>
            </w:tcBorders>
            <w:shd w:val="clear" w:color="auto" w:fill="ECECEC"/>
            <w:vAlign w:val="center"/>
          </w:tcPr>
          <w:p w14:paraId="2B1F30D0" w14:textId="2FB07B4B" w:rsidR="006407DD" w:rsidRPr="00CB5289" w:rsidRDefault="00CB5289" w:rsidP="006407DD">
            <w:pPr>
              <w:pStyle w:val="TableParagraph"/>
              <w:spacing w:line="240" w:lineRule="auto"/>
              <w:rPr>
                <w:sz w:val="18"/>
                <w:szCs w:val="18"/>
              </w:rPr>
            </w:pPr>
            <w:r w:rsidRPr="00CB5289">
              <w:rPr>
                <w:sz w:val="18"/>
                <w:szCs w:val="18"/>
              </w:rPr>
              <w:t>&gt;99.9</w:t>
            </w:r>
          </w:p>
        </w:tc>
        <w:tc>
          <w:tcPr>
            <w:tcW w:w="696" w:type="pct"/>
            <w:tcBorders>
              <w:top w:val="dashSmallGap" w:sz="4" w:space="0" w:color="D8D8D8"/>
              <w:bottom w:val="dashSmallGap" w:sz="4" w:space="0" w:color="D8D8D8"/>
            </w:tcBorders>
            <w:shd w:val="clear" w:color="auto" w:fill="ECECEC"/>
            <w:vAlign w:val="center"/>
          </w:tcPr>
          <w:p w14:paraId="66A076AC" w14:textId="3C5B5769" w:rsidR="006407DD" w:rsidRPr="00CB5289" w:rsidRDefault="00CB5289" w:rsidP="006407DD">
            <w:pPr>
              <w:pStyle w:val="TableParagraph"/>
              <w:spacing w:line="240" w:lineRule="auto"/>
              <w:rPr>
                <w:sz w:val="18"/>
                <w:szCs w:val="18"/>
              </w:rPr>
            </w:pPr>
            <w:r w:rsidRPr="00CB5289">
              <w:rPr>
                <w:sz w:val="18"/>
                <w:szCs w:val="18"/>
              </w:rPr>
              <w:t>&gt;99.9</w:t>
            </w:r>
          </w:p>
        </w:tc>
        <w:tc>
          <w:tcPr>
            <w:tcW w:w="696" w:type="pct"/>
            <w:tcBorders>
              <w:top w:val="dashSmallGap" w:sz="4" w:space="0" w:color="D8D8D8"/>
              <w:bottom w:val="dashSmallGap" w:sz="4" w:space="0" w:color="D8D8D8"/>
            </w:tcBorders>
            <w:shd w:val="clear" w:color="auto" w:fill="ECECEC"/>
            <w:vAlign w:val="center"/>
          </w:tcPr>
          <w:p w14:paraId="34F59FE4" w14:textId="137CDF85" w:rsidR="006407DD" w:rsidRPr="00CB5289" w:rsidRDefault="00CB5289" w:rsidP="006407DD">
            <w:pPr>
              <w:pStyle w:val="TableParagraph"/>
              <w:spacing w:line="240" w:lineRule="auto"/>
              <w:rPr>
                <w:sz w:val="18"/>
                <w:szCs w:val="18"/>
              </w:rPr>
            </w:pPr>
            <w:r>
              <w:rPr>
                <w:sz w:val="18"/>
                <w:szCs w:val="18"/>
              </w:rPr>
              <w:t>79.6</w:t>
            </w:r>
          </w:p>
        </w:tc>
        <w:tc>
          <w:tcPr>
            <w:tcW w:w="696" w:type="pct"/>
            <w:tcBorders>
              <w:top w:val="dashSmallGap" w:sz="4" w:space="0" w:color="D8D8D8"/>
              <w:bottom w:val="dashSmallGap" w:sz="4" w:space="0" w:color="D8D8D8"/>
            </w:tcBorders>
            <w:shd w:val="clear" w:color="auto" w:fill="ECECEC"/>
            <w:vAlign w:val="center"/>
          </w:tcPr>
          <w:p w14:paraId="4E03CDE3" w14:textId="620493AE" w:rsidR="006407DD" w:rsidRPr="00CB5289" w:rsidRDefault="00CB5289" w:rsidP="006407DD">
            <w:pPr>
              <w:pStyle w:val="TableParagraph"/>
              <w:spacing w:line="240" w:lineRule="auto"/>
              <w:rPr>
                <w:sz w:val="18"/>
                <w:szCs w:val="18"/>
              </w:rPr>
            </w:pPr>
            <w:r>
              <w:rPr>
                <w:sz w:val="18"/>
                <w:szCs w:val="18"/>
              </w:rPr>
              <w:t>68.3</w:t>
            </w:r>
          </w:p>
        </w:tc>
        <w:tc>
          <w:tcPr>
            <w:tcW w:w="696" w:type="pct"/>
            <w:tcBorders>
              <w:top w:val="dashSmallGap" w:sz="4" w:space="0" w:color="D8D8D8"/>
              <w:bottom w:val="dashSmallGap" w:sz="4" w:space="0" w:color="D8D8D8"/>
            </w:tcBorders>
            <w:shd w:val="clear" w:color="auto" w:fill="ECECEC"/>
            <w:vAlign w:val="center"/>
          </w:tcPr>
          <w:p w14:paraId="02FE5210" w14:textId="77777777" w:rsidR="006407DD" w:rsidRPr="00CB5289" w:rsidRDefault="006407DD" w:rsidP="006407DD">
            <w:pPr>
              <w:pStyle w:val="TableParagraph"/>
              <w:spacing w:line="240" w:lineRule="auto"/>
              <w:rPr>
                <w:sz w:val="18"/>
                <w:szCs w:val="18"/>
              </w:rPr>
            </w:pPr>
            <w:r w:rsidRPr="00CB5289">
              <w:rPr>
                <w:sz w:val="18"/>
                <w:szCs w:val="18"/>
              </w:rPr>
              <w:t>-</w:t>
            </w:r>
          </w:p>
        </w:tc>
      </w:tr>
      <w:tr w:rsidR="006407DD" w:rsidRPr="00A76818" w14:paraId="4FC608EF" w14:textId="77777777" w:rsidTr="00BB21F9">
        <w:trPr>
          <w:gridAfter w:val="1"/>
          <w:wAfter w:w="12" w:type="pct"/>
          <w:trHeight w:val="602"/>
        </w:trPr>
        <w:tc>
          <w:tcPr>
            <w:tcW w:w="4988" w:type="pct"/>
            <w:gridSpan w:val="6"/>
            <w:tcBorders>
              <w:top w:val="single" w:sz="4" w:space="0" w:color="000000"/>
              <w:bottom w:val="dashSmallGap" w:sz="4" w:space="0" w:color="D8D8D8"/>
            </w:tcBorders>
            <w:shd w:val="clear" w:color="auto" w:fill="ECECEC"/>
          </w:tcPr>
          <w:p w14:paraId="77ECBAC5" w14:textId="0BE113D8" w:rsidR="006407DD" w:rsidRPr="00A76818" w:rsidRDefault="006407DD" w:rsidP="006407DD">
            <w:pPr>
              <w:pStyle w:val="TableParagraph"/>
              <w:spacing w:line="240" w:lineRule="auto"/>
              <w:ind w:right="5126"/>
              <w:jc w:val="left"/>
              <w:rPr>
                <w:b/>
                <w:sz w:val="18"/>
                <w:szCs w:val="18"/>
              </w:rPr>
            </w:pPr>
            <w:r w:rsidRPr="00A76818">
              <w:rPr>
                <w:b/>
                <w:sz w:val="18"/>
                <w:szCs w:val="18"/>
              </w:rPr>
              <w:t>Secondary</w:t>
            </w:r>
            <w:r w:rsidRPr="00A76818">
              <w:rPr>
                <w:b/>
                <w:spacing w:val="-6"/>
                <w:sz w:val="18"/>
                <w:szCs w:val="18"/>
              </w:rPr>
              <w:t xml:space="preserve"> </w:t>
            </w:r>
            <w:r w:rsidRPr="00A76818">
              <w:rPr>
                <w:b/>
                <w:sz w:val="18"/>
                <w:szCs w:val="18"/>
              </w:rPr>
              <w:t>Analysis</w:t>
            </w:r>
            <w:r w:rsidRPr="00A76818">
              <w:rPr>
                <w:b/>
                <w:spacing w:val="-3"/>
                <w:sz w:val="18"/>
                <w:szCs w:val="18"/>
              </w:rPr>
              <w:t xml:space="preserve"> </w:t>
            </w:r>
            <w:r w:rsidRPr="00A76818">
              <w:rPr>
                <w:b/>
                <w:sz w:val="18"/>
                <w:szCs w:val="18"/>
              </w:rPr>
              <w:t>of</w:t>
            </w:r>
            <w:r w:rsidRPr="00A76818">
              <w:rPr>
                <w:b/>
                <w:spacing w:val="-6"/>
                <w:sz w:val="18"/>
                <w:szCs w:val="18"/>
              </w:rPr>
              <w:t xml:space="preserve"> </w:t>
            </w:r>
            <w:r>
              <w:rPr>
                <w:b/>
                <w:sz w:val="18"/>
                <w:szCs w:val="18"/>
              </w:rPr>
              <w:t>Hospital Survival</w:t>
            </w:r>
            <w:r w:rsidRPr="00A76818">
              <w:rPr>
                <w:sz w:val="18"/>
                <w:szCs w:val="18"/>
              </w:rPr>
              <w:t>,</w:t>
            </w:r>
            <w:r w:rsidRPr="00A76818">
              <w:rPr>
                <w:spacing w:val="-6"/>
                <w:sz w:val="18"/>
                <w:szCs w:val="18"/>
              </w:rPr>
              <w:t xml:space="preserve"> </w:t>
            </w:r>
            <w:r w:rsidRPr="00A76818">
              <w:rPr>
                <w:sz w:val="18"/>
                <w:szCs w:val="18"/>
              </w:rPr>
              <w:t xml:space="preserve">for </w:t>
            </w:r>
            <w:r>
              <w:rPr>
                <w:sz w:val="18"/>
                <w:szCs w:val="18"/>
              </w:rPr>
              <w:t>Immune Modulation Therapy ITT population</w:t>
            </w:r>
          </w:p>
        </w:tc>
      </w:tr>
      <w:tr w:rsidR="006407DD" w:rsidRPr="00CA20E0" w14:paraId="216BE962" w14:textId="77777777" w:rsidTr="00BB21F9">
        <w:trPr>
          <w:gridAfter w:val="1"/>
          <w:wAfter w:w="12" w:type="pct"/>
          <w:trHeight w:val="285"/>
        </w:trPr>
        <w:tc>
          <w:tcPr>
            <w:tcW w:w="1509" w:type="pct"/>
            <w:tcBorders>
              <w:top w:val="dashSmallGap" w:sz="4" w:space="0" w:color="D8D8D8"/>
              <w:bottom w:val="dashSmallGap" w:sz="4" w:space="0" w:color="D8D8D8"/>
            </w:tcBorders>
            <w:shd w:val="clear" w:color="auto" w:fill="ECECEC"/>
          </w:tcPr>
          <w:p w14:paraId="7B518BEB" w14:textId="77777777" w:rsidR="006407DD" w:rsidRPr="00CC2AB5" w:rsidRDefault="006407DD" w:rsidP="006407DD">
            <w:pPr>
              <w:pStyle w:val="TableParagraph"/>
              <w:spacing w:line="240" w:lineRule="auto"/>
              <w:jc w:val="left"/>
              <w:rPr>
                <w:sz w:val="18"/>
                <w:szCs w:val="18"/>
              </w:rPr>
            </w:pPr>
            <w:r w:rsidRPr="00CC2AB5">
              <w:rPr>
                <w:sz w:val="18"/>
                <w:szCs w:val="18"/>
              </w:rPr>
              <w:t>Adjusted</w:t>
            </w:r>
            <w:r w:rsidRPr="00CC2AB5">
              <w:rPr>
                <w:spacing w:val="-3"/>
                <w:sz w:val="18"/>
                <w:szCs w:val="18"/>
              </w:rPr>
              <w:t xml:space="preserve"> </w:t>
            </w:r>
            <w:r w:rsidRPr="00CC2AB5">
              <w:rPr>
                <w:sz w:val="18"/>
                <w:szCs w:val="18"/>
              </w:rPr>
              <w:t>OR</w:t>
            </w:r>
            <w:r w:rsidRPr="00CC2AB5">
              <w:rPr>
                <w:spacing w:val="2"/>
                <w:sz w:val="18"/>
                <w:szCs w:val="18"/>
              </w:rPr>
              <w:t xml:space="preserve"> </w:t>
            </w:r>
            <w:r w:rsidRPr="00CC2AB5">
              <w:rPr>
                <w:sz w:val="18"/>
                <w:szCs w:val="18"/>
              </w:rPr>
              <w:t>-</w:t>
            </w:r>
            <w:r w:rsidRPr="00CC2AB5">
              <w:rPr>
                <w:spacing w:val="-2"/>
                <w:sz w:val="18"/>
                <w:szCs w:val="18"/>
              </w:rPr>
              <w:t xml:space="preserve"> </w:t>
            </w:r>
            <w:r w:rsidRPr="00CC2AB5">
              <w:rPr>
                <w:sz w:val="18"/>
                <w:szCs w:val="18"/>
              </w:rPr>
              <w:t>mean</w:t>
            </w:r>
            <w:r w:rsidRPr="00CC2AB5">
              <w:rPr>
                <w:spacing w:val="-3"/>
                <w:sz w:val="18"/>
                <w:szCs w:val="18"/>
              </w:rPr>
              <w:t xml:space="preserve"> </w:t>
            </w:r>
            <w:r w:rsidRPr="00CC2AB5">
              <w:rPr>
                <w:sz w:val="18"/>
                <w:szCs w:val="18"/>
              </w:rPr>
              <w:t>(SD)</w:t>
            </w:r>
          </w:p>
        </w:tc>
        <w:tc>
          <w:tcPr>
            <w:tcW w:w="696" w:type="pct"/>
            <w:tcBorders>
              <w:top w:val="dashSmallGap" w:sz="4" w:space="0" w:color="D8D8D8"/>
              <w:bottom w:val="dashSmallGap" w:sz="4" w:space="0" w:color="D8D8D8"/>
            </w:tcBorders>
            <w:shd w:val="clear" w:color="auto" w:fill="ECECEC"/>
            <w:vAlign w:val="center"/>
          </w:tcPr>
          <w:p w14:paraId="0271A113" w14:textId="5A51A028" w:rsidR="006407DD" w:rsidRPr="00CC2AB5" w:rsidRDefault="00CC2AB5" w:rsidP="006407DD">
            <w:pPr>
              <w:pStyle w:val="TableParagraph"/>
              <w:spacing w:line="240" w:lineRule="auto"/>
              <w:rPr>
                <w:sz w:val="18"/>
                <w:szCs w:val="18"/>
              </w:rPr>
            </w:pPr>
            <w:r w:rsidRPr="00CC2AB5">
              <w:rPr>
                <w:sz w:val="18"/>
                <w:szCs w:val="18"/>
              </w:rPr>
              <w:t>1.55 (0.25)</w:t>
            </w:r>
          </w:p>
        </w:tc>
        <w:tc>
          <w:tcPr>
            <w:tcW w:w="696" w:type="pct"/>
            <w:tcBorders>
              <w:top w:val="dashSmallGap" w:sz="4" w:space="0" w:color="D8D8D8"/>
              <w:bottom w:val="dashSmallGap" w:sz="4" w:space="0" w:color="D8D8D8"/>
            </w:tcBorders>
            <w:shd w:val="clear" w:color="auto" w:fill="ECECEC"/>
            <w:vAlign w:val="center"/>
          </w:tcPr>
          <w:p w14:paraId="5C3CFC30" w14:textId="74C62395" w:rsidR="006407DD" w:rsidRPr="00CC2AB5" w:rsidRDefault="00CC2AB5" w:rsidP="006407DD">
            <w:pPr>
              <w:pStyle w:val="TableParagraph"/>
              <w:spacing w:line="240" w:lineRule="auto"/>
              <w:rPr>
                <w:sz w:val="18"/>
                <w:szCs w:val="18"/>
              </w:rPr>
            </w:pPr>
            <w:r w:rsidRPr="00CC2AB5">
              <w:rPr>
                <w:sz w:val="18"/>
                <w:szCs w:val="18"/>
              </w:rPr>
              <w:t>1.78 (0.23)</w:t>
            </w:r>
          </w:p>
        </w:tc>
        <w:tc>
          <w:tcPr>
            <w:tcW w:w="696" w:type="pct"/>
            <w:tcBorders>
              <w:top w:val="dashSmallGap" w:sz="4" w:space="0" w:color="D8D8D8"/>
              <w:bottom w:val="dashSmallGap" w:sz="4" w:space="0" w:color="D8D8D8"/>
            </w:tcBorders>
            <w:shd w:val="clear" w:color="auto" w:fill="ECECEC"/>
            <w:vAlign w:val="center"/>
          </w:tcPr>
          <w:p w14:paraId="2AA3B6AD" w14:textId="5218C9C9" w:rsidR="006407DD" w:rsidRPr="00CC2AB5" w:rsidRDefault="00CC2AB5" w:rsidP="00CC2AB5">
            <w:pPr>
              <w:pStyle w:val="TableParagraph"/>
              <w:spacing w:line="240" w:lineRule="auto"/>
              <w:rPr>
                <w:sz w:val="18"/>
                <w:szCs w:val="18"/>
              </w:rPr>
            </w:pPr>
            <w:r w:rsidRPr="00CC2AB5">
              <w:rPr>
                <w:sz w:val="18"/>
                <w:szCs w:val="18"/>
              </w:rPr>
              <w:t>1.14 (0.23)</w:t>
            </w:r>
          </w:p>
        </w:tc>
        <w:tc>
          <w:tcPr>
            <w:tcW w:w="696" w:type="pct"/>
            <w:tcBorders>
              <w:top w:val="dashSmallGap" w:sz="4" w:space="0" w:color="D8D8D8"/>
              <w:bottom w:val="dashSmallGap" w:sz="4" w:space="0" w:color="D8D8D8"/>
            </w:tcBorders>
            <w:shd w:val="clear" w:color="auto" w:fill="ECECEC"/>
            <w:vAlign w:val="center"/>
          </w:tcPr>
          <w:p w14:paraId="65A3D147" w14:textId="6011EFD7" w:rsidR="006407DD" w:rsidRPr="00CC2AB5" w:rsidRDefault="00CC2AB5" w:rsidP="006407DD">
            <w:pPr>
              <w:pStyle w:val="TableParagraph"/>
              <w:spacing w:line="240" w:lineRule="auto"/>
              <w:rPr>
                <w:sz w:val="18"/>
                <w:szCs w:val="18"/>
              </w:rPr>
            </w:pPr>
            <w:r w:rsidRPr="00CC2AB5">
              <w:rPr>
                <w:sz w:val="18"/>
                <w:szCs w:val="18"/>
              </w:rPr>
              <w:t>1.42 (0.71)</w:t>
            </w:r>
          </w:p>
        </w:tc>
        <w:tc>
          <w:tcPr>
            <w:tcW w:w="696" w:type="pct"/>
            <w:tcBorders>
              <w:top w:val="dashSmallGap" w:sz="4" w:space="0" w:color="D8D8D8"/>
              <w:bottom w:val="dashSmallGap" w:sz="4" w:space="0" w:color="D8D8D8"/>
            </w:tcBorders>
            <w:shd w:val="clear" w:color="auto" w:fill="ECECEC"/>
            <w:vAlign w:val="center"/>
          </w:tcPr>
          <w:p w14:paraId="58A0871B" w14:textId="77777777" w:rsidR="006407DD" w:rsidRPr="00CC2AB5" w:rsidRDefault="006407DD" w:rsidP="006407DD">
            <w:pPr>
              <w:pStyle w:val="TableParagraph"/>
              <w:spacing w:line="240" w:lineRule="auto"/>
              <w:rPr>
                <w:sz w:val="18"/>
                <w:szCs w:val="18"/>
              </w:rPr>
            </w:pPr>
            <w:r w:rsidRPr="00CC2AB5">
              <w:rPr>
                <w:sz w:val="18"/>
                <w:szCs w:val="18"/>
              </w:rPr>
              <w:t>1</w:t>
            </w:r>
          </w:p>
        </w:tc>
      </w:tr>
      <w:tr w:rsidR="006407DD" w:rsidRPr="00CA20E0" w14:paraId="5F1D9F7B" w14:textId="77777777" w:rsidTr="00BB21F9">
        <w:trPr>
          <w:gridAfter w:val="1"/>
          <w:wAfter w:w="12" w:type="pct"/>
          <w:trHeight w:val="285"/>
        </w:trPr>
        <w:tc>
          <w:tcPr>
            <w:tcW w:w="1509" w:type="pct"/>
            <w:tcBorders>
              <w:top w:val="dashSmallGap" w:sz="4" w:space="0" w:color="D8D8D8"/>
              <w:bottom w:val="dashSmallGap" w:sz="4" w:space="0" w:color="D8D8D8"/>
            </w:tcBorders>
            <w:shd w:val="clear" w:color="auto" w:fill="ECECEC"/>
          </w:tcPr>
          <w:p w14:paraId="43E50E85" w14:textId="77777777" w:rsidR="006407DD" w:rsidRPr="00CC2AB5" w:rsidRDefault="006407DD" w:rsidP="006407DD">
            <w:pPr>
              <w:pStyle w:val="TableParagraph"/>
              <w:spacing w:line="240" w:lineRule="auto"/>
              <w:jc w:val="left"/>
              <w:rPr>
                <w:sz w:val="18"/>
                <w:szCs w:val="18"/>
              </w:rPr>
            </w:pPr>
            <w:r w:rsidRPr="00CC2AB5">
              <w:rPr>
                <w:sz w:val="18"/>
                <w:szCs w:val="18"/>
              </w:rPr>
              <w:t>-</w:t>
            </w:r>
            <w:r w:rsidRPr="00CC2AB5">
              <w:rPr>
                <w:spacing w:val="-3"/>
                <w:sz w:val="18"/>
                <w:szCs w:val="18"/>
              </w:rPr>
              <w:t xml:space="preserve"> </w:t>
            </w:r>
            <w:r w:rsidRPr="00CC2AB5">
              <w:rPr>
                <w:sz w:val="18"/>
                <w:szCs w:val="18"/>
              </w:rPr>
              <w:t>median</w:t>
            </w:r>
            <w:r w:rsidRPr="00CC2AB5">
              <w:rPr>
                <w:spacing w:val="-2"/>
                <w:sz w:val="18"/>
                <w:szCs w:val="18"/>
              </w:rPr>
              <w:t xml:space="preserve"> </w:t>
            </w:r>
            <w:r w:rsidRPr="00CC2AB5">
              <w:rPr>
                <w:sz w:val="18"/>
                <w:szCs w:val="18"/>
              </w:rPr>
              <w:t>(95%</w:t>
            </w:r>
            <w:r w:rsidRPr="00CC2AB5">
              <w:rPr>
                <w:spacing w:val="-1"/>
                <w:sz w:val="18"/>
                <w:szCs w:val="18"/>
              </w:rPr>
              <w:t xml:space="preserve"> </w:t>
            </w:r>
            <w:r w:rsidRPr="00CC2AB5">
              <w:rPr>
                <w:sz w:val="18"/>
                <w:szCs w:val="18"/>
              </w:rPr>
              <w:t>CrI)</w:t>
            </w:r>
          </w:p>
        </w:tc>
        <w:tc>
          <w:tcPr>
            <w:tcW w:w="696" w:type="pct"/>
            <w:tcBorders>
              <w:top w:val="dashSmallGap" w:sz="4" w:space="0" w:color="D8D8D8"/>
              <w:bottom w:val="dashSmallGap" w:sz="4" w:space="0" w:color="D8D8D8"/>
            </w:tcBorders>
            <w:shd w:val="clear" w:color="auto" w:fill="ECECEC"/>
            <w:vAlign w:val="center"/>
          </w:tcPr>
          <w:p w14:paraId="456AEDD1" w14:textId="1864322E" w:rsidR="006407DD" w:rsidRPr="00CC2AB5" w:rsidRDefault="00CC2AB5" w:rsidP="006407DD">
            <w:pPr>
              <w:pStyle w:val="TableParagraph"/>
              <w:spacing w:line="240" w:lineRule="auto"/>
              <w:rPr>
                <w:sz w:val="18"/>
                <w:szCs w:val="18"/>
              </w:rPr>
            </w:pPr>
            <w:r w:rsidRPr="00CC2AB5">
              <w:rPr>
                <w:sz w:val="18"/>
                <w:szCs w:val="18"/>
              </w:rPr>
              <w:t>1.53 (1.13 to 2.09)</w:t>
            </w:r>
          </w:p>
        </w:tc>
        <w:tc>
          <w:tcPr>
            <w:tcW w:w="696" w:type="pct"/>
            <w:tcBorders>
              <w:top w:val="dashSmallGap" w:sz="4" w:space="0" w:color="D8D8D8"/>
              <w:bottom w:val="dashSmallGap" w:sz="4" w:space="0" w:color="D8D8D8"/>
            </w:tcBorders>
            <w:shd w:val="clear" w:color="auto" w:fill="ECECEC"/>
            <w:vAlign w:val="center"/>
          </w:tcPr>
          <w:p w14:paraId="32323B2D" w14:textId="325B3F84" w:rsidR="006407DD" w:rsidRPr="00CC2AB5" w:rsidRDefault="00CC2AB5" w:rsidP="006407DD">
            <w:pPr>
              <w:pStyle w:val="TableParagraph"/>
              <w:spacing w:line="240" w:lineRule="auto"/>
              <w:rPr>
                <w:sz w:val="18"/>
                <w:szCs w:val="18"/>
              </w:rPr>
            </w:pPr>
            <w:r w:rsidRPr="00CC2AB5">
              <w:rPr>
                <w:sz w:val="18"/>
                <w:szCs w:val="18"/>
              </w:rPr>
              <w:t>1.74 (1.21 to 2.54)</w:t>
            </w:r>
          </w:p>
        </w:tc>
        <w:tc>
          <w:tcPr>
            <w:tcW w:w="696" w:type="pct"/>
            <w:tcBorders>
              <w:top w:val="dashSmallGap" w:sz="4" w:space="0" w:color="D8D8D8"/>
              <w:bottom w:val="dashSmallGap" w:sz="4" w:space="0" w:color="D8D8D8"/>
            </w:tcBorders>
            <w:shd w:val="clear" w:color="auto" w:fill="ECECEC"/>
            <w:vAlign w:val="center"/>
          </w:tcPr>
          <w:p w14:paraId="4C14F56E" w14:textId="3FBE770F" w:rsidR="006407DD" w:rsidRPr="00CC2AB5" w:rsidRDefault="00CC2AB5" w:rsidP="006407DD">
            <w:pPr>
              <w:pStyle w:val="TableParagraph"/>
              <w:spacing w:line="240" w:lineRule="auto"/>
              <w:rPr>
                <w:sz w:val="18"/>
                <w:szCs w:val="18"/>
              </w:rPr>
            </w:pPr>
            <w:r w:rsidRPr="00CC2AB5">
              <w:rPr>
                <w:sz w:val="18"/>
                <w:szCs w:val="18"/>
              </w:rPr>
              <w:t>1.12 (0.76 to 1.66)</w:t>
            </w:r>
          </w:p>
        </w:tc>
        <w:tc>
          <w:tcPr>
            <w:tcW w:w="696" w:type="pct"/>
            <w:tcBorders>
              <w:top w:val="dashSmallGap" w:sz="4" w:space="0" w:color="D8D8D8"/>
              <w:bottom w:val="dashSmallGap" w:sz="4" w:space="0" w:color="D8D8D8"/>
            </w:tcBorders>
            <w:shd w:val="clear" w:color="auto" w:fill="ECECEC"/>
            <w:vAlign w:val="center"/>
          </w:tcPr>
          <w:p w14:paraId="5B184CC2" w14:textId="0B99DD78" w:rsidR="006407DD" w:rsidRPr="00CC2AB5" w:rsidRDefault="00CC2AB5" w:rsidP="006407DD">
            <w:pPr>
              <w:pStyle w:val="TableParagraph"/>
              <w:spacing w:line="240" w:lineRule="auto"/>
              <w:rPr>
                <w:sz w:val="18"/>
                <w:szCs w:val="18"/>
              </w:rPr>
            </w:pPr>
            <w:r w:rsidRPr="00CC2AB5">
              <w:rPr>
                <w:sz w:val="18"/>
                <w:szCs w:val="18"/>
              </w:rPr>
              <w:t>1.27 (0.51 to 3.19)</w:t>
            </w:r>
          </w:p>
        </w:tc>
        <w:tc>
          <w:tcPr>
            <w:tcW w:w="696" w:type="pct"/>
            <w:tcBorders>
              <w:top w:val="dashSmallGap" w:sz="4" w:space="0" w:color="D8D8D8"/>
              <w:bottom w:val="dashSmallGap" w:sz="4" w:space="0" w:color="D8D8D8"/>
            </w:tcBorders>
            <w:shd w:val="clear" w:color="auto" w:fill="ECECEC"/>
            <w:vAlign w:val="center"/>
          </w:tcPr>
          <w:p w14:paraId="4E459979" w14:textId="77777777" w:rsidR="006407DD" w:rsidRPr="00CC2AB5" w:rsidRDefault="006407DD" w:rsidP="006407DD">
            <w:pPr>
              <w:pStyle w:val="TableParagraph"/>
              <w:spacing w:line="240" w:lineRule="auto"/>
              <w:rPr>
                <w:sz w:val="18"/>
                <w:szCs w:val="18"/>
              </w:rPr>
            </w:pPr>
            <w:r w:rsidRPr="00CC2AB5">
              <w:rPr>
                <w:sz w:val="18"/>
                <w:szCs w:val="18"/>
              </w:rPr>
              <w:t>1</w:t>
            </w:r>
          </w:p>
        </w:tc>
      </w:tr>
      <w:tr w:rsidR="006407DD" w:rsidRPr="00CA20E0" w14:paraId="510C6711" w14:textId="77777777" w:rsidTr="00BB21F9">
        <w:trPr>
          <w:gridAfter w:val="1"/>
          <w:wAfter w:w="12" w:type="pct"/>
          <w:trHeight w:val="285"/>
        </w:trPr>
        <w:tc>
          <w:tcPr>
            <w:tcW w:w="1509" w:type="pct"/>
            <w:tcBorders>
              <w:top w:val="dashSmallGap" w:sz="4" w:space="0" w:color="D8D8D8"/>
              <w:bottom w:val="dashSmallGap" w:sz="4" w:space="0" w:color="D8D8D8"/>
            </w:tcBorders>
            <w:shd w:val="clear" w:color="auto" w:fill="ECECEC"/>
          </w:tcPr>
          <w:p w14:paraId="0E7C1A70" w14:textId="2E651A73" w:rsidR="006407DD" w:rsidRPr="00CC2AB5" w:rsidRDefault="006407DD" w:rsidP="006407DD">
            <w:pPr>
              <w:pStyle w:val="TableParagraph"/>
              <w:spacing w:line="240" w:lineRule="auto"/>
              <w:jc w:val="left"/>
              <w:rPr>
                <w:sz w:val="18"/>
                <w:szCs w:val="18"/>
              </w:rPr>
            </w:pPr>
            <w:r w:rsidRPr="00CC2AB5">
              <w:rPr>
                <w:sz w:val="18"/>
                <w:szCs w:val="18"/>
              </w:rPr>
              <w:t>Probability</w:t>
            </w:r>
            <w:r w:rsidRPr="00CC2AB5">
              <w:rPr>
                <w:spacing w:val="-6"/>
                <w:sz w:val="18"/>
                <w:szCs w:val="18"/>
              </w:rPr>
              <w:t xml:space="preserve"> </w:t>
            </w:r>
            <w:r w:rsidRPr="00CC2AB5">
              <w:rPr>
                <w:sz w:val="18"/>
                <w:szCs w:val="18"/>
              </w:rPr>
              <w:t>of</w:t>
            </w:r>
            <w:r w:rsidRPr="00CC2AB5">
              <w:rPr>
                <w:spacing w:val="-3"/>
                <w:sz w:val="18"/>
                <w:szCs w:val="18"/>
              </w:rPr>
              <w:t xml:space="preserve"> </w:t>
            </w:r>
            <w:r w:rsidRPr="00CC2AB5">
              <w:rPr>
                <w:sz w:val="18"/>
                <w:szCs w:val="18"/>
              </w:rPr>
              <w:t>superiority</w:t>
            </w:r>
            <w:r w:rsidRPr="00CC2AB5">
              <w:rPr>
                <w:spacing w:val="-5"/>
                <w:sz w:val="18"/>
                <w:szCs w:val="18"/>
              </w:rPr>
              <w:t xml:space="preserve"> </w:t>
            </w:r>
            <w:r w:rsidRPr="00CC2AB5">
              <w:rPr>
                <w:sz w:val="18"/>
                <w:szCs w:val="18"/>
              </w:rPr>
              <w:t>to</w:t>
            </w:r>
            <w:r w:rsidRPr="00CC2AB5">
              <w:rPr>
                <w:spacing w:val="-4"/>
                <w:sz w:val="18"/>
                <w:szCs w:val="18"/>
              </w:rPr>
              <w:t xml:space="preserve"> </w:t>
            </w:r>
            <w:r w:rsidRPr="00CC2AB5">
              <w:rPr>
                <w:sz w:val="18"/>
                <w:szCs w:val="18"/>
              </w:rPr>
              <w:t>control,</w:t>
            </w:r>
            <w:r w:rsidRPr="00CC2AB5">
              <w:rPr>
                <w:spacing w:val="-3"/>
                <w:sz w:val="18"/>
                <w:szCs w:val="18"/>
              </w:rPr>
              <w:t xml:space="preserve"> </w:t>
            </w:r>
            <w:r w:rsidRPr="00CC2AB5">
              <w:rPr>
                <w:sz w:val="18"/>
                <w:szCs w:val="18"/>
              </w:rPr>
              <w:t>%</w:t>
            </w:r>
          </w:p>
        </w:tc>
        <w:tc>
          <w:tcPr>
            <w:tcW w:w="696" w:type="pct"/>
            <w:tcBorders>
              <w:top w:val="dashSmallGap" w:sz="4" w:space="0" w:color="D8D8D8"/>
              <w:bottom w:val="dashSmallGap" w:sz="4" w:space="0" w:color="D8D8D8"/>
            </w:tcBorders>
            <w:shd w:val="clear" w:color="auto" w:fill="ECECEC"/>
            <w:vAlign w:val="center"/>
          </w:tcPr>
          <w:p w14:paraId="4A0EEB9E" w14:textId="743E9044" w:rsidR="006407DD" w:rsidRPr="00CC2AB5" w:rsidRDefault="00CC2AB5" w:rsidP="006407DD">
            <w:pPr>
              <w:pStyle w:val="TableParagraph"/>
              <w:spacing w:line="240" w:lineRule="auto"/>
              <w:rPr>
                <w:sz w:val="18"/>
                <w:szCs w:val="18"/>
              </w:rPr>
            </w:pPr>
            <w:r w:rsidRPr="00CC2AB5">
              <w:rPr>
                <w:sz w:val="18"/>
                <w:szCs w:val="18"/>
              </w:rPr>
              <w:t>99.8</w:t>
            </w:r>
          </w:p>
        </w:tc>
        <w:tc>
          <w:tcPr>
            <w:tcW w:w="696" w:type="pct"/>
            <w:tcBorders>
              <w:top w:val="dashSmallGap" w:sz="4" w:space="0" w:color="D8D8D8"/>
              <w:bottom w:val="dashSmallGap" w:sz="4" w:space="0" w:color="D8D8D8"/>
            </w:tcBorders>
            <w:shd w:val="clear" w:color="auto" w:fill="ECECEC"/>
            <w:vAlign w:val="center"/>
          </w:tcPr>
          <w:p w14:paraId="3971D754" w14:textId="7A1FB361" w:rsidR="006407DD" w:rsidRPr="00CC2AB5" w:rsidRDefault="00CC2AB5" w:rsidP="006407DD">
            <w:pPr>
              <w:pStyle w:val="TableParagraph"/>
              <w:spacing w:line="240" w:lineRule="auto"/>
              <w:rPr>
                <w:sz w:val="18"/>
                <w:szCs w:val="18"/>
              </w:rPr>
            </w:pPr>
            <w:r w:rsidRPr="00CC2AB5">
              <w:rPr>
                <w:sz w:val="18"/>
                <w:szCs w:val="18"/>
              </w:rPr>
              <w:t>99.9</w:t>
            </w:r>
          </w:p>
        </w:tc>
        <w:tc>
          <w:tcPr>
            <w:tcW w:w="696" w:type="pct"/>
            <w:tcBorders>
              <w:top w:val="dashSmallGap" w:sz="4" w:space="0" w:color="D8D8D8"/>
              <w:bottom w:val="dashSmallGap" w:sz="4" w:space="0" w:color="D8D8D8"/>
            </w:tcBorders>
            <w:shd w:val="clear" w:color="auto" w:fill="ECECEC"/>
            <w:vAlign w:val="center"/>
          </w:tcPr>
          <w:p w14:paraId="5F5E7D91" w14:textId="38C19BBF" w:rsidR="006407DD" w:rsidRPr="00CC2AB5" w:rsidRDefault="00CC2AB5" w:rsidP="006407DD">
            <w:pPr>
              <w:pStyle w:val="TableParagraph"/>
              <w:spacing w:line="240" w:lineRule="auto"/>
              <w:rPr>
                <w:sz w:val="18"/>
                <w:szCs w:val="18"/>
              </w:rPr>
            </w:pPr>
            <w:r w:rsidRPr="00CC2AB5">
              <w:rPr>
                <w:sz w:val="18"/>
                <w:szCs w:val="18"/>
              </w:rPr>
              <w:t>70.9</w:t>
            </w:r>
          </w:p>
        </w:tc>
        <w:tc>
          <w:tcPr>
            <w:tcW w:w="696" w:type="pct"/>
            <w:tcBorders>
              <w:top w:val="dashSmallGap" w:sz="4" w:space="0" w:color="D8D8D8"/>
              <w:bottom w:val="dashSmallGap" w:sz="4" w:space="0" w:color="D8D8D8"/>
            </w:tcBorders>
            <w:shd w:val="clear" w:color="auto" w:fill="ECECEC"/>
            <w:vAlign w:val="center"/>
          </w:tcPr>
          <w:p w14:paraId="47040B87" w14:textId="1CA5A9B6" w:rsidR="006407DD" w:rsidRPr="00CC2AB5" w:rsidRDefault="00CC2AB5" w:rsidP="006407DD">
            <w:pPr>
              <w:pStyle w:val="TableParagraph"/>
              <w:spacing w:line="240" w:lineRule="auto"/>
              <w:rPr>
                <w:sz w:val="18"/>
                <w:szCs w:val="18"/>
              </w:rPr>
            </w:pPr>
            <w:r w:rsidRPr="00CC2AB5">
              <w:rPr>
                <w:sz w:val="18"/>
                <w:szCs w:val="18"/>
              </w:rPr>
              <w:t>69.4</w:t>
            </w:r>
          </w:p>
        </w:tc>
        <w:tc>
          <w:tcPr>
            <w:tcW w:w="696" w:type="pct"/>
            <w:tcBorders>
              <w:top w:val="dashSmallGap" w:sz="4" w:space="0" w:color="D8D8D8"/>
              <w:bottom w:val="dashSmallGap" w:sz="4" w:space="0" w:color="D8D8D8"/>
            </w:tcBorders>
            <w:shd w:val="clear" w:color="auto" w:fill="ECECEC"/>
            <w:vAlign w:val="center"/>
          </w:tcPr>
          <w:p w14:paraId="013B0A72" w14:textId="77777777" w:rsidR="006407DD" w:rsidRPr="00CC2AB5" w:rsidRDefault="006407DD" w:rsidP="006407DD">
            <w:pPr>
              <w:pStyle w:val="TableParagraph"/>
              <w:spacing w:line="240" w:lineRule="auto"/>
              <w:rPr>
                <w:sz w:val="18"/>
                <w:szCs w:val="18"/>
              </w:rPr>
            </w:pPr>
            <w:r w:rsidRPr="00CC2AB5">
              <w:rPr>
                <w:sz w:val="18"/>
                <w:szCs w:val="18"/>
              </w:rPr>
              <w:t>-</w:t>
            </w:r>
          </w:p>
        </w:tc>
      </w:tr>
      <w:tr w:rsidR="006407DD" w:rsidRPr="00A76818" w14:paraId="3CF0F191" w14:textId="77777777" w:rsidTr="00BB21F9">
        <w:trPr>
          <w:gridAfter w:val="1"/>
          <w:wAfter w:w="12" w:type="pct"/>
          <w:trHeight w:val="572"/>
        </w:trPr>
        <w:tc>
          <w:tcPr>
            <w:tcW w:w="4988" w:type="pct"/>
            <w:gridSpan w:val="6"/>
            <w:tcBorders>
              <w:top w:val="dashSmallGap" w:sz="4" w:space="0" w:color="D8D8D8"/>
              <w:bottom w:val="dashSmallGap" w:sz="4" w:space="0" w:color="D8D8D8"/>
            </w:tcBorders>
            <w:shd w:val="clear" w:color="auto" w:fill="ECECEC"/>
          </w:tcPr>
          <w:p w14:paraId="21F7DD49" w14:textId="6A029AF5" w:rsidR="006407DD" w:rsidRPr="006407DD" w:rsidRDefault="006407DD" w:rsidP="006407DD">
            <w:pPr>
              <w:pStyle w:val="TableParagraph"/>
              <w:ind w:right="5491"/>
              <w:jc w:val="left"/>
              <w:rPr>
                <w:sz w:val="18"/>
                <w:szCs w:val="18"/>
              </w:rPr>
            </w:pPr>
            <w:r w:rsidRPr="00A76818">
              <w:rPr>
                <w:b/>
                <w:sz w:val="18"/>
                <w:szCs w:val="18"/>
              </w:rPr>
              <w:t>Secondary</w:t>
            </w:r>
            <w:r w:rsidRPr="00A76818">
              <w:rPr>
                <w:b/>
                <w:spacing w:val="-6"/>
                <w:sz w:val="18"/>
                <w:szCs w:val="18"/>
              </w:rPr>
              <w:t xml:space="preserve"> </w:t>
            </w:r>
            <w:r w:rsidRPr="00A76818">
              <w:rPr>
                <w:b/>
                <w:sz w:val="18"/>
                <w:szCs w:val="18"/>
              </w:rPr>
              <w:t>Analysis</w:t>
            </w:r>
            <w:r w:rsidRPr="00A76818">
              <w:rPr>
                <w:b/>
                <w:spacing w:val="-3"/>
                <w:sz w:val="18"/>
                <w:szCs w:val="18"/>
              </w:rPr>
              <w:t xml:space="preserve"> </w:t>
            </w:r>
            <w:r w:rsidRPr="00A76818">
              <w:rPr>
                <w:b/>
                <w:sz w:val="18"/>
                <w:szCs w:val="18"/>
              </w:rPr>
              <w:t>of</w:t>
            </w:r>
            <w:r w:rsidRPr="00A76818">
              <w:rPr>
                <w:b/>
                <w:spacing w:val="-6"/>
                <w:sz w:val="18"/>
                <w:szCs w:val="18"/>
              </w:rPr>
              <w:t xml:space="preserve"> </w:t>
            </w:r>
            <w:r w:rsidRPr="00A76818">
              <w:rPr>
                <w:b/>
                <w:sz w:val="18"/>
                <w:szCs w:val="18"/>
              </w:rPr>
              <w:t>Primary</w:t>
            </w:r>
            <w:r w:rsidRPr="00A76818">
              <w:rPr>
                <w:b/>
                <w:spacing w:val="-1"/>
                <w:sz w:val="18"/>
                <w:szCs w:val="18"/>
              </w:rPr>
              <w:t xml:space="preserve"> </w:t>
            </w:r>
            <w:r w:rsidRPr="00A76818">
              <w:rPr>
                <w:b/>
                <w:sz w:val="18"/>
                <w:szCs w:val="18"/>
              </w:rPr>
              <w:t>Outcome</w:t>
            </w:r>
            <w:r w:rsidRPr="00A76818">
              <w:rPr>
                <w:sz w:val="18"/>
                <w:szCs w:val="18"/>
              </w:rPr>
              <w:t>,</w:t>
            </w:r>
            <w:r w:rsidRPr="00A76818">
              <w:rPr>
                <w:spacing w:val="-6"/>
                <w:sz w:val="18"/>
                <w:szCs w:val="18"/>
              </w:rPr>
              <w:t xml:space="preserve"> </w:t>
            </w:r>
            <w:r w:rsidRPr="00A76818">
              <w:rPr>
                <w:sz w:val="18"/>
                <w:szCs w:val="18"/>
              </w:rPr>
              <w:t xml:space="preserve">for </w:t>
            </w:r>
            <w:r w:rsidRPr="00CA20E0">
              <w:rPr>
                <w:sz w:val="18"/>
                <w:szCs w:val="18"/>
              </w:rPr>
              <w:t>Unblinded IT</w:t>
            </w:r>
            <w:r>
              <w:rPr>
                <w:sz w:val="18"/>
                <w:szCs w:val="18"/>
              </w:rPr>
              <w:t xml:space="preserve">T </w:t>
            </w:r>
            <w:r w:rsidRPr="00CA20E0">
              <w:rPr>
                <w:sz w:val="18"/>
                <w:szCs w:val="18"/>
              </w:rPr>
              <w:t>popula</w:t>
            </w:r>
            <w:r>
              <w:rPr>
                <w:sz w:val="18"/>
                <w:szCs w:val="18"/>
              </w:rPr>
              <w:t>ti</w:t>
            </w:r>
            <w:r w:rsidRPr="00CA20E0">
              <w:rPr>
                <w:sz w:val="18"/>
                <w:szCs w:val="18"/>
              </w:rPr>
              <w:t xml:space="preserve">on with site and </w:t>
            </w:r>
            <w:r>
              <w:rPr>
                <w:sz w:val="18"/>
                <w:szCs w:val="18"/>
              </w:rPr>
              <w:t>ti</w:t>
            </w:r>
            <w:r w:rsidRPr="00CA20E0">
              <w:rPr>
                <w:sz w:val="18"/>
                <w:szCs w:val="18"/>
              </w:rPr>
              <w:t>me</w:t>
            </w:r>
            <w:r>
              <w:rPr>
                <w:sz w:val="18"/>
                <w:szCs w:val="18"/>
              </w:rPr>
              <w:t xml:space="preserve"> f</w:t>
            </w:r>
            <w:r w:rsidRPr="00CA20E0">
              <w:rPr>
                <w:sz w:val="18"/>
                <w:szCs w:val="18"/>
              </w:rPr>
              <w:t>actors removed</w:t>
            </w:r>
          </w:p>
        </w:tc>
      </w:tr>
      <w:tr w:rsidR="006407DD" w:rsidRPr="00CA20E0" w14:paraId="609C719F" w14:textId="77777777" w:rsidTr="00BB21F9">
        <w:trPr>
          <w:gridAfter w:val="1"/>
          <w:wAfter w:w="12" w:type="pct"/>
          <w:trHeight w:val="282"/>
        </w:trPr>
        <w:tc>
          <w:tcPr>
            <w:tcW w:w="1509" w:type="pct"/>
            <w:tcBorders>
              <w:top w:val="dashSmallGap" w:sz="4" w:space="0" w:color="D8D8D8"/>
              <w:bottom w:val="dashSmallGap" w:sz="6" w:space="0" w:color="D8D8D8"/>
            </w:tcBorders>
            <w:shd w:val="clear" w:color="auto" w:fill="ECECEC"/>
          </w:tcPr>
          <w:p w14:paraId="02701C6C" w14:textId="77777777" w:rsidR="006407DD" w:rsidRPr="00A76818" w:rsidRDefault="006407DD" w:rsidP="006407DD">
            <w:pPr>
              <w:pStyle w:val="TableParagraph"/>
              <w:spacing w:line="240" w:lineRule="auto"/>
              <w:jc w:val="left"/>
              <w:rPr>
                <w:sz w:val="18"/>
                <w:szCs w:val="18"/>
              </w:rPr>
            </w:pPr>
            <w:r w:rsidRPr="00A76818">
              <w:rPr>
                <w:sz w:val="18"/>
                <w:szCs w:val="18"/>
              </w:rPr>
              <w:t>Adjusted</w:t>
            </w:r>
            <w:r w:rsidRPr="00A76818">
              <w:rPr>
                <w:spacing w:val="-3"/>
                <w:sz w:val="18"/>
                <w:szCs w:val="18"/>
              </w:rPr>
              <w:t xml:space="preserve"> </w:t>
            </w:r>
            <w:r w:rsidRPr="00A76818">
              <w:rPr>
                <w:sz w:val="18"/>
                <w:szCs w:val="18"/>
              </w:rPr>
              <w:t>OR</w:t>
            </w:r>
            <w:r w:rsidRPr="00A76818">
              <w:rPr>
                <w:spacing w:val="2"/>
                <w:sz w:val="18"/>
                <w:szCs w:val="18"/>
              </w:rPr>
              <w:t xml:space="preserve"> </w:t>
            </w:r>
            <w:r w:rsidRPr="00A76818">
              <w:rPr>
                <w:sz w:val="18"/>
                <w:szCs w:val="18"/>
              </w:rPr>
              <w:t>-</w:t>
            </w:r>
            <w:r w:rsidRPr="00A76818">
              <w:rPr>
                <w:spacing w:val="-2"/>
                <w:sz w:val="18"/>
                <w:szCs w:val="18"/>
              </w:rPr>
              <w:t xml:space="preserve"> </w:t>
            </w:r>
            <w:r w:rsidRPr="00A76818">
              <w:rPr>
                <w:sz w:val="18"/>
                <w:szCs w:val="18"/>
              </w:rPr>
              <w:t>mean</w:t>
            </w:r>
            <w:r w:rsidRPr="00A76818">
              <w:rPr>
                <w:spacing w:val="-3"/>
                <w:sz w:val="18"/>
                <w:szCs w:val="18"/>
              </w:rPr>
              <w:t xml:space="preserve"> </w:t>
            </w:r>
            <w:r w:rsidRPr="00A76818">
              <w:rPr>
                <w:sz w:val="18"/>
                <w:szCs w:val="18"/>
              </w:rPr>
              <w:t>(SD)</w:t>
            </w:r>
          </w:p>
        </w:tc>
        <w:tc>
          <w:tcPr>
            <w:tcW w:w="696" w:type="pct"/>
            <w:tcBorders>
              <w:top w:val="dashSmallGap" w:sz="4" w:space="0" w:color="D8D8D8"/>
              <w:bottom w:val="dashSmallGap" w:sz="6" w:space="0" w:color="D8D8D8"/>
            </w:tcBorders>
            <w:shd w:val="clear" w:color="auto" w:fill="ECECEC"/>
            <w:vAlign w:val="center"/>
          </w:tcPr>
          <w:p w14:paraId="21FF1F6C" w14:textId="4B722F19" w:rsidR="006407DD" w:rsidRPr="00CB5289" w:rsidRDefault="00CB5289" w:rsidP="006407DD">
            <w:pPr>
              <w:pStyle w:val="TableParagraph"/>
              <w:spacing w:line="240" w:lineRule="auto"/>
              <w:rPr>
                <w:sz w:val="18"/>
                <w:szCs w:val="18"/>
              </w:rPr>
            </w:pPr>
            <w:r w:rsidRPr="00CB5289">
              <w:rPr>
                <w:sz w:val="18"/>
                <w:szCs w:val="18"/>
              </w:rPr>
              <w:t>1.42 (0.17)</w:t>
            </w:r>
          </w:p>
        </w:tc>
        <w:tc>
          <w:tcPr>
            <w:tcW w:w="696" w:type="pct"/>
            <w:tcBorders>
              <w:top w:val="dashSmallGap" w:sz="4" w:space="0" w:color="D8D8D8"/>
              <w:bottom w:val="dashSmallGap" w:sz="6" w:space="0" w:color="D8D8D8"/>
            </w:tcBorders>
            <w:shd w:val="clear" w:color="auto" w:fill="ECECEC"/>
            <w:vAlign w:val="center"/>
          </w:tcPr>
          <w:p w14:paraId="536530F3" w14:textId="5E055162" w:rsidR="006407DD" w:rsidRPr="00CB5289" w:rsidRDefault="00CB5289" w:rsidP="006407DD">
            <w:pPr>
              <w:pStyle w:val="TableParagraph"/>
              <w:spacing w:line="240" w:lineRule="auto"/>
              <w:rPr>
                <w:sz w:val="18"/>
                <w:szCs w:val="18"/>
              </w:rPr>
            </w:pPr>
            <w:r>
              <w:rPr>
                <w:sz w:val="18"/>
                <w:szCs w:val="18"/>
              </w:rPr>
              <w:t>1.39 (0.18)</w:t>
            </w:r>
          </w:p>
        </w:tc>
        <w:tc>
          <w:tcPr>
            <w:tcW w:w="696" w:type="pct"/>
            <w:tcBorders>
              <w:top w:val="dashSmallGap" w:sz="4" w:space="0" w:color="D8D8D8"/>
              <w:bottom w:val="dashSmallGap" w:sz="6" w:space="0" w:color="D8D8D8"/>
            </w:tcBorders>
            <w:shd w:val="clear" w:color="auto" w:fill="ECECEC"/>
            <w:vAlign w:val="center"/>
          </w:tcPr>
          <w:p w14:paraId="6C13CC64" w14:textId="6F34498A" w:rsidR="006407DD" w:rsidRPr="00CB5289" w:rsidRDefault="00CB5289" w:rsidP="006407DD">
            <w:pPr>
              <w:pStyle w:val="TableParagraph"/>
              <w:spacing w:line="240" w:lineRule="auto"/>
              <w:rPr>
                <w:sz w:val="18"/>
                <w:szCs w:val="18"/>
              </w:rPr>
            </w:pPr>
            <w:r>
              <w:rPr>
                <w:sz w:val="18"/>
                <w:szCs w:val="18"/>
              </w:rPr>
              <w:t>0.99 (0.14)</w:t>
            </w:r>
          </w:p>
        </w:tc>
        <w:tc>
          <w:tcPr>
            <w:tcW w:w="696" w:type="pct"/>
            <w:tcBorders>
              <w:top w:val="dashSmallGap" w:sz="4" w:space="0" w:color="D8D8D8"/>
              <w:bottom w:val="dashSmallGap" w:sz="6" w:space="0" w:color="D8D8D8"/>
            </w:tcBorders>
            <w:shd w:val="clear" w:color="auto" w:fill="ECECEC"/>
            <w:vAlign w:val="center"/>
          </w:tcPr>
          <w:p w14:paraId="4E950AAB" w14:textId="091404E4" w:rsidR="006407DD" w:rsidRPr="00CB5289" w:rsidRDefault="00CB5289" w:rsidP="006407DD">
            <w:pPr>
              <w:pStyle w:val="TableParagraph"/>
              <w:spacing w:line="240" w:lineRule="auto"/>
              <w:rPr>
                <w:sz w:val="18"/>
                <w:szCs w:val="18"/>
              </w:rPr>
            </w:pPr>
            <w:r>
              <w:rPr>
                <w:sz w:val="18"/>
                <w:szCs w:val="18"/>
              </w:rPr>
              <w:t>1.12 (0.46)</w:t>
            </w:r>
          </w:p>
        </w:tc>
        <w:tc>
          <w:tcPr>
            <w:tcW w:w="696" w:type="pct"/>
            <w:tcBorders>
              <w:top w:val="dashSmallGap" w:sz="4" w:space="0" w:color="D8D8D8"/>
              <w:bottom w:val="dashSmallGap" w:sz="6" w:space="0" w:color="D8D8D8"/>
            </w:tcBorders>
            <w:shd w:val="clear" w:color="auto" w:fill="ECECEC"/>
            <w:vAlign w:val="center"/>
          </w:tcPr>
          <w:p w14:paraId="46C72327" w14:textId="77777777" w:rsidR="006407DD" w:rsidRPr="00CB5289" w:rsidRDefault="006407DD" w:rsidP="006407DD">
            <w:pPr>
              <w:pStyle w:val="TableParagraph"/>
              <w:spacing w:line="240" w:lineRule="auto"/>
              <w:rPr>
                <w:sz w:val="18"/>
                <w:szCs w:val="18"/>
              </w:rPr>
            </w:pPr>
            <w:r w:rsidRPr="00CB5289">
              <w:rPr>
                <w:sz w:val="18"/>
                <w:szCs w:val="18"/>
              </w:rPr>
              <w:t>1</w:t>
            </w:r>
          </w:p>
        </w:tc>
      </w:tr>
      <w:tr w:rsidR="006407DD" w:rsidRPr="00CA20E0" w14:paraId="163716BB" w14:textId="77777777" w:rsidTr="00BB21F9">
        <w:trPr>
          <w:gridAfter w:val="1"/>
          <w:wAfter w:w="12" w:type="pct"/>
          <w:trHeight w:val="282"/>
        </w:trPr>
        <w:tc>
          <w:tcPr>
            <w:tcW w:w="1509" w:type="pct"/>
            <w:tcBorders>
              <w:top w:val="dashSmallGap" w:sz="6" w:space="0" w:color="D8D8D8"/>
              <w:bottom w:val="dashSmallGap" w:sz="4" w:space="0" w:color="D8D8D8"/>
            </w:tcBorders>
            <w:shd w:val="clear" w:color="auto" w:fill="ECECEC"/>
          </w:tcPr>
          <w:p w14:paraId="6CBFD486" w14:textId="77777777" w:rsidR="006407DD" w:rsidRPr="00A76818" w:rsidRDefault="006407DD" w:rsidP="006407DD">
            <w:pPr>
              <w:pStyle w:val="TableParagraph"/>
              <w:spacing w:line="240" w:lineRule="auto"/>
              <w:jc w:val="left"/>
              <w:rPr>
                <w:sz w:val="18"/>
                <w:szCs w:val="18"/>
              </w:rPr>
            </w:pPr>
            <w:r w:rsidRPr="00A76818">
              <w:rPr>
                <w:sz w:val="18"/>
                <w:szCs w:val="18"/>
              </w:rPr>
              <w:t>-</w:t>
            </w:r>
            <w:r w:rsidRPr="00A76818">
              <w:rPr>
                <w:spacing w:val="-3"/>
                <w:sz w:val="18"/>
                <w:szCs w:val="18"/>
              </w:rPr>
              <w:t xml:space="preserve"> </w:t>
            </w:r>
            <w:r w:rsidRPr="00A76818">
              <w:rPr>
                <w:sz w:val="18"/>
                <w:szCs w:val="18"/>
              </w:rPr>
              <w:t>median</w:t>
            </w:r>
            <w:r w:rsidRPr="00A76818">
              <w:rPr>
                <w:spacing w:val="-2"/>
                <w:sz w:val="18"/>
                <w:szCs w:val="18"/>
              </w:rPr>
              <w:t xml:space="preserve"> </w:t>
            </w:r>
            <w:r w:rsidRPr="00A76818">
              <w:rPr>
                <w:sz w:val="18"/>
                <w:szCs w:val="18"/>
              </w:rPr>
              <w:t>(95%</w:t>
            </w:r>
            <w:r w:rsidRPr="00A76818">
              <w:rPr>
                <w:spacing w:val="-1"/>
                <w:sz w:val="18"/>
                <w:szCs w:val="18"/>
              </w:rPr>
              <w:t xml:space="preserve"> </w:t>
            </w:r>
            <w:r w:rsidRPr="00A76818">
              <w:rPr>
                <w:sz w:val="18"/>
                <w:szCs w:val="18"/>
              </w:rPr>
              <w:t>CrI)</w:t>
            </w:r>
          </w:p>
        </w:tc>
        <w:tc>
          <w:tcPr>
            <w:tcW w:w="696" w:type="pct"/>
            <w:tcBorders>
              <w:top w:val="dashSmallGap" w:sz="6" w:space="0" w:color="D8D8D8"/>
              <w:bottom w:val="dashSmallGap" w:sz="4" w:space="0" w:color="D8D8D8"/>
            </w:tcBorders>
            <w:shd w:val="clear" w:color="auto" w:fill="ECECEC"/>
            <w:vAlign w:val="center"/>
          </w:tcPr>
          <w:p w14:paraId="16490AE0" w14:textId="67494256" w:rsidR="006407DD" w:rsidRPr="00CB5289" w:rsidRDefault="00CB5289" w:rsidP="006407DD">
            <w:pPr>
              <w:pStyle w:val="TableParagraph"/>
              <w:spacing w:line="240" w:lineRule="auto"/>
              <w:rPr>
                <w:sz w:val="18"/>
                <w:szCs w:val="18"/>
              </w:rPr>
            </w:pPr>
            <w:r w:rsidRPr="00CB5289">
              <w:rPr>
                <w:sz w:val="18"/>
                <w:szCs w:val="18"/>
              </w:rPr>
              <w:t>1.41 (1.12 to 1.79)</w:t>
            </w:r>
          </w:p>
        </w:tc>
        <w:tc>
          <w:tcPr>
            <w:tcW w:w="696" w:type="pct"/>
            <w:tcBorders>
              <w:top w:val="dashSmallGap" w:sz="6" w:space="0" w:color="D8D8D8"/>
              <w:bottom w:val="dashSmallGap" w:sz="4" w:space="0" w:color="D8D8D8"/>
            </w:tcBorders>
            <w:shd w:val="clear" w:color="auto" w:fill="ECECEC"/>
            <w:vAlign w:val="center"/>
          </w:tcPr>
          <w:p w14:paraId="0B32DFF6" w14:textId="69A274FF" w:rsidR="006407DD" w:rsidRPr="00CB5289" w:rsidRDefault="00CB5289" w:rsidP="006407DD">
            <w:pPr>
              <w:pStyle w:val="TableParagraph"/>
              <w:spacing w:line="240" w:lineRule="auto"/>
              <w:rPr>
                <w:sz w:val="18"/>
                <w:szCs w:val="18"/>
              </w:rPr>
            </w:pPr>
            <w:r>
              <w:rPr>
                <w:sz w:val="18"/>
                <w:szCs w:val="18"/>
              </w:rPr>
              <w:t>1.37 (1.07 to 1.77)</w:t>
            </w:r>
          </w:p>
        </w:tc>
        <w:tc>
          <w:tcPr>
            <w:tcW w:w="696" w:type="pct"/>
            <w:tcBorders>
              <w:top w:val="dashSmallGap" w:sz="6" w:space="0" w:color="D8D8D8"/>
              <w:bottom w:val="dashSmallGap" w:sz="4" w:space="0" w:color="D8D8D8"/>
            </w:tcBorders>
            <w:shd w:val="clear" w:color="auto" w:fill="ECECEC"/>
            <w:vAlign w:val="center"/>
          </w:tcPr>
          <w:p w14:paraId="39C696C4" w14:textId="346B513A" w:rsidR="006407DD" w:rsidRPr="00CB5289" w:rsidRDefault="00CB5289" w:rsidP="006407DD">
            <w:pPr>
              <w:pStyle w:val="TableParagraph"/>
              <w:spacing w:line="240" w:lineRule="auto"/>
              <w:rPr>
                <w:sz w:val="18"/>
                <w:szCs w:val="18"/>
              </w:rPr>
            </w:pPr>
            <w:r>
              <w:rPr>
                <w:sz w:val="18"/>
                <w:szCs w:val="18"/>
              </w:rPr>
              <w:t>0.98 (0.74 to 1.30)</w:t>
            </w:r>
          </w:p>
        </w:tc>
        <w:tc>
          <w:tcPr>
            <w:tcW w:w="696" w:type="pct"/>
            <w:tcBorders>
              <w:top w:val="dashSmallGap" w:sz="6" w:space="0" w:color="D8D8D8"/>
              <w:bottom w:val="dashSmallGap" w:sz="4" w:space="0" w:color="D8D8D8"/>
            </w:tcBorders>
            <w:shd w:val="clear" w:color="auto" w:fill="ECECEC"/>
            <w:vAlign w:val="center"/>
          </w:tcPr>
          <w:p w14:paraId="1292B21A" w14:textId="2D7B9BBB" w:rsidR="006407DD" w:rsidRPr="00CB5289" w:rsidRDefault="00CB5289" w:rsidP="006407DD">
            <w:pPr>
              <w:pStyle w:val="TableParagraph"/>
              <w:spacing w:line="240" w:lineRule="auto"/>
              <w:rPr>
                <w:sz w:val="18"/>
                <w:szCs w:val="18"/>
              </w:rPr>
            </w:pPr>
            <w:r>
              <w:rPr>
                <w:sz w:val="18"/>
                <w:szCs w:val="18"/>
              </w:rPr>
              <w:t>1.03 (0.48 to 2.23)</w:t>
            </w:r>
          </w:p>
        </w:tc>
        <w:tc>
          <w:tcPr>
            <w:tcW w:w="696" w:type="pct"/>
            <w:tcBorders>
              <w:top w:val="dashSmallGap" w:sz="6" w:space="0" w:color="D8D8D8"/>
              <w:bottom w:val="dashSmallGap" w:sz="4" w:space="0" w:color="D8D8D8"/>
            </w:tcBorders>
            <w:shd w:val="clear" w:color="auto" w:fill="ECECEC"/>
            <w:vAlign w:val="center"/>
          </w:tcPr>
          <w:p w14:paraId="20C73B35" w14:textId="77777777" w:rsidR="006407DD" w:rsidRPr="00CB5289" w:rsidRDefault="006407DD" w:rsidP="006407DD">
            <w:pPr>
              <w:pStyle w:val="TableParagraph"/>
              <w:spacing w:line="240" w:lineRule="auto"/>
              <w:rPr>
                <w:sz w:val="18"/>
                <w:szCs w:val="18"/>
              </w:rPr>
            </w:pPr>
            <w:r w:rsidRPr="00CB5289">
              <w:rPr>
                <w:sz w:val="18"/>
                <w:szCs w:val="18"/>
              </w:rPr>
              <w:t>1</w:t>
            </w:r>
          </w:p>
        </w:tc>
      </w:tr>
      <w:tr w:rsidR="006407DD" w:rsidRPr="00CA20E0" w14:paraId="367E85AC" w14:textId="77777777" w:rsidTr="00BB21F9">
        <w:trPr>
          <w:gridAfter w:val="1"/>
          <w:wAfter w:w="12" w:type="pct"/>
          <w:trHeight w:val="285"/>
        </w:trPr>
        <w:tc>
          <w:tcPr>
            <w:tcW w:w="1509" w:type="pct"/>
            <w:tcBorders>
              <w:top w:val="dashSmallGap" w:sz="4" w:space="0" w:color="D8D8D8"/>
              <w:bottom w:val="dashSmallGap" w:sz="4" w:space="0" w:color="D8D8D8"/>
            </w:tcBorders>
            <w:shd w:val="clear" w:color="auto" w:fill="ECECEC"/>
          </w:tcPr>
          <w:p w14:paraId="5A6FB96E" w14:textId="77777777" w:rsidR="006407DD" w:rsidRPr="00A76818" w:rsidRDefault="006407DD" w:rsidP="006407DD">
            <w:pPr>
              <w:pStyle w:val="TableParagraph"/>
              <w:spacing w:line="240" w:lineRule="auto"/>
              <w:jc w:val="left"/>
              <w:rPr>
                <w:sz w:val="18"/>
                <w:szCs w:val="18"/>
              </w:rPr>
            </w:pPr>
            <w:r w:rsidRPr="00A76818">
              <w:rPr>
                <w:sz w:val="18"/>
                <w:szCs w:val="18"/>
              </w:rPr>
              <w:t>Probability</w:t>
            </w:r>
            <w:r w:rsidRPr="00A76818">
              <w:rPr>
                <w:spacing w:val="-6"/>
                <w:sz w:val="18"/>
                <w:szCs w:val="18"/>
              </w:rPr>
              <w:t xml:space="preserve"> </w:t>
            </w:r>
            <w:r w:rsidRPr="00A76818">
              <w:rPr>
                <w:sz w:val="18"/>
                <w:szCs w:val="18"/>
              </w:rPr>
              <w:t>of</w:t>
            </w:r>
            <w:r w:rsidRPr="00A76818">
              <w:rPr>
                <w:spacing w:val="-3"/>
                <w:sz w:val="18"/>
                <w:szCs w:val="18"/>
              </w:rPr>
              <w:t xml:space="preserve"> </w:t>
            </w:r>
            <w:r w:rsidRPr="00A76818">
              <w:rPr>
                <w:sz w:val="18"/>
                <w:szCs w:val="18"/>
              </w:rPr>
              <w:t>superiority</w:t>
            </w:r>
            <w:r w:rsidRPr="00A76818">
              <w:rPr>
                <w:spacing w:val="-5"/>
                <w:sz w:val="18"/>
                <w:szCs w:val="18"/>
              </w:rPr>
              <w:t xml:space="preserve"> </w:t>
            </w:r>
            <w:r w:rsidRPr="00A76818">
              <w:rPr>
                <w:sz w:val="18"/>
                <w:szCs w:val="18"/>
              </w:rPr>
              <w:t>to</w:t>
            </w:r>
            <w:r w:rsidRPr="00A76818">
              <w:rPr>
                <w:spacing w:val="-4"/>
                <w:sz w:val="18"/>
                <w:szCs w:val="18"/>
              </w:rPr>
              <w:t xml:space="preserve"> </w:t>
            </w:r>
            <w:r w:rsidRPr="00A76818">
              <w:rPr>
                <w:sz w:val="18"/>
                <w:szCs w:val="18"/>
              </w:rPr>
              <w:t>control,</w:t>
            </w:r>
            <w:r w:rsidRPr="00A76818">
              <w:rPr>
                <w:spacing w:val="-3"/>
                <w:sz w:val="18"/>
                <w:szCs w:val="18"/>
              </w:rPr>
              <w:t xml:space="preserve"> </w:t>
            </w:r>
            <w:r w:rsidRPr="00A76818">
              <w:rPr>
                <w:sz w:val="18"/>
                <w:szCs w:val="18"/>
              </w:rPr>
              <w:t>%</w:t>
            </w:r>
          </w:p>
        </w:tc>
        <w:tc>
          <w:tcPr>
            <w:tcW w:w="696" w:type="pct"/>
            <w:tcBorders>
              <w:top w:val="dashSmallGap" w:sz="4" w:space="0" w:color="D8D8D8"/>
              <w:bottom w:val="dashSmallGap" w:sz="4" w:space="0" w:color="D8D8D8"/>
            </w:tcBorders>
            <w:shd w:val="clear" w:color="auto" w:fill="ECECEC"/>
            <w:vAlign w:val="center"/>
          </w:tcPr>
          <w:p w14:paraId="0B29A554" w14:textId="66CA85CE" w:rsidR="006407DD" w:rsidRPr="00CB5289" w:rsidRDefault="00CB5289" w:rsidP="006407DD">
            <w:pPr>
              <w:pStyle w:val="TableParagraph"/>
              <w:spacing w:line="240" w:lineRule="auto"/>
              <w:rPr>
                <w:sz w:val="18"/>
                <w:szCs w:val="18"/>
              </w:rPr>
            </w:pPr>
            <w:r w:rsidRPr="00CB5289">
              <w:rPr>
                <w:sz w:val="18"/>
                <w:szCs w:val="18"/>
              </w:rPr>
              <w:t>99.8</w:t>
            </w:r>
          </w:p>
        </w:tc>
        <w:tc>
          <w:tcPr>
            <w:tcW w:w="696" w:type="pct"/>
            <w:tcBorders>
              <w:top w:val="dashSmallGap" w:sz="4" w:space="0" w:color="D8D8D8"/>
              <w:bottom w:val="dashSmallGap" w:sz="4" w:space="0" w:color="D8D8D8"/>
            </w:tcBorders>
            <w:shd w:val="clear" w:color="auto" w:fill="ECECEC"/>
            <w:vAlign w:val="center"/>
          </w:tcPr>
          <w:p w14:paraId="57B83E5D" w14:textId="34B58115" w:rsidR="006407DD" w:rsidRPr="00CB5289" w:rsidRDefault="00CB5289" w:rsidP="006407DD">
            <w:pPr>
              <w:pStyle w:val="TableParagraph"/>
              <w:spacing w:line="240" w:lineRule="auto"/>
              <w:rPr>
                <w:sz w:val="18"/>
                <w:szCs w:val="18"/>
              </w:rPr>
            </w:pPr>
            <w:r>
              <w:rPr>
                <w:sz w:val="18"/>
                <w:szCs w:val="18"/>
              </w:rPr>
              <w:t>99.2</w:t>
            </w:r>
          </w:p>
        </w:tc>
        <w:tc>
          <w:tcPr>
            <w:tcW w:w="696" w:type="pct"/>
            <w:tcBorders>
              <w:top w:val="dashSmallGap" w:sz="4" w:space="0" w:color="D8D8D8"/>
              <w:bottom w:val="dashSmallGap" w:sz="4" w:space="0" w:color="D8D8D8"/>
            </w:tcBorders>
            <w:shd w:val="clear" w:color="auto" w:fill="ECECEC"/>
            <w:vAlign w:val="center"/>
          </w:tcPr>
          <w:p w14:paraId="523D4E20" w14:textId="6A4E5722" w:rsidR="006407DD" w:rsidRPr="00CB5289" w:rsidRDefault="00CB5289" w:rsidP="006407DD">
            <w:pPr>
              <w:pStyle w:val="TableParagraph"/>
              <w:spacing w:line="240" w:lineRule="auto"/>
              <w:rPr>
                <w:sz w:val="18"/>
                <w:szCs w:val="18"/>
              </w:rPr>
            </w:pPr>
            <w:r>
              <w:rPr>
                <w:sz w:val="18"/>
                <w:szCs w:val="18"/>
              </w:rPr>
              <w:t>43.6</w:t>
            </w:r>
          </w:p>
        </w:tc>
        <w:tc>
          <w:tcPr>
            <w:tcW w:w="696" w:type="pct"/>
            <w:tcBorders>
              <w:top w:val="dashSmallGap" w:sz="4" w:space="0" w:color="D8D8D8"/>
              <w:bottom w:val="dashSmallGap" w:sz="4" w:space="0" w:color="D8D8D8"/>
            </w:tcBorders>
            <w:shd w:val="clear" w:color="auto" w:fill="ECECEC"/>
            <w:vAlign w:val="center"/>
          </w:tcPr>
          <w:p w14:paraId="14EB0163" w14:textId="1A6A2C53" w:rsidR="006407DD" w:rsidRPr="00CB5289" w:rsidRDefault="00CB5289" w:rsidP="006407DD">
            <w:pPr>
              <w:pStyle w:val="TableParagraph"/>
              <w:spacing w:line="240" w:lineRule="auto"/>
              <w:rPr>
                <w:sz w:val="18"/>
                <w:szCs w:val="18"/>
              </w:rPr>
            </w:pPr>
            <w:r>
              <w:rPr>
                <w:sz w:val="18"/>
                <w:szCs w:val="18"/>
              </w:rPr>
              <w:t>53.6</w:t>
            </w:r>
          </w:p>
        </w:tc>
        <w:tc>
          <w:tcPr>
            <w:tcW w:w="696" w:type="pct"/>
            <w:tcBorders>
              <w:top w:val="dashSmallGap" w:sz="4" w:space="0" w:color="D8D8D8"/>
              <w:bottom w:val="dashSmallGap" w:sz="4" w:space="0" w:color="D8D8D8"/>
            </w:tcBorders>
            <w:shd w:val="clear" w:color="auto" w:fill="ECECEC"/>
            <w:vAlign w:val="center"/>
          </w:tcPr>
          <w:p w14:paraId="16A0EBB0" w14:textId="77777777" w:rsidR="006407DD" w:rsidRPr="00CB5289" w:rsidRDefault="006407DD" w:rsidP="006407DD">
            <w:pPr>
              <w:pStyle w:val="TableParagraph"/>
              <w:spacing w:line="240" w:lineRule="auto"/>
              <w:rPr>
                <w:sz w:val="18"/>
                <w:szCs w:val="18"/>
              </w:rPr>
            </w:pPr>
            <w:r w:rsidRPr="00CB5289">
              <w:rPr>
                <w:sz w:val="18"/>
                <w:szCs w:val="18"/>
              </w:rPr>
              <w:t>-</w:t>
            </w:r>
          </w:p>
        </w:tc>
      </w:tr>
      <w:tr w:rsidR="006407DD" w:rsidRPr="00A76818" w14:paraId="1D5AF201" w14:textId="77777777" w:rsidTr="00BB21F9">
        <w:trPr>
          <w:gridAfter w:val="1"/>
          <w:wAfter w:w="12" w:type="pct"/>
          <w:trHeight w:val="602"/>
        </w:trPr>
        <w:tc>
          <w:tcPr>
            <w:tcW w:w="4988" w:type="pct"/>
            <w:gridSpan w:val="6"/>
            <w:tcBorders>
              <w:top w:val="single" w:sz="4" w:space="0" w:color="000000"/>
              <w:bottom w:val="dashSmallGap" w:sz="4" w:space="0" w:color="D8D8D8"/>
            </w:tcBorders>
            <w:shd w:val="clear" w:color="auto" w:fill="ECECEC"/>
          </w:tcPr>
          <w:p w14:paraId="2EDADCF2" w14:textId="20C36140" w:rsidR="006407DD" w:rsidRPr="00A76818" w:rsidRDefault="006407DD" w:rsidP="006407DD">
            <w:pPr>
              <w:pStyle w:val="TableParagraph"/>
              <w:spacing w:line="240" w:lineRule="auto"/>
              <w:ind w:right="5126"/>
              <w:jc w:val="left"/>
              <w:rPr>
                <w:b/>
                <w:sz w:val="18"/>
                <w:szCs w:val="18"/>
              </w:rPr>
            </w:pPr>
            <w:r w:rsidRPr="00A76818">
              <w:rPr>
                <w:b/>
                <w:sz w:val="18"/>
                <w:szCs w:val="18"/>
              </w:rPr>
              <w:t>Secondary</w:t>
            </w:r>
            <w:r w:rsidRPr="00A76818">
              <w:rPr>
                <w:b/>
                <w:spacing w:val="-6"/>
                <w:sz w:val="18"/>
                <w:szCs w:val="18"/>
              </w:rPr>
              <w:t xml:space="preserve"> </w:t>
            </w:r>
            <w:r w:rsidRPr="00A76818">
              <w:rPr>
                <w:b/>
                <w:sz w:val="18"/>
                <w:szCs w:val="18"/>
              </w:rPr>
              <w:t>Analysis</w:t>
            </w:r>
            <w:r w:rsidRPr="00A76818">
              <w:rPr>
                <w:b/>
                <w:spacing w:val="-3"/>
                <w:sz w:val="18"/>
                <w:szCs w:val="18"/>
              </w:rPr>
              <w:t xml:space="preserve"> </w:t>
            </w:r>
            <w:r w:rsidRPr="00A76818">
              <w:rPr>
                <w:b/>
                <w:sz w:val="18"/>
                <w:szCs w:val="18"/>
              </w:rPr>
              <w:t>of</w:t>
            </w:r>
            <w:r w:rsidRPr="00A76818">
              <w:rPr>
                <w:b/>
                <w:spacing w:val="-6"/>
                <w:sz w:val="18"/>
                <w:szCs w:val="18"/>
              </w:rPr>
              <w:t xml:space="preserve"> </w:t>
            </w:r>
            <w:r>
              <w:rPr>
                <w:b/>
                <w:sz w:val="18"/>
                <w:szCs w:val="18"/>
              </w:rPr>
              <w:t>Hospital Survival</w:t>
            </w:r>
            <w:r w:rsidRPr="00A76818">
              <w:rPr>
                <w:sz w:val="18"/>
                <w:szCs w:val="18"/>
              </w:rPr>
              <w:t>,</w:t>
            </w:r>
            <w:r w:rsidRPr="00A76818">
              <w:rPr>
                <w:spacing w:val="-6"/>
                <w:sz w:val="18"/>
                <w:szCs w:val="18"/>
              </w:rPr>
              <w:t xml:space="preserve"> </w:t>
            </w:r>
            <w:r w:rsidRPr="00A76818">
              <w:rPr>
                <w:sz w:val="18"/>
                <w:szCs w:val="18"/>
              </w:rPr>
              <w:t xml:space="preserve">for </w:t>
            </w:r>
            <w:r w:rsidRPr="00CA20E0">
              <w:rPr>
                <w:sz w:val="18"/>
                <w:szCs w:val="18"/>
              </w:rPr>
              <w:t>Unblinded IT</w:t>
            </w:r>
            <w:r>
              <w:rPr>
                <w:sz w:val="18"/>
                <w:szCs w:val="18"/>
              </w:rPr>
              <w:t xml:space="preserve">T </w:t>
            </w:r>
            <w:r w:rsidRPr="00CA20E0">
              <w:rPr>
                <w:sz w:val="18"/>
                <w:szCs w:val="18"/>
              </w:rPr>
              <w:t>popula</w:t>
            </w:r>
            <w:r>
              <w:rPr>
                <w:sz w:val="18"/>
                <w:szCs w:val="18"/>
              </w:rPr>
              <w:t>ti</w:t>
            </w:r>
            <w:r w:rsidRPr="00CA20E0">
              <w:rPr>
                <w:sz w:val="18"/>
                <w:szCs w:val="18"/>
              </w:rPr>
              <w:t xml:space="preserve">on with site and </w:t>
            </w:r>
            <w:r>
              <w:rPr>
                <w:sz w:val="18"/>
                <w:szCs w:val="18"/>
              </w:rPr>
              <w:t>ti</w:t>
            </w:r>
            <w:r w:rsidRPr="00CA20E0">
              <w:rPr>
                <w:sz w:val="18"/>
                <w:szCs w:val="18"/>
              </w:rPr>
              <w:t>me</w:t>
            </w:r>
            <w:r>
              <w:rPr>
                <w:sz w:val="18"/>
                <w:szCs w:val="18"/>
              </w:rPr>
              <w:t xml:space="preserve"> f</w:t>
            </w:r>
            <w:r w:rsidRPr="00CA20E0">
              <w:rPr>
                <w:sz w:val="18"/>
                <w:szCs w:val="18"/>
              </w:rPr>
              <w:t>actors removed</w:t>
            </w:r>
          </w:p>
        </w:tc>
      </w:tr>
      <w:tr w:rsidR="006407DD" w:rsidRPr="00CA20E0" w14:paraId="3181689E" w14:textId="77777777" w:rsidTr="00BB21F9">
        <w:trPr>
          <w:gridAfter w:val="1"/>
          <w:wAfter w:w="12" w:type="pct"/>
          <w:trHeight w:val="285"/>
        </w:trPr>
        <w:tc>
          <w:tcPr>
            <w:tcW w:w="1509" w:type="pct"/>
            <w:tcBorders>
              <w:top w:val="dashSmallGap" w:sz="4" w:space="0" w:color="D8D8D8"/>
              <w:bottom w:val="dashSmallGap" w:sz="4" w:space="0" w:color="D8D8D8"/>
            </w:tcBorders>
            <w:shd w:val="clear" w:color="auto" w:fill="ECECEC"/>
          </w:tcPr>
          <w:p w14:paraId="4502CBC8" w14:textId="77777777" w:rsidR="006407DD" w:rsidRPr="00A76818" w:rsidRDefault="006407DD" w:rsidP="006407DD">
            <w:pPr>
              <w:pStyle w:val="TableParagraph"/>
              <w:spacing w:line="240" w:lineRule="auto"/>
              <w:jc w:val="left"/>
              <w:rPr>
                <w:sz w:val="18"/>
                <w:szCs w:val="18"/>
              </w:rPr>
            </w:pPr>
            <w:r w:rsidRPr="00A76818">
              <w:rPr>
                <w:sz w:val="18"/>
                <w:szCs w:val="18"/>
              </w:rPr>
              <w:t>Adjusted</w:t>
            </w:r>
            <w:r w:rsidRPr="00A76818">
              <w:rPr>
                <w:spacing w:val="-3"/>
                <w:sz w:val="18"/>
                <w:szCs w:val="18"/>
              </w:rPr>
              <w:t xml:space="preserve"> </w:t>
            </w:r>
            <w:r w:rsidRPr="00A76818">
              <w:rPr>
                <w:sz w:val="18"/>
                <w:szCs w:val="18"/>
              </w:rPr>
              <w:t>OR</w:t>
            </w:r>
            <w:r w:rsidRPr="00A76818">
              <w:rPr>
                <w:spacing w:val="2"/>
                <w:sz w:val="18"/>
                <w:szCs w:val="18"/>
              </w:rPr>
              <w:t xml:space="preserve"> </w:t>
            </w:r>
            <w:r w:rsidRPr="00A76818">
              <w:rPr>
                <w:sz w:val="18"/>
                <w:szCs w:val="18"/>
              </w:rPr>
              <w:t>-</w:t>
            </w:r>
            <w:r w:rsidRPr="00A76818">
              <w:rPr>
                <w:spacing w:val="-2"/>
                <w:sz w:val="18"/>
                <w:szCs w:val="18"/>
              </w:rPr>
              <w:t xml:space="preserve"> </w:t>
            </w:r>
            <w:r w:rsidRPr="00A76818">
              <w:rPr>
                <w:sz w:val="18"/>
                <w:szCs w:val="18"/>
              </w:rPr>
              <w:t>mean</w:t>
            </w:r>
            <w:r w:rsidRPr="00A76818">
              <w:rPr>
                <w:spacing w:val="-3"/>
                <w:sz w:val="18"/>
                <w:szCs w:val="18"/>
              </w:rPr>
              <w:t xml:space="preserve"> </w:t>
            </w:r>
            <w:r w:rsidRPr="00A76818">
              <w:rPr>
                <w:sz w:val="18"/>
                <w:szCs w:val="18"/>
              </w:rPr>
              <w:t>(SD)</w:t>
            </w:r>
          </w:p>
        </w:tc>
        <w:tc>
          <w:tcPr>
            <w:tcW w:w="696" w:type="pct"/>
            <w:tcBorders>
              <w:top w:val="dashSmallGap" w:sz="4" w:space="0" w:color="D8D8D8"/>
              <w:bottom w:val="dashSmallGap" w:sz="4" w:space="0" w:color="D8D8D8"/>
            </w:tcBorders>
            <w:shd w:val="clear" w:color="auto" w:fill="ECECEC"/>
            <w:vAlign w:val="center"/>
          </w:tcPr>
          <w:p w14:paraId="17509312" w14:textId="3EC0B93D" w:rsidR="006407DD" w:rsidRPr="00181075" w:rsidRDefault="00181075" w:rsidP="006407DD">
            <w:pPr>
              <w:pStyle w:val="TableParagraph"/>
              <w:spacing w:line="240" w:lineRule="auto"/>
              <w:rPr>
                <w:sz w:val="18"/>
                <w:szCs w:val="18"/>
              </w:rPr>
            </w:pPr>
            <w:r w:rsidRPr="00181075">
              <w:rPr>
                <w:sz w:val="18"/>
                <w:szCs w:val="18"/>
              </w:rPr>
              <w:t>1.37 (0.20)</w:t>
            </w:r>
          </w:p>
        </w:tc>
        <w:tc>
          <w:tcPr>
            <w:tcW w:w="696" w:type="pct"/>
            <w:tcBorders>
              <w:top w:val="dashSmallGap" w:sz="4" w:space="0" w:color="D8D8D8"/>
              <w:bottom w:val="dashSmallGap" w:sz="4" w:space="0" w:color="D8D8D8"/>
            </w:tcBorders>
            <w:shd w:val="clear" w:color="auto" w:fill="ECECEC"/>
            <w:vAlign w:val="center"/>
          </w:tcPr>
          <w:p w14:paraId="0926E419" w14:textId="29ABF0BF" w:rsidR="006407DD" w:rsidRPr="00181075" w:rsidRDefault="00181075" w:rsidP="006407DD">
            <w:pPr>
              <w:pStyle w:val="TableParagraph"/>
              <w:spacing w:line="240" w:lineRule="auto"/>
              <w:rPr>
                <w:sz w:val="18"/>
                <w:szCs w:val="18"/>
              </w:rPr>
            </w:pPr>
            <w:r w:rsidRPr="00181075">
              <w:rPr>
                <w:sz w:val="18"/>
                <w:szCs w:val="18"/>
              </w:rPr>
              <w:t>1.37 (0.22)</w:t>
            </w:r>
          </w:p>
        </w:tc>
        <w:tc>
          <w:tcPr>
            <w:tcW w:w="696" w:type="pct"/>
            <w:tcBorders>
              <w:top w:val="dashSmallGap" w:sz="4" w:space="0" w:color="D8D8D8"/>
              <w:bottom w:val="dashSmallGap" w:sz="4" w:space="0" w:color="D8D8D8"/>
            </w:tcBorders>
            <w:shd w:val="clear" w:color="auto" w:fill="ECECEC"/>
            <w:vAlign w:val="center"/>
          </w:tcPr>
          <w:p w14:paraId="34093C4B" w14:textId="5835E211" w:rsidR="006407DD" w:rsidRPr="00181075" w:rsidRDefault="00181075" w:rsidP="00CB5289">
            <w:pPr>
              <w:pStyle w:val="TableParagraph"/>
              <w:spacing w:line="240" w:lineRule="auto"/>
              <w:jc w:val="left"/>
              <w:rPr>
                <w:sz w:val="18"/>
                <w:szCs w:val="18"/>
              </w:rPr>
            </w:pPr>
            <w:r w:rsidRPr="00181075">
              <w:rPr>
                <w:sz w:val="18"/>
                <w:szCs w:val="18"/>
              </w:rPr>
              <w:t>0.97 (0.17)</w:t>
            </w:r>
          </w:p>
        </w:tc>
        <w:tc>
          <w:tcPr>
            <w:tcW w:w="696" w:type="pct"/>
            <w:tcBorders>
              <w:top w:val="dashSmallGap" w:sz="4" w:space="0" w:color="D8D8D8"/>
              <w:bottom w:val="dashSmallGap" w:sz="4" w:space="0" w:color="D8D8D8"/>
            </w:tcBorders>
            <w:shd w:val="clear" w:color="auto" w:fill="ECECEC"/>
            <w:vAlign w:val="center"/>
          </w:tcPr>
          <w:p w14:paraId="615ADF56" w14:textId="02EF06CC" w:rsidR="006407DD" w:rsidRPr="00181075" w:rsidRDefault="00181075" w:rsidP="006407DD">
            <w:pPr>
              <w:pStyle w:val="TableParagraph"/>
              <w:spacing w:line="240" w:lineRule="auto"/>
              <w:rPr>
                <w:sz w:val="18"/>
                <w:szCs w:val="18"/>
              </w:rPr>
            </w:pPr>
            <w:r w:rsidRPr="00181075">
              <w:rPr>
                <w:sz w:val="18"/>
                <w:szCs w:val="18"/>
              </w:rPr>
              <w:t>1.26 (0.62)</w:t>
            </w:r>
          </w:p>
        </w:tc>
        <w:tc>
          <w:tcPr>
            <w:tcW w:w="696" w:type="pct"/>
            <w:tcBorders>
              <w:top w:val="dashSmallGap" w:sz="4" w:space="0" w:color="D8D8D8"/>
              <w:bottom w:val="dashSmallGap" w:sz="4" w:space="0" w:color="D8D8D8"/>
            </w:tcBorders>
            <w:shd w:val="clear" w:color="auto" w:fill="ECECEC"/>
            <w:vAlign w:val="center"/>
          </w:tcPr>
          <w:p w14:paraId="7636DB21" w14:textId="77777777" w:rsidR="006407DD" w:rsidRPr="00181075" w:rsidRDefault="006407DD" w:rsidP="006407DD">
            <w:pPr>
              <w:pStyle w:val="TableParagraph"/>
              <w:spacing w:line="240" w:lineRule="auto"/>
              <w:rPr>
                <w:sz w:val="18"/>
                <w:szCs w:val="18"/>
              </w:rPr>
            </w:pPr>
            <w:r w:rsidRPr="00181075">
              <w:rPr>
                <w:sz w:val="18"/>
                <w:szCs w:val="18"/>
              </w:rPr>
              <w:t>1</w:t>
            </w:r>
          </w:p>
        </w:tc>
      </w:tr>
      <w:tr w:rsidR="006407DD" w:rsidRPr="00CA20E0" w14:paraId="20ED2DCF" w14:textId="77777777" w:rsidTr="00BB21F9">
        <w:trPr>
          <w:gridAfter w:val="1"/>
          <w:wAfter w:w="12" w:type="pct"/>
          <w:trHeight w:val="285"/>
        </w:trPr>
        <w:tc>
          <w:tcPr>
            <w:tcW w:w="1509" w:type="pct"/>
            <w:tcBorders>
              <w:top w:val="dashSmallGap" w:sz="4" w:space="0" w:color="D8D8D8"/>
              <w:bottom w:val="dashSmallGap" w:sz="4" w:space="0" w:color="D8D8D8"/>
            </w:tcBorders>
            <w:shd w:val="clear" w:color="auto" w:fill="ECECEC"/>
          </w:tcPr>
          <w:p w14:paraId="4C9730F7" w14:textId="77777777" w:rsidR="006407DD" w:rsidRPr="00A76818" w:rsidRDefault="006407DD" w:rsidP="006407DD">
            <w:pPr>
              <w:pStyle w:val="TableParagraph"/>
              <w:spacing w:line="240" w:lineRule="auto"/>
              <w:jc w:val="left"/>
              <w:rPr>
                <w:sz w:val="18"/>
                <w:szCs w:val="18"/>
              </w:rPr>
            </w:pPr>
            <w:r w:rsidRPr="00A76818">
              <w:rPr>
                <w:sz w:val="18"/>
                <w:szCs w:val="18"/>
              </w:rPr>
              <w:t>-</w:t>
            </w:r>
            <w:r w:rsidRPr="00A76818">
              <w:rPr>
                <w:spacing w:val="-3"/>
                <w:sz w:val="18"/>
                <w:szCs w:val="18"/>
              </w:rPr>
              <w:t xml:space="preserve"> </w:t>
            </w:r>
            <w:r w:rsidRPr="00A76818">
              <w:rPr>
                <w:sz w:val="18"/>
                <w:szCs w:val="18"/>
              </w:rPr>
              <w:t>median</w:t>
            </w:r>
            <w:r w:rsidRPr="00A76818">
              <w:rPr>
                <w:spacing w:val="-2"/>
                <w:sz w:val="18"/>
                <w:szCs w:val="18"/>
              </w:rPr>
              <w:t xml:space="preserve"> </w:t>
            </w:r>
            <w:r w:rsidRPr="00A76818">
              <w:rPr>
                <w:sz w:val="18"/>
                <w:szCs w:val="18"/>
              </w:rPr>
              <w:t>(95%</w:t>
            </w:r>
            <w:r w:rsidRPr="00A76818">
              <w:rPr>
                <w:spacing w:val="-1"/>
                <w:sz w:val="18"/>
                <w:szCs w:val="18"/>
              </w:rPr>
              <w:t xml:space="preserve"> </w:t>
            </w:r>
            <w:r w:rsidRPr="00A76818">
              <w:rPr>
                <w:sz w:val="18"/>
                <w:szCs w:val="18"/>
              </w:rPr>
              <w:t>CrI)</w:t>
            </w:r>
          </w:p>
        </w:tc>
        <w:tc>
          <w:tcPr>
            <w:tcW w:w="696" w:type="pct"/>
            <w:tcBorders>
              <w:top w:val="dashSmallGap" w:sz="4" w:space="0" w:color="D8D8D8"/>
              <w:bottom w:val="dashSmallGap" w:sz="4" w:space="0" w:color="D8D8D8"/>
            </w:tcBorders>
            <w:shd w:val="clear" w:color="auto" w:fill="ECECEC"/>
            <w:vAlign w:val="center"/>
          </w:tcPr>
          <w:p w14:paraId="5F3E5D14" w14:textId="0ED166E6" w:rsidR="006407DD" w:rsidRPr="00181075" w:rsidRDefault="00181075" w:rsidP="006407DD">
            <w:pPr>
              <w:pStyle w:val="TableParagraph"/>
              <w:spacing w:line="240" w:lineRule="auto"/>
              <w:rPr>
                <w:sz w:val="18"/>
                <w:szCs w:val="18"/>
              </w:rPr>
            </w:pPr>
            <w:r w:rsidRPr="00181075">
              <w:rPr>
                <w:sz w:val="18"/>
                <w:szCs w:val="18"/>
              </w:rPr>
              <w:t>1.35 (1.02 to 1.80)</w:t>
            </w:r>
          </w:p>
        </w:tc>
        <w:tc>
          <w:tcPr>
            <w:tcW w:w="696" w:type="pct"/>
            <w:tcBorders>
              <w:top w:val="dashSmallGap" w:sz="4" w:space="0" w:color="D8D8D8"/>
              <w:bottom w:val="dashSmallGap" w:sz="4" w:space="0" w:color="D8D8D8"/>
            </w:tcBorders>
            <w:shd w:val="clear" w:color="auto" w:fill="ECECEC"/>
            <w:vAlign w:val="center"/>
          </w:tcPr>
          <w:p w14:paraId="7685B0F0" w14:textId="126B2079" w:rsidR="006407DD" w:rsidRPr="00181075" w:rsidRDefault="00181075" w:rsidP="006407DD">
            <w:pPr>
              <w:pStyle w:val="TableParagraph"/>
              <w:spacing w:line="240" w:lineRule="auto"/>
              <w:rPr>
                <w:sz w:val="18"/>
                <w:szCs w:val="18"/>
              </w:rPr>
            </w:pPr>
            <w:r w:rsidRPr="00181075">
              <w:rPr>
                <w:sz w:val="18"/>
                <w:szCs w:val="18"/>
              </w:rPr>
              <w:t>1.35 (1.00 to 1.88)</w:t>
            </w:r>
          </w:p>
        </w:tc>
        <w:tc>
          <w:tcPr>
            <w:tcW w:w="696" w:type="pct"/>
            <w:tcBorders>
              <w:top w:val="dashSmallGap" w:sz="4" w:space="0" w:color="D8D8D8"/>
              <w:bottom w:val="dashSmallGap" w:sz="4" w:space="0" w:color="D8D8D8"/>
            </w:tcBorders>
            <w:shd w:val="clear" w:color="auto" w:fill="ECECEC"/>
            <w:vAlign w:val="center"/>
          </w:tcPr>
          <w:p w14:paraId="01E1DDE1" w14:textId="0158BCEB" w:rsidR="006407DD" w:rsidRPr="00181075" w:rsidRDefault="00181075" w:rsidP="006407DD">
            <w:pPr>
              <w:pStyle w:val="TableParagraph"/>
              <w:spacing w:line="240" w:lineRule="auto"/>
              <w:rPr>
                <w:sz w:val="18"/>
                <w:szCs w:val="18"/>
              </w:rPr>
            </w:pPr>
            <w:r w:rsidRPr="00181075">
              <w:rPr>
                <w:sz w:val="18"/>
                <w:szCs w:val="18"/>
              </w:rPr>
              <w:t>0.95 (0.68 to 1.33)</w:t>
            </w:r>
          </w:p>
        </w:tc>
        <w:tc>
          <w:tcPr>
            <w:tcW w:w="696" w:type="pct"/>
            <w:tcBorders>
              <w:top w:val="dashSmallGap" w:sz="4" w:space="0" w:color="D8D8D8"/>
              <w:bottom w:val="dashSmallGap" w:sz="4" w:space="0" w:color="D8D8D8"/>
            </w:tcBorders>
            <w:shd w:val="clear" w:color="auto" w:fill="ECECEC"/>
            <w:vAlign w:val="center"/>
          </w:tcPr>
          <w:p w14:paraId="5109A96C" w14:textId="295E71F1" w:rsidR="006407DD" w:rsidRPr="00181075" w:rsidRDefault="00181075" w:rsidP="006407DD">
            <w:pPr>
              <w:pStyle w:val="TableParagraph"/>
              <w:spacing w:line="240" w:lineRule="auto"/>
              <w:rPr>
                <w:sz w:val="18"/>
                <w:szCs w:val="18"/>
              </w:rPr>
            </w:pPr>
            <w:r w:rsidRPr="00181075">
              <w:rPr>
                <w:sz w:val="18"/>
                <w:szCs w:val="18"/>
              </w:rPr>
              <w:t>1.13 (0.47 to 2.87)</w:t>
            </w:r>
          </w:p>
        </w:tc>
        <w:tc>
          <w:tcPr>
            <w:tcW w:w="696" w:type="pct"/>
            <w:tcBorders>
              <w:top w:val="dashSmallGap" w:sz="4" w:space="0" w:color="D8D8D8"/>
              <w:bottom w:val="dashSmallGap" w:sz="4" w:space="0" w:color="D8D8D8"/>
            </w:tcBorders>
            <w:shd w:val="clear" w:color="auto" w:fill="ECECEC"/>
            <w:vAlign w:val="center"/>
          </w:tcPr>
          <w:p w14:paraId="7AB58646" w14:textId="77777777" w:rsidR="006407DD" w:rsidRPr="00181075" w:rsidRDefault="006407DD" w:rsidP="006407DD">
            <w:pPr>
              <w:pStyle w:val="TableParagraph"/>
              <w:spacing w:line="240" w:lineRule="auto"/>
              <w:rPr>
                <w:sz w:val="18"/>
                <w:szCs w:val="18"/>
              </w:rPr>
            </w:pPr>
            <w:r w:rsidRPr="00181075">
              <w:rPr>
                <w:sz w:val="18"/>
                <w:szCs w:val="18"/>
              </w:rPr>
              <w:t>1</w:t>
            </w:r>
          </w:p>
        </w:tc>
      </w:tr>
      <w:tr w:rsidR="006407DD" w:rsidRPr="00CA20E0" w14:paraId="04EEA6AD" w14:textId="77777777" w:rsidTr="00BB21F9">
        <w:trPr>
          <w:gridAfter w:val="1"/>
          <w:wAfter w:w="12" w:type="pct"/>
          <w:trHeight w:val="285"/>
        </w:trPr>
        <w:tc>
          <w:tcPr>
            <w:tcW w:w="1509" w:type="pct"/>
            <w:tcBorders>
              <w:top w:val="dashSmallGap" w:sz="4" w:space="0" w:color="D8D8D8"/>
              <w:bottom w:val="dashSmallGap" w:sz="4" w:space="0" w:color="D8D8D8"/>
            </w:tcBorders>
            <w:shd w:val="clear" w:color="auto" w:fill="ECECEC"/>
          </w:tcPr>
          <w:p w14:paraId="460313C6" w14:textId="77777777" w:rsidR="006407DD" w:rsidRPr="00A76818" w:rsidRDefault="006407DD" w:rsidP="006407DD">
            <w:pPr>
              <w:pStyle w:val="TableParagraph"/>
              <w:spacing w:line="240" w:lineRule="auto"/>
              <w:jc w:val="left"/>
              <w:rPr>
                <w:sz w:val="18"/>
                <w:szCs w:val="18"/>
              </w:rPr>
            </w:pPr>
            <w:r w:rsidRPr="00A76818">
              <w:rPr>
                <w:sz w:val="18"/>
                <w:szCs w:val="18"/>
              </w:rPr>
              <w:t>Probability</w:t>
            </w:r>
            <w:r w:rsidRPr="00A76818">
              <w:rPr>
                <w:spacing w:val="-6"/>
                <w:sz w:val="18"/>
                <w:szCs w:val="18"/>
              </w:rPr>
              <w:t xml:space="preserve"> </w:t>
            </w:r>
            <w:r w:rsidRPr="00A76818">
              <w:rPr>
                <w:sz w:val="18"/>
                <w:szCs w:val="18"/>
              </w:rPr>
              <w:t>of</w:t>
            </w:r>
            <w:r w:rsidRPr="00A76818">
              <w:rPr>
                <w:spacing w:val="-3"/>
                <w:sz w:val="18"/>
                <w:szCs w:val="18"/>
              </w:rPr>
              <w:t xml:space="preserve"> </w:t>
            </w:r>
            <w:r w:rsidRPr="00A76818">
              <w:rPr>
                <w:sz w:val="18"/>
                <w:szCs w:val="18"/>
              </w:rPr>
              <w:t>superiority</w:t>
            </w:r>
            <w:r w:rsidRPr="00A76818">
              <w:rPr>
                <w:spacing w:val="-5"/>
                <w:sz w:val="18"/>
                <w:szCs w:val="18"/>
              </w:rPr>
              <w:t xml:space="preserve"> </w:t>
            </w:r>
            <w:r w:rsidRPr="00A76818">
              <w:rPr>
                <w:sz w:val="18"/>
                <w:szCs w:val="18"/>
              </w:rPr>
              <w:t>to</w:t>
            </w:r>
            <w:r w:rsidRPr="00A76818">
              <w:rPr>
                <w:spacing w:val="-4"/>
                <w:sz w:val="18"/>
                <w:szCs w:val="18"/>
              </w:rPr>
              <w:t xml:space="preserve"> </w:t>
            </w:r>
            <w:r w:rsidRPr="00A76818">
              <w:rPr>
                <w:sz w:val="18"/>
                <w:szCs w:val="18"/>
              </w:rPr>
              <w:t>control,</w:t>
            </w:r>
            <w:r w:rsidRPr="00A76818">
              <w:rPr>
                <w:spacing w:val="-3"/>
                <w:sz w:val="18"/>
                <w:szCs w:val="18"/>
              </w:rPr>
              <w:t xml:space="preserve"> </w:t>
            </w:r>
            <w:r w:rsidRPr="00A76818">
              <w:rPr>
                <w:sz w:val="18"/>
                <w:szCs w:val="18"/>
              </w:rPr>
              <w:t>%</w:t>
            </w:r>
          </w:p>
        </w:tc>
        <w:tc>
          <w:tcPr>
            <w:tcW w:w="696" w:type="pct"/>
            <w:tcBorders>
              <w:top w:val="dashSmallGap" w:sz="4" w:space="0" w:color="D8D8D8"/>
              <w:bottom w:val="dashSmallGap" w:sz="4" w:space="0" w:color="D8D8D8"/>
            </w:tcBorders>
            <w:shd w:val="clear" w:color="auto" w:fill="ECECEC"/>
            <w:vAlign w:val="center"/>
          </w:tcPr>
          <w:p w14:paraId="7F1A67E5" w14:textId="7F796681" w:rsidR="006407DD" w:rsidRPr="00181075" w:rsidRDefault="00181075" w:rsidP="006407DD">
            <w:pPr>
              <w:pStyle w:val="TableParagraph"/>
              <w:spacing w:line="240" w:lineRule="auto"/>
              <w:rPr>
                <w:sz w:val="18"/>
                <w:szCs w:val="18"/>
              </w:rPr>
            </w:pPr>
            <w:r w:rsidRPr="00181075">
              <w:rPr>
                <w:sz w:val="18"/>
                <w:szCs w:val="18"/>
              </w:rPr>
              <w:t>98.1</w:t>
            </w:r>
          </w:p>
        </w:tc>
        <w:tc>
          <w:tcPr>
            <w:tcW w:w="696" w:type="pct"/>
            <w:tcBorders>
              <w:top w:val="dashSmallGap" w:sz="4" w:space="0" w:color="D8D8D8"/>
              <w:bottom w:val="dashSmallGap" w:sz="4" w:space="0" w:color="D8D8D8"/>
            </w:tcBorders>
            <w:shd w:val="clear" w:color="auto" w:fill="ECECEC"/>
            <w:vAlign w:val="center"/>
          </w:tcPr>
          <w:p w14:paraId="3310BBA5" w14:textId="492B76C0" w:rsidR="006407DD" w:rsidRPr="00181075" w:rsidRDefault="00181075" w:rsidP="006407DD">
            <w:pPr>
              <w:pStyle w:val="TableParagraph"/>
              <w:spacing w:line="240" w:lineRule="auto"/>
              <w:rPr>
                <w:sz w:val="18"/>
                <w:szCs w:val="18"/>
              </w:rPr>
            </w:pPr>
            <w:r w:rsidRPr="00181075">
              <w:rPr>
                <w:sz w:val="18"/>
                <w:szCs w:val="18"/>
              </w:rPr>
              <w:t>97.5</w:t>
            </w:r>
          </w:p>
        </w:tc>
        <w:tc>
          <w:tcPr>
            <w:tcW w:w="696" w:type="pct"/>
            <w:tcBorders>
              <w:top w:val="dashSmallGap" w:sz="4" w:space="0" w:color="D8D8D8"/>
              <w:bottom w:val="dashSmallGap" w:sz="4" w:space="0" w:color="D8D8D8"/>
            </w:tcBorders>
            <w:shd w:val="clear" w:color="auto" w:fill="ECECEC"/>
            <w:vAlign w:val="center"/>
          </w:tcPr>
          <w:p w14:paraId="23FB81BC" w14:textId="561D8A96" w:rsidR="006407DD" w:rsidRPr="00181075" w:rsidRDefault="00181075" w:rsidP="006407DD">
            <w:pPr>
              <w:pStyle w:val="TableParagraph"/>
              <w:spacing w:line="240" w:lineRule="auto"/>
              <w:rPr>
                <w:sz w:val="18"/>
                <w:szCs w:val="18"/>
              </w:rPr>
            </w:pPr>
            <w:r w:rsidRPr="00181075">
              <w:rPr>
                <w:sz w:val="18"/>
                <w:szCs w:val="18"/>
              </w:rPr>
              <w:t>38.7</w:t>
            </w:r>
          </w:p>
        </w:tc>
        <w:tc>
          <w:tcPr>
            <w:tcW w:w="696" w:type="pct"/>
            <w:tcBorders>
              <w:top w:val="dashSmallGap" w:sz="4" w:space="0" w:color="D8D8D8"/>
              <w:bottom w:val="dashSmallGap" w:sz="4" w:space="0" w:color="D8D8D8"/>
            </w:tcBorders>
            <w:shd w:val="clear" w:color="auto" w:fill="ECECEC"/>
            <w:vAlign w:val="center"/>
          </w:tcPr>
          <w:p w14:paraId="02ACC625" w14:textId="11968275" w:rsidR="006407DD" w:rsidRPr="00181075" w:rsidRDefault="00181075" w:rsidP="006407DD">
            <w:pPr>
              <w:pStyle w:val="TableParagraph"/>
              <w:spacing w:line="240" w:lineRule="auto"/>
              <w:rPr>
                <w:sz w:val="18"/>
                <w:szCs w:val="18"/>
              </w:rPr>
            </w:pPr>
            <w:r w:rsidRPr="00181075">
              <w:rPr>
                <w:sz w:val="18"/>
                <w:szCs w:val="18"/>
              </w:rPr>
              <w:t>60.3</w:t>
            </w:r>
          </w:p>
        </w:tc>
        <w:tc>
          <w:tcPr>
            <w:tcW w:w="696" w:type="pct"/>
            <w:tcBorders>
              <w:top w:val="dashSmallGap" w:sz="4" w:space="0" w:color="D8D8D8"/>
              <w:bottom w:val="dashSmallGap" w:sz="4" w:space="0" w:color="D8D8D8"/>
            </w:tcBorders>
            <w:shd w:val="clear" w:color="auto" w:fill="ECECEC"/>
            <w:vAlign w:val="center"/>
          </w:tcPr>
          <w:p w14:paraId="393A1970" w14:textId="77777777" w:rsidR="006407DD" w:rsidRPr="00181075" w:rsidRDefault="006407DD" w:rsidP="006407DD">
            <w:pPr>
              <w:pStyle w:val="TableParagraph"/>
              <w:spacing w:line="240" w:lineRule="auto"/>
              <w:rPr>
                <w:sz w:val="18"/>
                <w:szCs w:val="18"/>
              </w:rPr>
            </w:pPr>
            <w:r w:rsidRPr="00181075">
              <w:rPr>
                <w:sz w:val="18"/>
                <w:szCs w:val="18"/>
              </w:rPr>
              <w:t>-</w:t>
            </w:r>
          </w:p>
        </w:tc>
      </w:tr>
    </w:tbl>
    <w:p w14:paraId="68650CAE" w14:textId="5E020D54" w:rsidR="009F7F1A" w:rsidRPr="00A046A9" w:rsidRDefault="00A046A9" w:rsidP="00A046A9">
      <w:pPr>
        <w:rPr>
          <w:rFonts w:asciiTheme="majorHAnsi" w:hAnsiTheme="majorHAnsi" w:cstheme="majorHAnsi"/>
          <w:sz w:val="22"/>
          <w:szCs w:val="22"/>
        </w:rPr>
      </w:pPr>
      <w:r w:rsidRPr="00A046A9">
        <w:rPr>
          <w:rFonts w:asciiTheme="majorHAnsi" w:hAnsiTheme="majorHAnsi" w:cstheme="majorHAnsi"/>
          <w:sz w:val="22"/>
          <w:szCs w:val="22"/>
        </w:rPr>
        <w:t>*</w:t>
      </w:r>
      <w:r>
        <w:rPr>
          <w:rFonts w:asciiTheme="majorHAnsi" w:hAnsiTheme="majorHAnsi" w:cstheme="majorHAnsi"/>
          <w:szCs w:val="22"/>
        </w:rPr>
        <w:t xml:space="preserve"> </w:t>
      </w:r>
      <w:r w:rsidRPr="00A046A9">
        <w:rPr>
          <w:rFonts w:asciiTheme="majorHAnsi" w:hAnsiTheme="majorHAnsi" w:cstheme="majorHAnsi"/>
          <w:sz w:val="16"/>
          <w:szCs w:val="16"/>
        </w:rPr>
        <w:t>results are provided for the pooled IL-6ra</w:t>
      </w:r>
    </w:p>
    <w:p w14:paraId="27203EE1" w14:textId="6A8F510B" w:rsidR="00736A8F" w:rsidRPr="009F7F1A" w:rsidRDefault="00736A8F" w:rsidP="009C2A20">
      <w:pPr>
        <w:spacing w:line="360" w:lineRule="auto"/>
        <w:rPr>
          <w:rFonts w:asciiTheme="majorHAnsi" w:hAnsiTheme="majorHAnsi" w:cstheme="majorHAnsi"/>
          <w:sz w:val="22"/>
          <w:szCs w:val="22"/>
        </w:rPr>
      </w:pPr>
    </w:p>
    <w:p w14:paraId="19F538B9" w14:textId="3EE0B7AD" w:rsidR="00736A8F" w:rsidRDefault="00736A8F" w:rsidP="00FE7214">
      <w:pPr>
        <w:pStyle w:val="Heading2"/>
        <w:rPr>
          <w:rFonts w:asciiTheme="minorHAnsi" w:eastAsiaTheme="minorHAnsi" w:hAnsiTheme="minorHAnsi" w:cstheme="majorHAnsi"/>
          <w:bCs/>
          <w:lang w:val="en-US" w:eastAsia="en-US"/>
        </w:rPr>
      </w:pPr>
      <w:bookmarkStart w:id="32" w:name="_Toc74659159"/>
      <w:r w:rsidRPr="005153A6">
        <w:rPr>
          <w:rFonts w:asciiTheme="minorHAnsi" w:eastAsiaTheme="minorHAnsi" w:hAnsiTheme="minorHAnsi" w:cstheme="majorHAnsi"/>
          <w:bCs/>
          <w:sz w:val="24"/>
          <w:szCs w:val="24"/>
          <w:lang w:val="en-US" w:eastAsia="en-US"/>
        </w:rPr>
        <w:t>Table S</w:t>
      </w:r>
      <w:r w:rsidR="00A046A9">
        <w:rPr>
          <w:rFonts w:asciiTheme="minorHAnsi" w:eastAsiaTheme="minorHAnsi" w:hAnsiTheme="minorHAnsi" w:cstheme="majorHAnsi"/>
          <w:bCs/>
          <w:sz w:val="24"/>
          <w:szCs w:val="24"/>
          <w:lang w:val="en-US" w:eastAsia="en-US"/>
        </w:rPr>
        <w:t>4</w:t>
      </w:r>
      <w:r w:rsidRPr="005153A6">
        <w:rPr>
          <w:rFonts w:asciiTheme="minorHAnsi" w:eastAsiaTheme="minorHAnsi" w:hAnsiTheme="minorHAnsi" w:cstheme="majorHAnsi"/>
          <w:bCs/>
          <w:sz w:val="24"/>
          <w:szCs w:val="24"/>
          <w:lang w:val="en-US" w:eastAsia="en-US"/>
        </w:rPr>
        <w:t xml:space="preserve">. </w:t>
      </w:r>
      <w:r w:rsidR="00B34B9F">
        <w:rPr>
          <w:rFonts w:asciiTheme="minorHAnsi" w:eastAsiaTheme="minorHAnsi" w:hAnsiTheme="minorHAnsi" w:cstheme="majorHAnsi"/>
          <w:bCs/>
          <w:sz w:val="24"/>
          <w:szCs w:val="24"/>
          <w:lang w:val="en-US" w:eastAsia="en-US"/>
        </w:rPr>
        <w:t>S</w:t>
      </w:r>
      <w:r w:rsidRPr="005153A6">
        <w:rPr>
          <w:rFonts w:asciiTheme="minorHAnsi" w:eastAsiaTheme="minorHAnsi" w:hAnsiTheme="minorHAnsi" w:cstheme="majorHAnsi"/>
          <w:bCs/>
          <w:sz w:val="24"/>
          <w:szCs w:val="24"/>
          <w:lang w:val="en-US" w:eastAsia="en-US"/>
        </w:rPr>
        <w:t xml:space="preserve">econdary </w:t>
      </w:r>
      <w:r w:rsidR="00A046A9">
        <w:rPr>
          <w:rFonts w:asciiTheme="minorHAnsi" w:eastAsiaTheme="minorHAnsi" w:hAnsiTheme="minorHAnsi" w:cstheme="majorHAnsi"/>
          <w:bCs/>
          <w:sz w:val="24"/>
          <w:szCs w:val="24"/>
          <w:lang w:val="en-US" w:eastAsia="en-US"/>
        </w:rPr>
        <w:t>outcomes</w:t>
      </w:r>
      <w:bookmarkEnd w:id="32"/>
    </w:p>
    <w:p w14:paraId="22FC73B3" w14:textId="5328B496" w:rsidR="00646C2A" w:rsidRDefault="00646C2A" w:rsidP="009C2A20">
      <w:pPr>
        <w:spacing w:line="360" w:lineRule="auto"/>
        <w:rPr>
          <w:rFonts w:asciiTheme="majorHAnsi" w:hAnsiTheme="majorHAnsi" w:cstheme="majorHAnsi"/>
          <w:color w:val="0070C0"/>
          <w:sz w:val="22"/>
          <w:szCs w:val="22"/>
          <w:lang w:val="en-US"/>
        </w:rPr>
      </w:pPr>
    </w:p>
    <w:tbl>
      <w:tblPr>
        <w:tblW w:w="5000" w:type="pct"/>
        <w:tblBorders>
          <w:top w:val="dashSmallGap" w:sz="4" w:space="0" w:color="D8D8D8"/>
          <w:left w:val="dashSmallGap" w:sz="4" w:space="0" w:color="D8D8D8"/>
          <w:bottom w:val="dashSmallGap" w:sz="4" w:space="0" w:color="D8D8D8"/>
          <w:right w:val="dashSmallGap" w:sz="4" w:space="0" w:color="D8D8D8"/>
          <w:insideH w:val="dashSmallGap" w:sz="4" w:space="0" w:color="D8D8D8"/>
          <w:insideV w:val="dashSmallGap" w:sz="4" w:space="0" w:color="D8D8D8"/>
        </w:tblBorders>
        <w:tblCellMar>
          <w:left w:w="0" w:type="dxa"/>
          <w:right w:w="0" w:type="dxa"/>
        </w:tblCellMar>
        <w:tblLook w:val="01E0" w:firstRow="1" w:lastRow="1" w:firstColumn="1" w:lastColumn="1" w:noHBand="0" w:noVBand="0"/>
      </w:tblPr>
      <w:tblGrid>
        <w:gridCol w:w="2633"/>
        <w:gridCol w:w="1256"/>
        <w:gridCol w:w="341"/>
        <w:gridCol w:w="1028"/>
        <w:gridCol w:w="1254"/>
        <w:gridCol w:w="1254"/>
        <w:gridCol w:w="1254"/>
      </w:tblGrid>
      <w:tr w:rsidR="0058643B" w14:paraId="03F2B905" w14:textId="77777777" w:rsidTr="00BB21F9">
        <w:trPr>
          <w:trHeight w:val="280"/>
          <w:tblHeader/>
        </w:trPr>
        <w:tc>
          <w:tcPr>
            <w:tcW w:w="1460" w:type="pct"/>
            <w:tcBorders>
              <w:top w:val="single" w:sz="4" w:space="0" w:color="000000"/>
              <w:left w:val="nil"/>
              <w:bottom w:val="single" w:sz="4" w:space="0" w:color="000000"/>
              <w:right w:val="nil"/>
            </w:tcBorders>
            <w:shd w:val="clear" w:color="auto" w:fill="ECECEC"/>
            <w:vAlign w:val="center"/>
          </w:tcPr>
          <w:p w14:paraId="21691679" w14:textId="77777777" w:rsidR="00307DC3" w:rsidRDefault="00307DC3" w:rsidP="00D336E1">
            <w:pPr>
              <w:pStyle w:val="TableParagraph"/>
              <w:spacing w:before="28" w:line="240" w:lineRule="auto"/>
              <w:ind w:left="115"/>
              <w:jc w:val="left"/>
              <w:rPr>
                <w:b/>
                <w:sz w:val="18"/>
              </w:rPr>
            </w:pPr>
            <w:r>
              <w:rPr>
                <w:b/>
                <w:sz w:val="18"/>
              </w:rPr>
              <w:t>Outcome/Analysis</w:t>
            </w:r>
          </w:p>
        </w:tc>
        <w:tc>
          <w:tcPr>
            <w:tcW w:w="696" w:type="pct"/>
            <w:tcBorders>
              <w:top w:val="single" w:sz="4" w:space="0" w:color="000000"/>
              <w:left w:val="nil"/>
              <w:bottom w:val="single" w:sz="4" w:space="0" w:color="000000"/>
              <w:right w:val="nil"/>
            </w:tcBorders>
            <w:shd w:val="clear" w:color="auto" w:fill="ECECEC"/>
            <w:vAlign w:val="center"/>
          </w:tcPr>
          <w:p w14:paraId="578FDE72" w14:textId="7EFC51CC" w:rsidR="00307DC3" w:rsidRDefault="00307DC3" w:rsidP="00D336E1">
            <w:pPr>
              <w:pStyle w:val="TableParagraph"/>
              <w:spacing w:before="28" w:line="240" w:lineRule="auto"/>
              <w:ind w:left="141"/>
              <w:rPr>
                <w:b/>
                <w:sz w:val="18"/>
              </w:rPr>
            </w:pPr>
            <w:r>
              <w:rPr>
                <w:b/>
                <w:sz w:val="18"/>
              </w:rPr>
              <w:t>Tocilizumab</w:t>
            </w:r>
            <w:r>
              <w:rPr>
                <w:b/>
                <w:spacing w:val="-7"/>
                <w:sz w:val="18"/>
              </w:rPr>
              <w:t xml:space="preserve"> </w:t>
            </w:r>
            <w:r>
              <w:rPr>
                <w:b/>
                <w:sz w:val="18"/>
              </w:rPr>
              <w:t>(N=9</w:t>
            </w:r>
            <w:r w:rsidR="00483F1D">
              <w:rPr>
                <w:b/>
                <w:sz w:val="18"/>
              </w:rPr>
              <w:t>47</w:t>
            </w:r>
            <w:r>
              <w:rPr>
                <w:b/>
                <w:sz w:val="18"/>
              </w:rPr>
              <w:t>)</w:t>
            </w:r>
          </w:p>
        </w:tc>
        <w:tc>
          <w:tcPr>
            <w:tcW w:w="759" w:type="pct"/>
            <w:gridSpan w:val="2"/>
            <w:tcBorders>
              <w:top w:val="single" w:sz="4" w:space="0" w:color="000000"/>
              <w:left w:val="nil"/>
              <w:bottom w:val="single" w:sz="4" w:space="0" w:color="000000"/>
              <w:right w:val="nil"/>
            </w:tcBorders>
            <w:shd w:val="clear" w:color="auto" w:fill="ECECEC"/>
            <w:vAlign w:val="center"/>
          </w:tcPr>
          <w:p w14:paraId="4555A7FC" w14:textId="466F96B3" w:rsidR="00307DC3" w:rsidRDefault="00307DC3" w:rsidP="00D336E1">
            <w:pPr>
              <w:pStyle w:val="TableParagraph"/>
              <w:spacing w:before="28" w:line="240" w:lineRule="auto"/>
              <w:ind w:left="183"/>
              <w:rPr>
                <w:b/>
                <w:sz w:val="18"/>
              </w:rPr>
            </w:pPr>
            <w:r>
              <w:rPr>
                <w:b/>
                <w:sz w:val="18"/>
              </w:rPr>
              <w:t>Sarilumab</w:t>
            </w:r>
            <w:r>
              <w:rPr>
                <w:b/>
                <w:spacing w:val="-6"/>
                <w:sz w:val="18"/>
              </w:rPr>
              <w:t xml:space="preserve"> </w:t>
            </w:r>
            <w:r>
              <w:rPr>
                <w:b/>
                <w:sz w:val="18"/>
              </w:rPr>
              <w:t>(N=4</w:t>
            </w:r>
            <w:r w:rsidR="00483F1D">
              <w:rPr>
                <w:b/>
                <w:sz w:val="18"/>
              </w:rPr>
              <w:t>82</w:t>
            </w:r>
            <w:r>
              <w:rPr>
                <w:b/>
                <w:sz w:val="18"/>
              </w:rPr>
              <w:t>)</w:t>
            </w:r>
          </w:p>
        </w:tc>
        <w:tc>
          <w:tcPr>
            <w:tcW w:w="695" w:type="pct"/>
            <w:tcBorders>
              <w:top w:val="single" w:sz="4" w:space="0" w:color="000000"/>
              <w:left w:val="nil"/>
              <w:bottom w:val="single" w:sz="4" w:space="0" w:color="000000"/>
              <w:right w:val="nil"/>
            </w:tcBorders>
            <w:shd w:val="clear" w:color="auto" w:fill="ECECEC"/>
            <w:vAlign w:val="center"/>
          </w:tcPr>
          <w:p w14:paraId="021A4FF5" w14:textId="7857BB93" w:rsidR="00307DC3" w:rsidRDefault="00307DC3" w:rsidP="00D336E1">
            <w:pPr>
              <w:pStyle w:val="TableParagraph"/>
              <w:spacing w:before="28" w:line="240" w:lineRule="auto"/>
              <w:ind w:left="194"/>
              <w:rPr>
                <w:b/>
                <w:sz w:val="18"/>
              </w:rPr>
            </w:pPr>
            <w:r>
              <w:rPr>
                <w:b/>
                <w:sz w:val="18"/>
              </w:rPr>
              <w:t>Anakinra (N=3</w:t>
            </w:r>
            <w:r w:rsidR="00483F1D">
              <w:rPr>
                <w:b/>
                <w:sz w:val="18"/>
              </w:rPr>
              <w:t>73</w:t>
            </w:r>
            <w:r>
              <w:rPr>
                <w:b/>
                <w:sz w:val="18"/>
              </w:rPr>
              <w:t>)</w:t>
            </w:r>
          </w:p>
        </w:tc>
        <w:tc>
          <w:tcPr>
            <w:tcW w:w="695" w:type="pct"/>
            <w:tcBorders>
              <w:top w:val="single" w:sz="4" w:space="0" w:color="000000"/>
              <w:left w:val="nil"/>
              <w:bottom w:val="single" w:sz="4" w:space="0" w:color="000000"/>
              <w:right w:val="nil"/>
            </w:tcBorders>
            <w:shd w:val="clear" w:color="auto" w:fill="ECECEC"/>
            <w:vAlign w:val="center"/>
          </w:tcPr>
          <w:p w14:paraId="467A2293" w14:textId="64B8C876" w:rsidR="00307DC3" w:rsidRDefault="00C02122" w:rsidP="00D336E1">
            <w:pPr>
              <w:pStyle w:val="TableParagraph"/>
              <w:spacing w:before="28" w:line="240" w:lineRule="auto"/>
              <w:ind w:left="194"/>
              <w:rPr>
                <w:b/>
                <w:sz w:val="18"/>
              </w:rPr>
            </w:pPr>
            <w:r w:rsidRPr="00C02122">
              <w:rPr>
                <w:b/>
                <w:sz w:val="18"/>
              </w:rPr>
              <w:t>Interferon-β1a</w:t>
            </w:r>
            <w:r w:rsidR="00307DC3">
              <w:rPr>
                <w:b/>
                <w:sz w:val="18"/>
              </w:rPr>
              <w:t xml:space="preserve"> (N=19)</w:t>
            </w:r>
          </w:p>
        </w:tc>
        <w:tc>
          <w:tcPr>
            <w:tcW w:w="695" w:type="pct"/>
            <w:tcBorders>
              <w:top w:val="single" w:sz="4" w:space="0" w:color="000000"/>
              <w:left w:val="nil"/>
              <w:bottom w:val="single" w:sz="4" w:space="0" w:color="000000"/>
              <w:right w:val="nil"/>
            </w:tcBorders>
            <w:shd w:val="clear" w:color="auto" w:fill="ECECEC"/>
            <w:vAlign w:val="center"/>
          </w:tcPr>
          <w:p w14:paraId="568D4090" w14:textId="77777777" w:rsidR="00307DC3" w:rsidRDefault="00307DC3" w:rsidP="00D336E1">
            <w:pPr>
              <w:pStyle w:val="TableParagraph"/>
              <w:spacing w:before="28" w:line="240" w:lineRule="auto"/>
              <w:ind w:left="194"/>
              <w:rPr>
                <w:b/>
                <w:sz w:val="18"/>
              </w:rPr>
            </w:pPr>
            <w:r>
              <w:rPr>
                <w:b/>
                <w:sz w:val="18"/>
              </w:rPr>
              <w:t>Control</w:t>
            </w:r>
            <w:r>
              <w:rPr>
                <w:b/>
                <w:spacing w:val="-6"/>
                <w:sz w:val="18"/>
              </w:rPr>
              <w:t xml:space="preserve"> </w:t>
            </w:r>
            <w:r>
              <w:rPr>
                <w:b/>
                <w:sz w:val="18"/>
              </w:rPr>
              <w:t>(N=405)</w:t>
            </w:r>
          </w:p>
        </w:tc>
      </w:tr>
      <w:tr w:rsidR="008C5735" w14:paraId="3E5787C3" w14:textId="77777777" w:rsidTr="00BB21F9">
        <w:trPr>
          <w:trHeight w:val="280"/>
        </w:trPr>
        <w:tc>
          <w:tcPr>
            <w:tcW w:w="1460" w:type="pct"/>
            <w:tcBorders>
              <w:top w:val="single" w:sz="4" w:space="0" w:color="000000"/>
            </w:tcBorders>
            <w:shd w:val="clear" w:color="auto" w:fill="ECECEC"/>
            <w:vAlign w:val="center"/>
          </w:tcPr>
          <w:p w14:paraId="6C07696A" w14:textId="77777777" w:rsidR="008C5735" w:rsidRDefault="008C5735" w:rsidP="00CC768E">
            <w:pPr>
              <w:pStyle w:val="TableParagraph"/>
              <w:spacing w:before="28" w:line="240" w:lineRule="auto"/>
              <w:jc w:val="left"/>
              <w:rPr>
                <w:b/>
                <w:sz w:val="18"/>
              </w:rPr>
            </w:pPr>
            <w:r>
              <w:rPr>
                <w:b/>
                <w:sz w:val="18"/>
              </w:rPr>
              <w:t>90-day</w:t>
            </w:r>
            <w:r>
              <w:rPr>
                <w:b/>
                <w:spacing w:val="-4"/>
                <w:sz w:val="18"/>
              </w:rPr>
              <w:t xml:space="preserve"> </w:t>
            </w:r>
            <w:r>
              <w:rPr>
                <w:b/>
                <w:sz w:val="18"/>
              </w:rPr>
              <w:t>Survival</w:t>
            </w:r>
            <w:r>
              <w:rPr>
                <w:b/>
                <w:spacing w:val="-3"/>
                <w:sz w:val="18"/>
              </w:rPr>
              <w:t xml:space="preserve"> </w:t>
            </w:r>
            <w:r>
              <w:rPr>
                <w:b/>
                <w:sz w:val="18"/>
              </w:rPr>
              <w:t>(time</w:t>
            </w:r>
            <w:r>
              <w:rPr>
                <w:b/>
                <w:spacing w:val="-4"/>
                <w:sz w:val="18"/>
              </w:rPr>
              <w:t xml:space="preserve"> </w:t>
            </w:r>
            <w:r>
              <w:rPr>
                <w:b/>
                <w:sz w:val="18"/>
              </w:rPr>
              <w:t>to</w:t>
            </w:r>
            <w:r>
              <w:rPr>
                <w:b/>
                <w:spacing w:val="-5"/>
                <w:sz w:val="18"/>
              </w:rPr>
              <w:t xml:space="preserve"> </w:t>
            </w:r>
            <w:r>
              <w:rPr>
                <w:b/>
                <w:sz w:val="18"/>
              </w:rPr>
              <w:t>event)</w:t>
            </w:r>
          </w:p>
        </w:tc>
        <w:tc>
          <w:tcPr>
            <w:tcW w:w="3540" w:type="pct"/>
            <w:gridSpan w:val="6"/>
            <w:tcBorders>
              <w:top w:val="single" w:sz="4" w:space="0" w:color="000000"/>
            </w:tcBorders>
            <w:shd w:val="clear" w:color="auto" w:fill="ECECEC"/>
          </w:tcPr>
          <w:p w14:paraId="41ED0EA4" w14:textId="77777777" w:rsidR="008C5735" w:rsidRDefault="008C5735" w:rsidP="00F42F00">
            <w:pPr>
              <w:pStyle w:val="TableParagraph"/>
              <w:spacing w:before="28" w:line="240" w:lineRule="auto"/>
              <w:ind w:left="110"/>
              <w:jc w:val="left"/>
              <w:rPr>
                <w:b/>
                <w:sz w:val="18"/>
              </w:rPr>
            </w:pPr>
          </w:p>
        </w:tc>
      </w:tr>
      <w:tr w:rsidR="0058643B" w14:paraId="5470F3EF" w14:textId="77777777" w:rsidTr="00BB21F9">
        <w:trPr>
          <w:trHeight w:val="280"/>
        </w:trPr>
        <w:tc>
          <w:tcPr>
            <w:tcW w:w="1460" w:type="pct"/>
            <w:tcBorders>
              <w:right w:val="nil"/>
            </w:tcBorders>
            <w:shd w:val="clear" w:color="auto" w:fill="ECECEC"/>
            <w:vAlign w:val="center"/>
          </w:tcPr>
          <w:p w14:paraId="3F002A0B" w14:textId="77777777" w:rsidR="00307DC3" w:rsidRDefault="00307DC3" w:rsidP="00D336E1">
            <w:pPr>
              <w:pStyle w:val="TableParagraph"/>
              <w:spacing w:before="29" w:line="240" w:lineRule="auto"/>
              <w:ind w:left="270"/>
              <w:jc w:val="left"/>
              <w:rPr>
                <w:sz w:val="18"/>
              </w:rPr>
            </w:pPr>
            <w:r>
              <w:rPr>
                <w:sz w:val="18"/>
              </w:rPr>
              <w:t>Adjusted</w:t>
            </w:r>
            <w:r>
              <w:rPr>
                <w:spacing w:val="-3"/>
                <w:sz w:val="18"/>
              </w:rPr>
              <w:t xml:space="preserve"> </w:t>
            </w:r>
            <w:r>
              <w:rPr>
                <w:sz w:val="18"/>
              </w:rPr>
              <w:t>HR</w:t>
            </w:r>
            <w:r>
              <w:rPr>
                <w:spacing w:val="1"/>
                <w:sz w:val="18"/>
              </w:rPr>
              <w:t xml:space="preserve"> </w:t>
            </w:r>
            <w:r>
              <w:rPr>
                <w:sz w:val="18"/>
              </w:rPr>
              <w:t>-</w:t>
            </w:r>
            <w:r>
              <w:rPr>
                <w:spacing w:val="-2"/>
                <w:sz w:val="18"/>
              </w:rPr>
              <w:t xml:space="preserve"> </w:t>
            </w:r>
            <w:r>
              <w:rPr>
                <w:sz w:val="18"/>
              </w:rPr>
              <w:t>mean</w:t>
            </w:r>
            <w:r>
              <w:rPr>
                <w:spacing w:val="-2"/>
                <w:sz w:val="18"/>
              </w:rPr>
              <w:t xml:space="preserve"> </w:t>
            </w:r>
            <w:r>
              <w:rPr>
                <w:sz w:val="18"/>
              </w:rPr>
              <w:t>(SD)</w:t>
            </w:r>
          </w:p>
        </w:tc>
        <w:tc>
          <w:tcPr>
            <w:tcW w:w="696" w:type="pct"/>
            <w:tcBorders>
              <w:left w:val="nil"/>
              <w:right w:val="nil"/>
            </w:tcBorders>
            <w:shd w:val="clear" w:color="auto" w:fill="ECECEC"/>
            <w:vAlign w:val="center"/>
          </w:tcPr>
          <w:p w14:paraId="0459B88C" w14:textId="77777777" w:rsidR="00307DC3" w:rsidRDefault="00307DC3" w:rsidP="00D336E1">
            <w:pPr>
              <w:pStyle w:val="TableParagraph"/>
              <w:spacing w:before="29" w:line="240" w:lineRule="auto"/>
              <w:ind w:left="141"/>
              <w:rPr>
                <w:sz w:val="18"/>
              </w:rPr>
            </w:pPr>
            <w:r>
              <w:rPr>
                <w:sz w:val="18"/>
              </w:rPr>
              <w:t>1.40 (0.16)</w:t>
            </w:r>
          </w:p>
        </w:tc>
        <w:tc>
          <w:tcPr>
            <w:tcW w:w="759" w:type="pct"/>
            <w:gridSpan w:val="2"/>
            <w:tcBorders>
              <w:left w:val="nil"/>
              <w:right w:val="nil"/>
            </w:tcBorders>
            <w:shd w:val="clear" w:color="auto" w:fill="ECECEC"/>
            <w:vAlign w:val="center"/>
          </w:tcPr>
          <w:p w14:paraId="01099074" w14:textId="77777777" w:rsidR="00307DC3" w:rsidRDefault="00307DC3" w:rsidP="00D336E1">
            <w:pPr>
              <w:pStyle w:val="TableParagraph"/>
              <w:spacing w:before="29" w:line="240" w:lineRule="auto"/>
              <w:ind w:left="183"/>
              <w:rPr>
                <w:sz w:val="18"/>
              </w:rPr>
            </w:pPr>
            <w:r>
              <w:rPr>
                <w:sz w:val="18"/>
              </w:rPr>
              <w:t>1.46 (0.20)</w:t>
            </w:r>
          </w:p>
        </w:tc>
        <w:tc>
          <w:tcPr>
            <w:tcW w:w="695" w:type="pct"/>
            <w:tcBorders>
              <w:left w:val="nil"/>
              <w:right w:val="nil"/>
            </w:tcBorders>
            <w:shd w:val="clear" w:color="auto" w:fill="ECECEC"/>
            <w:vAlign w:val="center"/>
          </w:tcPr>
          <w:p w14:paraId="66F77174" w14:textId="77777777" w:rsidR="00307DC3" w:rsidRDefault="00307DC3" w:rsidP="00D336E1">
            <w:pPr>
              <w:pStyle w:val="TableParagraph"/>
              <w:spacing w:before="29" w:line="240" w:lineRule="auto"/>
              <w:ind w:left="194"/>
              <w:rPr>
                <w:sz w:val="18"/>
              </w:rPr>
            </w:pPr>
            <w:r>
              <w:rPr>
                <w:sz w:val="18"/>
              </w:rPr>
              <w:t>1.15 (0.16)</w:t>
            </w:r>
          </w:p>
        </w:tc>
        <w:tc>
          <w:tcPr>
            <w:tcW w:w="695" w:type="pct"/>
            <w:tcBorders>
              <w:left w:val="nil"/>
            </w:tcBorders>
            <w:shd w:val="clear" w:color="auto" w:fill="ECECEC"/>
            <w:vAlign w:val="center"/>
          </w:tcPr>
          <w:p w14:paraId="3DC85BA3" w14:textId="77777777" w:rsidR="00307DC3" w:rsidRDefault="00307DC3" w:rsidP="00D336E1">
            <w:pPr>
              <w:pStyle w:val="TableParagraph"/>
              <w:spacing w:before="29" w:line="240" w:lineRule="auto"/>
              <w:ind w:left="194"/>
              <w:rPr>
                <w:sz w:val="18"/>
              </w:rPr>
            </w:pPr>
            <w:r>
              <w:rPr>
                <w:sz w:val="18"/>
              </w:rPr>
              <w:t>1.26 (0.51)</w:t>
            </w:r>
          </w:p>
        </w:tc>
        <w:tc>
          <w:tcPr>
            <w:tcW w:w="695" w:type="pct"/>
            <w:tcBorders>
              <w:left w:val="nil"/>
            </w:tcBorders>
            <w:shd w:val="clear" w:color="auto" w:fill="ECECEC"/>
            <w:vAlign w:val="center"/>
          </w:tcPr>
          <w:p w14:paraId="4A70621E" w14:textId="77777777" w:rsidR="00307DC3" w:rsidRDefault="00307DC3" w:rsidP="00D336E1">
            <w:pPr>
              <w:pStyle w:val="TableParagraph"/>
              <w:spacing w:before="29" w:line="240" w:lineRule="auto"/>
              <w:ind w:left="194"/>
              <w:rPr>
                <w:sz w:val="18"/>
              </w:rPr>
            </w:pPr>
            <w:r>
              <w:rPr>
                <w:sz w:val="18"/>
              </w:rPr>
              <w:t>1</w:t>
            </w:r>
          </w:p>
        </w:tc>
      </w:tr>
      <w:tr w:rsidR="0058643B" w14:paraId="769738C0" w14:textId="77777777" w:rsidTr="00BB21F9">
        <w:trPr>
          <w:trHeight w:val="275"/>
        </w:trPr>
        <w:tc>
          <w:tcPr>
            <w:tcW w:w="1460" w:type="pct"/>
            <w:tcBorders>
              <w:right w:val="nil"/>
            </w:tcBorders>
            <w:shd w:val="clear" w:color="auto" w:fill="ECECEC"/>
            <w:vAlign w:val="center"/>
          </w:tcPr>
          <w:p w14:paraId="0C4B0C44" w14:textId="77777777" w:rsidR="00307DC3" w:rsidRDefault="00307DC3" w:rsidP="00D336E1">
            <w:pPr>
              <w:pStyle w:val="TableParagraph"/>
              <w:spacing w:before="28" w:line="240" w:lineRule="auto"/>
              <w:ind w:left="1215"/>
              <w:jc w:val="left"/>
              <w:rPr>
                <w:sz w:val="18"/>
              </w:rPr>
            </w:pPr>
            <w:r>
              <w:rPr>
                <w:sz w:val="18"/>
              </w:rPr>
              <w:t>-</w:t>
            </w:r>
            <w:r>
              <w:rPr>
                <w:spacing w:val="-3"/>
                <w:sz w:val="18"/>
              </w:rPr>
              <w:t xml:space="preserve"> </w:t>
            </w:r>
            <w:r>
              <w:rPr>
                <w:sz w:val="18"/>
              </w:rPr>
              <w:t>median</w:t>
            </w:r>
            <w:r>
              <w:rPr>
                <w:spacing w:val="-2"/>
                <w:sz w:val="18"/>
              </w:rPr>
              <w:t xml:space="preserve"> </w:t>
            </w:r>
            <w:r>
              <w:rPr>
                <w:sz w:val="18"/>
              </w:rPr>
              <w:t>(95%</w:t>
            </w:r>
            <w:r>
              <w:rPr>
                <w:spacing w:val="-1"/>
                <w:sz w:val="18"/>
              </w:rPr>
              <w:t xml:space="preserve"> </w:t>
            </w:r>
            <w:r>
              <w:rPr>
                <w:sz w:val="18"/>
              </w:rPr>
              <w:t>CrI)</w:t>
            </w:r>
          </w:p>
        </w:tc>
        <w:tc>
          <w:tcPr>
            <w:tcW w:w="696" w:type="pct"/>
            <w:tcBorders>
              <w:left w:val="nil"/>
              <w:right w:val="nil"/>
            </w:tcBorders>
            <w:shd w:val="clear" w:color="auto" w:fill="ECECEC"/>
            <w:vAlign w:val="center"/>
          </w:tcPr>
          <w:p w14:paraId="36224A85" w14:textId="77777777" w:rsidR="00307DC3" w:rsidRDefault="00307DC3" w:rsidP="00D336E1">
            <w:pPr>
              <w:pStyle w:val="TableParagraph"/>
              <w:spacing w:before="28" w:line="240" w:lineRule="auto"/>
              <w:ind w:left="141"/>
              <w:rPr>
                <w:sz w:val="18"/>
              </w:rPr>
            </w:pPr>
            <w:r>
              <w:rPr>
                <w:sz w:val="18"/>
              </w:rPr>
              <w:t>1.39 (1.11 to 1.74)</w:t>
            </w:r>
          </w:p>
        </w:tc>
        <w:tc>
          <w:tcPr>
            <w:tcW w:w="759" w:type="pct"/>
            <w:gridSpan w:val="2"/>
            <w:tcBorders>
              <w:left w:val="nil"/>
              <w:right w:val="nil"/>
            </w:tcBorders>
            <w:shd w:val="clear" w:color="auto" w:fill="ECECEC"/>
            <w:vAlign w:val="center"/>
          </w:tcPr>
          <w:p w14:paraId="5C91A489" w14:textId="7EC4D0F2" w:rsidR="00307DC3" w:rsidRDefault="00307DC3" w:rsidP="00D336E1">
            <w:pPr>
              <w:pStyle w:val="TableParagraph"/>
              <w:spacing w:before="28" w:line="240" w:lineRule="auto"/>
              <w:rPr>
                <w:sz w:val="18"/>
              </w:rPr>
            </w:pPr>
            <w:r>
              <w:rPr>
                <w:sz w:val="18"/>
              </w:rPr>
              <w:t>1.44 (1.11 to 1.89)</w:t>
            </w:r>
          </w:p>
        </w:tc>
        <w:tc>
          <w:tcPr>
            <w:tcW w:w="695" w:type="pct"/>
            <w:tcBorders>
              <w:left w:val="nil"/>
              <w:right w:val="nil"/>
            </w:tcBorders>
            <w:shd w:val="clear" w:color="auto" w:fill="ECECEC"/>
            <w:vAlign w:val="center"/>
          </w:tcPr>
          <w:p w14:paraId="5A61FBE7" w14:textId="5F90E307" w:rsidR="00307DC3" w:rsidRDefault="00307DC3" w:rsidP="00D336E1">
            <w:pPr>
              <w:pStyle w:val="TableParagraph"/>
              <w:spacing w:before="28" w:line="240" w:lineRule="auto"/>
              <w:rPr>
                <w:sz w:val="18"/>
              </w:rPr>
            </w:pPr>
            <w:r>
              <w:rPr>
                <w:sz w:val="18"/>
              </w:rPr>
              <w:t>1.13 (0.87 to 1.49)</w:t>
            </w:r>
          </w:p>
        </w:tc>
        <w:tc>
          <w:tcPr>
            <w:tcW w:w="695" w:type="pct"/>
            <w:tcBorders>
              <w:left w:val="nil"/>
            </w:tcBorders>
            <w:shd w:val="clear" w:color="auto" w:fill="ECECEC"/>
            <w:vAlign w:val="center"/>
          </w:tcPr>
          <w:p w14:paraId="7C09A87A" w14:textId="54625AFC" w:rsidR="00307DC3" w:rsidRDefault="00307DC3" w:rsidP="00D336E1">
            <w:pPr>
              <w:pStyle w:val="TableParagraph"/>
              <w:spacing w:before="28" w:line="240" w:lineRule="auto"/>
              <w:rPr>
                <w:sz w:val="18"/>
              </w:rPr>
            </w:pPr>
            <w:r>
              <w:rPr>
                <w:sz w:val="18"/>
              </w:rPr>
              <w:t>1.16 (0.60 to 2.52)</w:t>
            </w:r>
          </w:p>
        </w:tc>
        <w:tc>
          <w:tcPr>
            <w:tcW w:w="695" w:type="pct"/>
            <w:tcBorders>
              <w:left w:val="nil"/>
            </w:tcBorders>
            <w:shd w:val="clear" w:color="auto" w:fill="ECECEC"/>
            <w:vAlign w:val="center"/>
          </w:tcPr>
          <w:p w14:paraId="19914F2D" w14:textId="77777777" w:rsidR="00307DC3" w:rsidRDefault="00307DC3" w:rsidP="00D336E1">
            <w:pPr>
              <w:pStyle w:val="TableParagraph"/>
              <w:spacing w:before="28" w:line="240" w:lineRule="auto"/>
              <w:ind w:left="194"/>
              <w:rPr>
                <w:sz w:val="18"/>
              </w:rPr>
            </w:pPr>
            <w:r>
              <w:rPr>
                <w:sz w:val="18"/>
              </w:rPr>
              <w:t>1</w:t>
            </w:r>
          </w:p>
        </w:tc>
      </w:tr>
      <w:tr w:rsidR="0058643B" w14:paraId="6B7CFD55" w14:textId="77777777" w:rsidTr="00BB21F9">
        <w:trPr>
          <w:trHeight w:val="280"/>
        </w:trPr>
        <w:tc>
          <w:tcPr>
            <w:tcW w:w="1460" w:type="pct"/>
            <w:tcBorders>
              <w:right w:val="nil"/>
            </w:tcBorders>
            <w:shd w:val="clear" w:color="auto" w:fill="ECECEC"/>
            <w:vAlign w:val="center"/>
          </w:tcPr>
          <w:p w14:paraId="226921ED" w14:textId="77777777" w:rsidR="00307DC3" w:rsidRDefault="00307DC3" w:rsidP="00D336E1">
            <w:pPr>
              <w:pStyle w:val="TableParagraph"/>
              <w:spacing w:before="28" w:line="240" w:lineRule="auto"/>
              <w:ind w:left="270"/>
              <w:jc w:val="left"/>
              <w:rPr>
                <w:sz w:val="18"/>
              </w:rPr>
            </w:pPr>
            <w:r>
              <w:rPr>
                <w:sz w:val="18"/>
              </w:rPr>
              <w:t>Probability</w:t>
            </w:r>
            <w:r>
              <w:rPr>
                <w:spacing w:val="-6"/>
                <w:sz w:val="18"/>
              </w:rPr>
              <w:t xml:space="preserve"> </w:t>
            </w:r>
            <w:r>
              <w:rPr>
                <w:sz w:val="18"/>
              </w:rPr>
              <w:t>of</w:t>
            </w:r>
            <w:r>
              <w:rPr>
                <w:spacing w:val="-2"/>
                <w:sz w:val="18"/>
              </w:rPr>
              <w:t xml:space="preserve"> </w:t>
            </w:r>
            <w:r>
              <w:rPr>
                <w:sz w:val="18"/>
              </w:rPr>
              <w:t>superiority</w:t>
            </w:r>
            <w:r>
              <w:rPr>
                <w:spacing w:val="-5"/>
                <w:sz w:val="18"/>
              </w:rPr>
              <w:t xml:space="preserve"> </w:t>
            </w:r>
            <w:r>
              <w:rPr>
                <w:sz w:val="18"/>
              </w:rPr>
              <w:t>to</w:t>
            </w:r>
            <w:r>
              <w:rPr>
                <w:spacing w:val="-4"/>
                <w:sz w:val="18"/>
              </w:rPr>
              <w:t xml:space="preserve"> </w:t>
            </w:r>
            <w:r>
              <w:rPr>
                <w:sz w:val="18"/>
              </w:rPr>
              <w:t>control,</w:t>
            </w:r>
            <w:r>
              <w:rPr>
                <w:spacing w:val="-3"/>
                <w:sz w:val="18"/>
              </w:rPr>
              <w:t xml:space="preserve"> </w:t>
            </w:r>
            <w:r>
              <w:rPr>
                <w:sz w:val="18"/>
              </w:rPr>
              <w:t>%</w:t>
            </w:r>
          </w:p>
        </w:tc>
        <w:tc>
          <w:tcPr>
            <w:tcW w:w="696" w:type="pct"/>
            <w:tcBorders>
              <w:left w:val="nil"/>
              <w:right w:val="nil"/>
            </w:tcBorders>
            <w:shd w:val="clear" w:color="auto" w:fill="ECECEC"/>
            <w:vAlign w:val="center"/>
          </w:tcPr>
          <w:p w14:paraId="36474476" w14:textId="77777777" w:rsidR="00307DC3" w:rsidRDefault="00307DC3" w:rsidP="00D336E1">
            <w:pPr>
              <w:pStyle w:val="TableParagraph"/>
              <w:spacing w:before="28" w:line="240" w:lineRule="auto"/>
              <w:ind w:left="141"/>
              <w:rPr>
                <w:sz w:val="18"/>
              </w:rPr>
            </w:pPr>
            <w:r>
              <w:rPr>
                <w:sz w:val="18"/>
              </w:rPr>
              <w:t>99.9</w:t>
            </w:r>
          </w:p>
        </w:tc>
        <w:tc>
          <w:tcPr>
            <w:tcW w:w="759" w:type="pct"/>
            <w:gridSpan w:val="2"/>
            <w:tcBorders>
              <w:left w:val="nil"/>
              <w:right w:val="nil"/>
            </w:tcBorders>
            <w:shd w:val="clear" w:color="auto" w:fill="ECECEC"/>
            <w:vAlign w:val="center"/>
          </w:tcPr>
          <w:p w14:paraId="671A21A8" w14:textId="77777777" w:rsidR="00307DC3" w:rsidRDefault="00307DC3" w:rsidP="00D336E1">
            <w:pPr>
              <w:pStyle w:val="TableParagraph"/>
              <w:spacing w:before="28" w:line="240" w:lineRule="auto"/>
              <w:ind w:left="183"/>
              <w:rPr>
                <w:sz w:val="18"/>
              </w:rPr>
            </w:pPr>
            <w:r>
              <w:rPr>
                <w:sz w:val="18"/>
              </w:rPr>
              <w:t>99.6</w:t>
            </w:r>
          </w:p>
        </w:tc>
        <w:tc>
          <w:tcPr>
            <w:tcW w:w="695" w:type="pct"/>
            <w:tcBorders>
              <w:left w:val="nil"/>
              <w:right w:val="nil"/>
            </w:tcBorders>
            <w:shd w:val="clear" w:color="auto" w:fill="ECECEC"/>
            <w:vAlign w:val="center"/>
          </w:tcPr>
          <w:p w14:paraId="708A0C1C" w14:textId="77777777" w:rsidR="00307DC3" w:rsidRDefault="00307DC3" w:rsidP="00D336E1">
            <w:pPr>
              <w:pStyle w:val="TableParagraph"/>
              <w:spacing w:before="28" w:line="240" w:lineRule="auto"/>
              <w:ind w:left="194"/>
              <w:rPr>
                <w:sz w:val="18"/>
              </w:rPr>
            </w:pPr>
            <w:r>
              <w:rPr>
                <w:sz w:val="18"/>
              </w:rPr>
              <w:t>82.3</w:t>
            </w:r>
          </w:p>
        </w:tc>
        <w:tc>
          <w:tcPr>
            <w:tcW w:w="695" w:type="pct"/>
            <w:tcBorders>
              <w:left w:val="nil"/>
            </w:tcBorders>
            <w:shd w:val="clear" w:color="auto" w:fill="ECECEC"/>
            <w:vAlign w:val="center"/>
          </w:tcPr>
          <w:p w14:paraId="7AFF8574" w14:textId="77777777" w:rsidR="00307DC3" w:rsidRDefault="00307DC3" w:rsidP="00D336E1">
            <w:pPr>
              <w:pStyle w:val="TableParagraph"/>
              <w:spacing w:before="28" w:line="240" w:lineRule="auto"/>
              <w:ind w:left="194"/>
              <w:rPr>
                <w:sz w:val="18"/>
              </w:rPr>
            </w:pPr>
            <w:r>
              <w:rPr>
                <w:sz w:val="18"/>
              </w:rPr>
              <w:t>65.8</w:t>
            </w:r>
          </w:p>
        </w:tc>
        <w:tc>
          <w:tcPr>
            <w:tcW w:w="695" w:type="pct"/>
            <w:tcBorders>
              <w:left w:val="nil"/>
            </w:tcBorders>
            <w:shd w:val="clear" w:color="auto" w:fill="ECECEC"/>
            <w:vAlign w:val="center"/>
          </w:tcPr>
          <w:p w14:paraId="37AFB9F0" w14:textId="77777777" w:rsidR="00307DC3" w:rsidRDefault="00307DC3" w:rsidP="00D336E1">
            <w:pPr>
              <w:pStyle w:val="TableParagraph"/>
              <w:spacing w:before="28" w:line="240" w:lineRule="auto"/>
              <w:ind w:left="194"/>
              <w:rPr>
                <w:sz w:val="18"/>
              </w:rPr>
            </w:pPr>
            <w:r>
              <w:rPr>
                <w:sz w:val="18"/>
              </w:rPr>
              <w:t>-</w:t>
            </w:r>
          </w:p>
        </w:tc>
      </w:tr>
      <w:tr w:rsidR="0058643B" w14:paraId="0921574C" w14:textId="77777777" w:rsidTr="00BB21F9">
        <w:trPr>
          <w:trHeight w:val="280"/>
        </w:trPr>
        <w:tc>
          <w:tcPr>
            <w:tcW w:w="1460" w:type="pct"/>
            <w:tcBorders>
              <w:right w:val="nil"/>
            </w:tcBorders>
            <w:shd w:val="clear" w:color="auto" w:fill="ECECEC"/>
            <w:vAlign w:val="center"/>
          </w:tcPr>
          <w:p w14:paraId="04A1EA92" w14:textId="53FFD5A7" w:rsidR="008C5735" w:rsidRDefault="008C5735" w:rsidP="00CC768E">
            <w:pPr>
              <w:pStyle w:val="TableParagraph"/>
              <w:spacing w:before="28" w:line="240" w:lineRule="auto"/>
              <w:jc w:val="left"/>
              <w:rPr>
                <w:sz w:val="18"/>
              </w:rPr>
            </w:pPr>
            <w:r>
              <w:rPr>
                <w:b/>
                <w:sz w:val="18"/>
                <w:szCs w:val="18"/>
              </w:rPr>
              <w:t xml:space="preserve">Freedom from </w:t>
            </w:r>
            <w:r w:rsidRPr="00A046A9">
              <w:rPr>
                <w:b/>
                <w:sz w:val="18"/>
                <w:szCs w:val="18"/>
              </w:rPr>
              <w:t>progression to intuba</w:t>
            </w:r>
            <w:r>
              <w:rPr>
                <w:b/>
                <w:sz w:val="18"/>
                <w:szCs w:val="18"/>
              </w:rPr>
              <w:t>ti</w:t>
            </w:r>
            <w:r w:rsidRPr="00A046A9">
              <w:rPr>
                <w:b/>
                <w:sz w:val="18"/>
                <w:szCs w:val="18"/>
              </w:rPr>
              <w:t>on, ECMO, or death</w:t>
            </w:r>
          </w:p>
        </w:tc>
        <w:tc>
          <w:tcPr>
            <w:tcW w:w="696" w:type="pct"/>
            <w:tcBorders>
              <w:left w:val="nil"/>
              <w:right w:val="nil"/>
            </w:tcBorders>
            <w:shd w:val="clear" w:color="auto" w:fill="ECECEC"/>
            <w:vAlign w:val="center"/>
          </w:tcPr>
          <w:p w14:paraId="52B091A5" w14:textId="77777777" w:rsidR="008C5735" w:rsidRDefault="008C5735" w:rsidP="00D336E1">
            <w:pPr>
              <w:pStyle w:val="TableParagraph"/>
              <w:spacing w:before="28" w:line="240" w:lineRule="auto"/>
              <w:ind w:left="141"/>
              <w:rPr>
                <w:sz w:val="18"/>
              </w:rPr>
            </w:pPr>
          </w:p>
        </w:tc>
        <w:tc>
          <w:tcPr>
            <w:tcW w:w="759" w:type="pct"/>
            <w:gridSpan w:val="2"/>
            <w:tcBorders>
              <w:left w:val="nil"/>
              <w:right w:val="nil"/>
            </w:tcBorders>
            <w:shd w:val="clear" w:color="auto" w:fill="ECECEC"/>
            <w:vAlign w:val="center"/>
          </w:tcPr>
          <w:p w14:paraId="5AD04008" w14:textId="77777777" w:rsidR="008C5735" w:rsidRDefault="008C5735" w:rsidP="00D336E1">
            <w:pPr>
              <w:pStyle w:val="TableParagraph"/>
              <w:spacing w:before="28" w:line="240" w:lineRule="auto"/>
              <w:ind w:left="183"/>
              <w:rPr>
                <w:sz w:val="18"/>
              </w:rPr>
            </w:pPr>
          </w:p>
        </w:tc>
        <w:tc>
          <w:tcPr>
            <w:tcW w:w="695" w:type="pct"/>
            <w:tcBorders>
              <w:left w:val="nil"/>
              <w:right w:val="nil"/>
            </w:tcBorders>
            <w:shd w:val="clear" w:color="auto" w:fill="ECECEC"/>
            <w:vAlign w:val="center"/>
          </w:tcPr>
          <w:p w14:paraId="02354BA0" w14:textId="77777777" w:rsidR="008C5735" w:rsidRDefault="008C5735" w:rsidP="00D336E1">
            <w:pPr>
              <w:pStyle w:val="TableParagraph"/>
              <w:spacing w:before="28" w:line="240" w:lineRule="auto"/>
              <w:ind w:left="194"/>
              <w:rPr>
                <w:sz w:val="18"/>
              </w:rPr>
            </w:pPr>
          </w:p>
        </w:tc>
        <w:tc>
          <w:tcPr>
            <w:tcW w:w="695" w:type="pct"/>
            <w:tcBorders>
              <w:left w:val="nil"/>
            </w:tcBorders>
            <w:shd w:val="clear" w:color="auto" w:fill="ECECEC"/>
            <w:vAlign w:val="center"/>
          </w:tcPr>
          <w:p w14:paraId="51A2EEFF" w14:textId="77777777" w:rsidR="008C5735" w:rsidRDefault="008C5735" w:rsidP="00D336E1">
            <w:pPr>
              <w:pStyle w:val="TableParagraph"/>
              <w:spacing w:before="28" w:line="240" w:lineRule="auto"/>
              <w:ind w:left="194"/>
              <w:rPr>
                <w:sz w:val="18"/>
              </w:rPr>
            </w:pPr>
          </w:p>
        </w:tc>
        <w:tc>
          <w:tcPr>
            <w:tcW w:w="695" w:type="pct"/>
            <w:tcBorders>
              <w:left w:val="nil"/>
            </w:tcBorders>
            <w:shd w:val="clear" w:color="auto" w:fill="ECECEC"/>
            <w:vAlign w:val="center"/>
          </w:tcPr>
          <w:p w14:paraId="72B79D7A" w14:textId="77777777" w:rsidR="008C5735" w:rsidRDefault="008C5735" w:rsidP="00D336E1">
            <w:pPr>
              <w:pStyle w:val="TableParagraph"/>
              <w:spacing w:before="28" w:line="240" w:lineRule="auto"/>
              <w:ind w:left="194"/>
              <w:rPr>
                <w:sz w:val="18"/>
              </w:rPr>
            </w:pPr>
          </w:p>
        </w:tc>
      </w:tr>
      <w:tr w:rsidR="0058643B" w14:paraId="4334A4C1" w14:textId="77777777" w:rsidTr="00BB21F9">
        <w:trPr>
          <w:trHeight w:val="280"/>
        </w:trPr>
        <w:tc>
          <w:tcPr>
            <w:tcW w:w="1460" w:type="pct"/>
            <w:tcBorders>
              <w:right w:val="nil"/>
            </w:tcBorders>
            <w:shd w:val="clear" w:color="auto" w:fill="ECECEC"/>
            <w:vAlign w:val="center"/>
          </w:tcPr>
          <w:p w14:paraId="31FDB2DA" w14:textId="503F5580" w:rsidR="008C5735" w:rsidRDefault="008C5735" w:rsidP="00D336E1">
            <w:pPr>
              <w:pStyle w:val="TableParagraph"/>
              <w:spacing w:before="28" w:line="240" w:lineRule="auto"/>
              <w:ind w:left="270"/>
              <w:jc w:val="left"/>
              <w:rPr>
                <w:sz w:val="18"/>
              </w:rPr>
            </w:pPr>
            <w:r w:rsidRPr="00A76818">
              <w:rPr>
                <w:sz w:val="18"/>
                <w:szCs w:val="18"/>
              </w:rPr>
              <w:lastRenderedPageBreak/>
              <w:t>Adjusted</w:t>
            </w:r>
            <w:r w:rsidRPr="00A76818">
              <w:rPr>
                <w:spacing w:val="-3"/>
                <w:sz w:val="18"/>
                <w:szCs w:val="18"/>
              </w:rPr>
              <w:t xml:space="preserve"> </w:t>
            </w:r>
            <w:r w:rsidRPr="00A76818">
              <w:rPr>
                <w:sz w:val="18"/>
                <w:szCs w:val="18"/>
              </w:rPr>
              <w:t>OR</w:t>
            </w:r>
            <w:r w:rsidRPr="00A76818">
              <w:rPr>
                <w:spacing w:val="2"/>
                <w:sz w:val="18"/>
                <w:szCs w:val="18"/>
              </w:rPr>
              <w:t xml:space="preserve"> </w:t>
            </w:r>
            <w:r w:rsidRPr="00A76818">
              <w:rPr>
                <w:sz w:val="18"/>
                <w:szCs w:val="18"/>
              </w:rPr>
              <w:t>-</w:t>
            </w:r>
            <w:r w:rsidRPr="00A76818">
              <w:rPr>
                <w:spacing w:val="-2"/>
                <w:sz w:val="18"/>
                <w:szCs w:val="18"/>
              </w:rPr>
              <w:t xml:space="preserve"> </w:t>
            </w:r>
            <w:r w:rsidRPr="00A76818">
              <w:rPr>
                <w:sz w:val="18"/>
                <w:szCs w:val="18"/>
              </w:rPr>
              <w:t>mean</w:t>
            </w:r>
            <w:r w:rsidRPr="00A76818">
              <w:rPr>
                <w:spacing w:val="-3"/>
                <w:sz w:val="18"/>
                <w:szCs w:val="18"/>
              </w:rPr>
              <w:t xml:space="preserve"> </w:t>
            </w:r>
            <w:r w:rsidRPr="00A76818">
              <w:rPr>
                <w:sz w:val="18"/>
                <w:szCs w:val="18"/>
              </w:rPr>
              <w:t>(SD)</w:t>
            </w:r>
          </w:p>
        </w:tc>
        <w:tc>
          <w:tcPr>
            <w:tcW w:w="696" w:type="pct"/>
            <w:tcBorders>
              <w:left w:val="nil"/>
              <w:right w:val="nil"/>
            </w:tcBorders>
            <w:shd w:val="clear" w:color="auto" w:fill="ECECEC"/>
            <w:vAlign w:val="center"/>
          </w:tcPr>
          <w:p w14:paraId="6CC3146F" w14:textId="28BFFCD2" w:rsidR="008C5735" w:rsidRDefault="008C5735" w:rsidP="00D336E1">
            <w:pPr>
              <w:pStyle w:val="TableParagraph"/>
              <w:spacing w:before="28" w:line="240" w:lineRule="auto"/>
              <w:ind w:left="141"/>
              <w:rPr>
                <w:sz w:val="18"/>
              </w:rPr>
            </w:pPr>
            <w:r>
              <w:rPr>
                <w:sz w:val="18"/>
                <w:szCs w:val="18"/>
              </w:rPr>
              <w:t>1.70 (0.29)</w:t>
            </w:r>
          </w:p>
        </w:tc>
        <w:tc>
          <w:tcPr>
            <w:tcW w:w="759" w:type="pct"/>
            <w:gridSpan w:val="2"/>
            <w:tcBorders>
              <w:left w:val="nil"/>
              <w:right w:val="nil"/>
            </w:tcBorders>
            <w:shd w:val="clear" w:color="auto" w:fill="ECECEC"/>
            <w:vAlign w:val="center"/>
          </w:tcPr>
          <w:p w14:paraId="12F3CBDB" w14:textId="6852DEA7" w:rsidR="008C5735" w:rsidRDefault="008C5735" w:rsidP="00D336E1">
            <w:pPr>
              <w:pStyle w:val="TableParagraph"/>
              <w:spacing w:before="28" w:line="240" w:lineRule="auto"/>
              <w:ind w:left="183"/>
              <w:rPr>
                <w:sz w:val="18"/>
              </w:rPr>
            </w:pPr>
            <w:r>
              <w:rPr>
                <w:sz w:val="18"/>
                <w:szCs w:val="18"/>
              </w:rPr>
              <w:t>1.46 (0.29)</w:t>
            </w:r>
          </w:p>
        </w:tc>
        <w:tc>
          <w:tcPr>
            <w:tcW w:w="695" w:type="pct"/>
            <w:tcBorders>
              <w:left w:val="nil"/>
              <w:right w:val="nil"/>
            </w:tcBorders>
            <w:shd w:val="clear" w:color="auto" w:fill="ECECEC"/>
            <w:vAlign w:val="center"/>
          </w:tcPr>
          <w:p w14:paraId="2DE048D5" w14:textId="4E3488C1" w:rsidR="008C5735" w:rsidRDefault="008C5735" w:rsidP="00D336E1">
            <w:pPr>
              <w:pStyle w:val="TableParagraph"/>
              <w:spacing w:before="28" w:line="240" w:lineRule="auto"/>
              <w:ind w:left="194"/>
              <w:rPr>
                <w:sz w:val="18"/>
              </w:rPr>
            </w:pPr>
            <w:r>
              <w:rPr>
                <w:sz w:val="18"/>
                <w:szCs w:val="18"/>
              </w:rPr>
              <w:t>1.19 (0.26)</w:t>
            </w:r>
          </w:p>
        </w:tc>
        <w:tc>
          <w:tcPr>
            <w:tcW w:w="695" w:type="pct"/>
            <w:tcBorders>
              <w:left w:val="nil"/>
            </w:tcBorders>
            <w:shd w:val="clear" w:color="auto" w:fill="ECECEC"/>
            <w:vAlign w:val="center"/>
          </w:tcPr>
          <w:p w14:paraId="1056D6AB" w14:textId="506F3705" w:rsidR="008C5735" w:rsidRDefault="008C5735" w:rsidP="00D336E1">
            <w:pPr>
              <w:pStyle w:val="TableParagraph"/>
              <w:spacing w:before="28" w:line="240" w:lineRule="auto"/>
              <w:ind w:left="194"/>
              <w:rPr>
                <w:sz w:val="18"/>
              </w:rPr>
            </w:pPr>
            <w:r>
              <w:rPr>
                <w:sz w:val="18"/>
                <w:szCs w:val="18"/>
              </w:rPr>
              <w:t>1.33 (0.79)</w:t>
            </w:r>
          </w:p>
        </w:tc>
        <w:tc>
          <w:tcPr>
            <w:tcW w:w="695" w:type="pct"/>
            <w:tcBorders>
              <w:left w:val="nil"/>
            </w:tcBorders>
            <w:shd w:val="clear" w:color="auto" w:fill="ECECEC"/>
            <w:vAlign w:val="center"/>
          </w:tcPr>
          <w:p w14:paraId="6E7615F1" w14:textId="559E8BAA" w:rsidR="008C5735" w:rsidRDefault="008C5735" w:rsidP="00D336E1">
            <w:pPr>
              <w:pStyle w:val="TableParagraph"/>
              <w:spacing w:before="28" w:line="240" w:lineRule="auto"/>
              <w:ind w:left="194"/>
              <w:rPr>
                <w:sz w:val="18"/>
              </w:rPr>
            </w:pPr>
            <w:r w:rsidRPr="00CB5289">
              <w:rPr>
                <w:sz w:val="18"/>
                <w:szCs w:val="18"/>
              </w:rPr>
              <w:t>1</w:t>
            </w:r>
          </w:p>
        </w:tc>
      </w:tr>
      <w:tr w:rsidR="0058643B" w14:paraId="1077D6CA" w14:textId="77777777" w:rsidTr="00BB21F9">
        <w:trPr>
          <w:trHeight w:val="280"/>
        </w:trPr>
        <w:tc>
          <w:tcPr>
            <w:tcW w:w="1460" w:type="pct"/>
            <w:tcBorders>
              <w:right w:val="nil"/>
            </w:tcBorders>
            <w:shd w:val="clear" w:color="auto" w:fill="ECECEC"/>
            <w:vAlign w:val="center"/>
          </w:tcPr>
          <w:p w14:paraId="2F61FDEC" w14:textId="3E60D239" w:rsidR="008C5735" w:rsidRDefault="008C5735" w:rsidP="00D336E1">
            <w:pPr>
              <w:pStyle w:val="TableParagraph"/>
              <w:spacing w:before="28" w:line="240" w:lineRule="auto"/>
              <w:ind w:left="270"/>
              <w:jc w:val="left"/>
              <w:rPr>
                <w:sz w:val="18"/>
              </w:rPr>
            </w:pPr>
            <w:r w:rsidRPr="00A76818">
              <w:rPr>
                <w:sz w:val="18"/>
                <w:szCs w:val="18"/>
              </w:rPr>
              <w:t>-</w:t>
            </w:r>
            <w:r w:rsidRPr="00A76818">
              <w:rPr>
                <w:spacing w:val="-3"/>
                <w:sz w:val="18"/>
                <w:szCs w:val="18"/>
              </w:rPr>
              <w:t xml:space="preserve"> </w:t>
            </w:r>
            <w:r w:rsidRPr="00A76818">
              <w:rPr>
                <w:sz w:val="18"/>
                <w:szCs w:val="18"/>
              </w:rPr>
              <w:t>median</w:t>
            </w:r>
            <w:r w:rsidRPr="00A76818">
              <w:rPr>
                <w:spacing w:val="-2"/>
                <w:sz w:val="18"/>
                <w:szCs w:val="18"/>
              </w:rPr>
              <w:t xml:space="preserve"> </w:t>
            </w:r>
            <w:r w:rsidRPr="00A76818">
              <w:rPr>
                <w:sz w:val="18"/>
                <w:szCs w:val="18"/>
              </w:rPr>
              <w:t>(95%</w:t>
            </w:r>
            <w:r w:rsidRPr="00A76818">
              <w:rPr>
                <w:spacing w:val="-1"/>
                <w:sz w:val="18"/>
                <w:szCs w:val="18"/>
              </w:rPr>
              <w:t xml:space="preserve"> </w:t>
            </w:r>
            <w:r w:rsidRPr="00A76818">
              <w:rPr>
                <w:sz w:val="18"/>
                <w:szCs w:val="18"/>
              </w:rPr>
              <w:t>CrI)</w:t>
            </w:r>
          </w:p>
        </w:tc>
        <w:tc>
          <w:tcPr>
            <w:tcW w:w="696" w:type="pct"/>
            <w:tcBorders>
              <w:left w:val="nil"/>
              <w:right w:val="nil"/>
            </w:tcBorders>
            <w:shd w:val="clear" w:color="auto" w:fill="ECECEC"/>
            <w:vAlign w:val="center"/>
          </w:tcPr>
          <w:p w14:paraId="5D5717F5" w14:textId="236DA9E7" w:rsidR="008C5735" w:rsidRDefault="008C5735" w:rsidP="00D336E1">
            <w:pPr>
              <w:pStyle w:val="TableParagraph"/>
              <w:spacing w:before="28" w:line="240" w:lineRule="auto"/>
              <w:ind w:left="141"/>
              <w:rPr>
                <w:sz w:val="18"/>
              </w:rPr>
            </w:pPr>
            <w:r>
              <w:rPr>
                <w:sz w:val="18"/>
                <w:szCs w:val="18"/>
              </w:rPr>
              <w:t>1.67 (1.20 to 2.36)</w:t>
            </w:r>
          </w:p>
        </w:tc>
        <w:tc>
          <w:tcPr>
            <w:tcW w:w="759" w:type="pct"/>
            <w:gridSpan w:val="2"/>
            <w:tcBorders>
              <w:left w:val="nil"/>
              <w:right w:val="nil"/>
            </w:tcBorders>
            <w:shd w:val="clear" w:color="auto" w:fill="ECECEC"/>
            <w:vAlign w:val="center"/>
          </w:tcPr>
          <w:p w14:paraId="713EE7F2" w14:textId="411BCA8D" w:rsidR="008C5735" w:rsidRDefault="008C5735" w:rsidP="00D336E1">
            <w:pPr>
              <w:pStyle w:val="TableParagraph"/>
              <w:spacing w:before="28" w:line="240" w:lineRule="auto"/>
              <w:ind w:left="183"/>
              <w:rPr>
                <w:sz w:val="18"/>
              </w:rPr>
            </w:pPr>
            <w:r>
              <w:rPr>
                <w:sz w:val="18"/>
                <w:szCs w:val="18"/>
              </w:rPr>
              <w:t>1.43 (0.98 to 2.10)</w:t>
            </w:r>
          </w:p>
        </w:tc>
        <w:tc>
          <w:tcPr>
            <w:tcW w:w="695" w:type="pct"/>
            <w:tcBorders>
              <w:left w:val="nil"/>
              <w:right w:val="nil"/>
            </w:tcBorders>
            <w:shd w:val="clear" w:color="auto" w:fill="ECECEC"/>
            <w:vAlign w:val="center"/>
          </w:tcPr>
          <w:p w14:paraId="155515DE" w14:textId="62364F93" w:rsidR="008C5735" w:rsidRDefault="008C5735" w:rsidP="00D336E1">
            <w:pPr>
              <w:pStyle w:val="TableParagraph"/>
              <w:spacing w:before="28" w:line="240" w:lineRule="auto"/>
              <w:ind w:left="194"/>
              <w:rPr>
                <w:sz w:val="18"/>
              </w:rPr>
            </w:pPr>
            <w:r>
              <w:rPr>
                <w:sz w:val="18"/>
                <w:szCs w:val="18"/>
              </w:rPr>
              <w:t>1.16 (0.76 to 1.78)</w:t>
            </w:r>
          </w:p>
        </w:tc>
        <w:tc>
          <w:tcPr>
            <w:tcW w:w="695" w:type="pct"/>
            <w:tcBorders>
              <w:left w:val="nil"/>
            </w:tcBorders>
            <w:shd w:val="clear" w:color="auto" w:fill="ECECEC"/>
            <w:vAlign w:val="center"/>
          </w:tcPr>
          <w:p w14:paraId="7C34AF4D" w14:textId="589797C3" w:rsidR="008C5735" w:rsidRDefault="008C5735" w:rsidP="00D336E1">
            <w:pPr>
              <w:pStyle w:val="TableParagraph"/>
              <w:spacing w:before="28" w:line="240" w:lineRule="auto"/>
              <w:ind w:left="194"/>
              <w:rPr>
                <w:sz w:val="18"/>
              </w:rPr>
            </w:pPr>
            <w:r>
              <w:rPr>
                <w:sz w:val="18"/>
                <w:szCs w:val="18"/>
              </w:rPr>
              <w:t>1.15 (0.39 to 3.35)</w:t>
            </w:r>
          </w:p>
        </w:tc>
        <w:tc>
          <w:tcPr>
            <w:tcW w:w="695" w:type="pct"/>
            <w:tcBorders>
              <w:left w:val="nil"/>
            </w:tcBorders>
            <w:shd w:val="clear" w:color="auto" w:fill="ECECEC"/>
            <w:vAlign w:val="center"/>
          </w:tcPr>
          <w:p w14:paraId="0C360C05" w14:textId="4AA5FA1E" w:rsidR="008C5735" w:rsidRDefault="008C5735" w:rsidP="00D336E1">
            <w:pPr>
              <w:pStyle w:val="TableParagraph"/>
              <w:spacing w:before="28" w:line="240" w:lineRule="auto"/>
              <w:ind w:left="194"/>
              <w:rPr>
                <w:sz w:val="18"/>
              </w:rPr>
            </w:pPr>
            <w:r w:rsidRPr="00CB5289">
              <w:rPr>
                <w:sz w:val="18"/>
                <w:szCs w:val="18"/>
              </w:rPr>
              <w:t>1</w:t>
            </w:r>
          </w:p>
        </w:tc>
      </w:tr>
      <w:tr w:rsidR="0058643B" w14:paraId="29F8B240" w14:textId="77777777" w:rsidTr="00BB21F9">
        <w:trPr>
          <w:trHeight w:val="280"/>
        </w:trPr>
        <w:tc>
          <w:tcPr>
            <w:tcW w:w="1460" w:type="pct"/>
            <w:tcBorders>
              <w:right w:val="nil"/>
            </w:tcBorders>
            <w:shd w:val="clear" w:color="auto" w:fill="ECECEC"/>
            <w:vAlign w:val="center"/>
          </w:tcPr>
          <w:p w14:paraId="15A529A2" w14:textId="5C79286A" w:rsidR="008C5735" w:rsidRDefault="008C5735" w:rsidP="00D336E1">
            <w:pPr>
              <w:pStyle w:val="TableParagraph"/>
              <w:spacing w:before="28" w:line="240" w:lineRule="auto"/>
              <w:ind w:left="270"/>
              <w:jc w:val="left"/>
              <w:rPr>
                <w:sz w:val="18"/>
              </w:rPr>
            </w:pPr>
            <w:r w:rsidRPr="00A76818">
              <w:rPr>
                <w:sz w:val="18"/>
                <w:szCs w:val="18"/>
              </w:rPr>
              <w:t>Probability</w:t>
            </w:r>
            <w:r w:rsidRPr="00A76818">
              <w:rPr>
                <w:spacing w:val="-6"/>
                <w:sz w:val="18"/>
                <w:szCs w:val="18"/>
              </w:rPr>
              <w:t xml:space="preserve"> </w:t>
            </w:r>
            <w:r w:rsidRPr="00A76818">
              <w:rPr>
                <w:sz w:val="18"/>
                <w:szCs w:val="18"/>
              </w:rPr>
              <w:t>of</w:t>
            </w:r>
            <w:r w:rsidRPr="00A76818">
              <w:rPr>
                <w:spacing w:val="-3"/>
                <w:sz w:val="18"/>
                <w:szCs w:val="18"/>
              </w:rPr>
              <w:t xml:space="preserve"> </w:t>
            </w:r>
            <w:r w:rsidRPr="00A76818">
              <w:rPr>
                <w:sz w:val="18"/>
                <w:szCs w:val="18"/>
              </w:rPr>
              <w:t>superiority</w:t>
            </w:r>
            <w:r w:rsidRPr="00A76818">
              <w:rPr>
                <w:spacing w:val="-5"/>
                <w:sz w:val="18"/>
                <w:szCs w:val="18"/>
              </w:rPr>
              <w:t xml:space="preserve"> </w:t>
            </w:r>
            <w:r w:rsidRPr="00A76818">
              <w:rPr>
                <w:sz w:val="18"/>
                <w:szCs w:val="18"/>
              </w:rPr>
              <w:t>to</w:t>
            </w:r>
            <w:r w:rsidRPr="00A76818">
              <w:rPr>
                <w:spacing w:val="-4"/>
                <w:sz w:val="18"/>
                <w:szCs w:val="18"/>
              </w:rPr>
              <w:t xml:space="preserve"> </w:t>
            </w:r>
            <w:r w:rsidRPr="00A76818">
              <w:rPr>
                <w:sz w:val="18"/>
                <w:szCs w:val="18"/>
              </w:rPr>
              <w:t>control,</w:t>
            </w:r>
            <w:r w:rsidRPr="00A76818">
              <w:rPr>
                <w:spacing w:val="-3"/>
                <w:sz w:val="18"/>
                <w:szCs w:val="18"/>
              </w:rPr>
              <w:t xml:space="preserve"> </w:t>
            </w:r>
            <w:r w:rsidRPr="00A76818">
              <w:rPr>
                <w:sz w:val="18"/>
                <w:szCs w:val="18"/>
              </w:rPr>
              <w:t>%</w:t>
            </w:r>
          </w:p>
        </w:tc>
        <w:tc>
          <w:tcPr>
            <w:tcW w:w="696" w:type="pct"/>
            <w:tcBorders>
              <w:left w:val="nil"/>
              <w:right w:val="nil"/>
            </w:tcBorders>
            <w:shd w:val="clear" w:color="auto" w:fill="ECECEC"/>
            <w:vAlign w:val="center"/>
          </w:tcPr>
          <w:p w14:paraId="7C3AE877" w14:textId="2F104A58" w:rsidR="008C5735" w:rsidRDefault="008C5735" w:rsidP="00D336E1">
            <w:pPr>
              <w:pStyle w:val="TableParagraph"/>
              <w:spacing w:before="28" w:line="240" w:lineRule="auto"/>
              <w:ind w:left="141"/>
              <w:rPr>
                <w:sz w:val="18"/>
              </w:rPr>
            </w:pPr>
            <w:r>
              <w:rPr>
                <w:sz w:val="18"/>
                <w:szCs w:val="18"/>
              </w:rPr>
              <w:t>99.9</w:t>
            </w:r>
          </w:p>
        </w:tc>
        <w:tc>
          <w:tcPr>
            <w:tcW w:w="759" w:type="pct"/>
            <w:gridSpan w:val="2"/>
            <w:tcBorders>
              <w:left w:val="nil"/>
              <w:right w:val="nil"/>
            </w:tcBorders>
            <w:shd w:val="clear" w:color="auto" w:fill="ECECEC"/>
            <w:vAlign w:val="center"/>
          </w:tcPr>
          <w:p w14:paraId="7AF51B68" w14:textId="1F00D1A9" w:rsidR="008C5735" w:rsidRDefault="008C5735" w:rsidP="00D336E1">
            <w:pPr>
              <w:pStyle w:val="TableParagraph"/>
              <w:spacing w:before="28" w:line="240" w:lineRule="auto"/>
              <w:ind w:left="183"/>
              <w:rPr>
                <w:sz w:val="18"/>
              </w:rPr>
            </w:pPr>
            <w:r>
              <w:rPr>
                <w:sz w:val="18"/>
                <w:szCs w:val="18"/>
              </w:rPr>
              <w:t>96.9</w:t>
            </w:r>
          </w:p>
        </w:tc>
        <w:tc>
          <w:tcPr>
            <w:tcW w:w="695" w:type="pct"/>
            <w:tcBorders>
              <w:left w:val="nil"/>
              <w:right w:val="nil"/>
            </w:tcBorders>
            <w:shd w:val="clear" w:color="auto" w:fill="ECECEC"/>
            <w:vAlign w:val="center"/>
          </w:tcPr>
          <w:p w14:paraId="2829607D" w14:textId="7D780301" w:rsidR="008C5735" w:rsidRDefault="008C5735" w:rsidP="00D336E1">
            <w:pPr>
              <w:pStyle w:val="TableParagraph"/>
              <w:spacing w:before="28" w:line="240" w:lineRule="auto"/>
              <w:ind w:left="194"/>
              <w:rPr>
                <w:sz w:val="18"/>
              </w:rPr>
            </w:pPr>
            <w:r>
              <w:rPr>
                <w:sz w:val="18"/>
                <w:szCs w:val="18"/>
              </w:rPr>
              <w:t>75.0</w:t>
            </w:r>
          </w:p>
        </w:tc>
        <w:tc>
          <w:tcPr>
            <w:tcW w:w="695" w:type="pct"/>
            <w:tcBorders>
              <w:left w:val="nil"/>
            </w:tcBorders>
            <w:shd w:val="clear" w:color="auto" w:fill="ECECEC"/>
            <w:vAlign w:val="center"/>
          </w:tcPr>
          <w:p w14:paraId="5667710D" w14:textId="00182990" w:rsidR="008C5735" w:rsidRDefault="008C5735" w:rsidP="00D336E1">
            <w:pPr>
              <w:pStyle w:val="TableParagraph"/>
              <w:spacing w:before="28" w:line="240" w:lineRule="auto"/>
              <w:ind w:left="194"/>
              <w:rPr>
                <w:sz w:val="18"/>
              </w:rPr>
            </w:pPr>
            <w:r>
              <w:rPr>
                <w:sz w:val="18"/>
                <w:szCs w:val="18"/>
              </w:rPr>
              <w:t>59.6</w:t>
            </w:r>
          </w:p>
        </w:tc>
        <w:tc>
          <w:tcPr>
            <w:tcW w:w="695" w:type="pct"/>
            <w:tcBorders>
              <w:left w:val="nil"/>
            </w:tcBorders>
            <w:shd w:val="clear" w:color="auto" w:fill="ECECEC"/>
            <w:vAlign w:val="center"/>
          </w:tcPr>
          <w:p w14:paraId="5968F12A" w14:textId="39FF37E1" w:rsidR="008C5735" w:rsidRDefault="008C5735" w:rsidP="00D336E1">
            <w:pPr>
              <w:pStyle w:val="TableParagraph"/>
              <w:spacing w:before="28" w:line="240" w:lineRule="auto"/>
              <w:ind w:left="194"/>
              <w:rPr>
                <w:sz w:val="18"/>
              </w:rPr>
            </w:pPr>
            <w:r w:rsidRPr="00CB5289">
              <w:rPr>
                <w:sz w:val="18"/>
                <w:szCs w:val="18"/>
              </w:rPr>
              <w:t>-</w:t>
            </w:r>
          </w:p>
        </w:tc>
      </w:tr>
      <w:tr w:rsidR="008C5735" w14:paraId="41F2FC35" w14:textId="77777777" w:rsidTr="00BB21F9">
        <w:trPr>
          <w:trHeight w:val="280"/>
        </w:trPr>
        <w:tc>
          <w:tcPr>
            <w:tcW w:w="1460" w:type="pct"/>
            <w:tcBorders>
              <w:right w:val="nil"/>
            </w:tcBorders>
            <w:shd w:val="clear" w:color="auto" w:fill="ECECEC"/>
            <w:vAlign w:val="center"/>
          </w:tcPr>
          <w:p w14:paraId="7ECCB4BC" w14:textId="0222A7F2" w:rsidR="008C5735" w:rsidRPr="00A76818" w:rsidRDefault="008C5735" w:rsidP="00CC768E">
            <w:pPr>
              <w:pStyle w:val="TableParagraph"/>
              <w:spacing w:before="28" w:line="240" w:lineRule="auto"/>
              <w:jc w:val="left"/>
              <w:rPr>
                <w:sz w:val="18"/>
                <w:szCs w:val="18"/>
              </w:rPr>
            </w:pPr>
            <w:r>
              <w:rPr>
                <w:b/>
                <w:sz w:val="18"/>
              </w:rPr>
              <w:t>Respiratory</w:t>
            </w:r>
            <w:r>
              <w:rPr>
                <w:b/>
                <w:spacing w:val="-6"/>
                <w:sz w:val="18"/>
              </w:rPr>
              <w:t xml:space="preserve"> </w:t>
            </w:r>
            <w:r>
              <w:rPr>
                <w:b/>
                <w:sz w:val="18"/>
              </w:rPr>
              <w:t>support-free</w:t>
            </w:r>
            <w:r>
              <w:rPr>
                <w:b/>
                <w:spacing w:val="-5"/>
                <w:sz w:val="18"/>
              </w:rPr>
              <w:t xml:space="preserve"> </w:t>
            </w:r>
            <w:r>
              <w:rPr>
                <w:b/>
                <w:sz w:val="18"/>
              </w:rPr>
              <w:t>days</w:t>
            </w:r>
          </w:p>
        </w:tc>
        <w:tc>
          <w:tcPr>
            <w:tcW w:w="696" w:type="pct"/>
            <w:tcBorders>
              <w:left w:val="nil"/>
              <w:right w:val="nil"/>
            </w:tcBorders>
            <w:shd w:val="clear" w:color="auto" w:fill="ECECEC"/>
            <w:vAlign w:val="center"/>
          </w:tcPr>
          <w:p w14:paraId="0E3E7F6B" w14:textId="77777777" w:rsidR="008C5735" w:rsidRDefault="008C5735" w:rsidP="00D336E1">
            <w:pPr>
              <w:pStyle w:val="TableParagraph"/>
              <w:spacing w:before="28" w:line="240" w:lineRule="auto"/>
              <w:ind w:left="141"/>
              <w:rPr>
                <w:sz w:val="18"/>
                <w:szCs w:val="18"/>
              </w:rPr>
            </w:pPr>
          </w:p>
        </w:tc>
        <w:tc>
          <w:tcPr>
            <w:tcW w:w="759" w:type="pct"/>
            <w:gridSpan w:val="2"/>
            <w:tcBorders>
              <w:left w:val="nil"/>
              <w:right w:val="nil"/>
            </w:tcBorders>
            <w:shd w:val="clear" w:color="auto" w:fill="ECECEC"/>
            <w:vAlign w:val="center"/>
          </w:tcPr>
          <w:p w14:paraId="0EAAEDBD" w14:textId="77777777" w:rsidR="008C5735" w:rsidRDefault="008C5735" w:rsidP="00D336E1">
            <w:pPr>
              <w:pStyle w:val="TableParagraph"/>
              <w:spacing w:before="28" w:line="240" w:lineRule="auto"/>
              <w:ind w:left="183"/>
              <w:rPr>
                <w:sz w:val="18"/>
                <w:szCs w:val="18"/>
              </w:rPr>
            </w:pPr>
          </w:p>
        </w:tc>
        <w:tc>
          <w:tcPr>
            <w:tcW w:w="695" w:type="pct"/>
            <w:tcBorders>
              <w:left w:val="nil"/>
              <w:right w:val="nil"/>
            </w:tcBorders>
            <w:shd w:val="clear" w:color="auto" w:fill="ECECEC"/>
            <w:vAlign w:val="center"/>
          </w:tcPr>
          <w:p w14:paraId="4E6F122C" w14:textId="77777777" w:rsidR="008C5735" w:rsidRDefault="008C5735" w:rsidP="00D336E1">
            <w:pPr>
              <w:pStyle w:val="TableParagraph"/>
              <w:spacing w:before="28" w:line="240" w:lineRule="auto"/>
              <w:ind w:left="194"/>
              <w:rPr>
                <w:sz w:val="18"/>
                <w:szCs w:val="18"/>
              </w:rPr>
            </w:pPr>
          </w:p>
        </w:tc>
        <w:tc>
          <w:tcPr>
            <w:tcW w:w="695" w:type="pct"/>
            <w:tcBorders>
              <w:left w:val="nil"/>
            </w:tcBorders>
            <w:shd w:val="clear" w:color="auto" w:fill="ECECEC"/>
            <w:vAlign w:val="center"/>
          </w:tcPr>
          <w:p w14:paraId="161909C3" w14:textId="77777777" w:rsidR="008C5735" w:rsidRDefault="008C5735" w:rsidP="00D336E1">
            <w:pPr>
              <w:pStyle w:val="TableParagraph"/>
              <w:spacing w:before="28" w:line="240" w:lineRule="auto"/>
              <w:ind w:left="194"/>
              <w:rPr>
                <w:sz w:val="18"/>
                <w:szCs w:val="18"/>
              </w:rPr>
            </w:pPr>
          </w:p>
        </w:tc>
        <w:tc>
          <w:tcPr>
            <w:tcW w:w="695" w:type="pct"/>
            <w:tcBorders>
              <w:left w:val="nil"/>
            </w:tcBorders>
            <w:shd w:val="clear" w:color="auto" w:fill="ECECEC"/>
            <w:vAlign w:val="center"/>
          </w:tcPr>
          <w:p w14:paraId="59984745" w14:textId="77777777" w:rsidR="008C5735" w:rsidRPr="00CB5289" w:rsidRDefault="008C5735" w:rsidP="00D336E1">
            <w:pPr>
              <w:pStyle w:val="TableParagraph"/>
              <w:spacing w:before="28" w:line="240" w:lineRule="auto"/>
              <w:ind w:left="194"/>
              <w:rPr>
                <w:sz w:val="18"/>
                <w:szCs w:val="18"/>
              </w:rPr>
            </w:pPr>
          </w:p>
        </w:tc>
      </w:tr>
      <w:tr w:rsidR="0058643B" w14:paraId="2243BF77" w14:textId="77777777" w:rsidTr="00BB21F9">
        <w:trPr>
          <w:trHeight w:val="280"/>
        </w:trPr>
        <w:tc>
          <w:tcPr>
            <w:tcW w:w="1460" w:type="pct"/>
            <w:tcBorders>
              <w:right w:val="nil"/>
            </w:tcBorders>
            <w:shd w:val="clear" w:color="auto" w:fill="ECECEC"/>
            <w:vAlign w:val="center"/>
          </w:tcPr>
          <w:p w14:paraId="76DE4863" w14:textId="77777777" w:rsidR="008C5735" w:rsidRDefault="008C5735" w:rsidP="00D336E1">
            <w:pPr>
              <w:pStyle w:val="TableParagraph"/>
              <w:spacing w:before="28" w:line="240" w:lineRule="auto"/>
              <w:ind w:left="270"/>
              <w:jc w:val="left"/>
              <w:rPr>
                <w:sz w:val="18"/>
              </w:rPr>
            </w:pPr>
            <w:r>
              <w:rPr>
                <w:sz w:val="18"/>
              </w:rPr>
              <w:t>Median</w:t>
            </w:r>
            <w:r>
              <w:rPr>
                <w:spacing w:val="-4"/>
                <w:sz w:val="18"/>
              </w:rPr>
              <w:t xml:space="preserve"> </w:t>
            </w:r>
            <w:r>
              <w:rPr>
                <w:sz w:val="18"/>
              </w:rPr>
              <w:t>(IQR)</w:t>
            </w:r>
          </w:p>
        </w:tc>
        <w:tc>
          <w:tcPr>
            <w:tcW w:w="696" w:type="pct"/>
            <w:tcBorders>
              <w:left w:val="nil"/>
              <w:right w:val="nil"/>
            </w:tcBorders>
            <w:shd w:val="clear" w:color="auto" w:fill="ECECEC"/>
            <w:vAlign w:val="center"/>
          </w:tcPr>
          <w:p w14:paraId="488BFCBE" w14:textId="7246B4D1" w:rsidR="008C5735" w:rsidRDefault="008C5735" w:rsidP="00D336E1">
            <w:pPr>
              <w:pStyle w:val="TableParagraph"/>
              <w:spacing w:before="28" w:line="240" w:lineRule="auto"/>
              <w:ind w:left="141"/>
              <w:rPr>
                <w:sz w:val="18"/>
              </w:rPr>
            </w:pPr>
            <w:r>
              <w:rPr>
                <w:sz w:val="18"/>
              </w:rPr>
              <w:t>6 (-1,16)</w:t>
            </w:r>
          </w:p>
        </w:tc>
        <w:tc>
          <w:tcPr>
            <w:tcW w:w="759" w:type="pct"/>
            <w:gridSpan w:val="2"/>
            <w:tcBorders>
              <w:left w:val="nil"/>
              <w:right w:val="nil"/>
            </w:tcBorders>
            <w:shd w:val="clear" w:color="auto" w:fill="ECECEC"/>
            <w:vAlign w:val="center"/>
          </w:tcPr>
          <w:p w14:paraId="3D6BEBC0" w14:textId="31F1D1F5" w:rsidR="008C5735" w:rsidRDefault="008C5735" w:rsidP="00D336E1">
            <w:pPr>
              <w:pStyle w:val="TableParagraph"/>
              <w:spacing w:before="28" w:line="240" w:lineRule="auto"/>
              <w:ind w:left="183"/>
              <w:rPr>
                <w:sz w:val="18"/>
              </w:rPr>
            </w:pPr>
            <w:r>
              <w:rPr>
                <w:sz w:val="18"/>
              </w:rPr>
              <w:t>8 (-1,16.5)</w:t>
            </w:r>
          </w:p>
        </w:tc>
        <w:tc>
          <w:tcPr>
            <w:tcW w:w="695" w:type="pct"/>
            <w:tcBorders>
              <w:left w:val="nil"/>
              <w:right w:val="nil"/>
            </w:tcBorders>
            <w:shd w:val="clear" w:color="auto" w:fill="ECECEC"/>
            <w:vAlign w:val="center"/>
          </w:tcPr>
          <w:p w14:paraId="703FFFB6" w14:textId="5C494E69" w:rsidR="008C5735" w:rsidRDefault="008C5735" w:rsidP="00D336E1">
            <w:pPr>
              <w:pStyle w:val="TableParagraph"/>
              <w:spacing w:before="28" w:line="240" w:lineRule="auto"/>
              <w:ind w:left="194"/>
              <w:rPr>
                <w:sz w:val="18"/>
              </w:rPr>
            </w:pPr>
            <w:r>
              <w:rPr>
                <w:sz w:val="18"/>
              </w:rPr>
              <w:t>0 (-1,15)</w:t>
            </w:r>
          </w:p>
        </w:tc>
        <w:tc>
          <w:tcPr>
            <w:tcW w:w="695" w:type="pct"/>
            <w:tcBorders>
              <w:left w:val="nil"/>
            </w:tcBorders>
            <w:shd w:val="clear" w:color="auto" w:fill="ECECEC"/>
            <w:vAlign w:val="center"/>
          </w:tcPr>
          <w:p w14:paraId="6241D696" w14:textId="0351FC52" w:rsidR="008C5735" w:rsidRDefault="008C5735" w:rsidP="00D336E1">
            <w:pPr>
              <w:pStyle w:val="TableParagraph"/>
              <w:spacing w:before="28" w:line="240" w:lineRule="auto"/>
              <w:ind w:left="194"/>
              <w:rPr>
                <w:sz w:val="18"/>
              </w:rPr>
            </w:pPr>
            <w:r>
              <w:rPr>
                <w:sz w:val="18"/>
              </w:rPr>
              <w:t>0 (-1,13)</w:t>
            </w:r>
          </w:p>
        </w:tc>
        <w:tc>
          <w:tcPr>
            <w:tcW w:w="695" w:type="pct"/>
            <w:tcBorders>
              <w:left w:val="nil"/>
            </w:tcBorders>
            <w:shd w:val="clear" w:color="auto" w:fill="ECECEC"/>
            <w:vAlign w:val="center"/>
          </w:tcPr>
          <w:p w14:paraId="12D220DF" w14:textId="7B499806" w:rsidR="008C5735" w:rsidRDefault="008C5735" w:rsidP="00D336E1">
            <w:pPr>
              <w:pStyle w:val="TableParagraph"/>
              <w:spacing w:before="28" w:line="240" w:lineRule="auto"/>
              <w:ind w:left="194"/>
              <w:rPr>
                <w:sz w:val="18"/>
              </w:rPr>
            </w:pPr>
            <w:r>
              <w:rPr>
                <w:sz w:val="18"/>
              </w:rPr>
              <w:t>0 (-1,14)</w:t>
            </w:r>
          </w:p>
        </w:tc>
      </w:tr>
      <w:tr w:rsidR="0058643B" w14:paraId="24960888" w14:textId="77777777" w:rsidTr="00BB21F9">
        <w:trPr>
          <w:trHeight w:val="333"/>
        </w:trPr>
        <w:tc>
          <w:tcPr>
            <w:tcW w:w="1460" w:type="pct"/>
            <w:tcBorders>
              <w:right w:val="nil"/>
            </w:tcBorders>
            <w:shd w:val="clear" w:color="auto" w:fill="ECECEC"/>
            <w:vAlign w:val="center"/>
          </w:tcPr>
          <w:p w14:paraId="1C14F167" w14:textId="77777777" w:rsidR="008C5735" w:rsidRDefault="008C5735" w:rsidP="00D336E1">
            <w:pPr>
              <w:pStyle w:val="TableParagraph"/>
              <w:spacing w:before="28" w:line="240" w:lineRule="auto"/>
              <w:ind w:left="270"/>
              <w:jc w:val="left"/>
              <w:rPr>
                <w:sz w:val="18"/>
              </w:rPr>
            </w:pPr>
            <w:r>
              <w:rPr>
                <w:sz w:val="18"/>
              </w:rPr>
              <w:t>Adjusted</w:t>
            </w:r>
            <w:r>
              <w:rPr>
                <w:spacing w:val="-3"/>
                <w:sz w:val="18"/>
              </w:rPr>
              <w:t xml:space="preserve"> </w:t>
            </w:r>
            <w:r>
              <w:rPr>
                <w:sz w:val="18"/>
              </w:rPr>
              <w:t>OR</w:t>
            </w:r>
            <w:r>
              <w:rPr>
                <w:spacing w:val="2"/>
                <w:sz w:val="18"/>
              </w:rPr>
              <w:t xml:space="preserve"> </w:t>
            </w:r>
            <w:r>
              <w:rPr>
                <w:sz w:val="18"/>
              </w:rPr>
              <w:t>-</w:t>
            </w:r>
            <w:r>
              <w:rPr>
                <w:spacing w:val="-2"/>
                <w:sz w:val="18"/>
              </w:rPr>
              <w:t xml:space="preserve"> </w:t>
            </w:r>
            <w:r>
              <w:rPr>
                <w:sz w:val="18"/>
              </w:rPr>
              <w:t>mean</w:t>
            </w:r>
            <w:r>
              <w:rPr>
                <w:spacing w:val="-3"/>
                <w:sz w:val="18"/>
              </w:rPr>
              <w:t xml:space="preserve"> </w:t>
            </w:r>
            <w:r>
              <w:rPr>
                <w:sz w:val="18"/>
              </w:rPr>
              <w:t>(SD)</w:t>
            </w:r>
          </w:p>
        </w:tc>
        <w:tc>
          <w:tcPr>
            <w:tcW w:w="696" w:type="pct"/>
            <w:tcBorders>
              <w:left w:val="nil"/>
              <w:right w:val="nil"/>
            </w:tcBorders>
            <w:shd w:val="clear" w:color="auto" w:fill="ECECEC"/>
            <w:vAlign w:val="center"/>
          </w:tcPr>
          <w:p w14:paraId="6A7DC698" w14:textId="733F5F8B" w:rsidR="008C5735" w:rsidRDefault="008C5735" w:rsidP="00D336E1">
            <w:pPr>
              <w:pStyle w:val="TableParagraph"/>
              <w:spacing w:before="28" w:line="240" w:lineRule="auto"/>
              <w:ind w:left="141"/>
              <w:rPr>
                <w:sz w:val="18"/>
              </w:rPr>
            </w:pPr>
            <w:r>
              <w:rPr>
                <w:sz w:val="18"/>
              </w:rPr>
              <w:t>1.52 (0.19)</w:t>
            </w:r>
          </w:p>
        </w:tc>
        <w:tc>
          <w:tcPr>
            <w:tcW w:w="759" w:type="pct"/>
            <w:gridSpan w:val="2"/>
            <w:tcBorders>
              <w:left w:val="nil"/>
              <w:right w:val="nil"/>
            </w:tcBorders>
            <w:shd w:val="clear" w:color="auto" w:fill="ECECEC"/>
            <w:vAlign w:val="center"/>
          </w:tcPr>
          <w:p w14:paraId="7638AEAD" w14:textId="6D6E5135" w:rsidR="008C5735" w:rsidRDefault="008C5735" w:rsidP="00D336E1">
            <w:pPr>
              <w:pStyle w:val="TableParagraph"/>
              <w:spacing w:before="28" w:line="240" w:lineRule="auto"/>
              <w:ind w:left="183"/>
              <w:rPr>
                <w:sz w:val="18"/>
              </w:rPr>
            </w:pPr>
            <w:r>
              <w:rPr>
                <w:sz w:val="18"/>
              </w:rPr>
              <w:t>1.61 (0.23)</w:t>
            </w:r>
          </w:p>
        </w:tc>
        <w:tc>
          <w:tcPr>
            <w:tcW w:w="695" w:type="pct"/>
            <w:tcBorders>
              <w:left w:val="nil"/>
              <w:right w:val="nil"/>
            </w:tcBorders>
            <w:shd w:val="clear" w:color="auto" w:fill="ECECEC"/>
            <w:vAlign w:val="center"/>
          </w:tcPr>
          <w:p w14:paraId="77920D8B" w14:textId="515A0DE6" w:rsidR="008C5735" w:rsidRDefault="008C5735" w:rsidP="00D336E1">
            <w:pPr>
              <w:pStyle w:val="TableParagraph"/>
              <w:spacing w:before="28" w:line="240" w:lineRule="auto"/>
              <w:ind w:left="194"/>
              <w:rPr>
                <w:sz w:val="18"/>
              </w:rPr>
            </w:pPr>
            <w:r>
              <w:rPr>
                <w:sz w:val="18"/>
              </w:rPr>
              <w:t>1.07 (0.17)</w:t>
            </w:r>
          </w:p>
        </w:tc>
        <w:tc>
          <w:tcPr>
            <w:tcW w:w="695" w:type="pct"/>
            <w:tcBorders>
              <w:left w:val="nil"/>
            </w:tcBorders>
            <w:shd w:val="clear" w:color="auto" w:fill="ECECEC"/>
            <w:vAlign w:val="center"/>
          </w:tcPr>
          <w:p w14:paraId="391E8083" w14:textId="06D41ABB" w:rsidR="008C5735" w:rsidRDefault="008C5735" w:rsidP="00D336E1">
            <w:pPr>
              <w:pStyle w:val="TableParagraph"/>
              <w:spacing w:before="28" w:line="240" w:lineRule="auto"/>
              <w:ind w:left="194"/>
              <w:rPr>
                <w:sz w:val="18"/>
              </w:rPr>
            </w:pPr>
            <w:r>
              <w:rPr>
                <w:sz w:val="18"/>
              </w:rPr>
              <w:t>1.36 (0.55)</w:t>
            </w:r>
          </w:p>
        </w:tc>
        <w:tc>
          <w:tcPr>
            <w:tcW w:w="695" w:type="pct"/>
            <w:tcBorders>
              <w:left w:val="nil"/>
            </w:tcBorders>
            <w:shd w:val="clear" w:color="auto" w:fill="ECECEC"/>
            <w:vAlign w:val="center"/>
          </w:tcPr>
          <w:p w14:paraId="6234F489" w14:textId="77777777" w:rsidR="008C5735" w:rsidRDefault="008C5735" w:rsidP="00D336E1">
            <w:pPr>
              <w:pStyle w:val="TableParagraph"/>
              <w:spacing w:before="28" w:line="240" w:lineRule="auto"/>
              <w:ind w:left="194"/>
              <w:rPr>
                <w:sz w:val="18"/>
              </w:rPr>
            </w:pPr>
            <w:r>
              <w:rPr>
                <w:sz w:val="18"/>
              </w:rPr>
              <w:t>1</w:t>
            </w:r>
          </w:p>
        </w:tc>
      </w:tr>
      <w:tr w:rsidR="0058643B" w14:paraId="5F5FFF13" w14:textId="77777777" w:rsidTr="00BB21F9">
        <w:trPr>
          <w:trHeight w:val="280"/>
        </w:trPr>
        <w:tc>
          <w:tcPr>
            <w:tcW w:w="1460" w:type="pct"/>
            <w:tcBorders>
              <w:right w:val="nil"/>
            </w:tcBorders>
            <w:shd w:val="clear" w:color="auto" w:fill="ECECEC"/>
            <w:vAlign w:val="center"/>
          </w:tcPr>
          <w:p w14:paraId="2AD21E4D" w14:textId="77777777" w:rsidR="008C5735" w:rsidRDefault="008C5735" w:rsidP="00D336E1">
            <w:pPr>
              <w:pStyle w:val="TableParagraph"/>
              <w:spacing w:before="29" w:line="240" w:lineRule="auto"/>
              <w:ind w:left="1215"/>
              <w:jc w:val="left"/>
              <w:rPr>
                <w:sz w:val="18"/>
              </w:rPr>
            </w:pPr>
            <w:r>
              <w:rPr>
                <w:sz w:val="18"/>
              </w:rPr>
              <w:t>-</w:t>
            </w:r>
            <w:r>
              <w:rPr>
                <w:spacing w:val="-3"/>
                <w:sz w:val="18"/>
              </w:rPr>
              <w:t xml:space="preserve"> </w:t>
            </w:r>
            <w:r>
              <w:rPr>
                <w:sz w:val="18"/>
              </w:rPr>
              <w:t>median</w:t>
            </w:r>
            <w:r>
              <w:rPr>
                <w:spacing w:val="-2"/>
                <w:sz w:val="18"/>
              </w:rPr>
              <w:t xml:space="preserve"> </w:t>
            </w:r>
            <w:r>
              <w:rPr>
                <w:sz w:val="18"/>
              </w:rPr>
              <w:t>(95%</w:t>
            </w:r>
            <w:r>
              <w:rPr>
                <w:spacing w:val="-1"/>
                <w:sz w:val="18"/>
              </w:rPr>
              <w:t xml:space="preserve"> </w:t>
            </w:r>
            <w:r>
              <w:rPr>
                <w:sz w:val="18"/>
              </w:rPr>
              <w:t>CrI)</w:t>
            </w:r>
          </w:p>
        </w:tc>
        <w:tc>
          <w:tcPr>
            <w:tcW w:w="696" w:type="pct"/>
            <w:tcBorders>
              <w:left w:val="nil"/>
              <w:right w:val="nil"/>
            </w:tcBorders>
            <w:shd w:val="clear" w:color="auto" w:fill="ECECEC"/>
            <w:vAlign w:val="center"/>
          </w:tcPr>
          <w:p w14:paraId="59E14218" w14:textId="757F7BED" w:rsidR="008C5735" w:rsidRDefault="008C5735" w:rsidP="00D336E1">
            <w:pPr>
              <w:pStyle w:val="TableParagraph"/>
              <w:spacing w:before="29" w:line="240" w:lineRule="auto"/>
              <w:ind w:left="141"/>
              <w:rPr>
                <w:sz w:val="18"/>
              </w:rPr>
            </w:pPr>
            <w:r>
              <w:rPr>
                <w:sz w:val="18"/>
              </w:rPr>
              <w:t>1.51 (1.18 to 1.92)</w:t>
            </w:r>
          </w:p>
        </w:tc>
        <w:tc>
          <w:tcPr>
            <w:tcW w:w="759" w:type="pct"/>
            <w:gridSpan w:val="2"/>
            <w:tcBorders>
              <w:left w:val="nil"/>
              <w:right w:val="nil"/>
            </w:tcBorders>
            <w:shd w:val="clear" w:color="auto" w:fill="ECECEC"/>
            <w:vAlign w:val="center"/>
          </w:tcPr>
          <w:p w14:paraId="31B16F8E" w14:textId="27A1D0AB" w:rsidR="008C5735" w:rsidRDefault="008C5735" w:rsidP="00D336E1">
            <w:pPr>
              <w:pStyle w:val="TableParagraph"/>
              <w:spacing w:before="29" w:line="240" w:lineRule="auto"/>
              <w:ind w:left="183"/>
              <w:rPr>
                <w:sz w:val="18"/>
              </w:rPr>
            </w:pPr>
            <w:r>
              <w:rPr>
                <w:sz w:val="18"/>
              </w:rPr>
              <w:t>1.60 (1.21 to 2.09)</w:t>
            </w:r>
          </w:p>
        </w:tc>
        <w:tc>
          <w:tcPr>
            <w:tcW w:w="695" w:type="pct"/>
            <w:tcBorders>
              <w:left w:val="nil"/>
              <w:right w:val="nil"/>
            </w:tcBorders>
            <w:shd w:val="clear" w:color="auto" w:fill="ECECEC"/>
            <w:vAlign w:val="center"/>
          </w:tcPr>
          <w:p w14:paraId="7F117672" w14:textId="2DEE3019" w:rsidR="008C5735" w:rsidRDefault="008C5735" w:rsidP="00D336E1">
            <w:pPr>
              <w:pStyle w:val="TableParagraph"/>
              <w:spacing w:before="29" w:line="240" w:lineRule="auto"/>
              <w:ind w:left="194"/>
              <w:rPr>
                <w:sz w:val="18"/>
              </w:rPr>
            </w:pPr>
            <w:r>
              <w:rPr>
                <w:sz w:val="18"/>
              </w:rPr>
              <w:t>1.06 (0.78 to 1.43)</w:t>
            </w:r>
          </w:p>
        </w:tc>
        <w:tc>
          <w:tcPr>
            <w:tcW w:w="695" w:type="pct"/>
            <w:tcBorders>
              <w:left w:val="nil"/>
            </w:tcBorders>
            <w:shd w:val="clear" w:color="auto" w:fill="ECECEC"/>
            <w:vAlign w:val="center"/>
          </w:tcPr>
          <w:p w14:paraId="5BF9E7C7" w14:textId="5C58F7EC" w:rsidR="008C5735" w:rsidRDefault="008C5735" w:rsidP="00D336E1">
            <w:pPr>
              <w:pStyle w:val="TableParagraph"/>
              <w:spacing w:before="29" w:line="240" w:lineRule="auto"/>
              <w:ind w:left="194"/>
              <w:rPr>
                <w:sz w:val="18"/>
              </w:rPr>
            </w:pPr>
            <w:r>
              <w:rPr>
                <w:sz w:val="18"/>
              </w:rPr>
              <w:t>1.27 (0.58 to 2.72)</w:t>
            </w:r>
          </w:p>
        </w:tc>
        <w:tc>
          <w:tcPr>
            <w:tcW w:w="695" w:type="pct"/>
            <w:tcBorders>
              <w:left w:val="nil"/>
            </w:tcBorders>
            <w:shd w:val="clear" w:color="auto" w:fill="ECECEC"/>
            <w:vAlign w:val="center"/>
          </w:tcPr>
          <w:p w14:paraId="1D3D9A95" w14:textId="77777777" w:rsidR="008C5735" w:rsidRDefault="008C5735" w:rsidP="00D336E1">
            <w:pPr>
              <w:pStyle w:val="TableParagraph"/>
              <w:spacing w:before="29" w:line="240" w:lineRule="auto"/>
              <w:ind w:left="194"/>
              <w:rPr>
                <w:sz w:val="18"/>
              </w:rPr>
            </w:pPr>
            <w:r>
              <w:rPr>
                <w:sz w:val="18"/>
              </w:rPr>
              <w:t>1</w:t>
            </w:r>
          </w:p>
        </w:tc>
      </w:tr>
      <w:tr w:rsidR="0058643B" w14:paraId="4B6ABA88" w14:textId="77777777" w:rsidTr="00BB21F9">
        <w:trPr>
          <w:trHeight w:val="280"/>
        </w:trPr>
        <w:tc>
          <w:tcPr>
            <w:tcW w:w="1460" w:type="pct"/>
            <w:tcBorders>
              <w:right w:val="nil"/>
            </w:tcBorders>
            <w:shd w:val="clear" w:color="auto" w:fill="ECECEC"/>
            <w:vAlign w:val="center"/>
          </w:tcPr>
          <w:p w14:paraId="00C9578B" w14:textId="77777777" w:rsidR="008C5735" w:rsidRDefault="008C5735" w:rsidP="00D336E1">
            <w:pPr>
              <w:pStyle w:val="TableParagraph"/>
              <w:spacing w:before="28" w:line="240" w:lineRule="auto"/>
              <w:ind w:left="270"/>
              <w:jc w:val="left"/>
              <w:rPr>
                <w:sz w:val="18"/>
              </w:rPr>
            </w:pPr>
            <w:r>
              <w:rPr>
                <w:sz w:val="18"/>
              </w:rPr>
              <w:t>Probability</w:t>
            </w:r>
            <w:r>
              <w:rPr>
                <w:spacing w:val="-6"/>
                <w:sz w:val="18"/>
              </w:rPr>
              <w:t xml:space="preserve"> </w:t>
            </w:r>
            <w:r>
              <w:rPr>
                <w:sz w:val="18"/>
              </w:rPr>
              <w:t>of</w:t>
            </w:r>
            <w:r>
              <w:rPr>
                <w:spacing w:val="-3"/>
                <w:sz w:val="18"/>
              </w:rPr>
              <w:t xml:space="preserve"> </w:t>
            </w:r>
            <w:r>
              <w:rPr>
                <w:sz w:val="18"/>
              </w:rPr>
              <w:t>superiority</w:t>
            </w:r>
            <w:r>
              <w:rPr>
                <w:spacing w:val="-5"/>
                <w:sz w:val="18"/>
              </w:rPr>
              <w:t xml:space="preserve"> </w:t>
            </w:r>
            <w:r>
              <w:rPr>
                <w:sz w:val="18"/>
              </w:rPr>
              <w:t>to</w:t>
            </w:r>
            <w:r>
              <w:rPr>
                <w:spacing w:val="-4"/>
                <w:sz w:val="18"/>
              </w:rPr>
              <w:t xml:space="preserve"> </w:t>
            </w:r>
            <w:r>
              <w:rPr>
                <w:sz w:val="18"/>
              </w:rPr>
              <w:t>control,</w:t>
            </w:r>
            <w:r>
              <w:rPr>
                <w:spacing w:val="-3"/>
                <w:sz w:val="18"/>
              </w:rPr>
              <w:t xml:space="preserve"> </w:t>
            </w:r>
            <w:r>
              <w:rPr>
                <w:sz w:val="18"/>
              </w:rPr>
              <w:t>%</w:t>
            </w:r>
          </w:p>
        </w:tc>
        <w:tc>
          <w:tcPr>
            <w:tcW w:w="696" w:type="pct"/>
            <w:tcBorders>
              <w:left w:val="nil"/>
              <w:right w:val="nil"/>
            </w:tcBorders>
            <w:shd w:val="clear" w:color="auto" w:fill="ECECEC"/>
            <w:vAlign w:val="center"/>
          </w:tcPr>
          <w:p w14:paraId="47302897" w14:textId="77777777" w:rsidR="008C5735" w:rsidRDefault="008C5735" w:rsidP="00D336E1">
            <w:pPr>
              <w:pStyle w:val="TableParagraph"/>
              <w:spacing w:before="28" w:line="240" w:lineRule="auto"/>
              <w:ind w:left="141"/>
              <w:rPr>
                <w:sz w:val="18"/>
              </w:rPr>
            </w:pPr>
          </w:p>
        </w:tc>
        <w:tc>
          <w:tcPr>
            <w:tcW w:w="759" w:type="pct"/>
            <w:gridSpan w:val="2"/>
            <w:tcBorders>
              <w:left w:val="nil"/>
              <w:right w:val="nil"/>
            </w:tcBorders>
            <w:shd w:val="clear" w:color="auto" w:fill="ECECEC"/>
            <w:vAlign w:val="center"/>
          </w:tcPr>
          <w:p w14:paraId="1D92126F" w14:textId="77777777" w:rsidR="008C5735" w:rsidRDefault="008C5735" w:rsidP="00D336E1">
            <w:pPr>
              <w:pStyle w:val="TableParagraph"/>
              <w:spacing w:before="28" w:line="240" w:lineRule="auto"/>
              <w:ind w:left="183"/>
              <w:rPr>
                <w:sz w:val="18"/>
              </w:rPr>
            </w:pPr>
          </w:p>
        </w:tc>
        <w:tc>
          <w:tcPr>
            <w:tcW w:w="695" w:type="pct"/>
            <w:tcBorders>
              <w:left w:val="nil"/>
              <w:right w:val="nil"/>
            </w:tcBorders>
            <w:shd w:val="clear" w:color="auto" w:fill="ECECEC"/>
            <w:vAlign w:val="center"/>
          </w:tcPr>
          <w:p w14:paraId="07D9E8A5" w14:textId="77777777" w:rsidR="008C5735" w:rsidRDefault="008C5735" w:rsidP="00D336E1">
            <w:pPr>
              <w:pStyle w:val="TableParagraph"/>
              <w:spacing w:before="28" w:line="240" w:lineRule="auto"/>
              <w:ind w:left="194"/>
              <w:rPr>
                <w:sz w:val="18"/>
              </w:rPr>
            </w:pPr>
          </w:p>
        </w:tc>
        <w:tc>
          <w:tcPr>
            <w:tcW w:w="695" w:type="pct"/>
            <w:tcBorders>
              <w:left w:val="nil"/>
            </w:tcBorders>
            <w:shd w:val="clear" w:color="auto" w:fill="ECECEC"/>
            <w:vAlign w:val="center"/>
          </w:tcPr>
          <w:p w14:paraId="4DBEBDE2" w14:textId="77777777" w:rsidR="008C5735" w:rsidRDefault="008C5735" w:rsidP="00D336E1">
            <w:pPr>
              <w:pStyle w:val="TableParagraph"/>
              <w:spacing w:before="28" w:line="240" w:lineRule="auto"/>
              <w:ind w:left="194"/>
              <w:rPr>
                <w:sz w:val="18"/>
              </w:rPr>
            </w:pPr>
          </w:p>
        </w:tc>
        <w:tc>
          <w:tcPr>
            <w:tcW w:w="695" w:type="pct"/>
            <w:tcBorders>
              <w:left w:val="nil"/>
            </w:tcBorders>
            <w:shd w:val="clear" w:color="auto" w:fill="ECECEC"/>
            <w:vAlign w:val="center"/>
          </w:tcPr>
          <w:p w14:paraId="29876CEE" w14:textId="77777777" w:rsidR="008C5735" w:rsidRDefault="008C5735" w:rsidP="00D336E1">
            <w:pPr>
              <w:pStyle w:val="TableParagraph"/>
              <w:spacing w:before="28" w:line="240" w:lineRule="auto"/>
              <w:ind w:left="194"/>
              <w:rPr>
                <w:sz w:val="18"/>
              </w:rPr>
            </w:pPr>
            <w:r>
              <w:rPr>
                <w:sz w:val="18"/>
              </w:rPr>
              <w:t>-</w:t>
            </w:r>
          </w:p>
        </w:tc>
      </w:tr>
      <w:tr w:rsidR="0058643B" w14:paraId="0E3B7BF3" w14:textId="77777777" w:rsidTr="00BB21F9">
        <w:trPr>
          <w:trHeight w:val="497"/>
        </w:trPr>
        <w:tc>
          <w:tcPr>
            <w:tcW w:w="1460" w:type="pct"/>
            <w:tcBorders>
              <w:bottom w:val="dashSmallGap" w:sz="6" w:space="0" w:color="D8D8D8"/>
              <w:right w:val="nil"/>
            </w:tcBorders>
            <w:shd w:val="clear" w:color="auto" w:fill="ECECEC"/>
            <w:vAlign w:val="center"/>
          </w:tcPr>
          <w:p w14:paraId="5882C59A" w14:textId="77777777" w:rsidR="008C5735" w:rsidRDefault="008C5735" w:rsidP="00D336E1">
            <w:pPr>
              <w:pStyle w:val="TableParagraph"/>
              <w:spacing w:before="28" w:line="240" w:lineRule="auto"/>
              <w:ind w:left="110" w:right="355"/>
              <w:jc w:val="left"/>
              <w:rPr>
                <w:sz w:val="18"/>
              </w:rPr>
            </w:pPr>
            <w:r>
              <w:rPr>
                <w:sz w:val="18"/>
              </w:rPr>
              <w:t>Days free from respiratory support in survivors,</w:t>
            </w:r>
            <w:r>
              <w:rPr>
                <w:spacing w:val="-38"/>
                <w:sz w:val="18"/>
              </w:rPr>
              <w:t xml:space="preserve"> </w:t>
            </w:r>
            <w:r>
              <w:rPr>
                <w:sz w:val="18"/>
              </w:rPr>
              <w:t>median</w:t>
            </w:r>
            <w:r>
              <w:rPr>
                <w:spacing w:val="-2"/>
                <w:sz w:val="18"/>
              </w:rPr>
              <w:t xml:space="preserve"> </w:t>
            </w:r>
            <w:r>
              <w:rPr>
                <w:sz w:val="18"/>
              </w:rPr>
              <w:t>(IQR)</w:t>
            </w:r>
          </w:p>
        </w:tc>
        <w:tc>
          <w:tcPr>
            <w:tcW w:w="696" w:type="pct"/>
            <w:tcBorders>
              <w:left w:val="nil"/>
              <w:bottom w:val="dashSmallGap" w:sz="6" w:space="0" w:color="D8D8D8"/>
              <w:right w:val="nil"/>
            </w:tcBorders>
            <w:shd w:val="clear" w:color="auto" w:fill="ECECEC"/>
            <w:vAlign w:val="center"/>
          </w:tcPr>
          <w:p w14:paraId="2BE388C0" w14:textId="12123A2C" w:rsidR="008C5735" w:rsidRPr="00AE658D" w:rsidRDefault="008C5735" w:rsidP="00D336E1">
            <w:pPr>
              <w:pStyle w:val="TableParagraph"/>
              <w:spacing w:line="240" w:lineRule="auto"/>
              <w:ind w:left="141"/>
              <w:rPr>
                <w:sz w:val="18"/>
                <w:szCs w:val="18"/>
              </w:rPr>
            </w:pPr>
            <w:r w:rsidRPr="00AE658D">
              <w:rPr>
                <w:sz w:val="18"/>
                <w:szCs w:val="18"/>
              </w:rPr>
              <w:t>14 (6,18)</w:t>
            </w:r>
          </w:p>
        </w:tc>
        <w:tc>
          <w:tcPr>
            <w:tcW w:w="759" w:type="pct"/>
            <w:gridSpan w:val="2"/>
            <w:tcBorders>
              <w:left w:val="nil"/>
              <w:bottom w:val="dashSmallGap" w:sz="6" w:space="0" w:color="D8D8D8"/>
              <w:right w:val="nil"/>
            </w:tcBorders>
            <w:shd w:val="clear" w:color="auto" w:fill="ECECEC"/>
            <w:vAlign w:val="center"/>
          </w:tcPr>
          <w:p w14:paraId="5302057D" w14:textId="604E7356" w:rsidR="008C5735" w:rsidRPr="00AE658D" w:rsidRDefault="008C5735" w:rsidP="00D336E1">
            <w:pPr>
              <w:pStyle w:val="TableParagraph"/>
              <w:spacing w:before="4" w:line="240" w:lineRule="auto"/>
              <w:rPr>
                <w:sz w:val="18"/>
                <w:szCs w:val="18"/>
              </w:rPr>
            </w:pPr>
            <w:r w:rsidRPr="00AE658D">
              <w:rPr>
                <w:sz w:val="18"/>
                <w:szCs w:val="18"/>
              </w:rPr>
              <w:t>15 (8,18)</w:t>
            </w:r>
          </w:p>
          <w:p w14:paraId="0F998127" w14:textId="3CABA3C7" w:rsidR="008C5735" w:rsidRPr="00AE658D" w:rsidRDefault="008C5735" w:rsidP="00D336E1">
            <w:pPr>
              <w:pStyle w:val="TableParagraph"/>
              <w:spacing w:line="240" w:lineRule="auto"/>
              <w:ind w:left="183"/>
              <w:rPr>
                <w:sz w:val="18"/>
                <w:szCs w:val="18"/>
              </w:rPr>
            </w:pPr>
          </w:p>
        </w:tc>
        <w:tc>
          <w:tcPr>
            <w:tcW w:w="695" w:type="pct"/>
            <w:tcBorders>
              <w:left w:val="nil"/>
              <w:bottom w:val="dashSmallGap" w:sz="6" w:space="0" w:color="D8D8D8"/>
              <w:right w:val="nil"/>
            </w:tcBorders>
            <w:shd w:val="clear" w:color="auto" w:fill="ECECEC"/>
            <w:vAlign w:val="center"/>
          </w:tcPr>
          <w:p w14:paraId="0EFC687F" w14:textId="1FB6D499" w:rsidR="008C5735" w:rsidRPr="00AE658D" w:rsidRDefault="008C5735" w:rsidP="00D336E1">
            <w:pPr>
              <w:pStyle w:val="TableParagraph"/>
              <w:spacing w:before="4" w:line="240" w:lineRule="auto"/>
              <w:rPr>
                <w:sz w:val="18"/>
                <w:szCs w:val="18"/>
              </w:rPr>
            </w:pPr>
            <w:r w:rsidRPr="00AE658D">
              <w:rPr>
                <w:sz w:val="18"/>
                <w:szCs w:val="18"/>
              </w:rPr>
              <w:t>13.5 (3.75,18)</w:t>
            </w:r>
          </w:p>
          <w:p w14:paraId="044193E0" w14:textId="4406BA1D" w:rsidR="008C5735" w:rsidRPr="00AE658D" w:rsidRDefault="008C5735" w:rsidP="00D336E1">
            <w:pPr>
              <w:pStyle w:val="TableParagraph"/>
              <w:spacing w:before="4" w:line="240" w:lineRule="auto"/>
              <w:rPr>
                <w:sz w:val="18"/>
                <w:szCs w:val="18"/>
              </w:rPr>
            </w:pPr>
          </w:p>
        </w:tc>
        <w:tc>
          <w:tcPr>
            <w:tcW w:w="695" w:type="pct"/>
            <w:tcBorders>
              <w:left w:val="nil"/>
              <w:bottom w:val="dashSmallGap" w:sz="6" w:space="0" w:color="D8D8D8"/>
            </w:tcBorders>
            <w:shd w:val="clear" w:color="auto" w:fill="ECECEC"/>
            <w:vAlign w:val="center"/>
          </w:tcPr>
          <w:p w14:paraId="62D2B3A4" w14:textId="511EBDC8" w:rsidR="008C5735" w:rsidRPr="00AE658D" w:rsidRDefault="008C5735" w:rsidP="00D336E1">
            <w:pPr>
              <w:pStyle w:val="TableParagraph"/>
              <w:spacing w:before="4" w:line="240" w:lineRule="auto"/>
              <w:rPr>
                <w:sz w:val="18"/>
                <w:szCs w:val="18"/>
              </w:rPr>
            </w:pPr>
            <w:r w:rsidRPr="00AE658D">
              <w:rPr>
                <w:sz w:val="18"/>
                <w:szCs w:val="18"/>
              </w:rPr>
              <w:t>9.5 (0,17.25)</w:t>
            </w:r>
          </w:p>
        </w:tc>
        <w:tc>
          <w:tcPr>
            <w:tcW w:w="695" w:type="pct"/>
            <w:tcBorders>
              <w:left w:val="nil"/>
              <w:bottom w:val="dashSmallGap" w:sz="6" w:space="0" w:color="D8D8D8"/>
            </w:tcBorders>
            <w:shd w:val="clear" w:color="auto" w:fill="ECECEC"/>
            <w:vAlign w:val="center"/>
          </w:tcPr>
          <w:p w14:paraId="48428E6B" w14:textId="236373EE" w:rsidR="008C5735" w:rsidRPr="00AE658D" w:rsidRDefault="008C5735" w:rsidP="00D336E1">
            <w:pPr>
              <w:pStyle w:val="TableParagraph"/>
              <w:spacing w:before="4" w:line="240" w:lineRule="auto"/>
              <w:rPr>
                <w:sz w:val="18"/>
                <w:szCs w:val="18"/>
              </w:rPr>
            </w:pPr>
            <w:r w:rsidRPr="00AE658D">
              <w:rPr>
                <w:sz w:val="18"/>
                <w:szCs w:val="18"/>
              </w:rPr>
              <w:t>13 (3.5,17)</w:t>
            </w:r>
          </w:p>
          <w:p w14:paraId="3C5E71AB" w14:textId="396335DF" w:rsidR="008C5735" w:rsidRPr="00AE658D" w:rsidRDefault="008C5735" w:rsidP="00D336E1">
            <w:pPr>
              <w:pStyle w:val="TableParagraph"/>
              <w:spacing w:line="240" w:lineRule="auto"/>
              <w:ind w:left="194"/>
              <w:rPr>
                <w:sz w:val="18"/>
                <w:szCs w:val="18"/>
              </w:rPr>
            </w:pPr>
          </w:p>
        </w:tc>
      </w:tr>
      <w:tr w:rsidR="008C5735" w14:paraId="7EB70098" w14:textId="77777777" w:rsidTr="00BB21F9">
        <w:trPr>
          <w:trHeight w:val="277"/>
        </w:trPr>
        <w:tc>
          <w:tcPr>
            <w:tcW w:w="1460" w:type="pct"/>
            <w:tcBorders>
              <w:top w:val="dashSmallGap" w:sz="6" w:space="0" w:color="D8D8D8"/>
            </w:tcBorders>
            <w:shd w:val="clear" w:color="auto" w:fill="ECECEC"/>
            <w:vAlign w:val="center"/>
          </w:tcPr>
          <w:p w14:paraId="464ECEBA" w14:textId="77777777" w:rsidR="008C5735" w:rsidRDefault="008C5735" w:rsidP="00CC768E">
            <w:pPr>
              <w:pStyle w:val="TableParagraph"/>
              <w:spacing w:before="26" w:line="240" w:lineRule="auto"/>
              <w:jc w:val="left"/>
              <w:rPr>
                <w:b/>
                <w:sz w:val="18"/>
              </w:rPr>
            </w:pPr>
            <w:r>
              <w:rPr>
                <w:b/>
                <w:sz w:val="18"/>
              </w:rPr>
              <w:t>Cardiovascular</w:t>
            </w:r>
            <w:r>
              <w:rPr>
                <w:b/>
                <w:spacing w:val="-6"/>
                <w:sz w:val="18"/>
              </w:rPr>
              <w:t xml:space="preserve"> </w:t>
            </w:r>
            <w:r>
              <w:rPr>
                <w:b/>
                <w:sz w:val="18"/>
              </w:rPr>
              <w:t>support-free</w:t>
            </w:r>
            <w:r>
              <w:rPr>
                <w:b/>
                <w:spacing w:val="-7"/>
                <w:sz w:val="18"/>
              </w:rPr>
              <w:t xml:space="preserve"> </w:t>
            </w:r>
            <w:r>
              <w:rPr>
                <w:b/>
                <w:sz w:val="18"/>
              </w:rPr>
              <w:t>days</w:t>
            </w:r>
          </w:p>
        </w:tc>
        <w:tc>
          <w:tcPr>
            <w:tcW w:w="3540" w:type="pct"/>
            <w:gridSpan w:val="6"/>
            <w:tcBorders>
              <w:top w:val="dashSmallGap" w:sz="6" w:space="0" w:color="D8D8D8"/>
            </w:tcBorders>
            <w:shd w:val="clear" w:color="auto" w:fill="ECECEC"/>
            <w:vAlign w:val="center"/>
          </w:tcPr>
          <w:p w14:paraId="22505419" w14:textId="0A1132E1" w:rsidR="008C5735" w:rsidRDefault="008C5735" w:rsidP="00D336E1">
            <w:pPr>
              <w:pStyle w:val="TableParagraph"/>
              <w:spacing w:before="26" w:line="240" w:lineRule="auto"/>
              <w:ind w:left="110"/>
              <w:rPr>
                <w:b/>
                <w:sz w:val="18"/>
              </w:rPr>
            </w:pPr>
          </w:p>
        </w:tc>
      </w:tr>
      <w:tr w:rsidR="0058643B" w14:paraId="2DBD0BD5" w14:textId="77777777" w:rsidTr="00BB21F9">
        <w:trPr>
          <w:trHeight w:val="277"/>
        </w:trPr>
        <w:tc>
          <w:tcPr>
            <w:tcW w:w="1460" w:type="pct"/>
            <w:tcBorders>
              <w:bottom w:val="dashSmallGap" w:sz="6" w:space="0" w:color="D8D8D8"/>
              <w:right w:val="nil"/>
            </w:tcBorders>
            <w:shd w:val="clear" w:color="auto" w:fill="ECECEC"/>
            <w:vAlign w:val="center"/>
          </w:tcPr>
          <w:p w14:paraId="4D9ECC4A" w14:textId="77777777" w:rsidR="008C5735" w:rsidRDefault="008C5735" w:rsidP="00D336E1">
            <w:pPr>
              <w:pStyle w:val="TableParagraph"/>
              <w:spacing w:before="28" w:line="240" w:lineRule="auto"/>
              <w:ind w:left="270"/>
              <w:jc w:val="left"/>
              <w:rPr>
                <w:sz w:val="18"/>
              </w:rPr>
            </w:pPr>
            <w:r>
              <w:rPr>
                <w:sz w:val="18"/>
              </w:rPr>
              <w:t>Median</w:t>
            </w:r>
            <w:r>
              <w:rPr>
                <w:spacing w:val="-4"/>
                <w:sz w:val="18"/>
              </w:rPr>
              <w:t xml:space="preserve"> </w:t>
            </w:r>
            <w:r>
              <w:rPr>
                <w:sz w:val="18"/>
              </w:rPr>
              <w:t>(IQR)</w:t>
            </w:r>
          </w:p>
        </w:tc>
        <w:tc>
          <w:tcPr>
            <w:tcW w:w="696" w:type="pct"/>
            <w:tcBorders>
              <w:left w:val="nil"/>
              <w:bottom w:val="dashSmallGap" w:sz="6" w:space="0" w:color="D8D8D8"/>
              <w:right w:val="nil"/>
            </w:tcBorders>
            <w:shd w:val="clear" w:color="auto" w:fill="ECECEC"/>
            <w:vAlign w:val="center"/>
          </w:tcPr>
          <w:p w14:paraId="60102380" w14:textId="50B27ABF" w:rsidR="008C5735" w:rsidRDefault="008C5735" w:rsidP="00D336E1">
            <w:pPr>
              <w:pStyle w:val="TableParagraph"/>
              <w:spacing w:before="28" w:line="240" w:lineRule="auto"/>
              <w:ind w:left="141"/>
              <w:rPr>
                <w:sz w:val="18"/>
              </w:rPr>
            </w:pPr>
            <w:r>
              <w:rPr>
                <w:sz w:val="18"/>
              </w:rPr>
              <w:t>10 (-1,21)</w:t>
            </w:r>
          </w:p>
        </w:tc>
        <w:tc>
          <w:tcPr>
            <w:tcW w:w="759" w:type="pct"/>
            <w:gridSpan w:val="2"/>
            <w:tcBorders>
              <w:left w:val="nil"/>
              <w:bottom w:val="dashSmallGap" w:sz="6" w:space="0" w:color="D8D8D8"/>
              <w:right w:val="nil"/>
            </w:tcBorders>
            <w:shd w:val="clear" w:color="auto" w:fill="ECECEC"/>
            <w:vAlign w:val="center"/>
          </w:tcPr>
          <w:p w14:paraId="662EBF90" w14:textId="2E167FA2" w:rsidR="008C5735" w:rsidRDefault="008C5735" w:rsidP="00D336E1">
            <w:pPr>
              <w:pStyle w:val="TableParagraph"/>
              <w:spacing w:before="28" w:line="240" w:lineRule="auto"/>
              <w:ind w:left="183"/>
              <w:rPr>
                <w:sz w:val="18"/>
              </w:rPr>
            </w:pPr>
            <w:r>
              <w:rPr>
                <w:sz w:val="18"/>
              </w:rPr>
              <w:t>18 (-1,21)</w:t>
            </w:r>
          </w:p>
        </w:tc>
        <w:tc>
          <w:tcPr>
            <w:tcW w:w="695" w:type="pct"/>
            <w:tcBorders>
              <w:left w:val="nil"/>
              <w:bottom w:val="dashSmallGap" w:sz="6" w:space="0" w:color="D8D8D8"/>
              <w:right w:val="nil"/>
            </w:tcBorders>
            <w:shd w:val="clear" w:color="auto" w:fill="ECECEC"/>
            <w:vAlign w:val="center"/>
          </w:tcPr>
          <w:p w14:paraId="2A77DDE4" w14:textId="302B389A" w:rsidR="008C5735" w:rsidRDefault="008C5735" w:rsidP="00D336E1">
            <w:pPr>
              <w:pStyle w:val="TableParagraph"/>
              <w:spacing w:before="28" w:line="240" w:lineRule="auto"/>
              <w:ind w:left="194"/>
              <w:rPr>
                <w:sz w:val="18"/>
              </w:rPr>
            </w:pPr>
            <w:r>
              <w:rPr>
                <w:sz w:val="18"/>
              </w:rPr>
              <w:t>10 (-1,21)</w:t>
            </w:r>
          </w:p>
        </w:tc>
        <w:tc>
          <w:tcPr>
            <w:tcW w:w="695" w:type="pct"/>
            <w:tcBorders>
              <w:left w:val="nil"/>
              <w:bottom w:val="dashSmallGap" w:sz="6" w:space="0" w:color="D8D8D8"/>
            </w:tcBorders>
            <w:shd w:val="clear" w:color="auto" w:fill="ECECEC"/>
            <w:vAlign w:val="center"/>
          </w:tcPr>
          <w:p w14:paraId="538840DB" w14:textId="0527421E" w:rsidR="008C5735" w:rsidRDefault="008C5735" w:rsidP="00D336E1">
            <w:pPr>
              <w:pStyle w:val="TableParagraph"/>
              <w:spacing w:before="28" w:line="240" w:lineRule="auto"/>
              <w:ind w:left="194"/>
              <w:rPr>
                <w:sz w:val="18"/>
              </w:rPr>
            </w:pPr>
            <w:r>
              <w:rPr>
                <w:sz w:val="18"/>
              </w:rPr>
              <w:t>7 (-1,19)</w:t>
            </w:r>
          </w:p>
        </w:tc>
        <w:tc>
          <w:tcPr>
            <w:tcW w:w="695" w:type="pct"/>
            <w:tcBorders>
              <w:left w:val="nil"/>
              <w:bottom w:val="dashSmallGap" w:sz="6" w:space="0" w:color="D8D8D8"/>
            </w:tcBorders>
            <w:shd w:val="clear" w:color="auto" w:fill="ECECEC"/>
            <w:vAlign w:val="center"/>
          </w:tcPr>
          <w:p w14:paraId="2D2CE0E9" w14:textId="4E202807" w:rsidR="008C5735" w:rsidRDefault="008C5735" w:rsidP="00D336E1">
            <w:pPr>
              <w:pStyle w:val="TableParagraph"/>
              <w:spacing w:before="28" w:line="240" w:lineRule="auto"/>
              <w:ind w:left="194"/>
              <w:rPr>
                <w:sz w:val="18"/>
              </w:rPr>
            </w:pPr>
            <w:r>
              <w:rPr>
                <w:sz w:val="18"/>
              </w:rPr>
              <w:t>15 (-1,21)</w:t>
            </w:r>
          </w:p>
        </w:tc>
      </w:tr>
      <w:tr w:rsidR="0058643B" w14:paraId="1B9413C0" w14:textId="77777777" w:rsidTr="00BB21F9">
        <w:trPr>
          <w:trHeight w:val="277"/>
        </w:trPr>
        <w:tc>
          <w:tcPr>
            <w:tcW w:w="1460" w:type="pct"/>
            <w:tcBorders>
              <w:top w:val="dashSmallGap" w:sz="6" w:space="0" w:color="D8D8D8"/>
              <w:right w:val="nil"/>
            </w:tcBorders>
            <w:shd w:val="clear" w:color="auto" w:fill="ECECEC"/>
            <w:vAlign w:val="center"/>
          </w:tcPr>
          <w:p w14:paraId="487BC544" w14:textId="77777777" w:rsidR="008C5735" w:rsidRDefault="008C5735" w:rsidP="00D336E1">
            <w:pPr>
              <w:pStyle w:val="TableParagraph"/>
              <w:spacing w:before="26" w:line="240" w:lineRule="auto"/>
              <w:ind w:left="270"/>
              <w:jc w:val="left"/>
              <w:rPr>
                <w:sz w:val="18"/>
              </w:rPr>
            </w:pPr>
            <w:r>
              <w:rPr>
                <w:sz w:val="18"/>
              </w:rPr>
              <w:t>Adjusted</w:t>
            </w:r>
            <w:r>
              <w:rPr>
                <w:spacing w:val="-3"/>
                <w:sz w:val="18"/>
              </w:rPr>
              <w:t xml:space="preserve"> </w:t>
            </w:r>
            <w:r>
              <w:rPr>
                <w:sz w:val="18"/>
              </w:rPr>
              <w:t>OR</w:t>
            </w:r>
            <w:r>
              <w:rPr>
                <w:spacing w:val="2"/>
                <w:sz w:val="18"/>
              </w:rPr>
              <w:t xml:space="preserve"> </w:t>
            </w:r>
            <w:r>
              <w:rPr>
                <w:sz w:val="18"/>
              </w:rPr>
              <w:t>-</w:t>
            </w:r>
            <w:r>
              <w:rPr>
                <w:spacing w:val="-2"/>
                <w:sz w:val="18"/>
              </w:rPr>
              <w:t xml:space="preserve"> </w:t>
            </w:r>
            <w:r>
              <w:rPr>
                <w:sz w:val="18"/>
              </w:rPr>
              <w:t>mean</w:t>
            </w:r>
            <w:r>
              <w:rPr>
                <w:spacing w:val="-3"/>
                <w:sz w:val="18"/>
              </w:rPr>
              <w:t xml:space="preserve"> </w:t>
            </w:r>
            <w:r>
              <w:rPr>
                <w:sz w:val="18"/>
              </w:rPr>
              <w:t>(SD)</w:t>
            </w:r>
          </w:p>
        </w:tc>
        <w:tc>
          <w:tcPr>
            <w:tcW w:w="696" w:type="pct"/>
            <w:tcBorders>
              <w:top w:val="dashSmallGap" w:sz="6" w:space="0" w:color="D8D8D8"/>
              <w:left w:val="nil"/>
              <w:right w:val="nil"/>
            </w:tcBorders>
            <w:shd w:val="clear" w:color="auto" w:fill="ECECEC"/>
            <w:vAlign w:val="center"/>
          </w:tcPr>
          <w:p w14:paraId="4F4BA834" w14:textId="42AC780C" w:rsidR="008C5735" w:rsidRDefault="008C5735" w:rsidP="00D336E1">
            <w:pPr>
              <w:pStyle w:val="TableParagraph"/>
              <w:spacing w:before="26" w:line="240" w:lineRule="auto"/>
              <w:ind w:left="141"/>
              <w:rPr>
                <w:sz w:val="18"/>
              </w:rPr>
            </w:pPr>
            <w:r>
              <w:rPr>
                <w:sz w:val="18"/>
              </w:rPr>
              <w:t>1.46 (0.19)</w:t>
            </w:r>
          </w:p>
        </w:tc>
        <w:tc>
          <w:tcPr>
            <w:tcW w:w="759" w:type="pct"/>
            <w:gridSpan w:val="2"/>
            <w:tcBorders>
              <w:top w:val="dashSmallGap" w:sz="6" w:space="0" w:color="D8D8D8"/>
              <w:left w:val="nil"/>
              <w:right w:val="nil"/>
            </w:tcBorders>
            <w:shd w:val="clear" w:color="auto" w:fill="ECECEC"/>
            <w:vAlign w:val="center"/>
          </w:tcPr>
          <w:p w14:paraId="2480BF50" w14:textId="6D864697" w:rsidR="008C5735" w:rsidRDefault="008C5735" w:rsidP="00D336E1">
            <w:pPr>
              <w:pStyle w:val="TableParagraph"/>
              <w:spacing w:before="26" w:line="240" w:lineRule="auto"/>
              <w:ind w:left="183"/>
              <w:rPr>
                <w:sz w:val="18"/>
              </w:rPr>
            </w:pPr>
            <w:r>
              <w:rPr>
                <w:sz w:val="18"/>
              </w:rPr>
              <w:t>1.60 (0.24)</w:t>
            </w:r>
          </w:p>
        </w:tc>
        <w:tc>
          <w:tcPr>
            <w:tcW w:w="695" w:type="pct"/>
            <w:tcBorders>
              <w:top w:val="dashSmallGap" w:sz="6" w:space="0" w:color="D8D8D8"/>
              <w:left w:val="nil"/>
              <w:right w:val="nil"/>
            </w:tcBorders>
            <w:shd w:val="clear" w:color="auto" w:fill="ECECEC"/>
            <w:vAlign w:val="center"/>
          </w:tcPr>
          <w:p w14:paraId="7A383388" w14:textId="534EEDB7" w:rsidR="008C5735" w:rsidRDefault="008C5735" w:rsidP="00D336E1">
            <w:pPr>
              <w:pStyle w:val="TableParagraph"/>
              <w:spacing w:before="26" w:line="240" w:lineRule="auto"/>
              <w:ind w:left="194"/>
              <w:rPr>
                <w:sz w:val="18"/>
              </w:rPr>
            </w:pPr>
            <w:r>
              <w:rPr>
                <w:sz w:val="18"/>
              </w:rPr>
              <w:t>1.09 (0.18)</w:t>
            </w:r>
          </w:p>
        </w:tc>
        <w:tc>
          <w:tcPr>
            <w:tcW w:w="695" w:type="pct"/>
            <w:tcBorders>
              <w:top w:val="dashSmallGap" w:sz="6" w:space="0" w:color="D8D8D8"/>
              <w:left w:val="nil"/>
            </w:tcBorders>
            <w:shd w:val="clear" w:color="auto" w:fill="ECECEC"/>
            <w:vAlign w:val="center"/>
          </w:tcPr>
          <w:p w14:paraId="591DCF95" w14:textId="16025DD3" w:rsidR="008C5735" w:rsidRDefault="008C5735" w:rsidP="00D336E1">
            <w:pPr>
              <w:pStyle w:val="TableParagraph"/>
              <w:spacing w:before="26" w:line="240" w:lineRule="auto"/>
              <w:ind w:left="194"/>
              <w:rPr>
                <w:sz w:val="18"/>
              </w:rPr>
            </w:pPr>
            <w:r>
              <w:rPr>
                <w:sz w:val="18"/>
              </w:rPr>
              <w:t>1.08 (0.47)</w:t>
            </w:r>
          </w:p>
        </w:tc>
        <w:tc>
          <w:tcPr>
            <w:tcW w:w="695" w:type="pct"/>
            <w:tcBorders>
              <w:top w:val="dashSmallGap" w:sz="6" w:space="0" w:color="D8D8D8"/>
              <w:left w:val="nil"/>
            </w:tcBorders>
            <w:shd w:val="clear" w:color="auto" w:fill="ECECEC"/>
            <w:vAlign w:val="center"/>
          </w:tcPr>
          <w:p w14:paraId="67B1659D" w14:textId="77777777" w:rsidR="008C5735" w:rsidRDefault="008C5735" w:rsidP="00D336E1">
            <w:pPr>
              <w:pStyle w:val="TableParagraph"/>
              <w:spacing w:before="26" w:line="240" w:lineRule="auto"/>
              <w:ind w:left="194"/>
              <w:rPr>
                <w:sz w:val="18"/>
              </w:rPr>
            </w:pPr>
            <w:r>
              <w:rPr>
                <w:sz w:val="18"/>
              </w:rPr>
              <w:t>1</w:t>
            </w:r>
          </w:p>
        </w:tc>
      </w:tr>
      <w:tr w:rsidR="0058643B" w14:paraId="7321A7DB" w14:textId="77777777" w:rsidTr="00BB21F9">
        <w:trPr>
          <w:trHeight w:val="280"/>
        </w:trPr>
        <w:tc>
          <w:tcPr>
            <w:tcW w:w="1460" w:type="pct"/>
            <w:tcBorders>
              <w:right w:val="nil"/>
            </w:tcBorders>
            <w:shd w:val="clear" w:color="auto" w:fill="ECECEC"/>
            <w:vAlign w:val="center"/>
          </w:tcPr>
          <w:p w14:paraId="1AC66CD1" w14:textId="77777777" w:rsidR="008C5735" w:rsidRDefault="008C5735" w:rsidP="00D336E1">
            <w:pPr>
              <w:pStyle w:val="TableParagraph"/>
              <w:spacing w:before="28" w:line="240" w:lineRule="auto"/>
              <w:ind w:left="1215"/>
              <w:jc w:val="left"/>
              <w:rPr>
                <w:sz w:val="18"/>
              </w:rPr>
            </w:pPr>
            <w:bookmarkStart w:id="33" w:name="_bookmark82"/>
            <w:bookmarkEnd w:id="33"/>
            <w:r>
              <w:rPr>
                <w:sz w:val="18"/>
              </w:rPr>
              <w:t>-</w:t>
            </w:r>
            <w:r>
              <w:rPr>
                <w:spacing w:val="-3"/>
                <w:sz w:val="18"/>
              </w:rPr>
              <w:t xml:space="preserve"> </w:t>
            </w:r>
            <w:r>
              <w:rPr>
                <w:sz w:val="18"/>
              </w:rPr>
              <w:t>median</w:t>
            </w:r>
            <w:r>
              <w:rPr>
                <w:spacing w:val="-3"/>
                <w:sz w:val="18"/>
              </w:rPr>
              <w:t xml:space="preserve"> </w:t>
            </w:r>
            <w:r>
              <w:rPr>
                <w:sz w:val="18"/>
              </w:rPr>
              <w:t>(95%</w:t>
            </w:r>
            <w:r>
              <w:rPr>
                <w:spacing w:val="-2"/>
                <w:sz w:val="18"/>
              </w:rPr>
              <w:t xml:space="preserve"> </w:t>
            </w:r>
            <w:r>
              <w:rPr>
                <w:sz w:val="18"/>
              </w:rPr>
              <w:t>CrI)</w:t>
            </w:r>
          </w:p>
        </w:tc>
        <w:tc>
          <w:tcPr>
            <w:tcW w:w="696" w:type="pct"/>
            <w:tcBorders>
              <w:left w:val="nil"/>
              <w:right w:val="nil"/>
            </w:tcBorders>
            <w:shd w:val="clear" w:color="auto" w:fill="ECECEC"/>
            <w:vAlign w:val="center"/>
          </w:tcPr>
          <w:p w14:paraId="49494D04" w14:textId="73D6210B" w:rsidR="008C5735" w:rsidRDefault="008C5735" w:rsidP="00D336E1">
            <w:pPr>
              <w:pStyle w:val="TableParagraph"/>
              <w:spacing w:before="28" w:line="240" w:lineRule="auto"/>
              <w:ind w:left="141"/>
              <w:rPr>
                <w:sz w:val="18"/>
              </w:rPr>
            </w:pPr>
            <w:r>
              <w:rPr>
                <w:sz w:val="18"/>
              </w:rPr>
              <w:t>1.44 (1.12 to 1.87)</w:t>
            </w:r>
          </w:p>
        </w:tc>
        <w:tc>
          <w:tcPr>
            <w:tcW w:w="759" w:type="pct"/>
            <w:gridSpan w:val="2"/>
            <w:tcBorders>
              <w:left w:val="nil"/>
              <w:right w:val="nil"/>
            </w:tcBorders>
            <w:shd w:val="clear" w:color="auto" w:fill="ECECEC"/>
            <w:vAlign w:val="center"/>
          </w:tcPr>
          <w:p w14:paraId="1C1C6A0C" w14:textId="78BEA871" w:rsidR="008C5735" w:rsidRDefault="008C5735" w:rsidP="00D336E1">
            <w:pPr>
              <w:pStyle w:val="TableParagraph"/>
              <w:spacing w:before="28" w:line="240" w:lineRule="auto"/>
              <w:ind w:left="183"/>
              <w:rPr>
                <w:sz w:val="18"/>
              </w:rPr>
            </w:pPr>
            <w:r>
              <w:rPr>
                <w:sz w:val="18"/>
              </w:rPr>
              <w:t>1.58 (1.19 to 2.12)</w:t>
            </w:r>
          </w:p>
        </w:tc>
        <w:tc>
          <w:tcPr>
            <w:tcW w:w="695" w:type="pct"/>
            <w:tcBorders>
              <w:left w:val="nil"/>
              <w:right w:val="nil"/>
            </w:tcBorders>
            <w:shd w:val="clear" w:color="auto" w:fill="ECECEC"/>
            <w:vAlign w:val="center"/>
          </w:tcPr>
          <w:p w14:paraId="091D0ECD" w14:textId="4550E439" w:rsidR="008C5735" w:rsidRDefault="008C5735" w:rsidP="00D336E1">
            <w:pPr>
              <w:pStyle w:val="TableParagraph"/>
              <w:spacing w:before="28" w:line="240" w:lineRule="auto"/>
              <w:ind w:left="194"/>
              <w:rPr>
                <w:sz w:val="18"/>
              </w:rPr>
            </w:pPr>
            <w:r>
              <w:rPr>
                <w:sz w:val="18"/>
              </w:rPr>
              <w:t>1.07 (0.78 to 1.47)</w:t>
            </w:r>
          </w:p>
        </w:tc>
        <w:tc>
          <w:tcPr>
            <w:tcW w:w="695" w:type="pct"/>
            <w:tcBorders>
              <w:left w:val="nil"/>
            </w:tcBorders>
            <w:shd w:val="clear" w:color="auto" w:fill="ECECEC"/>
            <w:vAlign w:val="center"/>
          </w:tcPr>
          <w:p w14:paraId="3ACD8A0B" w14:textId="4B502B35" w:rsidR="008C5735" w:rsidRDefault="008C5735" w:rsidP="00D336E1">
            <w:pPr>
              <w:pStyle w:val="TableParagraph"/>
              <w:spacing w:before="28" w:line="240" w:lineRule="auto"/>
              <w:rPr>
                <w:sz w:val="18"/>
              </w:rPr>
            </w:pPr>
            <w:r>
              <w:rPr>
                <w:sz w:val="18"/>
              </w:rPr>
              <w:t>0.99 (0.44 to 2.20)</w:t>
            </w:r>
          </w:p>
        </w:tc>
        <w:tc>
          <w:tcPr>
            <w:tcW w:w="695" w:type="pct"/>
            <w:tcBorders>
              <w:left w:val="nil"/>
            </w:tcBorders>
            <w:shd w:val="clear" w:color="auto" w:fill="ECECEC"/>
            <w:vAlign w:val="center"/>
          </w:tcPr>
          <w:p w14:paraId="7A358AFB" w14:textId="77777777" w:rsidR="008C5735" w:rsidRDefault="008C5735" w:rsidP="00D336E1">
            <w:pPr>
              <w:pStyle w:val="TableParagraph"/>
              <w:spacing w:before="28" w:line="240" w:lineRule="auto"/>
              <w:ind w:left="194"/>
              <w:rPr>
                <w:sz w:val="18"/>
              </w:rPr>
            </w:pPr>
            <w:r>
              <w:rPr>
                <w:sz w:val="18"/>
              </w:rPr>
              <w:t>1</w:t>
            </w:r>
          </w:p>
        </w:tc>
      </w:tr>
      <w:tr w:rsidR="0058643B" w14:paraId="7B262E19" w14:textId="77777777" w:rsidTr="00BB21F9">
        <w:trPr>
          <w:trHeight w:val="280"/>
        </w:trPr>
        <w:tc>
          <w:tcPr>
            <w:tcW w:w="1460" w:type="pct"/>
            <w:tcBorders>
              <w:right w:val="nil"/>
            </w:tcBorders>
            <w:shd w:val="clear" w:color="auto" w:fill="ECECEC"/>
            <w:vAlign w:val="center"/>
          </w:tcPr>
          <w:p w14:paraId="6D317351" w14:textId="77777777" w:rsidR="008C5735" w:rsidRDefault="008C5735" w:rsidP="00D336E1">
            <w:pPr>
              <w:pStyle w:val="TableParagraph"/>
              <w:spacing w:before="28" w:line="240" w:lineRule="auto"/>
              <w:ind w:left="270"/>
              <w:jc w:val="left"/>
              <w:rPr>
                <w:sz w:val="18"/>
              </w:rPr>
            </w:pPr>
            <w:r>
              <w:rPr>
                <w:sz w:val="18"/>
              </w:rPr>
              <w:t>Probability</w:t>
            </w:r>
            <w:r>
              <w:rPr>
                <w:spacing w:val="-6"/>
                <w:sz w:val="18"/>
              </w:rPr>
              <w:t xml:space="preserve"> </w:t>
            </w:r>
            <w:r>
              <w:rPr>
                <w:sz w:val="18"/>
              </w:rPr>
              <w:t>of</w:t>
            </w:r>
            <w:r>
              <w:rPr>
                <w:spacing w:val="-3"/>
                <w:sz w:val="18"/>
              </w:rPr>
              <w:t xml:space="preserve"> </w:t>
            </w:r>
            <w:r>
              <w:rPr>
                <w:sz w:val="18"/>
              </w:rPr>
              <w:t>superiority</w:t>
            </w:r>
            <w:r>
              <w:rPr>
                <w:spacing w:val="-5"/>
                <w:sz w:val="18"/>
              </w:rPr>
              <w:t xml:space="preserve"> </w:t>
            </w:r>
            <w:r>
              <w:rPr>
                <w:sz w:val="18"/>
              </w:rPr>
              <w:t>to</w:t>
            </w:r>
            <w:r>
              <w:rPr>
                <w:spacing w:val="-4"/>
                <w:sz w:val="18"/>
              </w:rPr>
              <w:t xml:space="preserve"> </w:t>
            </w:r>
            <w:r>
              <w:rPr>
                <w:sz w:val="18"/>
              </w:rPr>
              <w:t>control,</w:t>
            </w:r>
            <w:r>
              <w:rPr>
                <w:spacing w:val="-3"/>
                <w:sz w:val="18"/>
              </w:rPr>
              <w:t xml:space="preserve"> </w:t>
            </w:r>
            <w:r>
              <w:rPr>
                <w:sz w:val="18"/>
              </w:rPr>
              <w:t>%</w:t>
            </w:r>
          </w:p>
        </w:tc>
        <w:tc>
          <w:tcPr>
            <w:tcW w:w="696" w:type="pct"/>
            <w:tcBorders>
              <w:left w:val="nil"/>
              <w:right w:val="nil"/>
            </w:tcBorders>
            <w:shd w:val="clear" w:color="auto" w:fill="ECECEC"/>
            <w:vAlign w:val="center"/>
          </w:tcPr>
          <w:p w14:paraId="1D21E6E2" w14:textId="6A0C36C8" w:rsidR="008C5735" w:rsidRDefault="008C5735" w:rsidP="00D336E1">
            <w:pPr>
              <w:pStyle w:val="TableParagraph"/>
              <w:spacing w:before="28" w:line="240" w:lineRule="auto"/>
              <w:ind w:left="141"/>
              <w:rPr>
                <w:sz w:val="18"/>
              </w:rPr>
            </w:pPr>
            <w:r>
              <w:rPr>
                <w:sz w:val="18"/>
              </w:rPr>
              <w:t>99.8</w:t>
            </w:r>
          </w:p>
        </w:tc>
        <w:tc>
          <w:tcPr>
            <w:tcW w:w="759" w:type="pct"/>
            <w:gridSpan w:val="2"/>
            <w:tcBorders>
              <w:left w:val="nil"/>
              <w:right w:val="nil"/>
            </w:tcBorders>
            <w:shd w:val="clear" w:color="auto" w:fill="ECECEC"/>
            <w:vAlign w:val="center"/>
          </w:tcPr>
          <w:p w14:paraId="38A33AB4" w14:textId="3884A7E4" w:rsidR="008C5735" w:rsidRDefault="008C5735" w:rsidP="00D336E1">
            <w:pPr>
              <w:pStyle w:val="TableParagraph"/>
              <w:spacing w:before="28" w:line="240" w:lineRule="auto"/>
              <w:ind w:left="183"/>
              <w:rPr>
                <w:sz w:val="18"/>
              </w:rPr>
            </w:pPr>
            <w:r>
              <w:rPr>
                <w:sz w:val="18"/>
              </w:rPr>
              <w:t>99.9</w:t>
            </w:r>
          </w:p>
        </w:tc>
        <w:tc>
          <w:tcPr>
            <w:tcW w:w="695" w:type="pct"/>
            <w:tcBorders>
              <w:left w:val="nil"/>
              <w:right w:val="nil"/>
            </w:tcBorders>
            <w:shd w:val="clear" w:color="auto" w:fill="ECECEC"/>
            <w:vAlign w:val="center"/>
          </w:tcPr>
          <w:p w14:paraId="690FD39F" w14:textId="014B0522" w:rsidR="008C5735" w:rsidRDefault="008C5735" w:rsidP="00D336E1">
            <w:pPr>
              <w:pStyle w:val="TableParagraph"/>
              <w:spacing w:before="28" w:line="240" w:lineRule="auto"/>
              <w:ind w:left="194"/>
              <w:rPr>
                <w:sz w:val="18"/>
              </w:rPr>
            </w:pPr>
            <w:r>
              <w:rPr>
                <w:sz w:val="18"/>
              </w:rPr>
              <w:t>66.6</w:t>
            </w:r>
          </w:p>
        </w:tc>
        <w:tc>
          <w:tcPr>
            <w:tcW w:w="695" w:type="pct"/>
            <w:tcBorders>
              <w:left w:val="nil"/>
            </w:tcBorders>
            <w:shd w:val="clear" w:color="auto" w:fill="ECECEC"/>
            <w:vAlign w:val="center"/>
          </w:tcPr>
          <w:p w14:paraId="1F365880" w14:textId="0C40DFA5" w:rsidR="008C5735" w:rsidRDefault="008C5735" w:rsidP="00D336E1">
            <w:pPr>
              <w:pStyle w:val="TableParagraph"/>
              <w:spacing w:before="28" w:line="240" w:lineRule="auto"/>
              <w:ind w:left="194"/>
              <w:rPr>
                <w:sz w:val="18"/>
              </w:rPr>
            </w:pPr>
            <w:r>
              <w:rPr>
                <w:sz w:val="18"/>
              </w:rPr>
              <w:t>49.3</w:t>
            </w:r>
          </w:p>
        </w:tc>
        <w:tc>
          <w:tcPr>
            <w:tcW w:w="695" w:type="pct"/>
            <w:tcBorders>
              <w:left w:val="nil"/>
            </w:tcBorders>
            <w:shd w:val="clear" w:color="auto" w:fill="ECECEC"/>
            <w:vAlign w:val="center"/>
          </w:tcPr>
          <w:p w14:paraId="02EDE2E5" w14:textId="77777777" w:rsidR="008C5735" w:rsidRDefault="008C5735" w:rsidP="00D336E1">
            <w:pPr>
              <w:pStyle w:val="TableParagraph"/>
              <w:spacing w:before="28" w:line="240" w:lineRule="auto"/>
              <w:ind w:left="194"/>
              <w:rPr>
                <w:sz w:val="18"/>
              </w:rPr>
            </w:pPr>
            <w:r>
              <w:rPr>
                <w:sz w:val="18"/>
              </w:rPr>
              <w:t>-</w:t>
            </w:r>
          </w:p>
        </w:tc>
      </w:tr>
      <w:tr w:rsidR="0058643B" w14:paraId="4AEBE61D" w14:textId="77777777" w:rsidTr="00BB21F9">
        <w:trPr>
          <w:trHeight w:val="497"/>
        </w:trPr>
        <w:tc>
          <w:tcPr>
            <w:tcW w:w="1460" w:type="pct"/>
            <w:tcBorders>
              <w:bottom w:val="dashSmallGap" w:sz="6" w:space="0" w:color="D8D8D8"/>
              <w:right w:val="nil"/>
            </w:tcBorders>
            <w:shd w:val="clear" w:color="auto" w:fill="ECECEC"/>
            <w:vAlign w:val="center"/>
          </w:tcPr>
          <w:p w14:paraId="02C37D29" w14:textId="77777777" w:rsidR="008C5735" w:rsidRDefault="008C5735" w:rsidP="00D336E1">
            <w:pPr>
              <w:pStyle w:val="TableParagraph"/>
              <w:spacing w:before="28" w:line="240" w:lineRule="auto"/>
              <w:ind w:left="110"/>
              <w:jc w:val="left"/>
              <w:rPr>
                <w:sz w:val="18"/>
              </w:rPr>
            </w:pPr>
            <w:r>
              <w:rPr>
                <w:sz w:val="18"/>
              </w:rPr>
              <w:t>Days</w:t>
            </w:r>
            <w:r>
              <w:rPr>
                <w:spacing w:val="-7"/>
                <w:sz w:val="18"/>
              </w:rPr>
              <w:t xml:space="preserve"> </w:t>
            </w:r>
            <w:r>
              <w:rPr>
                <w:sz w:val="18"/>
              </w:rPr>
              <w:t>free</w:t>
            </w:r>
            <w:r>
              <w:rPr>
                <w:spacing w:val="-5"/>
                <w:sz w:val="18"/>
              </w:rPr>
              <w:t xml:space="preserve"> </w:t>
            </w:r>
            <w:r>
              <w:rPr>
                <w:sz w:val="18"/>
              </w:rPr>
              <w:t>from</w:t>
            </w:r>
            <w:r>
              <w:rPr>
                <w:spacing w:val="-5"/>
                <w:sz w:val="18"/>
              </w:rPr>
              <w:t xml:space="preserve"> </w:t>
            </w:r>
            <w:r>
              <w:rPr>
                <w:sz w:val="18"/>
              </w:rPr>
              <w:t>cardiovascular</w:t>
            </w:r>
            <w:r>
              <w:rPr>
                <w:spacing w:val="-3"/>
                <w:sz w:val="18"/>
              </w:rPr>
              <w:t xml:space="preserve"> </w:t>
            </w:r>
            <w:r>
              <w:rPr>
                <w:sz w:val="18"/>
              </w:rPr>
              <w:t>support</w:t>
            </w:r>
            <w:r>
              <w:rPr>
                <w:spacing w:val="-3"/>
                <w:sz w:val="18"/>
              </w:rPr>
              <w:t xml:space="preserve"> </w:t>
            </w:r>
            <w:r>
              <w:rPr>
                <w:sz w:val="18"/>
              </w:rPr>
              <w:t>in</w:t>
            </w:r>
            <w:r>
              <w:rPr>
                <w:spacing w:val="-5"/>
                <w:sz w:val="18"/>
              </w:rPr>
              <w:t xml:space="preserve"> </w:t>
            </w:r>
            <w:r>
              <w:rPr>
                <w:sz w:val="18"/>
              </w:rPr>
              <w:t>survivors,</w:t>
            </w:r>
            <w:r>
              <w:rPr>
                <w:spacing w:val="-38"/>
                <w:sz w:val="18"/>
              </w:rPr>
              <w:t xml:space="preserve"> </w:t>
            </w:r>
            <w:r>
              <w:rPr>
                <w:sz w:val="18"/>
              </w:rPr>
              <w:t>median</w:t>
            </w:r>
            <w:r>
              <w:rPr>
                <w:spacing w:val="-2"/>
                <w:sz w:val="18"/>
              </w:rPr>
              <w:t xml:space="preserve"> </w:t>
            </w:r>
            <w:r>
              <w:rPr>
                <w:sz w:val="18"/>
              </w:rPr>
              <w:t>(IQR)</w:t>
            </w:r>
          </w:p>
        </w:tc>
        <w:tc>
          <w:tcPr>
            <w:tcW w:w="696" w:type="pct"/>
            <w:tcBorders>
              <w:left w:val="nil"/>
              <w:bottom w:val="dashSmallGap" w:sz="6" w:space="0" w:color="D8D8D8"/>
              <w:right w:val="nil"/>
            </w:tcBorders>
            <w:shd w:val="clear" w:color="auto" w:fill="ECECEC"/>
            <w:vAlign w:val="center"/>
          </w:tcPr>
          <w:p w14:paraId="20A52CB1" w14:textId="77777777" w:rsidR="008C5735" w:rsidRPr="004465FD" w:rsidRDefault="008C5735" w:rsidP="00D336E1">
            <w:pPr>
              <w:pStyle w:val="TableParagraph"/>
              <w:spacing w:before="4" w:line="240" w:lineRule="auto"/>
              <w:rPr>
                <w:sz w:val="18"/>
                <w:szCs w:val="18"/>
              </w:rPr>
            </w:pPr>
          </w:p>
          <w:p w14:paraId="7BB04EE0" w14:textId="7451C769" w:rsidR="008C5735" w:rsidRPr="004465FD" w:rsidRDefault="008C5735" w:rsidP="00D336E1">
            <w:pPr>
              <w:pStyle w:val="TableParagraph"/>
              <w:spacing w:line="240" w:lineRule="auto"/>
              <w:ind w:left="141"/>
              <w:rPr>
                <w:sz w:val="18"/>
                <w:szCs w:val="18"/>
              </w:rPr>
            </w:pPr>
            <w:r w:rsidRPr="004465FD">
              <w:rPr>
                <w:sz w:val="18"/>
                <w:szCs w:val="18"/>
              </w:rPr>
              <w:t>21 (16,21)</w:t>
            </w:r>
          </w:p>
        </w:tc>
        <w:tc>
          <w:tcPr>
            <w:tcW w:w="759" w:type="pct"/>
            <w:gridSpan w:val="2"/>
            <w:tcBorders>
              <w:left w:val="nil"/>
              <w:bottom w:val="dashSmallGap" w:sz="6" w:space="0" w:color="D8D8D8"/>
              <w:right w:val="nil"/>
            </w:tcBorders>
            <w:shd w:val="clear" w:color="auto" w:fill="ECECEC"/>
            <w:vAlign w:val="center"/>
          </w:tcPr>
          <w:p w14:paraId="35CEF0A5" w14:textId="77777777" w:rsidR="008C5735" w:rsidRPr="004465FD" w:rsidRDefault="008C5735" w:rsidP="00D336E1">
            <w:pPr>
              <w:pStyle w:val="TableParagraph"/>
              <w:spacing w:before="4" w:line="240" w:lineRule="auto"/>
              <w:rPr>
                <w:sz w:val="18"/>
                <w:szCs w:val="18"/>
              </w:rPr>
            </w:pPr>
          </w:p>
          <w:p w14:paraId="5EF2BACA" w14:textId="2A0A64D3" w:rsidR="008C5735" w:rsidRPr="004465FD" w:rsidRDefault="008C5735" w:rsidP="00D336E1">
            <w:pPr>
              <w:pStyle w:val="TableParagraph"/>
              <w:spacing w:line="240" w:lineRule="auto"/>
              <w:ind w:left="183"/>
              <w:rPr>
                <w:sz w:val="18"/>
                <w:szCs w:val="18"/>
              </w:rPr>
            </w:pPr>
            <w:r w:rsidRPr="004465FD">
              <w:rPr>
                <w:sz w:val="18"/>
                <w:szCs w:val="18"/>
              </w:rPr>
              <w:t>21 (18,21)</w:t>
            </w:r>
          </w:p>
        </w:tc>
        <w:tc>
          <w:tcPr>
            <w:tcW w:w="695" w:type="pct"/>
            <w:tcBorders>
              <w:left w:val="nil"/>
              <w:bottom w:val="dashSmallGap" w:sz="6" w:space="0" w:color="D8D8D8"/>
              <w:right w:val="nil"/>
            </w:tcBorders>
            <w:shd w:val="clear" w:color="auto" w:fill="ECECEC"/>
            <w:vAlign w:val="center"/>
          </w:tcPr>
          <w:p w14:paraId="20F4B0D9" w14:textId="77777777" w:rsidR="008C5735" w:rsidRPr="004465FD" w:rsidRDefault="008C5735" w:rsidP="00D336E1">
            <w:pPr>
              <w:pStyle w:val="TableParagraph"/>
              <w:spacing w:before="4" w:line="240" w:lineRule="auto"/>
              <w:rPr>
                <w:sz w:val="18"/>
                <w:szCs w:val="18"/>
              </w:rPr>
            </w:pPr>
          </w:p>
          <w:p w14:paraId="66314A06" w14:textId="5D967B8D" w:rsidR="008C5735" w:rsidRPr="004465FD" w:rsidRDefault="008C5735" w:rsidP="00D336E1">
            <w:pPr>
              <w:pStyle w:val="TableParagraph"/>
              <w:spacing w:before="4" w:line="240" w:lineRule="auto"/>
              <w:rPr>
                <w:sz w:val="18"/>
                <w:szCs w:val="18"/>
              </w:rPr>
            </w:pPr>
            <w:r w:rsidRPr="004465FD">
              <w:rPr>
                <w:sz w:val="18"/>
                <w:szCs w:val="18"/>
              </w:rPr>
              <w:t>21 (15,21)</w:t>
            </w:r>
          </w:p>
        </w:tc>
        <w:tc>
          <w:tcPr>
            <w:tcW w:w="695" w:type="pct"/>
            <w:tcBorders>
              <w:left w:val="nil"/>
              <w:bottom w:val="dashSmallGap" w:sz="6" w:space="0" w:color="D8D8D8"/>
            </w:tcBorders>
            <w:shd w:val="clear" w:color="auto" w:fill="ECECEC"/>
            <w:vAlign w:val="center"/>
          </w:tcPr>
          <w:p w14:paraId="0BF1B62E" w14:textId="77777777" w:rsidR="008C5735" w:rsidRPr="004465FD" w:rsidRDefault="008C5735" w:rsidP="00D336E1">
            <w:pPr>
              <w:pStyle w:val="TableParagraph"/>
              <w:spacing w:before="4" w:line="240" w:lineRule="auto"/>
              <w:rPr>
                <w:sz w:val="18"/>
                <w:szCs w:val="18"/>
              </w:rPr>
            </w:pPr>
          </w:p>
          <w:p w14:paraId="52E6A8B3" w14:textId="710EAE41" w:rsidR="008C5735" w:rsidRPr="004465FD" w:rsidRDefault="008C5735" w:rsidP="00D336E1">
            <w:pPr>
              <w:pStyle w:val="TableParagraph"/>
              <w:spacing w:before="4" w:line="240" w:lineRule="auto"/>
              <w:rPr>
                <w:sz w:val="18"/>
                <w:szCs w:val="18"/>
              </w:rPr>
            </w:pPr>
            <w:r w:rsidRPr="004465FD">
              <w:rPr>
                <w:sz w:val="18"/>
                <w:szCs w:val="18"/>
              </w:rPr>
              <w:t>16.5 (7.75,21)</w:t>
            </w:r>
          </w:p>
        </w:tc>
        <w:tc>
          <w:tcPr>
            <w:tcW w:w="695" w:type="pct"/>
            <w:tcBorders>
              <w:left w:val="nil"/>
              <w:bottom w:val="dashSmallGap" w:sz="6" w:space="0" w:color="D8D8D8"/>
            </w:tcBorders>
            <w:shd w:val="clear" w:color="auto" w:fill="ECECEC"/>
            <w:vAlign w:val="center"/>
          </w:tcPr>
          <w:p w14:paraId="75E2B863" w14:textId="77777777" w:rsidR="008C5735" w:rsidRPr="004465FD" w:rsidRDefault="008C5735" w:rsidP="00D336E1">
            <w:pPr>
              <w:pStyle w:val="TableParagraph"/>
              <w:spacing w:before="4" w:line="240" w:lineRule="auto"/>
              <w:rPr>
                <w:sz w:val="18"/>
                <w:szCs w:val="18"/>
              </w:rPr>
            </w:pPr>
          </w:p>
          <w:p w14:paraId="15C8943F" w14:textId="5B3FF23E" w:rsidR="008C5735" w:rsidRPr="004465FD" w:rsidRDefault="008C5735" w:rsidP="00D336E1">
            <w:pPr>
              <w:pStyle w:val="TableParagraph"/>
              <w:spacing w:line="240" w:lineRule="auto"/>
              <w:ind w:left="194"/>
              <w:rPr>
                <w:sz w:val="18"/>
                <w:szCs w:val="18"/>
              </w:rPr>
            </w:pPr>
            <w:r w:rsidRPr="004465FD">
              <w:rPr>
                <w:sz w:val="18"/>
                <w:szCs w:val="18"/>
              </w:rPr>
              <w:t>21 (17,21)</w:t>
            </w:r>
          </w:p>
        </w:tc>
      </w:tr>
      <w:tr w:rsidR="00D336E1" w14:paraId="18070756" w14:textId="77777777" w:rsidTr="00BB21F9">
        <w:trPr>
          <w:trHeight w:val="275"/>
        </w:trPr>
        <w:tc>
          <w:tcPr>
            <w:tcW w:w="2345" w:type="pct"/>
            <w:gridSpan w:val="3"/>
            <w:tcBorders>
              <w:top w:val="dashSmallGap" w:sz="6" w:space="0" w:color="D8D8D8"/>
              <w:bottom w:val="dashSmallGap" w:sz="6" w:space="0" w:color="D8D8D8"/>
            </w:tcBorders>
            <w:shd w:val="clear" w:color="auto" w:fill="ECECEC"/>
            <w:vAlign w:val="center"/>
          </w:tcPr>
          <w:p w14:paraId="04E509FF" w14:textId="77777777" w:rsidR="00D336E1" w:rsidRDefault="00D336E1" w:rsidP="00CC768E">
            <w:pPr>
              <w:pStyle w:val="TableParagraph"/>
              <w:spacing w:before="26" w:line="240" w:lineRule="auto"/>
              <w:jc w:val="left"/>
              <w:rPr>
                <w:b/>
                <w:sz w:val="18"/>
              </w:rPr>
            </w:pPr>
            <w:r>
              <w:rPr>
                <w:b/>
                <w:sz w:val="18"/>
              </w:rPr>
              <w:t>Time</w:t>
            </w:r>
            <w:r>
              <w:rPr>
                <w:b/>
                <w:spacing w:val="-5"/>
                <w:sz w:val="18"/>
              </w:rPr>
              <w:t xml:space="preserve"> </w:t>
            </w:r>
            <w:r>
              <w:rPr>
                <w:b/>
                <w:sz w:val="18"/>
              </w:rPr>
              <w:t>to</w:t>
            </w:r>
            <w:r>
              <w:rPr>
                <w:b/>
                <w:spacing w:val="-5"/>
                <w:sz w:val="18"/>
              </w:rPr>
              <w:t xml:space="preserve"> </w:t>
            </w:r>
            <w:r>
              <w:rPr>
                <w:b/>
                <w:sz w:val="18"/>
              </w:rPr>
              <w:t>ICU</w:t>
            </w:r>
            <w:r>
              <w:rPr>
                <w:b/>
                <w:spacing w:val="-1"/>
                <w:sz w:val="18"/>
              </w:rPr>
              <w:t xml:space="preserve"> </w:t>
            </w:r>
            <w:r>
              <w:rPr>
                <w:b/>
                <w:sz w:val="18"/>
              </w:rPr>
              <w:t>discharge</w:t>
            </w:r>
          </w:p>
        </w:tc>
        <w:tc>
          <w:tcPr>
            <w:tcW w:w="2655" w:type="pct"/>
            <w:gridSpan w:val="4"/>
            <w:tcBorders>
              <w:top w:val="dashSmallGap" w:sz="6" w:space="0" w:color="D8D8D8"/>
              <w:bottom w:val="dashSmallGap" w:sz="6" w:space="0" w:color="D8D8D8"/>
            </w:tcBorders>
            <w:shd w:val="clear" w:color="auto" w:fill="ECECEC"/>
            <w:vAlign w:val="center"/>
          </w:tcPr>
          <w:p w14:paraId="15BD3E2D" w14:textId="67A375A4" w:rsidR="00D336E1" w:rsidRDefault="00D336E1" w:rsidP="00D336E1">
            <w:pPr>
              <w:pStyle w:val="TableParagraph"/>
              <w:spacing w:before="26" w:line="240" w:lineRule="auto"/>
              <w:ind w:left="110"/>
              <w:rPr>
                <w:b/>
                <w:sz w:val="18"/>
              </w:rPr>
            </w:pPr>
          </w:p>
        </w:tc>
      </w:tr>
      <w:tr w:rsidR="0058643B" w14:paraId="5F2971CC" w14:textId="77777777" w:rsidTr="00BB21F9">
        <w:trPr>
          <w:trHeight w:val="277"/>
        </w:trPr>
        <w:tc>
          <w:tcPr>
            <w:tcW w:w="1460" w:type="pct"/>
            <w:tcBorders>
              <w:top w:val="dashSmallGap" w:sz="6" w:space="0" w:color="D8D8D8"/>
              <w:right w:val="nil"/>
            </w:tcBorders>
            <w:shd w:val="clear" w:color="auto" w:fill="ECECEC"/>
            <w:vAlign w:val="center"/>
          </w:tcPr>
          <w:p w14:paraId="60B1308D" w14:textId="77777777" w:rsidR="008C5735" w:rsidRDefault="008C5735" w:rsidP="00D336E1">
            <w:pPr>
              <w:pStyle w:val="TableParagraph"/>
              <w:spacing w:before="26" w:line="240" w:lineRule="auto"/>
              <w:ind w:left="270"/>
              <w:jc w:val="left"/>
              <w:rPr>
                <w:sz w:val="18"/>
              </w:rPr>
            </w:pPr>
            <w:r>
              <w:rPr>
                <w:sz w:val="18"/>
              </w:rPr>
              <w:t>Adjusted</w:t>
            </w:r>
            <w:r>
              <w:rPr>
                <w:spacing w:val="-3"/>
                <w:sz w:val="18"/>
              </w:rPr>
              <w:t xml:space="preserve"> </w:t>
            </w:r>
            <w:r>
              <w:rPr>
                <w:sz w:val="18"/>
              </w:rPr>
              <w:t>HR</w:t>
            </w:r>
            <w:r>
              <w:rPr>
                <w:spacing w:val="1"/>
                <w:sz w:val="18"/>
              </w:rPr>
              <w:t xml:space="preserve"> </w:t>
            </w:r>
            <w:r>
              <w:rPr>
                <w:sz w:val="18"/>
              </w:rPr>
              <w:t>-</w:t>
            </w:r>
            <w:r>
              <w:rPr>
                <w:spacing w:val="-2"/>
                <w:sz w:val="18"/>
              </w:rPr>
              <w:t xml:space="preserve"> </w:t>
            </w:r>
            <w:r>
              <w:rPr>
                <w:sz w:val="18"/>
              </w:rPr>
              <w:t>mean</w:t>
            </w:r>
            <w:r>
              <w:rPr>
                <w:spacing w:val="-2"/>
                <w:sz w:val="18"/>
              </w:rPr>
              <w:t xml:space="preserve"> </w:t>
            </w:r>
            <w:r>
              <w:rPr>
                <w:sz w:val="18"/>
              </w:rPr>
              <w:t>(SD)</w:t>
            </w:r>
          </w:p>
        </w:tc>
        <w:tc>
          <w:tcPr>
            <w:tcW w:w="696" w:type="pct"/>
            <w:tcBorders>
              <w:top w:val="dashSmallGap" w:sz="6" w:space="0" w:color="D8D8D8"/>
              <w:left w:val="nil"/>
              <w:right w:val="nil"/>
            </w:tcBorders>
            <w:shd w:val="clear" w:color="auto" w:fill="ECECEC"/>
            <w:vAlign w:val="center"/>
          </w:tcPr>
          <w:p w14:paraId="08A087EA" w14:textId="243A5903" w:rsidR="008C5735" w:rsidRDefault="008C5735" w:rsidP="00D336E1">
            <w:pPr>
              <w:pStyle w:val="TableParagraph"/>
              <w:spacing w:before="26" w:line="240" w:lineRule="auto"/>
              <w:ind w:left="141"/>
              <w:rPr>
                <w:sz w:val="18"/>
              </w:rPr>
            </w:pPr>
            <w:r>
              <w:rPr>
                <w:sz w:val="18"/>
              </w:rPr>
              <w:t>1.30 (0.11)</w:t>
            </w:r>
          </w:p>
        </w:tc>
        <w:tc>
          <w:tcPr>
            <w:tcW w:w="759" w:type="pct"/>
            <w:gridSpan w:val="2"/>
            <w:tcBorders>
              <w:top w:val="dashSmallGap" w:sz="6" w:space="0" w:color="D8D8D8"/>
              <w:left w:val="nil"/>
              <w:right w:val="nil"/>
            </w:tcBorders>
            <w:shd w:val="clear" w:color="auto" w:fill="ECECEC"/>
            <w:vAlign w:val="center"/>
          </w:tcPr>
          <w:p w14:paraId="118AC4B2" w14:textId="6D758634" w:rsidR="008C5735" w:rsidRDefault="008C5735" w:rsidP="00D336E1">
            <w:pPr>
              <w:pStyle w:val="TableParagraph"/>
              <w:spacing w:before="26" w:line="240" w:lineRule="auto"/>
              <w:ind w:left="183"/>
              <w:rPr>
                <w:sz w:val="18"/>
              </w:rPr>
            </w:pPr>
            <w:r>
              <w:rPr>
                <w:sz w:val="18"/>
              </w:rPr>
              <w:t>1.42 (0.14)</w:t>
            </w:r>
          </w:p>
        </w:tc>
        <w:tc>
          <w:tcPr>
            <w:tcW w:w="695" w:type="pct"/>
            <w:tcBorders>
              <w:top w:val="dashSmallGap" w:sz="6" w:space="0" w:color="D8D8D8"/>
              <w:left w:val="nil"/>
              <w:right w:val="nil"/>
            </w:tcBorders>
            <w:shd w:val="clear" w:color="auto" w:fill="ECECEC"/>
            <w:vAlign w:val="center"/>
          </w:tcPr>
          <w:p w14:paraId="13A8AC58" w14:textId="50AA68FC" w:rsidR="008C5735" w:rsidRDefault="008C5735" w:rsidP="00D336E1">
            <w:pPr>
              <w:pStyle w:val="TableParagraph"/>
              <w:spacing w:before="26" w:line="240" w:lineRule="auto"/>
              <w:ind w:left="194"/>
              <w:rPr>
                <w:sz w:val="18"/>
              </w:rPr>
            </w:pPr>
            <w:r>
              <w:rPr>
                <w:sz w:val="18"/>
              </w:rPr>
              <w:t>1.10 (0.12)</w:t>
            </w:r>
          </w:p>
        </w:tc>
        <w:tc>
          <w:tcPr>
            <w:tcW w:w="695" w:type="pct"/>
            <w:tcBorders>
              <w:top w:val="dashSmallGap" w:sz="6" w:space="0" w:color="D8D8D8"/>
              <w:left w:val="nil"/>
            </w:tcBorders>
            <w:shd w:val="clear" w:color="auto" w:fill="ECECEC"/>
            <w:vAlign w:val="center"/>
          </w:tcPr>
          <w:p w14:paraId="48E870FA" w14:textId="348A5B32" w:rsidR="008C5735" w:rsidRDefault="008C5735" w:rsidP="00D336E1">
            <w:pPr>
              <w:pStyle w:val="TableParagraph"/>
              <w:spacing w:before="26" w:line="240" w:lineRule="auto"/>
              <w:ind w:left="194"/>
              <w:rPr>
                <w:sz w:val="18"/>
              </w:rPr>
            </w:pPr>
            <w:r>
              <w:rPr>
                <w:sz w:val="18"/>
              </w:rPr>
              <w:t>1.21 (0.33)</w:t>
            </w:r>
          </w:p>
        </w:tc>
        <w:tc>
          <w:tcPr>
            <w:tcW w:w="695" w:type="pct"/>
            <w:tcBorders>
              <w:top w:val="dashSmallGap" w:sz="6" w:space="0" w:color="D8D8D8"/>
              <w:left w:val="nil"/>
            </w:tcBorders>
            <w:shd w:val="clear" w:color="auto" w:fill="ECECEC"/>
            <w:vAlign w:val="center"/>
          </w:tcPr>
          <w:p w14:paraId="18430BD4" w14:textId="77777777" w:rsidR="008C5735" w:rsidRDefault="008C5735" w:rsidP="00D336E1">
            <w:pPr>
              <w:pStyle w:val="TableParagraph"/>
              <w:spacing w:before="26" w:line="240" w:lineRule="auto"/>
              <w:ind w:left="194"/>
              <w:rPr>
                <w:sz w:val="18"/>
              </w:rPr>
            </w:pPr>
            <w:r>
              <w:rPr>
                <w:sz w:val="18"/>
              </w:rPr>
              <w:t>1</w:t>
            </w:r>
          </w:p>
        </w:tc>
      </w:tr>
      <w:tr w:rsidR="0058643B" w14:paraId="1A48C2BD" w14:textId="77777777" w:rsidTr="00BB21F9">
        <w:trPr>
          <w:trHeight w:val="280"/>
        </w:trPr>
        <w:tc>
          <w:tcPr>
            <w:tcW w:w="1460" w:type="pct"/>
            <w:tcBorders>
              <w:right w:val="nil"/>
            </w:tcBorders>
            <w:shd w:val="clear" w:color="auto" w:fill="ECECEC"/>
            <w:vAlign w:val="center"/>
          </w:tcPr>
          <w:p w14:paraId="53FF7846" w14:textId="77777777" w:rsidR="008C5735" w:rsidRDefault="008C5735" w:rsidP="00D336E1">
            <w:pPr>
              <w:pStyle w:val="TableParagraph"/>
              <w:spacing w:before="28" w:line="240" w:lineRule="auto"/>
              <w:ind w:left="1215"/>
              <w:jc w:val="left"/>
              <w:rPr>
                <w:sz w:val="18"/>
              </w:rPr>
            </w:pPr>
            <w:r>
              <w:rPr>
                <w:sz w:val="18"/>
              </w:rPr>
              <w:t>-</w:t>
            </w:r>
            <w:r>
              <w:rPr>
                <w:spacing w:val="-3"/>
                <w:sz w:val="18"/>
              </w:rPr>
              <w:t xml:space="preserve"> </w:t>
            </w:r>
            <w:r>
              <w:rPr>
                <w:sz w:val="18"/>
              </w:rPr>
              <w:t>median</w:t>
            </w:r>
            <w:r>
              <w:rPr>
                <w:spacing w:val="-2"/>
                <w:sz w:val="18"/>
              </w:rPr>
              <w:t xml:space="preserve"> </w:t>
            </w:r>
            <w:r>
              <w:rPr>
                <w:sz w:val="18"/>
              </w:rPr>
              <w:t>(95%</w:t>
            </w:r>
            <w:r>
              <w:rPr>
                <w:spacing w:val="-1"/>
                <w:sz w:val="18"/>
              </w:rPr>
              <w:t xml:space="preserve"> </w:t>
            </w:r>
            <w:r>
              <w:rPr>
                <w:sz w:val="18"/>
              </w:rPr>
              <w:t>CrI)</w:t>
            </w:r>
          </w:p>
        </w:tc>
        <w:tc>
          <w:tcPr>
            <w:tcW w:w="696" w:type="pct"/>
            <w:tcBorders>
              <w:left w:val="nil"/>
              <w:right w:val="nil"/>
            </w:tcBorders>
            <w:shd w:val="clear" w:color="auto" w:fill="ECECEC"/>
            <w:vAlign w:val="center"/>
          </w:tcPr>
          <w:p w14:paraId="0AB5F51E" w14:textId="3AD96A3A" w:rsidR="008C5735" w:rsidRDefault="008C5735" w:rsidP="00D336E1">
            <w:pPr>
              <w:pStyle w:val="TableParagraph"/>
              <w:spacing w:before="28" w:line="240" w:lineRule="auto"/>
              <w:ind w:left="141"/>
              <w:rPr>
                <w:sz w:val="18"/>
              </w:rPr>
            </w:pPr>
            <w:r>
              <w:rPr>
                <w:sz w:val="18"/>
              </w:rPr>
              <w:t>1.29 (1.10 to 1.52)</w:t>
            </w:r>
          </w:p>
        </w:tc>
        <w:tc>
          <w:tcPr>
            <w:tcW w:w="759" w:type="pct"/>
            <w:gridSpan w:val="2"/>
            <w:tcBorders>
              <w:left w:val="nil"/>
              <w:right w:val="nil"/>
            </w:tcBorders>
            <w:shd w:val="clear" w:color="auto" w:fill="ECECEC"/>
            <w:vAlign w:val="center"/>
          </w:tcPr>
          <w:p w14:paraId="018931A8" w14:textId="41CCFD79" w:rsidR="008C5735" w:rsidRDefault="008C5735" w:rsidP="00D336E1">
            <w:pPr>
              <w:pStyle w:val="TableParagraph"/>
              <w:spacing w:before="28" w:line="240" w:lineRule="auto"/>
              <w:ind w:left="183"/>
              <w:rPr>
                <w:sz w:val="18"/>
              </w:rPr>
            </w:pPr>
            <w:r>
              <w:rPr>
                <w:sz w:val="18"/>
              </w:rPr>
              <w:t>1.41 (1.16 to 1.72)</w:t>
            </w:r>
          </w:p>
        </w:tc>
        <w:tc>
          <w:tcPr>
            <w:tcW w:w="695" w:type="pct"/>
            <w:tcBorders>
              <w:left w:val="nil"/>
              <w:right w:val="nil"/>
            </w:tcBorders>
            <w:shd w:val="clear" w:color="auto" w:fill="ECECEC"/>
            <w:vAlign w:val="center"/>
          </w:tcPr>
          <w:p w14:paraId="07429E86" w14:textId="7024F2F4" w:rsidR="008C5735" w:rsidRDefault="008C5735" w:rsidP="00D336E1">
            <w:pPr>
              <w:pStyle w:val="TableParagraph"/>
              <w:spacing w:before="28" w:line="240" w:lineRule="auto"/>
              <w:ind w:left="194"/>
              <w:rPr>
                <w:sz w:val="18"/>
              </w:rPr>
            </w:pPr>
            <w:r>
              <w:rPr>
                <w:sz w:val="18"/>
              </w:rPr>
              <w:t>1.10 (0.89 to 1.36)</w:t>
            </w:r>
          </w:p>
        </w:tc>
        <w:tc>
          <w:tcPr>
            <w:tcW w:w="695" w:type="pct"/>
            <w:tcBorders>
              <w:left w:val="nil"/>
            </w:tcBorders>
            <w:shd w:val="clear" w:color="auto" w:fill="ECECEC"/>
            <w:vAlign w:val="center"/>
          </w:tcPr>
          <w:p w14:paraId="21C83FC4" w14:textId="54897F56" w:rsidR="008C5735" w:rsidRDefault="008C5735" w:rsidP="00D336E1">
            <w:pPr>
              <w:pStyle w:val="TableParagraph"/>
              <w:spacing w:before="28" w:line="240" w:lineRule="auto"/>
              <w:ind w:left="194"/>
              <w:rPr>
                <w:sz w:val="18"/>
              </w:rPr>
            </w:pPr>
            <w:r>
              <w:rPr>
                <w:sz w:val="18"/>
              </w:rPr>
              <w:t>1.17 (0.65 to 1.95)</w:t>
            </w:r>
          </w:p>
        </w:tc>
        <w:tc>
          <w:tcPr>
            <w:tcW w:w="695" w:type="pct"/>
            <w:tcBorders>
              <w:left w:val="nil"/>
            </w:tcBorders>
            <w:shd w:val="clear" w:color="auto" w:fill="ECECEC"/>
            <w:vAlign w:val="center"/>
          </w:tcPr>
          <w:p w14:paraId="1A431351" w14:textId="77777777" w:rsidR="008C5735" w:rsidRDefault="008C5735" w:rsidP="00D336E1">
            <w:pPr>
              <w:pStyle w:val="TableParagraph"/>
              <w:spacing w:before="28" w:line="240" w:lineRule="auto"/>
              <w:ind w:left="194"/>
              <w:rPr>
                <w:sz w:val="18"/>
              </w:rPr>
            </w:pPr>
            <w:r>
              <w:rPr>
                <w:sz w:val="18"/>
              </w:rPr>
              <w:t>1</w:t>
            </w:r>
          </w:p>
        </w:tc>
      </w:tr>
      <w:tr w:rsidR="0058643B" w14:paraId="13C58795" w14:textId="77777777" w:rsidTr="00BB21F9">
        <w:trPr>
          <w:trHeight w:val="275"/>
        </w:trPr>
        <w:tc>
          <w:tcPr>
            <w:tcW w:w="1460" w:type="pct"/>
            <w:tcBorders>
              <w:right w:val="nil"/>
            </w:tcBorders>
            <w:shd w:val="clear" w:color="auto" w:fill="ECECEC"/>
            <w:vAlign w:val="center"/>
          </w:tcPr>
          <w:p w14:paraId="7463803F" w14:textId="77777777" w:rsidR="008C5735" w:rsidRDefault="008C5735" w:rsidP="00D336E1">
            <w:pPr>
              <w:pStyle w:val="TableParagraph"/>
              <w:spacing w:before="28" w:line="240" w:lineRule="auto"/>
              <w:ind w:left="270"/>
              <w:jc w:val="left"/>
              <w:rPr>
                <w:sz w:val="18"/>
              </w:rPr>
            </w:pPr>
            <w:r>
              <w:rPr>
                <w:sz w:val="18"/>
              </w:rPr>
              <w:t>Probability</w:t>
            </w:r>
            <w:r>
              <w:rPr>
                <w:spacing w:val="-6"/>
                <w:sz w:val="18"/>
              </w:rPr>
              <w:t xml:space="preserve"> </w:t>
            </w:r>
            <w:r>
              <w:rPr>
                <w:sz w:val="18"/>
              </w:rPr>
              <w:t>of</w:t>
            </w:r>
            <w:r>
              <w:rPr>
                <w:spacing w:val="-3"/>
                <w:sz w:val="18"/>
              </w:rPr>
              <w:t xml:space="preserve"> </w:t>
            </w:r>
            <w:r>
              <w:rPr>
                <w:sz w:val="18"/>
              </w:rPr>
              <w:t>superiority</w:t>
            </w:r>
            <w:r>
              <w:rPr>
                <w:spacing w:val="-5"/>
                <w:sz w:val="18"/>
              </w:rPr>
              <w:t xml:space="preserve"> </w:t>
            </w:r>
            <w:r>
              <w:rPr>
                <w:sz w:val="18"/>
              </w:rPr>
              <w:t>to</w:t>
            </w:r>
            <w:r>
              <w:rPr>
                <w:spacing w:val="-4"/>
                <w:sz w:val="18"/>
              </w:rPr>
              <w:t xml:space="preserve"> </w:t>
            </w:r>
            <w:r>
              <w:rPr>
                <w:sz w:val="18"/>
              </w:rPr>
              <w:t>control,</w:t>
            </w:r>
            <w:r>
              <w:rPr>
                <w:spacing w:val="-3"/>
                <w:sz w:val="18"/>
              </w:rPr>
              <w:t xml:space="preserve"> </w:t>
            </w:r>
            <w:r>
              <w:rPr>
                <w:sz w:val="18"/>
              </w:rPr>
              <w:t>%</w:t>
            </w:r>
          </w:p>
        </w:tc>
        <w:tc>
          <w:tcPr>
            <w:tcW w:w="696" w:type="pct"/>
            <w:tcBorders>
              <w:left w:val="nil"/>
              <w:right w:val="nil"/>
            </w:tcBorders>
            <w:shd w:val="clear" w:color="auto" w:fill="ECECEC"/>
            <w:vAlign w:val="center"/>
          </w:tcPr>
          <w:p w14:paraId="283BE032" w14:textId="39E6FA75" w:rsidR="008C5735" w:rsidRDefault="008C5735" w:rsidP="00D336E1">
            <w:pPr>
              <w:pStyle w:val="TableParagraph"/>
              <w:spacing w:before="28" w:line="240" w:lineRule="auto"/>
              <w:ind w:left="141"/>
              <w:rPr>
                <w:sz w:val="18"/>
              </w:rPr>
            </w:pPr>
            <w:r>
              <w:rPr>
                <w:sz w:val="18"/>
              </w:rPr>
              <w:t>99.9</w:t>
            </w:r>
          </w:p>
        </w:tc>
        <w:tc>
          <w:tcPr>
            <w:tcW w:w="759" w:type="pct"/>
            <w:gridSpan w:val="2"/>
            <w:tcBorders>
              <w:left w:val="nil"/>
              <w:right w:val="nil"/>
            </w:tcBorders>
            <w:shd w:val="clear" w:color="auto" w:fill="ECECEC"/>
            <w:vAlign w:val="center"/>
          </w:tcPr>
          <w:p w14:paraId="1C149E3B" w14:textId="6D2329C7" w:rsidR="008C5735" w:rsidRDefault="008C5735" w:rsidP="00D336E1">
            <w:pPr>
              <w:pStyle w:val="TableParagraph"/>
              <w:spacing w:before="28" w:line="240" w:lineRule="auto"/>
              <w:ind w:left="183"/>
              <w:rPr>
                <w:sz w:val="18"/>
              </w:rPr>
            </w:pPr>
            <w:r>
              <w:rPr>
                <w:sz w:val="18"/>
              </w:rPr>
              <w:t>&gt;99.9</w:t>
            </w:r>
          </w:p>
        </w:tc>
        <w:tc>
          <w:tcPr>
            <w:tcW w:w="695" w:type="pct"/>
            <w:tcBorders>
              <w:left w:val="nil"/>
              <w:right w:val="nil"/>
            </w:tcBorders>
            <w:shd w:val="clear" w:color="auto" w:fill="ECECEC"/>
            <w:vAlign w:val="center"/>
          </w:tcPr>
          <w:p w14:paraId="5E06FC86" w14:textId="790697DF" w:rsidR="008C5735" w:rsidRDefault="008C5735" w:rsidP="00D336E1">
            <w:pPr>
              <w:pStyle w:val="TableParagraph"/>
              <w:spacing w:before="28" w:line="240" w:lineRule="auto"/>
              <w:ind w:left="194"/>
              <w:rPr>
                <w:sz w:val="18"/>
              </w:rPr>
            </w:pPr>
            <w:r>
              <w:rPr>
                <w:sz w:val="18"/>
              </w:rPr>
              <w:t>80.2</w:t>
            </w:r>
          </w:p>
        </w:tc>
        <w:tc>
          <w:tcPr>
            <w:tcW w:w="695" w:type="pct"/>
            <w:tcBorders>
              <w:left w:val="nil"/>
            </w:tcBorders>
            <w:shd w:val="clear" w:color="auto" w:fill="ECECEC"/>
            <w:vAlign w:val="center"/>
          </w:tcPr>
          <w:p w14:paraId="4D127845" w14:textId="0CFD4B76" w:rsidR="008C5735" w:rsidRDefault="008C5735" w:rsidP="00D336E1">
            <w:pPr>
              <w:pStyle w:val="TableParagraph"/>
              <w:spacing w:before="28" w:line="240" w:lineRule="auto"/>
              <w:ind w:left="194"/>
              <w:rPr>
                <w:sz w:val="18"/>
              </w:rPr>
            </w:pPr>
            <w:r>
              <w:rPr>
                <w:sz w:val="18"/>
              </w:rPr>
              <w:t>71</w:t>
            </w:r>
          </w:p>
        </w:tc>
        <w:tc>
          <w:tcPr>
            <w:tcW w:w="695" w:type="pct"/>
            <w:tcBorders>
              <w:left w:val="nil"/>
            </w:tcBorders>
            <w:shd w:val="clear" w:color="auto" w:fill="ECECEC"/>
            <w:vAlign w:val="center"/>
          </w:tcPr>
          <w:p w14:paraId="589CD5DE" w14:textId="77777777" w:rsidR="008C5735" w:rsidRDefault="008C5735" w:rsidP="00D336E1">
            <w:pPr>
              <w:pStyle w:val="TableParagraph"/>
              <w:spacing w:before="28" w:line="240" w:lineRule="auto"/>
              <w:ind w:left="194"/>
              <w:rPr>
                <w:sz w:val="18"/>
              </w:rPr>
            </w:pPr>
            <w:r>
              <w:rPr>
                <w:sz w:val="18"/>
              </w:rPr>
              <w:t>-</w:t>
            </w:r>
          </w:p>
        </w:tc>
      </w:tr>
      <w:tr w:rsidR="00D336E1" w14:paraId="58DB36F0" w14:textId="77777777" w:rsidTr="00BB21F9">
        <w:trPr>
          <w:trHeight w:val="280"/>
        </w:trPr>
        <w:tc>
          <w:tcPr>
            <w:tcW w:w="2345" w:type="pct"/>
            <w:gridSpan w:val="3"/>
            <w:shd w:val="clear" w:color="auto" w:fill="ECECEC"/>
            <w:vAlign w:val="center"/>
          </w:tcPr>
          <w:p w14:paraId="62169F19" w14:textId="77777777" w:rsidR="00D336E1" w:rsidRDefault="00D336E1" w:rsidP="00CC768E">
            <w:pPr>
              <w:pStyle w:val="TableParagraph"/>
              <w:spacing w:before="28" w:line="240" w:lineRule="auto"/>
              <w:jc w:val="left"/>
              <w:rPr>
                <w:b/>
                <w:sz w:val="18"/>
              </w:rPr>
            </w:pPr>
            <w:r>
              <w:rPr>
                <w:b/>
                <w:sz w:val="18"/>
              </w:rPr>
              <w:t>Time</w:t>
            </w:r>
            <w:r>
              <w:rPr>
                <w:b/>
                <w:spacing w:val="-5"/>
                <w:sz w:val="18"/>
              </w:rPr>
              <w:t xml:space="preserve"> </w:t>
            </w:r>
            <w:r>
              <w:rPr>
                <w:b/>
                <w:sz w:val="18"/>
              </w:rPr>
              <w:t>to</w:t>
            </w:r>
            <w:r>
              <w:rPr>
                <w:b/>
                <w:spacing w:val="-5"/>
                <w:sz w:val="18"/>
              </w:rPr>
              <w:t xml:space="preserve"> </w:t>
            </w:r>
            <w:r>
              <w:rPr>
                <w:b/>
                <w:sz w:val="18"/>
              </w:rPr>
              <w:t>hospital</w:t>
            </w:r>
            <w:r>
              <w:rPr>
                <w:b/>
                <w:spacing w:val="-4"/>
                <w:sz w:val="18"/>
              </w:rPr>
              <w:t xml:space="preserve"> </w:t>
            </w:r>
            <w:r>
              <w:rPr>
                <w:b/>
                <w:sz w:val="18"/>
              </w:rPr>
              <w:t>discharge</w:t>
            </w:r>
          </w:p>
        </w:tc>
        <w:tc>
          <w:tcPr>
            <w:tcW w:w="2655" w:type="pct"/>
            <w:gridSpan w:val="4"/>
            <w:shd w:val="clear" w:color="auto" w:fill="ECECEC"/>
            <w:vAlign w:val="center"/>
          </w:tcPr>
          <w:p w14:paraId="3FFC9B36" w14:textId="1146BEE9" w:rsidR="00D336E1" w:rsidRDefault="00D336E1" w:rsidP="00D336E1">
            <w:pPr>
              <w:pStyle w:val="TableParagraph"/>
              <w:spacing w:before="28" w:line="240" w:lineRule="auto"/>
              <w:ind w:left="110"/>
              <w:rPr>
                <w:b/>
                <w:sz w:val="18"/>
              </w:rPr>
            </w:pPr>
          </w:p>
        </w:tc>
      </w:tr>
      <w:tr w:rsidR="0058643B" w14:paraId="14CB7783" w14:textId="77777777" w:rsidTr="00BB21F9">
        <w:trPr>
          <w:trHeight w:val="280"/>
        </w:trPr>
        <w:tc>
          <w:tcPr>
            <w:tcW w:w="1460" w:type="pct"/>
            <w:tcBorders>
              <w:right w:val="nil"/>
            </w:tcBorders>
            <w:shd w:val="clear" w:color="auto" w:fill="ECECEC"/>
            <w:vAlign w:val="center"/>
          </w:tcPr>
          <w:p w14:paraId="6CD78A99" w14:textId="77777777" w:rsidR="008C5735" w:rsidRDefault="008C5735" w:rsidP="00D336E1">
            <w:pPr>
              <w:pStyle w:val="TableParagraph"/>
              <w:spacing w:before="28" w:line="240" w:lineRule="auto"/>
              <w:ind w:left="270"/>
              <w:jc w:val="left"/>
              <w:rPr>
                <w:sz w:val="18"/>
              </w:rPr>
            </w:pPr>
            <w:r>
              <w:rPr>
                <w:sz w:val="18"/>
              </w:rPr>
              <w:t>Adjusted</w:t>
            </w:r>
            <w:r>
              <w:rPr>
                <w:spacing w:val="-3"/>
                <w:sz w:val="18"/>
              </w:rPr>
              <w:t xml:space="preserve"> </w:t>
            </w:r>
            <w:r>
              <w:rPr>
                <w:sz w:val="18"/>
              </w:rPr>
              <w:t>HR</w:t>
            </w:r>
            <w:r>
              <w:rPr>
                <w:spacing w:val="1"/>
                <w:sz w:val="18"/>
              </w:rPr>
              <w:t xml:space="preserve"> </w:t>
            </w:r>
            <w:r>
              <w:rPr>
                <w:sz w:val="18"/>
              </w:rPr>
              <w:t>-</w:t>
            </w:r>
            <w:r>
              <w:rPr>
                <w:spacing w:val="-2"/>
                <w:sz w:val="18"/>
              </w:rPr>
              <w:t xml:space="preserve"> </w:t>
            </w:r>
            <w:r>
              <w:rPr>
                <w:sz w:val="18"/>
              </w:rPr>
              <w:t>mean</w:t>
            </w:r>
            <w:r>
              <w:rPr>
                <w:spacing w:val="-2"/>
                <w:sz w:val="18"/>
              </w:rPr>
              <w:t xml:space="preserve"> </w:t>
            </w:r>
            <w:r>
              <w:rPr>
                <w:sz w:val="18"/>
              </w:rPr>
              <w:t>(SD)</w:t>
            </w:r>
          </w:p>
        </w:tc>
        <w:tc>
          <w:tcPr>
            <w:tcW w:w="696" w:type="pct"/>
            <w:tcBorders>
              <w:left w:val="nil"/>
              <w:right w:val="nil"/>
            </w:tcBorders>
            <w:shd w:val="clear" w:color="auto" w:fill="ECECEC"/>
            <w:vAlign w:val="center"/>
          </w:tcPr>
          <w:p w14:paraId="23ED01A0" w14:textId="22D41D47" w:rsidR="008C5735" w:rsidRDefault="008C5735" w:rsidP="00D336E1">
            <w:pPr>
              <w:pStyle w:val="TableParagraph"/>
              <w:spacing w:before="28" w:line="240" w:lineRule="auto"/>
              <w:ind w:left="141"/>
              <w:rPr>
                <w:sz w:val="18"/>
              </w:rPr>
            </w:pPr>
            <w:r>
              <w:rPr>
                <w:sz w:val="18"/>
              </w:rPr>
              <w:t>1.31 (0.11)</w:t>
            </w:r>
          </w:p>
        </w:tc>
        <w:tc>
          <w:tcPr>
            <w:tcW w:w="759" w:type="pct"/>
            <w:gridSpan w:val="2"/>
            <w:tcBorders>
              <w:left w:val="nil"/>
              <w:right w:val="nil"/>
            </w:tcBorders>
            <w:shd w:val="clear" w:color="auto" w:fill="ECECEC"/>
            <w:vAlign w:val="center"/>
          </w:tcPr>
          <w:p w14:paraId="56641C48" w14:textId="3E73EAC2" w:rsidR="008C5735" w:rsidRDefault="008C5735" w:rsidP="00D336E1">
            <w:pPr>
              <w:pStyle w:val="TableParagraph"/>
              <w:spacing w:before="28" w:line="240" w:lineRule="auto"/>
              <w:ind w:left="183"/>
              <w:rPr>
                <w:sz w:val="18"/>
              </w:rPr>
            </w:pPr>
            <w:r>
              <w:rPr>
                <w:sz w:val="18"/>
              </w:rPr>
              <w:t>1.31 (0.14)</w:t>
            </w:r>
          </w:p>
        </w:tc>
        <w:tc>
          <w:tcPr>
            <w:tcW w:w="695" w:type="pct"/>
            <w:tcBorders>
              <w:left w:val="nil"/>
              <w:right w:val="nil"/>
            </w:tcBorders>
            <w:shd w:val="clear" w:color="auto" w:fill="ECECEC"/>
            <w:vAlign w:val="center"/>
          </w:tcPr>
          <w:p w14:paraId="599DE918" w14:textId="0001F6A3" w:rsidR="008C5735" w:rsidRDefault="008C5735" w:rsidP="00D336E1">
            <w:pPr>
              <w:pStyle w:val="TableParagraph"/>
              <w:spacing w:before="28" w:line="240" w:lineRule="auto"/>
              <w:ind w:left="194"/>
              <w:rPr>
                <w:sz w:val="18"/>
              </w:rPr>
            </w:pPr>
            <w:r>
              <w:rPr>
                <w:sz w:val="18"/>
              </w:rPr>
              <w:t>1.05 (0.12)</w:t>
            </w:r>
          </w:p>
        </w:tc>
        <w:tc>
          <w:tcPr>
            <w:tcW w:w="695" w:type="pct"/>
            <w:tcBorders>
              <w:left w:val="nil"/>
            </w:tcBorders>
            <w:shd w:val="clear" w:color="auto" w:fill="ECECEC"/>
            <w:vAlign w:val="center"/>
          </w:tcPr>
          <w:p w14:paraId="1A042FFD" w14:textId="665F7CBE" w:rsidR="008C5735" w:rsidRDefault="008C5735" w:rsidP="00D336E1">
            <w:pPr>
              <w:pStyle w:val="TableParagraph"/>
              <w:spacing w:before="28" w:line="240" w:lineRule="auto"/>
              <w:ind w:left="194"/>
              <w:rPr>
                <w:sz w:val="18"/>
              </w:rPr>
            </w:pPr>
            <w:r>
              <w:rPr>
                <w:sz w:val="18"/>
              </w:rPr>
              <w:t>1.18 (0.34</w:t>
            </w:r>
          </w:p>
        </w:tc>
        <w:tc>
          <w:tcPr>
            <w:tcW w:w="695" w:type="pct"/>
            <w:tcBorders>
              <w:left w:val="nil"/>
            </w:tcBorders>
            <w:shd w:val="clear" w:color="auto" w:fill="ECECEC"/>
            <w:vAlign w:val="center"/>
          </w:tcPr>
          <w:p w14:paraId="2DB1B076" w14:textId="77777777" w:rsidR="008C5735" w:rsidRDefault="008C5735" w:rsidP="00D336E1">
            <w:pPr>
              <w:pStyle w:val="TableParagraph"/>
              <w:spacing w:before="28" w:line="240" w:lineRule="auto"/>
              <w:ind w:left="194"/>
              <w:rPr>
                <w:sz w:val="18"/>
              </w:rPr>
            </w:pPr>
            <w:r>
              <w:rPr>
                <w:sz w:val="18"/>
              </w:rPr>
              <w:t>1</w:t>
            </w:r>
          </w:p>
        </w:tc>
      </w:tr>
      <w:tr w:rsidR="0058643B" w14:paraId="6DAF6A3E" w14:textId="77777777" w:rsidTr="00BB21F9">
        <w:trPr>
          <w:trHeight w:val="280"/>
        </w:trPr>
        <w:tc>
          <w:tcPr>
            <w:tcW w:w="1460" w:type="pct"/>
            <w:tcBorders>
              <w:right w:val="nil"/>
            </w:tcBorders>
            <w:shd w:val="clear" w:color="auto" w:fill="ECECEC"/>
            <w:vAlign w:val="center"/>
          </w:tcPr>
          <w:p w14:paraId="5CB48B7E" w14:textId="77777777" w:rsidR="008C5735" w:rsidRDefault="008C5735" w:rsidP="00D336E1">
            <w:pPr>
              <w:pStyle w:val="TableParagraph"/>
              <w:spacing w:before="28" w:line="240" w:lineRule="auto"/>
              <w:ind w:left="1215"/>
              <w:jc w:val="left"/>
              <w:rPr>
                <w:sz w:val="18"/>
              </w:rPr>
            </w:pPr>
            <w:r>
              <w:rPr>
                <w:sz w:val="18"/>
              </w:rPr>
              <w:t>-</w:t>
            </w:r>
            <w:r>
              <w:rPr>
                <w:spacing w:val="-3"/>
                <w:sz w:val="18"/>
              </w:rPr>
              <w:t xml:space="preserve"> </w:t>
            </w:r>
            <w:r>
              <w:rPr>
                <w:sz w:val="18"/>
              </w:rPr>
              <w:t>median</w:t>
            </w:r>
            <w:r>
              <w:rPr>
                <w:spacing w:val="-2"/>
                <w:sz w:val="18"/>
              </w:rPr>
              <w:t xml:space="preserve"> </w:t>
            </w:r>
            <w:r>
              <w:rPr>
                <w:sz w:val="18"/>
              </w:rPr>
              <w:t>(95%</w:t>
            </w:r>
            <w:r>
              <w:rPr>
                <w:spacing w:val="-1"/>
                <w:sz w:val="18"/>
              </w:rPr>
              <w:t xml:space="preserve"> </w:t>
            </w:r>
            <w:r>
              <w:rPr>
                <w:sz w:val="18"/>
              </w:rPr>
              <w:t>CrI)</w:t>
            </w:r>
          </w:p>
        </w:tc>
        <w:tc>
          <w:tcPr>
            <w:tcW w:w="696" w:type="pct"/>
            <w:tcBorders>
              <w:left w:val="nil"/>
              <w:right w:val="nil"/>
            </w:tcBorders>
            <w:shd w:val="clear" w:color="auto" w:fill="ECECEC"/>
            <w:vAlign w:val="center"/>
          </w:tcPr>
          <w:p w14:paraId="155855BD" w14:textId="00BFB312" w:rsidR="008C5735" w:rsidRDefault="008C5735" w:rsidP="00D336E1">
            <w:pPr>
              <w:pStyle w:val="TableParagraph"/>
              <w:spacing w:before="28" w:line="240" w:lineRule="auto"/>
              <w:ind w:left="141"/>
              <w:rPr>
                <w:sz w:val="18"/>
              </w:rPr>
            </w:pPr>
            <w:r>
              <w:rPr>
                <w:sz w:val="18"/>
              </w:rPr>
              <w:t>1.31 (1.11 to 1.55)</w:t>
            </w:r>
          </w:p>
        </w:tc>
        <w:tc>
          <w:tcPr>
            <w:tcW w:w="759" w:type="pct"/>
            <w:gridSpan w:val="2"/>
            <w:tcBorders>
              <w:left w:val="nil"/>
              <w:right w:val="nil"/>
            </w:tcBorders>
            <w:shd w:val="clear" w:color="auto" w:fill="ECECEC"/>
            <w:vAlign w:val="center"/>
          </w:tcPr>
          <w:p w14:paraId="78DDFBE3" w14:textId="78416155" w:rsidR="008C5735" w:rsidRDefault="008C5735" w:rsidP="00D336E1">
            <w:pPr>
              <w:pStyle w:val="TableParagraph"/>
              <w:spacing w:before="28" w:line="240" w:lineRule="auto"/>
              <w:ind w:left="183"/>
              <w:rPr>
                <w:sz w:val="18"/>
              </w:rPr>
            </w:pPr>
            <w:r>
              <w:rPr>
                <w:sz w:val="18"/>
              </w:rPr>
              <w:t>1.30 (1.06 to 1.59)</w:t>
            </w:r>
          </w:p>
        </w:tc>
        <w:tc>
          <w:tcPr>
            <w:tcW w:w="695" w:type="pct"/>
            <w:tcBorders>
              <w:left w:val="nil"/>
              <w:right w:val="nil"/>
            </w:tcBorders>
            <w:shd w:val="clear" w:color="auto" w:fill="ECECEC"/>
            <w:vAlign w:val="center"/>
          </w:tcPr>
          <w:p w14:paraId="7715378F" w14:textId="7F3FFF8C" w:rsidR="008C5735" w:rsidRDefault="008C5735" w:rsidP="00D336E1">
            <w:pPr>
              <w:pStyle w:val="TableParagraph"/>
              <w:spacing w:before="28" w:line="240" w:lineRule="auto"/>
              <w:ind w:left="194"/>
              <w:rPr>
                <w:sz w:val="18"/>
              </w:rPr>
            </w:pPr>
            <w:r>
              <w:rPr>
                <w:sz w:val="18"/>
              </w:rPr>
              <w:t>1.04 (0.84 to 1.30)</w:t>
            </w:r>
          </w:p>
        </w:tc>
        <w:tc>
          <w:tcPr>
            <w:tcW w:w="695" w:type="pct"/>
            <w:tcBorders>
              <w:left w:val="nil"/>
            </w:tcBorders>
            <w:shd w:val="clear" w:color="auto" w:fill="ECECEC"/>
            <w:vAlign w:val="center"/>
          </w:tcPr>
          <w:p w14:paraId="04017226" w14:textId="553B9FDC" w:rsidR="008C5735" w:rsidRDefault="008C5735" w:rsidP="00D336E1">
            <w:pPr>
              <w:pStyle w:val="TableParagraph"/>
              <w:spacing w:before="28" w:line="240" w:lineRule="auto"/>
              <w:ind w:left="194"/>
              <w:rPr>
                <w:sz w:val="18"/>
              </w:rPr>
            </w:pPr>
            <w:r>
              <w:rPr>
                <w:sz w:val="18"/>
              </w:rPr>
              <w:t>1.15 (0.62 to 1.94)</w:t>
            </w:r>
          </w:p>
        </w:tc>
        <w:tc>
          <w:tcPr>
            <w:tcW w:w="695" w:type="pct"/>
            <w:tcBorders>
              <w:left w:val="nil"/>
            </w:tcBorders>
            <w:shd w:val="clear" w:color="auto" w:fill="ECECEC"/>
            <w:vAlign w:val="center"/>
          </w:tcPr>
          <w:p w14:paraId="4684BF65" w14:textId="77777777" w:rsidR="008C5735" w:rsidRDefault="008C5735" w:rsidP="00D336E1">
            <w:pPr>
              <w:pStyle w:val="TableParagraph"/>
              <w:spacing w:before="28" w:line="240" w:lineRule="auto"/>
              <w:ind w:left="194"/>
              <w:rPr>
                <w:sz w:val="18"/>
              </w:rPr>
            </w:pPr>
            <w:r>
              <w:rPr>
                <w:sz w:val="18"/>
              </w:rPr>
              <w:t>1</w:t>
            </w:r>
          </w:p>
        </w:tc>
      </w:tr>
      <w:tr w:rsidR="0058643B" w14:paraId="322967F0" w14:textId="77777777" w:rsidTr="00BB21F9">
        <w:trPr>
          <w:trHeight w:val="280"/>
        </w:trPr>
        <w:tc>
          <w:tcPr>
            <w:tcW w:w="1460" w:type="pct"/>
            <w:tcBorders>
              <w:right w:val="nil"/>
            </w:tcBorders>
            <w:shd w:val="clear" w:color="auto" w:fill="ECECEC"/>
            <w:vAlign w:val="center"/>
          </w:tcPr>
          <w:p w14:paraId="7D8BC395" w14:textId="77777777" w:rsidR="008C5735" w:rsidRDefault="008C5735" w:rsidP="00D336E1">
            <w:pPr>
              <w:pStyle w:val="TableParagraph"/>
              <w:spacing w:before="29" w:line="240" w:lineRule="auto"/>
              <w:ind w:left="270"/>
              <w:jc w:val="left"/>
              <w:rPr>
                <w:sz w:val="18"/>
              </w:rPr>
            </w:pPr>
            <w:r>
              <w:rPr>
                <w:sz w:val="18"/>
              </w:rPr>
              <w:t>Probability</w:t>
            </w:r>
            <w:r>
              <w:rPr>
                <w:spacing w:val="-6"/>
                <w:sz w:val="18"/>
              </w:rPr>
              <w:t xml:space="preserve"> </w:t>
            </w:r>
            <w:r>
              <w:rPr>
                <w:sz w:val="18"/>
              </w:rPr>
              <w:t>of</w:t>
            </w:r>
            <w:r>
              <w:rPr>
                <w:spacing w:val="-3"/>
                <w:sz w:val="18"/>
              </w:rPr>
              <w:t xml:space="preserve"> </w:t>
            </w:r>
            <w:r>
              <w:rPr>
                <w:sz w:val="18"/>
              </w:rPr>
              <w:t>superiority</w:t>
            </w:r>
            <w:r>
              <w:rPr>
                <w:spacing w:val="-5"/>
                <w:sz w:val="18"/>
              </w:rPr>
              <w:t xml:space="preserve"> </w:t>
            </w:r>
            <w:r>
              <w:rPr>
                <w:sz w:val="18"/>
              </w:rPr>
              <w:t>to</w:t>
            </w:r>
            <w:r>
              <w:rPr>
                <w:spacing w:val="-4"/>
                <w:sz w:val="18"/>
              </w:rPr>
              <w:t xml:space="preserve"> </w:t>
            </w:r>
            <w:r>
              <w:rPr>
                <w:sz w:val="18"/>
              </w:rPr>
              <w:t>control,</w:t>
            </w:r>
            <w:r>
              <w:rPr>
                <w:spacing w:val="-3"/>
                <w:sz w:val="18"/>
              </w:rPr>
              <w:t xml:space="preserve"> </w:t>
            </w:r>
            <w:r>
              <w:rPr>
                <w:sz w:val="18"/>
              </w:rPr>
              <w:t>%</w:t>
            </w:r>
          </w:p>
        </w:tc>
        <w:tc>
          <w:tcPr>
            <w:tcW w:w="696" w:type="pct"/>
            <w:tcBorders>
              <w:left w:val="nil"/>
              <w:right w:val="nil"/>
            </w:tcBorders>
            <w:shd w:val="clear" w:color="auto" w:fill="ECECEC"/>
            <w:vAlign w:val="center"/>
          </w:tcPr>
          <w:p w14:paraId="75DB1D18" w14:textId="5DCAD2DF" w:rsidR="008C5735" w:rsidRDefault="008C5735" w:rsidP="00D336E1">
            <w:pPr>
              <w:pStyle w:val="TableParagraph"/>
              <w:spacing w:before="29" w:line="240" w:lineRule="auto"/>
              <w:ind w:left="141"/>
              <w:rPr>
                <w:sz w:val="18"/>
              </w:rPr>
            </w:pPr>
            <w:r>
              <w:rPr>
                <w:sz w:val="18"/>
              </w:rPr>
              <w:t>&gt; 99.9</w:t>
            </w:r>
          </w:p>
        </w:tc>
        <w:tc>
          <w:tcPr>
            <w:tcW w:w="759" w:type="pct"/>
            <w:gridSpan w:val="2"/>
            <w:tcBorders>
              <w:left w:val="nil"/>
              <w:right w:val="nil"/>
            </w:tcBorders>
            <w:shd w:val="clear" w:color="auto" w:fill="ECECEC"/>
            <w:vAlign w:val="center"/>
          </w:tcPr>
          <w:p w14:paraId="71F80632" w14:textId="6B709A74" w:rsidR="008C5735" w:rsidRDefault="008C5735" w:rsidP="00D336E1">
            <w:pPr>
              <w:pStyle w:val="TableParagraph"/>
              <w:spacing w:before="29" w:line="240" w:lineRule="auto"/>
              <w:ind w:left="183"/>
              <w:rPr>
                <w:sz w:val="18"/>
              </w:rPr>
            </w:pPr>
            <w:r>
              <w:rPr>
                <w:sz w:val="18"/>
              </w:rPr>
              <w:t>99.4</w:t>
            </w:r>
          </w:p>
        </w:tc>
        <w:tc>
          <w:tcPr>
            <w:tcW w:w="695" w:type="pct"/>
            <w:tcBorders>
              <w:left w:val="nil"/>
              <w:right w:val="nil"/>
            </w:tcBorders>
            <w:shd w:val="clear" w:color="auto" w:fill="ECECEC"/>
            <w:vAlign w:val="center"/>
          </w:tcPr>
          <w:p w14:paraId="53129C55" w14:textId="59E244AF" w:rsidR="008C5735" w:rsidRDefault="008C5735" w:rsidP="00D336E1">
            <w:pPr>
              <w:pStyle w:val="TableParagraph"/>
              <w:spacing w:before="29" w:line="240" w:lineRule="auto"/>
              <w:ind w:left="194"/>
              <w:rPr>
                <w:sz w:val="18"/>
              </w:rPr>
            </w:pPr>
            <w:r>
              <w:rPr>
                <w:sz w:val="18"/>
              </w:rPr>
              <w:t>64.7</w:t>
            </w:r>
          </w:p>
        </w:tc>
        <w:tc>
          <w:tcPr>
            <w:tcW w:w="695" w:type="pct"/>
            <w:tcBorders>
              <w:left w:val="nil"/>
            </w:tcBorders>
            <w:shd w:val="clear" w:color="auto" w:fill="ECECEC"/>
            <w:vAlign w:val="center"/>
          </w:tcPr>
          <w:p w14:paraId="0C043F93" w14:textId="5871C0D2" w:rsidR="008C5735" w:rsidRDefault="008C5735" w:rsidP="00D336E1">
            <w:pPr>
              <w:pStyle w:val="TableParagraph"/>
              <w:spacing w:before="29" w:line="240" w:lineRule="auto"/>
              <w:ind w:left="194"/>
              <w:rPr>
                <w:sz w:val="18"/>
              </w:rPr>
            </w:pPr>
            <w:r>
              <w:rPr>
                <w:sz w:val="18"/>
              </w:rPr>
              <w:t>68.6</w:t>
            </w:r>
          </w:p>
        </w:tc>
        <w:tc>
          <w:tcPr>
            <w:tcW w:w="695" w:type="pct"/>
            <w:tcBorders>
              <w:left w:val="nil"/>
            </w:tcBorders>
            <w:shd w:val="clear" w:color="auto" w:fill="ECECEC"/>
            <w:vAlign w:val="center"/>
          </w:tcPr>
          <w:p w14:paraId="1A07A3F3" w14:textId="77777777" w:rsidR="008C5735" w:rsidRDefault="008C5735" w:rsidP="00D336E1">
            <w:pPr>
              <w:pStyle w:val="TableParagraph"/>
              <w:spacing w:before="29" w:line="240" w:lineRule="auto"/>
              <w:ind w:left="194"/>
              <w:rPr>
                <w:sz w:val="18"/>
              </w:rPr>
            </w:pPr>
            <w:r>
              <w:rPr>
                <w:sz w:val="18"/>
              </w:rPr>
              <w:t>-</w:t>
            </w:r>
          </w:p>
        </w:tc>
      </w:tr>
      <w:tr w:rsidR="00D336E1" w14:paraId="4E95DF5A" w14:textId="77777777" w:rsidTr="00BB21F9">
        <w:trPr>
          <w:trHeight w:val="279"/>
        </w:trPr>
        <w:tc>
          <w:tcPr>
            <w:tcW w:w="2345" w:type="pct"/>
            <w:gridSpan w:val="3"/>
            <w:shd w:val="clear" w:color="auto" w:fill="ECECEC"/>
            <w:vAlign w:val="center"/>
          </w:tcPr>
          <w:p w14:paraId="58A09993" w14:textId="77777777" w:rsidR="00D336E1" w:rsidRDefault="00D336E1" w:rsidP="00CC768E">
            <w:pPr>
              <w:pStyle w:val="TableParagraph"/>
              <w:spacing w:before="28" w:line="240" w:lineRule="auto"/>
              <w:jc w:val="left"/>
              <w:rPr>
                <w:b/>
                <w:sz w:val="18"/>
              </w:rPr>
            </w:pPr>
            <w:r>
              <w:rPr>
                <w:b/>
                <w:sz w:val="18"/>
              </w:rPr>
              <w:t>WHO</w:t>
            </w:r>
            <w:r>
              <w:rPr>
                <w:b/>
                <w:spacing w:val="-4"/>
                <w:sz w:val="18"/>
              </w:rPr>
              <w:t xml:space="preserve"> </w:t>
            </w:r>
            <w:r>
              <w:rPr>
                <w:b/>
                <w:sz w:val="18"/>
              </w:rPr>
              <w:t>scale</w:t>
            </w:r>
            <w:r>
              <w:rPr>
                <w:b/>
                <w:spacing w:val="-3"/>
                <w:sz w:val="18"/>
              </w:rPr>
              <w:t xml:space="preserve"> </w:t>
            </w:r>
            <w:r>
              <w:rPr>
                <w:b/>
                <w:sz w:val="18"/>
              </w:rPr>
              <w:t>at day</w:t>
            </w:r>
            <w:r>
              <w:rPr>
                <w:b/>
                <w:spacing w:val="-2"/>
                <w:sz w:val="18"/>
              </w:rPr>
              <w:t xml:space="preserve"> </w:t>
            </w:r>
            <w:r>
              <w:rPr>
                <w:b/>
                <w:sz w:val="18"/>
              </w:rPr>
              <w:t>14</w:t>
            </w:r>
          </w:p>
        </w:tc>
        <w:tc>
          <w:tcPr>
            <w:tcW w:w="2655" w:type="pct"/>
            <w:gridSpan w:val="4"/>
            <w:shd w:val="clear" w:color="auto" w:fill="ECECEC"/>
            <w:vAlign w:val="center"/>
          </w:tcPr>
          <w:p w14:paraId="0343796C" w14:textId="37DA9C07" w:rsidR="00D336E1" w:rsidRDefault="00D336E1" w:rsidP="00D336E1">
            <w:pPr>
              <w:pStyle w:val="TableParagraph"/>
              <w:spacing w:before="28" w:line="240" w:lineRule="auto"/>
              <w:ind w:left="110"/>
              <w:rPr>
                <w:b/>
                <w:sz w:val="18"/>
              </w:rPr>
            </w:pPr>
          </w:p>
        </w:tc>
      </w:tr>
      <w:tr w:rsidR="0058643B" w14:paraId="45AD2BC5" w14:textId="77777777" w:rsidTr="00BB21F9">
        <w:trPr>
          <w:trHeight w:val="277"/>
        </w:trPr>
        <w:tc>
          <w:tcPr>
            <w:tcW w:w="1460" w:type="pct"/>
            <w:tcBorders>
              <w:bottom w:val="dashSmallGap" w:sz="6" w:space="0" w:color="D8D8D8"/>
              <w:right w:val="nil"/>
            </w:tcBorders>
            <w:shd w:val="clear" w:color="auto" w:fill="ECECEC"/>
            <w:vAlign w:val="center"/>
          </w:tcPr>
          <w:p w14:paraId="66A66599" w14:textId="77777777" w:rsidR="008C5735" w:rsidRDefault="008C5735" w:rsidP="00D336E1">
            <w:pPr>
              <w:pStyle w:val="TableParagraph"/>
              <w:spacing w:before="28" w:line="240" w:lineRule="auto"/>
              <w:ind w:left="270"/>
              <w:jc w:val="left"/>
              <w:rPr>
                <w:sz w:val="18"/>
              </w:rPr>
            </w:pPr>
            <w:r>
              <w:rPr>
                <w:sz w:val="18"/>
              </w:rPr>
              <w:t>Adjusted</w:t>
            </w:r>
            <w:r>
              <w:rPr>
                <w:spacing w:val="-3"/>
                <w:sz w:val="18"/>
              </w:rPr>
              <w:t xml:space="preserve"> </w:t>
            </w:r>
            <w:r>
              <w:rPr>
                <w:sz w:val="18"/>
              </w:rPr>
              <w:t>OR</w:t>
            </w:r>
            <w:r>
              <w:rPr>
                <w:spacing w:val="2"/>
                <w:sz w:val="18"/>
              </w:rPr>
              <w:t xml:space="preserve"> </w:t>
            </w:r>
            <w:r>
              <w:rPr>
                <w:sz w:val="18"/>
              </w:rPr>
              <w:t>-</w:t>
            </w:r>
            <w:r>
              <w:rPr>
                <w:spacing w:val="-2"/>
                <w:sz w:val="18"/>
              </w:rPr>
              <w:t xml:space="preserve"> </w:t>
            </w:r>
            <w:r>
              <w:rPr>
                <w:sz w:val="18"/>
              </w:rPr>
              <w:t>mean</w:t>
            </w:r>
            <w:r>
              <w:rPr>
                <w:spacing w:val="-3"/>
                <w:sz w:val="18"/>
              </w:rPr>
              <w:t xml:space="preserve"> </w:t>
            </w:r>
            <w:r>
              <w:rPr>
                <w:sz w:val="18"/>
              </w:rPr>
              <w:t>(SD)</w:t>
            </w:r>
          </w:p>
        </w:tc>
        <w:tc>
          <w:tcPr>
            <w:tcW w:w="696" w:type="pct"/>
            <w:tcBorders>
              <w:left w:val="nil"/>
              <w:bottom w:val="dashSmallGap" w:sz="6" w:space="0" w:color="D8D8D8"/>
              <w:right w:val="nil"/>
            </w:tcBorders>
            <w:shd w:val="clear" w:color="auto" w:fill="ECECEC"/>
            <w:vAlign w:val="center"/>
          </w:tcPr>
          <w:p w14:paraId="189490A0" w14:textId="50423ED7" w:rsidR="008C5735" w:rsidRDefault="008C5735" w:rsidP="00D336E1">
            <w:pPr>
              <w:pStyle w:val="TableParagraph"/>
              <w:spacing w:before="28" w:line="240" w:lineRule="auto"/>
              <w:ind w:left="141"/>
              <w:rPr>
                <w:sz w:val="18"/>
              </w:rPr>
            </w:pPr>
            <w:r>
              <w:rPr>
                <w:sz w:val="18"/>
              </w:rPr>
              <w:t>1.54 (0.19)</w:t>
            </w:r>
          </w:p>
        </w:tc>
        <w:tc>
          <w:tcPr>
            <w:tcW w:w="759" w:type="pct"/>
            <w:gridSpan w:val="2"/>
            <w:tcBorders>
              <w:left w:val="nil"/>
              <w:bottom w:val="dashSmallGap" w:sz="6" w:space="0" w:color="D8D8D8"/>
              <w:right w:val="nil"/>
            </w:tcBorders>
            <w:shd w:val="clear" w:color="auto" w:fill="ECECEC"/>
            <w:vAlign w:val="center"/>
          </w:tcPr>
          <w:p w14:paraId="167D0F23" w14:textId="1EFF0A90" w:rsidR="008C5735" w:rsidRDefault="008C5735" w:rsidP="00D336E1">
            <w:pPr>
              <w:pStyle w:val="TableParagraph"/>
              <w:spacing w:before="28" w:line="240" w:lineRule="auto"/>
              <w:ind w:left="183"/>
              <w:rPr>
                <w:sz w:val="18"/>
              </w:rPr>
            </w:pPr>
            <w:r>
              <w:rPr>
                <w:sz w:val="18"/>
              </w:rPr>
              <w:t>1.67 (0.24)</w:t>
            </w:r>
          </w:p>
        </w:tc>
        <w:tc>
          <w:tcPr>
            <w:tcW w:w="695" w:type="pct"/>
            <w:tcBorders>
              <w:left w:val="nil"/>
              <w:bottom w:val="dashSmallGap" w:sz="6" w:space="0" w:color="D8D8D8"/>
              <w:right w:val="nil"/>
            </w:tcBorders>
            <w:shd w:val="clear" w:color="auto" w:fill="ECECEC"/>
            <w:vAlign w:val="center"/>
          </w:tcPr>
          <w:p w14:paraId="56BA705B" w14:textId="3944FAB9" w:rsidR="008C5735" w:rsidRDefault="008C5735" w:rsidP="00D336E1">
            <w:pPr>
              <w:pStyle w:val="TableParagraph"/>
              <w:spacing w:before="28" w:line="240" w:lineRule="auto"/>
              <w:ind w:left="194"/>
              <w:rPr>
                <w:sz w:val="18"/>
              </w:rPr>
            </w:pPr>
            <w:r>
              <w:rPr>
                <w:sz w:val="18"/>
              </w:rPr>
              <w:t>1.19 (0.18)</w:t>
            </w:r>
          </w:p>
        </w:tc>
        <w:tc>
          <w:tcPr>
            <w:tcW w:w="695" w:type="pct"/>
            <w:tcBorders>
              <w:left w:val="nil"/>
              <w:bottom w:val="dashSmallGap" w:sz="6" w:space="0" w:color="D8D8D8"/>
            </w:tcBorders>
            <w:shd w:val="clear" w:color="auto" w:fill="ECECEC"/>
            <w:vAlign w:val="center"/>
          </w:tcPr>
          <w:p w14:paraId="49752734" w14:textId="26535ED4" w:rsidR="008C5735" w:rsidRDefault="008C5735" w:rsidP="00D336E1">
            <w:pPr>
              <w:pStyle w:val="TableParagraph"/>
              <w:spacing w:before="28" w:line="240" w:lineRule="auto"/>
              <w:ind w:left="194"/>
              <w:rPr>
                <w:sz w:val="18"/>
              </w:rPr>
            </w:pPr>
            <w:r>
              <w:rPr>
                <w:sz w:val="18"/>
              </w:rPr>
              <w:t>1.22 (0.50)</w:t>
            </w:r>
          </w:p>
        </w:tc>
        <w:tc>
          <w:tcPr>
            <w:tcW w:w="695" w:type="pct"/>
            <w:tcBorders>
              <w:left w:val="nil"/>
              <w:bottom w:val="dashSmallGap" w:sz="6" w:space="0" w:color="D8D8D8"/>
            </w:tcBorders>
            <w:shd w:val="clear" w:color="auto" w:fill="ECECEC"/>
            <w:vAlign w:val="center"/>
          </w:tcPr>
          <w:p w14:paraId="2E6DCF0F" w14:textId="77777777" w:rsidR="008C5735" w:rsidRDefault="008C5735" w:rsidP="00D336E1">
            <w:pPr>
              <w:pStyle w:val="TableParagraph"/>
              <w:spacing w:before="28" w:line="240" w:lineRule="auto"/>
              <w:ind w:left="194"/>
              <w:rPr>
                <w:sz w:val="18"/>
              </w:rPr>
            </w:pPr>
            <w:r>
              <w:rPr>
                <w:sz w:val="18"/>
              </w:rPr>
              <w:t>1</w:t>
            </w:r>
          </w:p>
        </w:tc>
      </w:tr>
      <w:tr w:rsidR="0058643B" w14:paraId="4A1F1CD9" w14:textId="77777777" w:rsidTr="00BB21F9">
        <w:trPr>
          <w:trHeight w:val="277"/>
        </w:trPr>
        <w:tc>
          <w:tcPr>
            <w:tcW w:w="1460" w:type="pct"/>
            <w:tcBorders>
              <w:top w:val="dashSmallGap" w:sz="6" w:space="0" w:color="D8D8D8"/>
              <w:right w:val="nil"/>
            </w:tcBorders>
            <w:shd w:val="clear" w:color="auto" w:fill="ECECEC"/>
            <w:vAlign w:val="center"/>
          </w:tcPr>
          <w:p w14:paraId="1F74FCAF" w14:textId="77777777" w:rsidR="008C5735" w:rsidRDefault="008C5735" w:rsidP="00D336E1">
            <w:pPr>
              <w:pStyle w:val="TableParagraph"/>
              <w:spacing w:before="26" w:line="240" w:lineRule="auto"/>
              <w:ind w:left="1215"/>
              <w:jc w:val="left"/>
              <w:rPr>
                <w:sz w:val="18"/>
              </w:rPr>
            </w:pPr>
            <w:r>
              <w:rPr>
                <w:sz w:val="18"/>
              </w:rPr>
              <w:t>-</w:t>
            </w:r>
            <w:r>
              <w:rPr>
                <w:spacing w:val="-3"/>
                <w:sz w:val="18"/>
              </w:rPr>
              <w:t xml:space="preserve"> </w:t>
            </w:r>
            <w:r>
              <w:rPr>
                <w:sz w:val="18"/>
              </w:rPr>
              <w:t>median</w:t>
            </w:r>
            <w:r>
              <w:rPr>
                <w:spacing w:val="-2"/>
                <w:sz w:val="18"/>
              </w:rPr>
              <w:t xml:space="preserve"> </w:t>
            </w:r>
            <w:r>
              <w:rPr>
                <w:sz w:val="18"/>
              </w:rPr>
              <w:t>(95%</w:t>
            </w:r>
            <w:r>
              <w:rPr>
                <w:spacing w:val="-1"/>
                <w:sz w:val="18"/>
              </w:rPr>
              <w:t xml:space="preserve"> </w:t>
            </w:r>
            <w:r>
              <w:rPr>
                <w:sz w:val="18"/>
              </w:rPr>
              <w:t>CrI)</w:t>
            </w:r>
          </w:p>
        </w:tc>
        <w:tc>
          <w:tcPr>
            <w:tcW w:w="696" w:type="pct"/>
            <w:tcBorders>
              <w:top w:val="dashSmallGap" w:sz="6" w:space="0" w:color="D8D8D8"/>
              <w:left w:val="nil"/>
              <w:right w:val="nil"/>
            </w:tcBorders>
            <w:shd w:val="clear" w:color="auto" w:fill="ECECEC"/>
            <w:vAlign w:val="center"/>
          </w:tcPr>
          <w:p w14:paraId="660E906D" w14:textId="194A1290" w:rsidR="008C5735" w:rsidRDefault="008C5735" w:rsidP="00D336E1">
            <w:pPr>
              <w:pStyle w:val="TableParagraph"/>
              <w:spacing w:before="26" w:line="240" w:lineRule="auto"/>
              <w:ind w:left="141"/>
              <w:rPr>
                <w:sz w:val="18"/>
              </w:rPr>
            </w:pPr>
            <w:r>
              <w:rPr>
                <w:sz w:val="18"/>
              </w:rPr>
              <w:t>1.53 (1.20 to 1.95)</w:t>
            </w:r>
          </w:p>
        </w:tc>
        <w:tc>
          <w:tcPr>
            <w:tcW w:w="759" w:type="pct"/>
            <w:gridSpan w:val="2"/>
            <w:tcBorders>
              <w:top w:val="dashSmallGap" w:sz="6" w:space="0" w:color="D8D8D8"/>
              <w:left w:val="nil"/>
              <w:right w:val="nil"/>
            </w:tcBorders>
            <w:shd w:val="clear" w:color="auto" w:fill="ECECEC"/>
            <w:vAlign w:val="center"/>
          </w:tcPr>
          <w:p w14:paraId="57C7910B" w14:textId="6769B9C3" w:rsidR="008C5735" w:rsidRDefault="008C5735" w:rsidP="00D336E1">
            <w:pPr>
              <w:pStyle w:val="TableParagraph"/>
              <w:spacing w:before="26" w:line="240" w:lineRule="auto"/>
              <w:ind w:left="183"/>
              <w:rPr>
                <w:sz w:val="18"/>
              </w:rPr>
            </w:pPr>
            <w:r>
              <w:rPr>
                <w:sz w:val="18"/>
              </w:rPr>
              <w:t>1.65 (1.25 to 2.18)</w:t>
            </w:r>
          </w:p>
        </w:tc>
        <w:tc>
          <w:tcPr>
            <w:tcW w:w="695" w:type="pct"/>
            <w:tcBorders>
              <w:top w:val="dashSmallGap" w:sz="6" w:space="0" w:color="D8D8D8"/>
              <w:left w:val="nil"/>
              <w:right w:val="nil"/>
            </w:tcBorders>
            <w:shd w:val="clear" w:color="auto" w:fill="ECECEC"/>
            <w:vAlign w:val="center"/>
          </w:tcPr>
          <w:p w14:paraId="1E143EF8" w14:textId="5E086A5F" w:rsidR="008C5735" w:rsidRDefault="008C5735" w:rsidP="00D336E1">
            <w:pPr>
              <w:pStyle w:val="TableParagraph"/>
              <w:spacing w:before="26" w:line="240" w:lineRule="auto"/>
              <w:ind w:left="194"/>
              <w:rPr>
                <w:sz w:val="18"/>
              </w:rPr>
            </w:pPr>
            <w:r>
              <w:rPr>
                <w:sz w:val="18"/>
              </w:rPr>
              <w:t>1.18 (0.87 to 1.60)</w:t>
            </w:r>
          </w:p>
        </w:tc>
        <w:tc>
          <w:tcPr>
            <w:tcW w:w="695" w:type="pct"/>
            <w:tcBorders>
              <w:top w:val="dashSmallGap" w:sz="6" w:space="0" w:color="D8D8D8"/>
              <w:left w:val="nil"/>
            </w:tcBorders>
            <w:shd w:val="clear" w:color="auto" w:fill="ECECEC"/>
            <w:vAlign w:val="center"/>
          </w:tcPr>
          <w:p w14:paraId="09C0801F" w14:textId="03E59402" w:rsidR="008C5735" w:rsidRDefault="008C5735" w:rsidP="00D336E1">
            <w:pPr>
              <w:pStyle w:val="TableParagraph"/>
              <w:spacing w:before="26" w:line="240" w:lineRule="auto"/>
              <w:ind w:left="194"/>
              <w:rPr>
                <w:sz w:val="18"/>
              </w:rPr>
            </w:pPr>
            <w:r>
              <w:rPr>
                <w:sz w:val="18"/>
              </w:rPr>
              <w:t>1.13 (0.52 to 2.46)</w:t>
            </w:r>
          </w:p>
        </w:tc>
        <w:tc>
          <w:tcPr>
            <w:tcW w:w="695" w:type="pct"/>
            <w:tcBorders>
              <w:top w:val="dashSmallGap" w:sz="6" w:space="0" w:color="D8D8D8"/>
              <w:left w:val="nil"/>
            </w:tcBorders>
            <w:shd w:val="clear" w:color="auto" w:fill="ECECEC"/>
            <w:vAlign w:val="center"/>
          </w:tcPr>
          <w:p w14:paraId="38FFD870" w14:textId="77777777" w:rsidR="008C5735" w:rsidRDefault="008C5735" w:rsidP="00D336E1">
            <w:pPr>
              <w:pStyle w:val="TableParagraph"/>
              <w:spacing w:before="26" w:line="240" w:lineRule="auto"/>
              <w:ind w:left="194"/>
              <w:rPr>
                <w:sz w:val="18"/>
              </w:rPr>
            </w:pPr>
            <w:r>
              <w:rPr>
                <w:sz w:val="18"/>
              </w:rPr>
              <w:t>1</w:t>
            </w:r>
          </w:p>
        </w:tc>
      </w:tr>
      <w:tr w:rsidR="0058643B" w14:paraId="0112F41A" w14:textId="77777777" w:rsidTr="00BB21F9">
        <w:trPr>
          <w:trHeight w:val="280"/>
        </w:trPr>
        <w:tc>
          <w:tcPr>
            <w:tcW w:w="1460" w:type="pct"/>
            <w:tcBorders>
              <w:right w:val="nil"/>
            </w:tcBorders>
            <w:shd w:val="clear" w:color="auto" w:fill="ECECEC"/>
            <w:vAlign w:val="center"/>
          </w:tcPr>
          <w:p w14:paraId="26A29AB5" w14:textId="77777777" w:rsidR="008C5735" w:rsidRDefault="008C5735" w:rsidP="00D336E1">
            <w:pPr>
              <w:pStyle w:val="TableParagraph"/>
              <w:spacing w:before="28" w:line="240" w:lineRule="auto"/>
              <w:ind w:left="270"/>
              <w:jc w:val="left"/>
              <w:rPr>
                <w:sz w:val="18"/>
              </w:rPr>
            </w:pPr>
            <w:r>
              <w:rPr>
                <w:sz w:val="18"/>
              </w:rPr>
              <w:t>Probability</w:t>
            </w:r>
            <w:r>
              <w:rPr>
                <w:spacing w:val="-6"/>
                <w:sz w:val="18"/>
              </w:rPr>
              <w:t xml:space="preserve"> </w:t>
            </w:r>
            <w:r>
              <w:rPr>
                <w:sz w:val="18"/>
              </w:rPr>
              <w:t>of</w:t>
            </w:r>
            <w:r>
              <w:rPr>
                <w:spacing w:val="-3"/>
                <w:sz w:val="18"/>
              </w:rPr>
              <w:t xml:space="preserve"> </w:t>
            </w:r>
            <w:r>
              <w:rPr>
                <w:sz w:val="18"/>
              </w:rPr>
              <w:t>superiority</w:t>
            </w:r>
            <w:r>
              <w:rPr>
                <w:spacing w:val="-5"/>
                <w:sz w:val="18"/>
              </w:rPr>
              <w:t xml:space="preserve"> </w:t>
            </w:r>
            <w:r>
              <w:rPr>
                <w:sz w:val="18"/>
              </w:rPr>
              <w:t>to</w:t>
            </w:r>
            <w:r>
              <w:rPr>
                <w:spacing w:val="-4"/>
                <w:sz w:val="18"/>
              </w:rPr>
              <w:t xml:space="preserve"> </w:t>
            </w:r>
            <w:r>
              <w:rPr>
                <w:sz w:val="18"/>
              </w:rPr>
              <w:t>control,</w:t>
            </w:r>
            <w:r>
              <w:rPr>
                <w:spacing w:val="-3"/>
                <w:sz w:val="18"/>
              </w:rPr>
              <w:t xml:space="preserve"> </w:t>
            </w:r>
            <w:r>
              <w:rPr>
                <w:sz w:val="18"/>
              </w:rPr>
              <w:t>%</w:t>
            </w:r>
          </w:p>
        </w:tc>
        <w:tc>
          <w:tcPr>
            <w:tcW w:w="696" w:type="pct"/>
            <w:tcBorders>
              <w:left w:val="nil"/>
              <w:right w:val="nil"/>
            </w:tcBorders>
            <w:shd w:val="clear" w:color="auto" w:fill="ECECEC"/>
            <w:vAlign w:val="center"/>
          </w:tcPr>
          <w:p w14:paraId="4715DE7B" w14:textId="196BCDDF" w:rsidR="008C5735" w:rsidRDefault="008C5735" w:rsidP="00D336E1">
            <w:pPr>
              <w:pStyle w:val="TableParagraph"/>
              <w:spacing w:before="28" w:line="240" w:lineRule="auto"/>
              <w:ind w:left="141"/>
              <w:rPr>
                <w:sz w:val="18"/>
              </w:rPr>
            </w:pPr>
            <w:r>
              <w:rPr>
                <w:sz w:val="18"/>
              </w:rPr>
              <w:t>&gt;99.9</w:t>
            </w:r>
          </w:p>
        </w:tc>
        <w:tc>
          <w:tcPr>
            <w:tcW w:w="759" w:type="pct"/>
            <w:gridSpan w:val="2"/>
            <w:tcBorders>
              <w:left w:val="nil"/>
              <w:right w:val="nil"/>
            </w:tcBorders>
            <w:shd w:val="clear" w:color="auto" w:fill="ECECEC"/>
            <w:vAlign w:val="center"/>
          </w:tcPr>
          <w:p w14:paraId="2D04EE86" w14:textId="57C59FE1" w:rsidR="008C5735" w:rsidRDefault="008C5735" w:rsidP="00D336E1">
            <w:pPr>
              <w:pStyle w:val="TableParagraph"/>
              <w:spacing w:before="28" w:line="240" w:lineRule="auto"/>
              <w:ind w:left="183"/>
              <w:rPr>
                <w:sz w:val="18"/>
              </w:rPr>
            </w:pPr>
            <w:r>
              <w:rPr>
                <w:sz w:val="18"/>
              </w:rPr>
              <w:t>&gt;99.9</w:t>
            </w:r>
          </w:p>
        </w:tc>
        <w:tc>
          <w:tcPr>
            <w:tcW w:w="695" w:type="pct"/>
            <w:tcBorders>
              <w:left w:val="nil"/>
              <w:right w:val="nil"/>
            </w:tcBorders>
            <w:shd w:val="clear" w:color="auto" w:fill="ECECEC"/>
            <w:vAlign w:val="center"/>
          </w:tcPr>
          <w:p w14:paraId="313F5C5A" w14:textId="53935999" w:rsidR="008C5735" w:rsidRDefault="008C5735" w:rsidP="00D336E1">
            <w:pPr>
              <w:pStyle w:val="TableParagraph"/>
              <w:spacing w:before="28" w:line="240" w:lineRule="auto"/>
              <w:ind w:left="194"/>
              <w:rPr>
                <w:sz w:val="18"/>
              </w:rPr>
            </w:pPr>
            <w:r>
              <w:rPr>
                <w:sz w:val="18"/>
              </w:rPr>
              <w:t>85.6</w:t>
            </w:r>
          </w:p>
        </w:tc>
        <w:tc>
          <w:tcPr>
            <w:tcW w:w="695" w:type="pct"/>
            <w:tcBorders>
              <w:left w:val="nil"/>
            </w:tcBorders>
            <w:shd w:val="clear" w:color="auto" w:fill="ECECEC"/>
            <w:vAlign w:val="center"/>
          </w:tcPr>
          <w:p w14:paraId="66C6C215" w14:textId="56E11AC6" w:rsidR="008C5735" w:rsidRDefault="008C5735" w:rsidP="00D336E1">
            <w:pPr>
              <w:pStyle w:val="TableParagraph"/>
              <w:spacing w:before="28" w:line="240" w:lineRule="auto"/>
              <w:ind w:left="194"/>
              <w:rPr>
                <w:sz w:val="18"/>
              </w:rPr>
            </w:pPr>
            <w:r>
              <w:rPr>
                <w:sz w:val="18"/>
              </w:rPr>
              <w:t>62</w:t>
            </w:r>
          </w:p>
        </w:tc>
        <w:tc>
          <w:tcPr>
            <w:tcW w:w="695" w:type="pct"/>
            <w:tcBorders>
              <w:left w:val="nil"/>
            </w:tcBorders>
            <w:shd w:val="clear" w:color="auto" w:fill="ECECEC"/>
            <w:vAlign w:val="center"/>
          </w:tcPr>
          <w:p w14:paraId="72109437" w14:textId="77777777" w:rsidR="008C5735" w:rsidRDefault="008C5735" w:rsidP="00D336E1">
            <w:pPr>
              <w:pStyle w:val="TableParagraph"/>
              <w:spacing w:before="28" w:line="240" w:lineRule="auto"/>
              <w:ind w:left="194"/>
              <w:rPr>
                <w:sz w:val="18"/>
              </w:rPr>
            </w:pPr>
            <w:r>
              <w:rPr>
                <w:sz w:val="18"/>
              </w:rPr>
              <w:t>-</w:t>
            </w:r>
          </w:p>
        </w:tc>
      </w:tr>
      <w:tr w:rsidR="00434B67" w14:paraId="3741CFE3" w14:textId="77777777" w:rsidTr="00BB21F9">
        <w:trPr>
          <w:trHeight w:val="500"/>
        </w:trPr>
        <w:tc>
          <w:tcPr>
            <w:tcW w:w="2345" w:type="pct"/>
            <w:gridSpan w:val="3"/>
            <w:shd w:val="clear" w:color="auto" w:fill="ECECEC"/>
            <w:vAlign w:val="center"/>
          </w:tcPr>
          <w:p w14:paraId="3A99AFE2" w14:textId="77777777" w:rsidR="00434B67" w:rsidRPr="007D6548" w:rsidRDefault="00434B67" w:rsidP="00434B67">
            <w:pPr>
              <w:pStyle w:val="TableParagraph"/>
              <w:spacing w:before="4" w:line="240" w:lineRule="auto"/>
              <w:jc w:val="left"/>
              <w:rPr>
                <w:sz w:val="18"/>
                <w:szCs w:val="18"/>
              </w:rPr>
            </w:pPr>
            <w:r>
              <w:rPr>
                <w:sz w:val="18"/>
              </w:rPr>
              <w:t xml:space="preserve"> </w:t>
            </w:r>
            <w:r w:rsidRPr="008C5735">
              <w:rPr>
                <w:b/>
                <w:bCs/>
                <w:sz w:val="18"/>
              </w:rPr>
              <w:t>Progression to invasive mechanical ventilation, ECMO or death, restricted to those not intubated at baseline</w:t>
            </w:r>
          </w:p>
        </w:tc>
        <w:tc>
          <w:tcPr>
            <w:tcW w:w="2655" w:type="pct"/>
            <w:gridSpan w:val="4"/>
            <w:shd w:val="clear" w:color="auto" w:fill="ECECEC"/>
            <w:vAlign w:val="center"/>
          </w:tcPr>
          <w:p w14:paraId="02C76A33" w14:textId="5F2F749E" w:rsidR="00434B67" w:rsidRPr="007D6548" w:rsidRDefault="00434B67" w:rsidP="00434B67">
            <w:pPr>
              <w:pStyle w:val="TableParagraph"/>
              <w:spacing w:before="4" w:line="240" w:lineRule="auto"/>
              <w:jc w:val="left"/>
              <w:rPr>
                <w:sz w:val="18"/>
                <w:szCs w:val="18"/>
              </w:rPr>
            </w:pPr>
          </w:p>
        </w:tc>
      </w:tr>
      <w:tr w:rsidR="0058643B" w14:paraId="1F04ACBE" w14:textId="77777777" w:rsidTr="00BB21F9">
        <w:trPr>
          <w:trHeight w:val="500"/>
        </w:trPr>
        <w:tc>
          <w:tcPr>
            <w:tcW w:w="1460" w:type="pct"/>
            <w:tcBorders>
              <w:right w:val="nil"/>
            </w:tcBorders>
            <w:shd w:val="clear" w:color="auto" w:fill="ECECEC"/>
            <w:vAlign w:val="center"/>
          </w:tcPr>
          <w:p w14:paraId="38398DC1" w14:textId="77777777" w:rsidR="008C5735" w:rsidRDefault="008C5735" w:rsidP="00D336E1">
            <w:pPr>
              <w:pStyle w:val="TableParagraph"/>
              <w:spacing w:before="28" w:line="240" w:lineRule="auto"/>
              <w:ind w:left="270" w:right="659"/>
              <w:jc w:val="left"/>
              <w:rPr>
                <w:sz w:val="18"/>
              </w:rPr>
            </w:pPr>
            <w:r>
              <w:rPr>
                <w:sz w:val="18"/>
              </w:rPr>
              <w:t>Free</w:t>
            </w:r>
            <w:r>
              <w:rPr>
                <w:spacing w:val="-6"/>
                <w:sz w:val="18"/>
              </w:rPr>
              <w:t xml:space="preserve"> </w:t>
            </w:r>
            <w:r>
              <w:rPr>
                <w:sz w:val="18"/>
              </w:rPr>
              <w:t>of</w:t>
            </w:r>
            <w:r>
              <w:rPr>
                <w:spacing w:val="-5"/>
                <w:sz w:val="18"/>
              </w:rPr>
              <w:t xml:space="preserve"> </w:t>
            </w:r>
            <w:r>
              <w:rPr>
                <w:sz w:val="18"/>
              </w:rPr>
              <w:t>invasive</w:t>
            </w:r>
            <w:r>
              <w:rPr>
                <w:spacing w:val="-5"/>
                <w:sz w:val="18"/>
              </w:rPr>
              <w:t xml:space="preserve"> </w:t>
            </w:r>
            <w:r>
              <w:rPr>
                <w:sz w:val="18"/>
              </w:rPr>
              <w:t>mechanical</w:t>
            </w:r>
            <w:r>
              <w:rPr>
                <w:spacing w:val="-3"/>
                <w:sz w:val="18"/>
              </w:rPr>
              <w:t xml:space="preserve"> </w:t>
            </w:r>
            <w:r>
              <w:rPr>
                <w:sz w:val="18"/>
              </w:rPr>
              <w:t>ventilation</w:t>
            </w:r>
            <w:r>
              <w:rPr>
                <w:spacing w:val="-5"/>
                <w:sz w:val="18"/>
              </w:rPr>
              <w:t xml:space="preserve"> </w:t>
            </w:r>
            <w:r>
              <w:rPr>
                <w:sz w:val="18"/>
              </w:rPr>
              <w:t>at</w:t>
            </w:r>
            <w:r>
              <w:rPr>
                <w:spacing w:val="-38"/>
                <w:sz w:val="18"/>
              </w:rPr>
              <w:t xml:space="preserve"> </w:t>
            </w:r>
            <w:r>
              <w:rPr>
                <w:sz w:val="18"/>
              </w:rPr>
              <w:t>baseline,</w:t>
            </w:r>
            <w:r>
              <w:rPr>
                <w:spacing w:val="-2"/>
                <w:sz w:val="18"/>
              </w:rPr>
              <w:t xml:space="preserve"> </w:t>
            </w:r>
            <w:r>
              <w:rPr>
                <w:sz w:val="18"/>
              </w:rPr>
              <w:t>n</w:t>
            </w:r>
          </w:p>
        </w:tc>
        <w:tc>
          <w:tcPr>
            <w:tcW w:w="696" w:type="pct"/>
            <w:tcBorders>
              <w:left w:val="nil"/>
              <w:right w:val="nil"/>
            </w:tcBorders>
            <w:shd w:val="clear" w:color="auto" w:fill="ECECEC"/>
            <w:vAlign w:val="center"/>
          </w:tcPr>
          <w:p w14:paraId="001E7CC0" w14:textId="26BBEEB1" w:rsidR="008C5735" w:rsidRPr="005744B3" w:rsidRDefault="008C5735" w:rsidP="00AE2094">
            <w:pPr>
              <w:pStyle w:val="TableParagraph"/>
              <w:spacing w:before="4" w:line="240" w:lineRule="auto"/>
              <w:rPr>
                <w:sz w:val="18"/>
                <w:szCs w:val="18"/>
              </w:rPr>
            </w:pPr>
            <w:r w:rsidRPr="005744B3">
              <w:rPr>
                <w:sz w:val="18"/>
                <w:szCs w:val="18"/>
              </w:rPr>
              <w:t>613</w:t>
            </w:r>
          </w:p>
        </w:tc>
        <w:tc>
          <w:tcPr>
            <w:tcW w:w="759" w:type="pct"/>
            <w:gridSpan w:val="2"/>
            <w:tcBorders>
              <w:left w:val="nil"/>
              <w:right w:val="nil"/>
            </w:tcBorders>
            <w:shd w:val="clear" w:color="auto" w:fill="ECECEC"/>
            <w:vAlign w:val="center"/>
          </w:tcPr>
          <w:p w14:paraId="3E5E5655" w14:textId="03CE91CC" w:rsidR="008C5735" w:rsidRPr="005744B3" w:rsidRDefault="008C5735" w:rsidP="00AE2094">
            <w:pPr>
              <w:pStyle w:val="TableParagraph"/>
              <w:spacing w:before="4" w:line="240" w:lineRule="auto"/>
              <w:rPr>
                <w:sz w:val="18"/>
                <w:szCs w:val="18"/>
              </w:rPr>
            </w:pPr>
            <w:r w:rsidRPr="005744B3">
              <w:rPr>
                <w:sz w:val="18"/>
                <w:szCs w:val="18"/>
              </w:rPr>
              <w:t>331</w:t>
            </w:r>
          </w:p>
        </w:tc>
        <w:tc>
          <w:tcPr>
            <w:tcW w:w="695" w:type="pct"/>
            <w:tcBorders>
              <w:left w:val="nil"/>
              <w:right w:val="nil"/>
            </w:tcBorders>
            <w:shd w:val="clear" w:color="auto" w:fill="ECECEC"/>
            <w:vAlign w:val="center"/>
          </w:tcPr>
          <w:p w14:paraId="4422C1FC" w14:textId="723974C0" w:rsidR="008C5735" w:rsidRPr="005744B3" w:rsidRDefault="008C5735" w:rsidP="00AE2094">
            <w:pPr>
              <w:pStyle w:val="TableParagraph"/>
              <w:spacing w:before="4" w:line="240" w:lineRule="auto"/>
              <w:rPr>
                <w:sz w:val="18"/>
                <w:szCs w:val="18"/>
              </w:rPr>
            </w:pPr>
            <w:r w:rsidRPr="005744B3">
              <w:rPr>
                <w:sz w:val="18"/>
                <w:szCs w:val="18"/>
              </w:rPr>
              <w:t>228</w:t>
            </w:r>
          </w:p>
        </w:tc>
        <w:tc>
          <w:tcPr>
            <w:tcW w:w="695" w:type="pct"/>
            <w:tcBorders>
              <w:left w:val="nil"/>
            </w:tcBorders>
            <w:shd w:val="clear" w:color="auto" w:fill="ECECEC"/>
            <w:vAlign w:val="center"/>
          </w:tcPr>
          <w:p w14:paraId="28BE00AE" w14:textId="12C0BCE4" w:rsidR="008C5735" w:rsidRPr="005744B3" w:rsidRDefault="008C5735" w:rsidP="00AE2094">
            <w:pPr>
              <w:pStyle w:val="TableParagraph"/>
              <w:spacing w:before="4" w:line="240" w:lineRule="auto"/>
              <w:rPr>
                <w:sz w:val="18"/>
                <w:szCs w:val="18"/>
              </w:rPr>
            </w:pPr>
            <w:r w:rsidRPr="005744B3">
              <w:rPr>
                <w:sz w:val="18"/>
                <w:szCs w:val="18"/>
              </w:rPr>
              <w:t>12</w:t>
            </w:r>
          </w:p>
        </w:tc>
        <w:tc>
          <w:tcPr>
            <w:tcW w:w="695" w:type="pct"/>
            <w:tcBorders>
              <w:left w:val="nil"/>
            </w:tcBorders>
            <w:shd w:val="clear" w:color="auto" w:fill="ECECEC"/>
            <w:vAlign w:val="center"/>
          </w:tcPr>
          <w:p w14:paraId="7E47AEAA" w14:textId="071B4056" w:rsidR="008C5735" w:rsidRPr="00AE2094" w:rsidRDefault="008C5735" w:rsidP="00AE2094">
            <w:pPr>
              <w:pStyle w:val="TableParagraph"/>
              <w:spacing w:before="4" w:line="240" w:lineRule="auto"/>
              <w:rPr>
                <w:sz w:val="18"/>
                <w:szCs w:val="18"/>
              </w:rPr>
            </w:pPr>
            <w:r w:rsidRPr="007D6548">
              <w:rPr>
                <w:sz w:val="18"/>
                <w:szCs w:val="18"/>
              </w:rPr>
              <w:t>276</w:t>
            </w:r>
          </w:p>
        </w:tc>
      </w:tr>
      <w:tr w:rsidR="0058643B" w14:paraId="1CFD7B0B" w14:textId="77777777" w:rsidTr="00BB21F9">
        <w:trPr>
          <w:trHeight w:val="279"/>
        </w:trPr>
        <w:tc>
          <w:tcPr>
            <w:tcW w:w="1460" w:type="pct"/>
            <w:tcBorders>
              <w:right w:val="nil"/>
            </w:tcBorders>
            <w:shd w:val="clear" w:color="auto" w:fill="ECECEC"/>
            <w:vAlign w:val="center"/>
          </w:tcPr>
          <w:p w14:paraId="1163A79A" w14:textId="77777777" w:rsidR="008C5735" w:rsidRDefault="008C5735" w:rsidP="00D336E1">
            <w:pPr>
              <w:pStyle w:val="TableParagraph"/>
              <w:spacing w:before="28" w:line="240" w:lineRule="auto"/>
              <w:ind w:left="270"/>
              <w:jc w:val="left"/>
              <w:rPr>
                <w:sz w:val="18"/>
              </w:rPr>
            </w:pPr>
            <w:r>
              <w:rPr>
                <w:sz w:val="18"/>
              </w:rPr>
              <w:t>Progression</w:t>
            </w:r>
            <w:r>
              <w:rPr>
                <w:spacing w:val="-3"/>
                <w:sz w:val="18"/>
              </w:rPr>
              <w:t xml:space="preserve"> </w:t>
            </w:r>
            <w:r>
              <w:rPr>
                <w:sz w:val="18"/>
              </w:rPr>
              <w:t>to</w:t>
            </w:r>
            <w:r>
              <w:rPr>
                <w:spacing w:val="-3"/>
                <w:sz w:val="18"/>
              </w:rPr>
              <w:t xml:space="preserve"> </w:t>
            </w:r>
            <w:r>
              <w:rPr>
                <w:sz w:val="18"/>
              </w:rPr>
              <w:t>intubation,</w:t>
            </w:r>
            <w:r>
              <w:rPr>
                <w:spacing w:val="-2"/>
                <w:sz w:val="18"/>
              </w:rPr>
              <w:t xml:space="preserve"> </w:t>
            </w:r>
            <w:r>
              <w:rPr>
                <w:sz w:val="18"/>
              </w:rPr>
              <w:t>ECMO</w:t>
            </w:r>
            <w:r>
              <w:rPr>
                <w:spacing w:val="-3"/>
                <w:sz w:val="18"/>
              </w:rPr>
              <w:t xml:space="preserve"> </w:t>
            </w:r>
            <w:r>
              <w:rPr>
                <w:sz w:val="18"/>
              </w:rPr>
              <w:t>or death,</w:t>
            </w:r>
            <w:r>
              <w:rPr>
                <w:spacing w:val="-2"/>
                <w:sz w:val="18"/>
              </w:rPr>
              <w:t xml:space="preserve"> </w:t>
            </w:r>
            <w:r>
              <w:rPr>
                <w:sz w:val="18"/>
              </w:rPr>
              <w:t>n</w:t>
            </w:r>
            <w:r>
              <w:rPr>
                <w:spacing w:val="-2"/>
                <w:sz w:val="18"/>
              </w:rPr>
              <w:t xml:space="preserve"> </w:t>
            </w:r>
            <w:r>
              <w:rPr>
                <w:sz w:val="18"/>
              </w:rPr>
              <w:t>(%)</w:t>
            </w:r>
          </w:p>
        </w:tc>
        <w:tc>
          <w:tcPr>
            <w:tcW w:w="696" w:type="pct"/>
            <w:tcBorders>
              <w:left w:val="nil"/>
              <w:right w:val="nil"/>
            </w:tcBorders>
            <w:shd w:val="clear" w:color="auto" w:fill="ECECEC"/>
            <w:vAlign w:val="center"/>
          </w:tcPr>
          <w:p w14:paraId="372189BA" w14:textId="62A8DC76" w:rsidR="008C5735" w:rsidRDefault="008C5735" w:rsidP="00AE2094">
            <w:pPr>
              <w:pStyle w:val="TableParagraph"/>
              <w:spacing w:before="28" w:line="240" w:lineRule="auto"/>
              <w:ind w:left="141"/>
              <w:rPr>
                <w:sz w:val="18"/>
              </w:rPr>
            </w:pPr>
            <w:r>
              <w:rPr>
                <w:sz w:val="18"/>
              </w:rPr>
              <w:t>266/613 (43.4)</w:t>
            </w:r>
          </w:p>
        </w:tc>
        <w:tc>
          <w:tcPr>
            <w:tcW w:w="759" w:type="pct"/>
            <w:gridSpan w:val="2"/>
            <w:tcBorders>
              <w:left w:val="nil"/>
              <w:right w:val="nil"/>
            </w:tcBorders>
            <w:shd w:val="clear" w:color="auto" w:fill="ECECEC"/>
            <w:vAlign w:val="center"/>
          </w:tcPr>
          <w:p w14:paraId="1CAD62B0" w14:textId="031E8233" w:rsidR="008C5735" w:rsidRDefault="008C5735" w:rsidP="00AE2094">
            <w:pPr>
              <w:pStyle w:val="TableParagraph"/>
              <w:spacing w:before="28" w:line="240" w:lineRule="auto"/>
              <w:rPr>
                <w:sz w:val="18"/>
              </w:rPr>
            </w:pPr>
            <w:r>
              <w:rPr>
                <w:sz w:val="18"/>
              </w:rPr>
              <w:t>149/331 (45)</w:t>
            </w:r>
          </w:p>
        </w:tc>
        <w:tc>
          <w:tcPr>
            <w:tcW w:w="695" w:type="pct"/>
            <w:tcBorders>
              <w:left w:val="nil"/>
              <w:right w:val="nil"/>
            </w:tcBorders>
            <w:shd w:val="clear" w:color="auto" w:fill="ECECEC"/>
            <w:vAlign w:val="center"/>
          </w:tcPr>
          <w:p w14:paraId="42AFC3AB" w14:textId="68096991" w:rsidR="008C5735" w:rsidRDefault="008C5735" w:rsidP="00AE2094">
            <w:pPr>
              <w:pStyle w:val="TableParagraph"/>
              <w:spacing w:before="28" w:line="240" w:lineRule="auto"/>
              <w:rPr>
                <w:sz w:val="18"/>
              </w:rPr>
            </w:pPr>
            <w:r>
              <w:rPr>
                <w:sz w:val="18"/>
              </w:rPr>
              <w:t>122/228 (53</w:t>
            </w:r>
            <w:r w:rsidR="003F296F">
              <w:rPr>
                <w:sz w:val="18"/>
              </w:rPr>
              <w:t>.</w:t>
            </w:r>
            <w:r>
              <w:rPr>
                <w:sz w:val="18"/>
              </w:rPr>
              <w:t>5)</w:t>
            </w:r>
          </w:p>
        </w:tc>
        <w:tc>
          <w:tcPr>
            <w:tcW w:w="695" w:type="pct"/>
            <w:tcBorders>
              <w:left w:val="nil"/>
            </w:tcBorders>
            <w:shd w:val="clear" w:color="auto" w:fill="ECECEC"/>
            <w:vAlign w:val="center"/>
          </w:tcPr>
          <w:p w14:paraId="6BF246C4" w14:textId="6A75444E" w:rsidR="008C5735" w:rsidRDefault="008C5735" w:rsidP="00AE2094">
            <w:pPr>
              <w:pStyle w:val="TableParagraph"/>
              <w:spacing w:before="28" w:line="240" w:lineRule="auto"/>
              <w:rPr>
                <w:sz w:val="18"/>
              </w:rPr>
            </w:pPr>
            <w:r>
              <w:rPr>
                <w:sz w:val="18"/>
              </w:rPr>
              <w:t>6/12 (50)</w:t>
            </w:r>
          </w:p>
        </w:tc>
        <w:tc>
          <w:tcPr>
            <w:tcW w:w="695" w:type="pct"/>
            <w:tcBorders>
              <w:left w:val="nil"/>
            </w:tcBorders>
            <w:shd w:val="clear" w:color="auto" w:fill="ECECEC"/>
            <w:vAlign w:val="center"/>
          </w:tcPr>
          <w:p w14:paraId="4891D0A1" w14:textId="37B2F744" w:rsidR="008C5735" w:rsidRDefault="008C5735" w:rsidP="00AE2094">
            <w:pPr>
              <w:pStyle w:val="TableParagraph"/>
              <w:spacing w:before="28" w:line="240" w:lineRule="auto"/>
              <w:rPr>
                <w:sz w:val="18"/>
              </w:rPr>
            </w:pPr>
            <w:r>
              <w:rPr>
                <w:sz w:val="18"/>
              </w:rPr>
              <w:t>147/276</w:t>
            </w:r>
            <w:r w:rsidR="003F296F">
              <w:rPr>
                <w:sz w:val="18"/>
              </w:rPr>
              <w:t xml:space="preserve"> </w:t>
            </w:r>
            <w:r w:rsidRPr="007D6548">
              <w:rPr>
                <w:sz w:val="18"/>
                <w:szCs w:val="18"/>
              </w:rPr>
              <w:t>(53.3)</w:t>
            </w:r>
          </w:p>
        </w:tc>
      </w:tr>
      <w:tr w:rsidR="0058643B" w14:paraId="45EEA5FC" w14:textId="77777777" w:rsidTr="00BB21F9">
        <w:trPr>
          <w:trHeight w:val="280"/>
        </w:trPr>
        <w:tc>
          <w:tcPr>
            <w:tcW w:w="1460" w:type="pct"/>
            <w:tcBorders>
              <w:right w:val="nil"/>
            </w:tcBorders>
            <w:shd w:val="clear" w:color="auto" w:fill="ECECEC"/>
            <w:vAlign w:val="center"/>
          </w:tcPr>
          <w:p w14:paraId="43662492" w14:textId="77777777" w:rsidR="008C5735" w:rsidRDefault="008C5735" w:rsidP="00D336E1">
            <w:pPr>
              <w:pStyle w:val="TableParagraph"/>
              <w:spacing w:before="28" w:line="240" w:lineRule="auto"/>
              <w:ind w:left="270"/>
              <w:jc w:val="left"/>
              <w:rPr>
                <w:sz w:val="18"/>
              </w:rPr>
            </w:pPr>
            <w:r>
              <w:rPr>
                <w:sz w:val="18"/>
              </w:rPr>
              <w:t>Adjusted</w:t>
            </w:r>
            <w:r>
              <w:rPr>
                <w:spacing w:val="-3"/>
                <w:sz w:val="18"/>
              </w:rPr>
              <w:t xml:space="preserve"> </w:t>
            </w:r>
            <w:r>
              <w:rPr>
                <w:sz w:val="18"/>
              </w:rPr>
              <w:t>OR</w:t>
            </w:r>
            <w:r>
              <w:rPr>
                <w:spacing w:val="2"/>
                <w:sz w:val="18"/>
              </w:rPr>
              <w:t xml:space="preserve"> </w:t>
            </w:r>
            <w:r>
              <w:rPr>
                <w:sz w:val="18"/>
              </w:rPr>
              <w:t>-</w:t>
            </w:r>
            <w:r>
              <w:rPr>
                <w:spacing w:val="-2"/>
                <w:sz w:val="18"/>
              </w:rPr>
              <w:t xml:space="preserve"> </w:t>
            </w:r>
            <w:r>
              <w:rPr>
                <w:sz w:val="18"/>
              </w:rPr>
              <w:t>mean</w:t>
            </w:r>
            <w:r>
              <w:rPr>
                <w:spacing w:val="-3"/>
                <w:sz w:val="18"/>
              </w:rPr>
              <w:t xml:space="preserve"> </w:t>
            </w:r>
            <w:r>
              <w:rPr>
                <w:sz w:val="18"/>
              </w:rPr>
              <w:t>(SD)</w:t>
            </w:r>
          </w:p>
        </w:tc>
        <w:tc>
          <w:tcPr>
            <w:tcW w:w="696" w:type="pct"/>
            <w:tcBorders>
              <w:left w:val="nil"/>
              <w:right w:val="nil"/>
            </w:tcBorders>
            <w:shd w:val="clear" w:color="auto" w:fill="ECECEC"/>
            <w:vAlign w:val="center"/>
          </w:tcPr>
          <w:p w14:paraId="4095CB22" w14:textId="02D05030" w:rsidR="008C5735" w:rsidRDefault="008C5735" w:rsidP="00AE2094">
            <w:pPr>
              <w:pStyle w:val="TableParagraph"/>
              <w:spacing w:before="28" w:line="240" w:lineRule="auto"/>
              <w:ind w:left="141"/>
              <w:rPr>
                <w:sz w:val="18"/>
              </w:rPr>
            </w:pPr>
            <w:r>
              <w:rPr>
                <w:sz w:val="18"/>
              </w:rPr>
              <w:t>1.70 (0.29)</w:t>
            </w:r>
          </w:p>
        </w:tc>
        <w:tc>
          <w:tcPr>
            <w:tcW w:w="759" w:type="pct"/>
            <w:gridSpan w:val="2"/>
            <w:tcBorders>
              <w:left w:val="nil"/>
              <w:right w:val="nil"/>
            </w:tcBorders>
            <w:shd w:val="clear" w:color="auto" w:fill="ECECEC"/>
            <w:vAlign w:val="center"/>
          </w:tcPr>
          <w:p w14:paraId="4D9EA5E0" w14:textId="74AAF272" w:rsidR="008C5735" w:rsidRDefault="008C5735" w:rsidP="00AE2094">
            <w:pPr>
              <w:pStyle w:val="TableParagraph"/>
              <w:spacing w:before="28" w:line="240" w:lineRule="auto"/>
              <w:rPr>
                <w:sz w:val="18"/>
              </w:rPr>
            </w:pPr>
            <w:r>
              <w:rPr>
                <w:sz w:val="18"/>
              </w:rPr>
              <w:t>1.46 (0.29)</w:t>
            </w:r>
          </w:p>
        </w:tc>
        <w:tc>
          <w:tcPr>
            <w:tcW w:w="695" w:type="pct"/>
            <w:tcBorders>
              <w:left w:val="nil"/>
              <w:right w:val="nil"/>
            </w:tcBorders>
            <w:shd w:val="clear" w:color="auto" w:fill="ECECEC"/>
            <w:vAlign w:val="center"/>
          </w:tcPr>
          <w:p w14:paraId="5A4E6A00" w14:textId="1493E2B8" w:rsidR="008C5735" w:rsidRDefault="008C5735" w:rsidP="00AE2094">
            <w:pPr>
              <w:pStyle w:val="TableParagraph"/>
              <w:spacing w:before="28" w:line="240" w:lineRule="auto"/>
              <w:rPr>
                <w:sz w:val="18"/>
              </w:rPr>
            </w:pPr>
            <w:r>
              <w:rPr>
                <w:sz w:val="18"/>
              </w:rPr>
              <w:t>1.19 (0.26)</w:t>
            </w:r>
          </w:p>
        </w:tc>
        <w:tc>
          <w:tcPr>
            <w:tcW w:w="695" w:type="pct"/>
            <w:tcBorders>
              <w:left w:val="nil"/>
            </w:tcBorders>
            <w:shd w:val="clear" w:color="auto" w:fill="ECECEC"/>
            <w:vAlign w:val="center"/>
          </w:tcPr>
          <w:p w14:paraId="0D4563DC" w14:textId="0CA0F42B" w:rsidR="008C5735" w:rsidRDefault="008C5735" w:rsidP="00AE2094">
            <w:pPr>
              <w:pStyle w:val="TableParagraph"/>
              <w:spacing w:before="28" w:line="240" w:lineRule="auto"/>
              <w:rPr>
                <w:sz w:val="18"/>
              </w:rPr>
            </w:pPr>
            <w:r>
              <w:rPr>
                <w:sz w:val="18"/>
              </w:rPr>
              <w:t>1.33 (0.79)</w:t>
            </w:r>
          </w:p>
        </w:tc>
        <w:tc>
          <w:tcPr>
            <w:tcW w:w="695" w:type="pct"/>
            <w:tcBorders>
              <w:left w:val="nil"/>
            </w:tcBorders>
            <w:shd w:val="clear" w:color="auto" w:fill="ECECEC"/>
            <w:vAlign w:val="center"/>
          </w:tcPr>
          <w:p w14:paraId="3A14AAF1" w14:textId="77777777" w:rsidR="008C5735" w:rsidRDefault="008C5735" w:rsidP="00AE2094">
            <w:pPr>
              <w:pStyle w:val="TableParagraph"/>
              <w:spacing w:before="28" w:line="240" w:lineRule="auto"/>
              <w:ind w:left="194"/>
              <w:rPr>
                <w:sz w:val="18"/>
              </w:rPr>
            </w:pPr>
            <w:r>
              <w:rPr>
                <w:sz w:val="18"/>
              </w:rPr>
              <w:t>1</w:t>
            </w:r>
          </w:p>
        </w:tc>
      </w:tr>
      <w:tr w:rsidR="0058643B" w14:paraId="1420FA44" w14:textId="77777777" w:rsidTr="00BB21F9">
        <w:trPr>
          <w:trHeight w:val="279"/>
        </w:trPr>
        <w:tc>
          <w:tcPr>
            <w:tcW w:w="1460" w:type="pct"/>
            <w:tcBorders>
              <w:right w:val="nil"/>
            </w:tcBorders>
            <w:shd w:val="clear" w:color="auto" w:fill="ECECEC"/>
            <w:vAlign w:val="center"/>
          </w:tcPr>
          <w:p w14:paraId="6F62847E" w14:textId="77777777" w:rsidR="008C5735" w:rsidRDefault="008C5735" w:rsidP="00D336E1">
            <w:pPr>
              <w:pStyle w:val="TableParagraph"/>
              <w:spacing w:before="28" w:line="240" w:lineRule="auto"/>
              <w:ind w:left="1215"/>
              <w:jc w:val="left"/>
              <w:rPr>
                <w:sz w:val="18"/>
              </w:rPr>
            </w:pPr>
            <w:r>
              <w:rPr>
                <w:sz w:val="18"/>
              </w:rPr>
              <w:t>-</w:t>
            </w:r>
            <w:r>
              <w:rPr>
                <w:spacing w:val="-3"/>
                <w:sz w:val="18"/>
              </w:rPr>
              <w:t xml:space="preserve"> </w:t>
            </w:r>
            <w:r>
              <w:rPr>
                <w:sz w:val="18"/>
              </w:rPr>
              <w:t>median</w:t>
            </w:r>
            <w:r>
              <w:rPr>
                <w:spacing w:val="-2"/>
                <w:sz w:val="18"/>
              </w:rPr>
              <w:t xml:space="preserve"> </w:t>
            </w:r>
            <w:r>
              <w:rPr>
                <w:sz w:val="18"/>
              </w:rPr>
              <w:t>(95%</w:t>
            </w:r>
            <w:r>
              <w:rPr>
                <w:spacing w:val="-1"/>
                <w:sz w:val="18"/>
              </w:rPr>
              <w:t xml:space="preserve"> </w:t>
            </w:r>
            <w:r>
              <w:rPr>
                <w:sz w:val="18"/>
              </w:rPr>
              <w:t>CrI)</w:t>
            </w:r>
          </w:p>
        </w:tc>
        <w:tc>
          <w:tcPr>
            <w:tcW w:w="696" w:type="pct"/>
            <w:tcBorders>
              <w:left w:val="nil"/>
              <w:right w:val="nil"/>
            </w:tcBorders>
            <w:shd w:val="clear" w:color="auto" w:fill="ECECEC"/>
            <w:vAlign w:val="center"/>
          </w:tcPr>
          <w:p w14:paraId="3181CEB5" w14:textId="15C3C7FA" w:rsidR="008C5735" w:rsidRDefault="008C5735" w:rsidP="00AE2094">
            <w:pPr>
              <w:pStyle w:val="TableParagraph"/>
              <w:spacing w:before="28" w:line="240" w:lineRule="auto"/>
              <w:ind w:left="141"/>
              <w:rPr>
                <w:sz w:val="18"/>
              </w:rPr>
            </w:pPr>
            <w:r>
              <w:rPr>
                <w:sz w:val="18"/>
              </w:rPr>
              <w:t>1.67 (1.20 to 2.36)</w:t>
            </w:r>
          </w:p>
        </w:tc>
        <w:tc>
          <w:tcPr>
            <w:tcW w:w="759" w:type="pct"/>
            <w:gridSpan w:val="2"/>
            <w:tcBorders>
              <w:left w:val="nil"/>
              <w:right w:val="nil"/>
            </w:tcBorders>
            <w:shd w:val="clear" w:color="auto" w:fill="ECECEC"/>
            <w:vAlign w:val="center"/>
          </w:tcPr>
          <w:p w14:paraId="5BE3D62F" w14:textId="12DB8EB1" w:rsidR="008C5735" w:rsidRDefault="008C5735" w:rsidP="00AE2094">
            <w:pPr>
              <w:pStyle w:val="TableParagraph"/>
              <w:spacing w:before="28" w:line="240" w:lineRule="auto"/>
              <w:rPr>
                <w:sz w:val="18"/>
              </w:rPr>
            </w:pPr>
            <w:r>
              <w:rPr>
                <w:sz w:val="18"/>
              </w:rPr>
              <w:t>1.43 (0.98 to 2.10)</w:t>
            </w:r>
          </w:p>
        </w:tc>
        <w:tc>
          <w:tcPr>
            <w:tcW w:w="695" w:type="pct"/>
            <w:tcBorders>
              <w:left w:val="nil"/>
              <w:right w:val="nil"/>
            </w:tcBorders>
            <w:shd w:val="clear" w:color="auto" w:fill="ECECEC"/>
            <w:vAlign w:val="center"/>
          </w:tcPr>
          <w:p w14:paraId="4E9CC082" w14:textId="0BFDCE78" w:rsidR="008C5735" w:rsidRDefault="008C5735" w:rsidP="00AE2094">
            <w:pPr>
              <w:pStyle w:val="TableParagraph"/>
              <w:spacing w:before="28" w:line="240" w:lineRule="auto"/>
              <w:rPr>
                <w:sz w:val="18"/>
              </w:rPr>
            </w:pPr>
            <w:r>
              <w:rPr>
                <w:sz w:val="18"/>
              </w:rPr>
              <w:t>1.16 (0.76 to 1.78)</w:t>
            </w:r>
          </w:p>
        </w:tc>
        <w:tc>
          <w:tcPr>
            <w:tcW w:w="695" w:type="pct"/>
            <w:tcBorders>
              <w:left w:val="nil"/>
            </w:tcBorders>
            <w:shd w:val="clear" w:color="auto" w:fill="ECECEC"/>
            <w:vAlign w:val="center"/>
          </w:tcPr>
          <w:p w14:paraId="6E922998" w14:textId="22E6893B" w:rsidR="008C5735" w:rsidRDefault="008C5735" w:rsidP="00AE2094">
            <w:pPr>
              <w:pStyle w:val="TableParagraph"/>
              <w:spacing w:before="28" w:line="240" w:lineRule="auto"/>
              <w:rPr>
                <w:sz w:val="18"/>
              </w:rPr>
            </w:pPr>
            <w:r>
              <w:rPr>
                <w:sz w:val="18"/>
              </w:rPr>
              <w:t>1.15 (0.39 to 3.35)</w:t>
            </w:r>
          </w:p>
        </w:tc>
        <w:tc>
          <w:tcPr>
            <w:tcW w:w="695" w:type="pct"/>
            <w:tcBorders>
              <w:left w:val="nil"/>
            </w:tcBorders>
            <w:shd w:val="clear" w:color="auto" w:fill="ECECEC"/>
            <w:vAlign w:val="center"/>
          </w:tcPr>
          <w:p w14:paraId="78529B69" w14:textId="77777777" w:rsidR="008C5735" w:rsidRDefault="008C5735" w:rsidP="00AE2094">
            <w:pPr>
              <w:pStyle w:val="TableParagraph"/>
              <w:spacing w:before="28" w:line="240" w:lineRule="auto"/>
              <w:ind w:left="194"/>
              <w:rPr>
                <w:sz w:val="18"/>
              </w:rPr>
            </w:pPr>
            <w:r>
              <w:rPr>
                <w:sz w:val="18"/>
              </w:rPr>
              <w:t>1</w:t>
            </w:r>
          </w:p>
        </w:tc>
      </w:tr>
      <w:tr w:rsidR="0058643B" w14:paraId="41C55065" w14:textId="77777777" w:rsidTr="00BB21F9">
        <w:trPr>
          <w:trHeight w:val="280"/>
        </w:trPr>
        <w:tc>
          <w:tcPr>
            <w:tcW w:w="1460" w:type="pct"/>
            <w:tcBorders>
              <w:left w:val="nil"/>
              <w:right w:val="nil"/>
            </w:tcBorders>
            <w:shd w:val="clear" w:color="auto" w:fill="ECECEC"/>
            <w:vAlign w:val="center"/>
          </w:tcPr>
          <w:p w14:paraId="502DC490" w14:textId="77777777" w:rsidR="008C5735" w:rsidRDefault="008C5735" w:rsidP="00D336E1">
            <w:pPr>
              <w:pStyle w:val="TableParagraph"/>
              <w:spacing w:before="29" w:line="240" w:lineRule="auto"/>
              <w:ind w:left="275"/>
              <w:jc w:val="left"/>
              <w:rPr>
                <w:sz w:val="18"/>
              </w:rPr>
            </w:pPr>
            <w:r>
              <w:rPr>
                <w:sz w:val="18"/>
              </w:rPr>
              <w:lastRenderedPageBreak/>
              <w:t>Probability</w:t>
            </w:r>
            <w:r>
              <w:rPr>
                <w:spacing w:val="-6"/>
                <w:sz w:val="18"/>
              </w:rPr>
              <w:t xml:space="preserve"> </w:t>
            </w:r>
            <w:r>
              <w:rPr>
                <w:sz w:val="18"/>
              </w:rPr>
              <w:t>of</w:t>
            </w:r>
            <w:r>
              <w:rPr>
                <w:spacing w:val="-3"/>
                <w:sz w:val="18"/>
              </w:rPr>
              <w:t xml:space="preserve"> </w:t>
            </w:r>
            <w:r>
              <w:rPr>
                <w:sz w:val="18"/>
              </w:rPr>
              <w:t>superiority</w:t>
            </w:r>
            <w:r>
              <w:rPr>
                <w:spacing w:val="-5"/>
                <w:sz w:val="18"/>
              </w:rPr>
              <w:t xml:space="preserve"> </w:t>
            </w:r>
            <w:r>
              <w:rPr>
                <w:sz w:val="18"/>
              </w:rPr>
              <w:t>to</w:t>
            </w:r>
            <w:r>
              <w:rPr>
                <w:spacing w:val="-4"/>
                <w:sz w:val="18"/>
              </w:rPr>
              <w:t xml:space="preserve"> </w:t>
            </w:r>
            <w:r>
              <w:rPr>
                <w:sz w:val="18"/>
              </w:rPr>
              <w:t>control,</w:t>
            </w:r>
            <w:r>
              <w:rPr>
                <w:spacing w:val="-3"/>
                <w:sz w:val="18"/>
              </w:rPr>
              <w:t xml:space="preserve"> </w:t>
            </w:r>
            <w:r>
              <w:rPr>
                <w:sz w:val="18"/>
              </w:rPr>
              <w:t>%</w:t>
            </w:r>
          </w:p>
        </w:tc>
        <w:tc>
          <w:tcPr>
            <w:tcW w:w="696" w:type="pct"/>
            <w:tcBorders>
              <w:left w:val="nil"/>
              <w:right w:val="nil"/>
            </w:tcBorders>
            <w:shd w:val="clear" w:color="auto" w:fill="ECECEC"/>
            <w:vAlign w:val="center"/>
          </w:tcPr>
          <w:p w14:paraId="06DABB8E" w14:textId="012B5E0A" w:rsidR="008C5735" w:rsidRDefault="008C5735" w:rsidP="00AE2094">
            <w:pPr>
              <w:pStyle w:val="TableParagraph"/>
              <w:spacing w:before="29" w:line="240" w:lineRule="auto"/>
              <w:ind w:left="156"/>
              <w:rPr>
                <w:sz w:val="18"/>
              </w:rPr>
            </w:pPr>
            <w:r>
              <w:rPr>
                <w:sz w:val="18"/>
              </w:rPr>
              <w:t>99.9</w:t>
            </w:r>
          </w:p>
        </w:tc>
        <w:tc>
          <w:tcPr>
            <w:tcW w:w="759" w:type="pct"/>
            <w:gridSpan w:val="2"/>
            <w:tcBorders>
              <w:left w:val="nil"/>
              <w:right w:val="nil"/>
            </w:tcBorders>
            <w:shd w:val="clear" w:color="auto" w:fill="ECECEC"/>
            <w:vAlign w:val="center"/>
          </w:tcPr>
          <w:p w14:paraId="1059F800" w14:textId="77C346EF" w:rsidR="008C5735" w:rsidRDefault="008C5735" w:rsidP="00AE2094">
            <w:pPr>
              <w:pStyle w:val="TableParagraph"/>
              <w:spacing w:before="29" w:line="240" w:lineRule="auto"/>
              <w:rPr>
                <w:sz w:val="18"/>
              </w:rPr>
            </w:pPr>
            <w:r>
              <w:rPr>
                <w:sz w:val="18"/>
              </w:rPr>
              <w:t>96.9</w:t>
            </w:r>
          </w:p>
        </w:tc>
        <w:tc>
          <w:tcPr>
            <w:tcW w:w="695" w:type="pct"/>
            <w:tcBorders>
              <w:left w:val="nil"/>
              <w:right w:val="nil"/>
            </w:tcBorders>
            <w:shd w:val="clear" w:color="auto" w:fill="ECECEC"/>
            <w:vAlign w:val="center"/>
          </w:tcPr>
          <w:p w14:paraId="668BE16D" w14:textId="19854836" w:rsidR="008C5735" w:rsidRDefault="008C5735" w:rsidP="00AE2094">
            <w:pPr>
              <w:pStyle w:val="TableParagraph"/>
              <w:spacing w:before="29" w:line="240" w:lineRule="auto"/>
              <w:rPr>
                <w:sz w:val="18"/>
              </w:rPr>
            </w:pPr>
            <w:r>
              <w:rPr>
                <w:sz w:val="18"/>
              </w:rPr>
              <w:t>75.0</w:t>
            </w:r>
          </w:p>
        </w:tc>
        <w:tc>
          <w:tcPr>
            <w:tcW w:w="695" w:type="pct"/>
            <w:tcBorders>
              <w:left w:val="nil"/>
              <w:right w:val="nil"/>
            </w:tcBorders>
            <w:shd w:val="clear" w:color="auto" w:fill="ECECEC"/>
            <w:vAlign w:val="center"/>
          </w:tcPr>
          <w:p w14:paraId="1F54131A" w14:textId="292FECF3" w:rsidR="008C5735" w:rsidRDefault="008C5735" w:rsidP="00AE2094">
            <w:pPr>
              <w:pStyle w:val="TableParagraph"/>
              <w:spacing w:before="29" w:line="240" w:lineRule="auto"/>
              <w:ind w:left="209"/>
              <w:rPr>
                <w:sz w:val="18"/>
              </w:rPr>
            </w:pPr>
            <w:r>
              <w:rPr>
                <w:sz w:val="18"/>
              </w:rPr>
              <w:t>59.6</w:t>
            </w:r>
          </w:p>
        </w:tc>
        <w:tc>
          <w:tcPr>
            <w:tcW w:w="695" w:type="pct"/>
            <w:tcBorders>
              <w:left w:val="nil"/>
              <w:right w:val="nil"/>
            </w:tcBorders>
            <w:shd w:val="clear" w:color="auto" w:fill="ECECEC"/>
            <w:vAlign w:val="center"/>
          </w:tcPr>
          <w:p w14:paraId="776D93A0" w14:textId="77777777" w:rsidR="008C5735" w:rsidRDefault="008C5735" w:rsidP="00AE2094">
            <w:pPr>
              <w:pStyle w:val="TableParagraph"/>
              <w:spacing w:before="29" w:line="240" w:lineRule="auto"/>
              <w:ind w:left="209"/>
              <w:rPr>
                <w:sz w:val="18"/>
              </w:rPr>
            </w:pPr>
            <w:r>
              <w:rPr>
                <w:sz w:val="18"/>
              </w:rPr>
              <w:t>-</w:t>
            </w:r>
          </w:p>
        </w:tc>
      </w:tr>
      <w:tr w:rsidR="00D336E1" w14:paraId="00355E4F" w14:textId="77777777" w:rsidTr="00BB21F9">
        <w:trPr>
          <w:trHeight w:val="277"/>
        </w:trPr>
        <w:tc>
          <w:tcPr>
            <w:tcW w:w="1460" w:type="pct"/>
            <w:tcBorders>
              <w:bottom w:val="dashSmallGap" w:sz="6" w:space="0" w:color="D8D8D8"/>
            </w:tcBorders>
            <w:shd w:val="clear" w:color="auto" w:fill="ECECEC"/>
            <w:vAlign w:val="center"/>
          </w:tcPr>
          <w:p w14:paraId="38A05839" w14:textId="77777777" w:rsidR="00D336E1" w:rsidRDefault="00D336E1" w:rsidP="00D336E1">
            <w:pPr>
              <w:pStyle w:val="TableParagraph"/>
              <w:spacing w:before="28" w:line="240" w:lineRule="auto"/>
              <w:ind w:left="285"/>
              <w:jc w:val="left"/>
              <w:rPr>
                <w:sz w:val="18"/>
              </w:rPr>
            </w:pPr>
            <w:r>
              <w:rPr>
                <w:sz w:val="18"/>
              </w:rPr>
              <w:t>Individual</w:t>
            </w:r>
            <w:r>
              <w:rPr>
                <w:spacing w:val="-7"/>
                <w:sz w:val="18"/>
              </w:rPr>
              <w:t xml:space="preserve"> </w:t>
            </w:r>
            <w:r>
              <w:rPr>
                <w:sz w:val="18"/>
              </w:rPr>
              <w:t>components</w:t>
            </w:r>
            <w:r>
              <w:rPr>
                <w:spacing w:val="-5"/>
                <w:sz w:val="18"/>
              </w:rPr>
              <w:t xml:space="preserve"> </w:t>
            </w:r>
            <w:r>
              <w:rPr>
                <w:sz w:val="18"/>
              </w:rPr>
              <w:t>of</w:t>
            </w:r>
            <w:r>
              <w:rPr>
                <w:spacing w:val="-5"/>
                <w:sz w:val="18"/>
              </w:rPr>
              <w:t xml:space="preserve"> </w:t>
            </w:r>
            <w:r>
              <w:rPr>
                <w:sz w:val="18"/>
              </w:rPr>
              <w:t>progression</w:t>
            </w:r>
            <w:r>
              <w:rPr>
                <w:spacing w:val="-4"/>
                <w:sz w:val="18"/>
              </w:rPr>
              <w:t xml:space="preserve"> </w:t>
            </w:r>
            <w:r>
              <w:rPr>
                <w:sz w:val="18"/>
              </w:rPr>
              <w:t>*</w:t>
            </w:r>
          </w:p>
        </w:tc>
        <w:tc>
          <w:tcPr>
            <w:tcW w:w="3540" w:type="pct"/>
            <w:gridSpan w:val="6"/>
            <w:tcBorders>
              <w:bottom w:val="dashSmallGap" w:sz="6" w:space="0" w:color="D8D8D8"/>
            </w:tcBorders>
            <w:shd w:val="clear" w:color="auto" w:fill="ECECEC"/>
            <w:vAlign w:val="center"/>
          </w:tcPr>
          <w:p w14:paraId="1A2E6069" w14:textId="1DED6DF7" w:rsidR="00D336E1" w:rsidRDefault="00D336E1" w:rsidP="00D336E1">
            <w:pPr>
              <w:pStyle w:val="TableParagraph"/>
              <w:spacing w:before="28" w:line="240" w:lineRule="auto"/>
              <w:ind w:left="285"/>
              <w:rPr>
                <w:sz w:val="18"/>
              </w:rPr>
            </w:pPr>
          </w:p>
        </w:tc>
      </w:tr>
      <w:tr w:rsidR="0058643B" w14:paraId="6831704D" w14:textId="77777777" w:rsidTr="00BB21F9">
        <w:trPr>
          <w:trHeight w:val="272"/>
        </w:trPr>
        <w:tc>
          <w:tcPr>
            <w:tcW w:w="1460" w:type="pct"/>
            <w:tcBorders>
              <w:top w:val="dashSmallGap" w:sz="6" w:space="0" w:color="D8D8D8"/>
              <w:right w:val="nil"/>
            </w:tcBorders>
            <w:shd w:val="clear" w:color="auto" w:fill="ECECEC"/>
            <w:vAlign w:val="center"/>
          </w:tcPr>
          <w:p w14:paraId="1A6FBF17" w14:textId="77777777" w:rsidR="008C5735" w:rsidRDefault="008C5735" w:rsidP="00D336E1">
            <w:pPr>
              <w:pStyle w:val="TableParagraph"/>
              <w:spacing w:before="26" w:line="240" w:lineRule="auto"/>
              <w:ind w:left="430"/>
              <w:jc w:val="left"/>
              <w:rPr>
                <w:sz w:val="18"/>
              </w:rPr>
            </w:pPr>
            <w:r>
              <w:rPr>
                <w:sz w:val="18"/>
              </w:rPr>
              <w:t>Intubation,</w:t>
            </w:r>
            <w:r>
              <w:rPr>
                <w:spacing w:val="-3"/>
                <w:sz w:val="18"/>
              </w:rPr>
              <w:t xml:space="preserve"> </w:t>
            </w:r>
            <w:r>
              <w:rPr>
                <w:sz w:val="18"/>
              </w:rPr>
              <w:t>n</w:t>
            </w:r>
            <w:r>
              <w:rPr>
                <w:spacing w:val="-2"/>
                <w:sz w:val="18"/>
              </w:rPr>
              <w:t xml:space="preserve"> </w:t>
            </w:r>
            <w:r>
              <w:rPr>
                <w:sz w:val="18"/>
              </w:rPr>
              <w:t>(%)</w:t>
            </w:r>
          </w:p>
        </w:tc>
        <w:tc>
          <w:tcPr>
            <w:tcW w:w="696" w:type="pct"/>
            <w:tcBorders>
              <w:top w:val="dashSmallGap" w:sz="6" w:space="0" w:color="D8D8D8"/>
              <w:left w:val="nil"/>
              <w:right w:val="nil"/>
            </w:tcBorders>
            <w:shd w:val="clear" w:color="auto" w:fill="ECECEC"/>
            <w:vAlign w:val="center"/>
          </w:tcPr>
          <w:p w14:paraId="4C028649" w14:textId="2EA1FBFF" w:rsidR="008C5735" w:rsidRDefault="008C5735" w:rsidP="00AE2094">
            <w:pPr>
              <w:pStyle w:val="TableParagraph"/>
              <w:spacing w:before="26" w:line="240" w:lineRule="auto"/>
              <w:ind w:left="141"/>
              <w:rPr>
                <w:sz w:val="18"/>
              </w:rPr>
            </w:pPr>
            <w:r>
              <w:rPr>
                <w:sz w:val="18"/>
              </w:rPr>
              <w:t>214 (34.9)</w:t>
            </w:r>
          </w:p>
        </w:tc>
        <w:tc>
          <w:tcPr>
            <w:tcW w:w="759" w:type="pct"/>
            <w:gridSpan w:val="2"/>
            <w:tcBorders>
              <w:top w:val="dashSmallGap" w:sz="6" w:space="0" w:color="D8D8D8"/>
              <w:left w:val="nil"/>
              <w:right w:val="nil"/>
            </w:tcBorders>
            <w:shd w:val="clear" w:color="auto" w:fill="ECECEC"/>
            <w:vAlign w:val="center"/>
          </w:tcPr>
          <w:p w14:paraId="17E677D1" w14:textId="174D37B0" w:rsidR="008C5735" w:rsidRDefault="008C5735" w:rsidP="00AE2094">
            <w:pPr>
              <w:pStyle w:val="TableParagraph"/>
              <w:spacing w:before="26" w:line="240" w:lineRule="auto"/>
              <w:rPr>
                <w:sz w:val="18"/>
              </w:rPr>
            </w:pPr>
            <w:r>
              <w:rPr>
                <w:sz w:val="18"/>
              </w:rPr>
              <w:t>110 (33.2)</w:t>
            </w:r>
          </w:p>
        </w:tc>
        <w:tc>
          <w:tcPr>
            <w:tcW w:w="695" w:type="pct"/>
            <w:tcBorders>
              <w:top w:val="dashSmallGap" w:sz="6" w:space="0" w:color="D8D8D8"/>
              <w:left w:val="nil"/>
              <w:right w:val="nil"/>
            </w:tcBorders>
            <w:shd w:val="clear" w:color="auto" w:fill="ECECEC"/>
            <w:vAlign w:val="center"/>
          </w:tcPr>
          <w:p w14:paraId="7F8F5C0C" w14:textId="408A776D" w:rsidR="008C5735" w:rsidRDefault="008C5735" w:rsidP="00AE2094">
            <w:pPr>
              <w:pStyle w:val="TableParagraph"/>
              <w:spacing w:before="26" w:line="240" w:lineRule="auto"/>
              <w:rPr>
                <w:sz w:val="18"/>
              </w:rPr>
            </w:pPr>
            <w:r>
              <w:rPr>
                <w:sz w:val="18"/>
              </w:rPr>
              <w:t>103 (45.2)</w:t>
            </w:r>
          </w:p>
        </w:tc>
        <w:tc>
          <w:tcPr>
            <w:tcW w:w="695" w:type="pct"/>
            <w:tcBorders>
              <w:top w:val="dashSmallGap" w:sz="6" w:space="0" w:color="D8D8D8"/>
              <w:left w:val="nil"/>
            </w:tcBorders>
            <w:shd w:val="clear" w:color="auto" w:fill="ECECEC"/>
            <w:vAlign w:val="center"/>
          </w:tcPr>
          <w:p w14:paraId="39CB315F" w14:textId="085E0A72" w:rsidR="008C5735" w:rsidRDefault="008C5735" w:rsidP="00AE2094">
            <w:pPr>
              <w:pStyle w:val="TableParagraph"/>
              <w:spacing w:before="26" w:line="240" w:lineRule="auto"/>
              <w:ind w:left="194"/>
              <w:rPr>
                <w:sz w:val="18"/>
              </w:rPr>
            </w:pPr>
            <w:r>
              <w:rPr>
                <w:sz w:val="18"/>
              </w:rPr>
              <w:t>6 (50)</w:t>
            </w:r>
          </w:p>
        </w:tc>
        <w:tc>
          <w:tcPr>
            <w:tcW w:w="695" w:type="pct"/>
            <w:tcBorders>
              <w:top w:val="dashSmallGap" w:sz="6" w:space="0" w:color="D8D8D8"/>
              <w:left w:val="nil"/>
            </w:tcBorders>
            <w:shd w:val="clear" w:color="auto" w:fill="ECECEC"/>
            <w:vAlign w:val="center"/>
          </w:tcPr>
          <w:p w14:paraId="4331CA7A" w14:textId="1AC37109" w:rsidR="008C5735" w:rsidRDefault="008C5735" w:rsidP="00AE2094">
            <w:pPr>
              <w:pStyle w:val="TableParagraph"/>
              <w:spacing w:before="26" w:line="240" w:lineRule="auto"/>
              <w:ind w:left="194"/>
              <w:rPr>
                <w:sz w:val="18"/>
              </w:rPr>
            </w:pPr>
            <w:r>
              <w:rPr>
                <w:sz w:val="18"/>
              </w:rPr>
              <w:t>121 (43.8)</w:t>
            </w:r>
          </w:p>
        </w:tc>
      </w:tr>
      <w:tr w:rsidR="0058643B" w14:paraId="11A16565" w14:textId="77777777" w:rsidTr="00BB21F9">
        <w:trPr>
          <w:trHeight w:val="280"/>
        </w:trPr>
        <w:tc>
          <w:tcPr>
            <w:tcW w:w="1460" w:type="pct"/>
            <w:tcBorders>
              <w:right w:val="nil"/>
            </w:tcBorders>
            <w:shd w:val="clear" w:color="auto" w:fill="ECECEC"/>
            <w:vAlign w:val="center"/>
          </w:tcPr>
          <w:p w14:paraId="4BAE2CD6" w14:textId="77777777" w:rsidR="008C5735" w:rsidRDefault="008C5735" w:rsidP="00D336E1">
            <w:pPr>
              <w:pStyle w:val="TableParagraph"/>
              <w:spacing w:before="28" w:line="240" w:lineRule="auto"/>
              <w:ind w:left="430"/>
              <w:jc w:val="left"/>
              <w:rPr>
                <w:sz w:val="18"/>
              </w:rPr>
            </w:pPr>
            <w:r>
              <w:rPr>
                <w:sz w:val="18"/>
              </w:rPr>
              <w:t>ECMO,</w:t>
            </w:r>
            <w:r>
              <w:rPr>
                <w:spacing w:val="-1"/>
                <w:sz w:val="18"/>
              </w:rPr>
              <w:t xml:space="preserve"> </w:t>
            </w:r>
            <w:r>
              <w:rPr>
                <w:sz w:val="18"/>
              </w:rPr>
              <w:t>n</w:t>
            </w:r>
            <w:r>
              <w:rPr>
                <w:spacing w:val="-1"/>
                <w:sz w:val="18"/>
              </w:rPr>
              <w:t xml:space="preserve"> </w:t>
            </w:r>
            <w:r>
              <w:rPr>
                <w:sz w:val="18"/>
              </w:rPr>
              <w:t>(%)</w:t>
            </w:r>
          </w:p>
        </w:tc>
        <w:tc>
          <w:tcPr>
            <w:tcW w:w="696" w:type="pct"/>
            <w:tcBorders>
              <w:left w:val="nil"/>
              <w:right w:val="nil"/>
            </w:tcBorders>
            <w:shd w:val="clear" w:color="auto" w:fill="ECECEC"/>
            <w:vAlign w:val="center"/>
          </w:tcPr>
          <w:p w14:paraId="73FAF909" w14:textId="7CEBBE13" w:rsidR="008C5735" w:rsidRDefault="008C5735" w:rsidP="00AE2094">
            <w:pPr>
              <w:pStyle w:val="TableParagraph"/>
              <w:spacing w:before="28" w:line="240" w:lineRule="auto"/>
              <w:ind w:left="141"/>
              <w:rPr>
                <w:sz w:val="18"/>
              </w:rPr>
            </w:pPr>
            <w:r>
              <w:rPr>
                <w:sz w:val="18"/>
              </w:rPr>
              <w:t>6 (1)</w:t>
            </w:r>
          </w:p>
        </w:tc>
        <w:tc>
          <w:tcPr>
            <w:tcW w:w="759" w:type="pct"/>
            <w:gridSpan w:val="2"/>
            <w:tcBorders>
              <w:left w:val="nil"/>
              <w:right w:val="nil"/>
            </w:tcBorders>
            <w:shd w:val="clear" w:color="auto" w:fill="ECECEC"/>
            <w:vAlign w:val="center"/>
          </w:tcPr>
          <w:p w14:paraId="7E30D2AA" w14:textId="7AE7CDCB" w:rsidR="008C5735" w:rsidRDefault="008C5735" w:rsidP="00AE2094">
            <w:pPr>
              <w:pStyle w:val="TableParagraph"/>
              <w:spacing w:before="28" w:line="240" w:lineRule="auto"/>
              <w:rPr>
                <w:sz w:val="18"/>
              </w:rPr>
            </w:pPr>
            <w:r>
              <w:rPr>
                <w:sz w:val="18"/>
              </w:rPr>
              <w:t>3 (0.9)</w:t>
            </w:r>
          </w:p>
        </w:tc>
        <w:tc>
          <w:tcPr>
            <w:tcW w:w="695" w:type="pct"/>
            <w:tcBorders>
              <w:left w:val="nil"/>
              <w:right w:val="nil"/>
            </w:tcBorders>
            <w:shd w:val="clear" w:color="auto" w:fill="ECECEC"/>
            <w:vAlign w:val="center"/>
          </w:tcPr>
          <w:p w14:paraId="320EC276" w14:textId="74C17D6B" w:rsidR="008C5735" w:rsidRDefault="008C5735" w:rsidP="00AE2094">
            <w:pPr>
              <w:pStyle w:val="TableParagraph"/>
              <w:spacing w:before="28" w:line="240" w:lineRule="auto"/>
              <w:rPr>
                <w:sz w:val="18"/>
              </w:rPr>
            </w:pPr>
            <w:r>
              <w:rPr>
                <w:sz w:val="18"/>
              </w:rPr>
              <w:t>2 (0.9)</w:t>
            </w:r>
          </w:p>
        </w:tc>
        <w:tc>
          <w:tcPr>
            <w:tcW w:w="695" w:type="pct"/>
            <w:tcBorders>
              <w:left w:val="nil"/>
            </w:tcBorders>
            <w:shd w:val="clear" w:color="auto" w:fill="ECECEC"/>
            <w:vAlign w:val="center"/>
          </w:tcPr>
          <w:p w14:paraId="7B4708B2" w14:textId="29CEDE5B" w:rsidR="008C5735" w:rsidRDefault="008C5735" w:rsidP="00AE2094">
            <w:pPr>
              <w:pStyle w:val="TableParagraph"/>
              <w:spacing w:before="28" w:line="240" w:lineRule="auto"/>
              <w:ind w:left="194"/>
              <w:rPr>
                <w:sz w:val="18"/>
              </w:rPr>
            </w:pPr>
            <w:r>
              <w:rPr>
                <w:sz w:val="18"/>
              </w:rPr>
              <w:t>0 (0)</w:t>
            </w:r>
          </w:p>
        </w:tc>
        <w:tc>
          <w:tcPr>
            <w:tcW w:w="695" w:type="pct"/>
            <w:tcBorders>
              <w:left w:val="nil"/>
            </w:tcBorders>
            <w:shd w:val="clear" w:color="auto" w:fill="ECECEC"/>
            <w:vAlign w:val="center"/>
          </w:tcPr>
          <w:p w14:paraId="6F25A114" w14:textId="00351B69" w:rsidR="008C5735" w:rsidRDefault="008C5735" w:rsidP="00AE2094">
            <w:pPr>
              <w:pStyle w:val="TableParagraph"/>
              <w:spacing w:before="28" w:line="240" w:lineRule="auto"/>
              <w:ind w:left="194"/>
              <w:rPr>
                <w:sz w:val="18"/>
              </w:rPr>
            </w:pPr>
            <w:r>
              <w:rPr>
                <w:sz w:val="18"/>
              </w:rPr>
              <w:t>3 (1.1)</w:t>
            </w:r>
          </w:p>
        </w:tc>
      </w:tr>
      <w:tr w:rsidR="0058643B" w14:paraId="525F1E07" w14:textId="77777777" w:rsidTr="00BB21F9">
        <w:trPr>
          <w:trHeight w:val="279"/>
        </w:trPr>
        <w:tc>
          <w:tcPr>
            <w:tcW w:w="1460" w:type="pct"/>
            <w:tcBorders>
              <w:right w:val="nil"/>
            </w:tcBorders>
            <w:shd w:val="clear" w:color="auto" w:fill="ECECEC"/>
            <w:vAlign w:val="center"/>
          </w:tcPr>
          <w:p w14:paraId="77BB812B" w14:textId="46F7FDB7" w:rsidR="008C5735" w:rsidRDefault="008C5735" w:rsidP="00CC768E">
            <w:pPr>
              <w:pStyle w:val="TableParagraph"/>
              <w:spacing w:before="28" w:line="240" w:lineRule="auto"/>
              <w:jc w:val="left"/>
              <w:rPr>
                <w:sz w:val="18"/>
              </w:rPr>
            </w:pPr>
            <w:r>
              <w:rPr>
                <w:sz w:val="18"/>
              </w:rPr>
              <w:t>Death,</w:t>
            </w:r>
            <w:r>
              <w:rPr>
                <w:spacing w:val="-2"/>
                <w:sz w:val="18"/>
              </w:rPr>
              <w:t xml:space="preserve"> </w:t>
            </w:r>
            <w:r>
              <w:rPr>
                <w:sz w:val="18"/>
              </w:rPr>
              <w:t>n</w:t>
            </w:r>
            <w:r>
              <w:rPr>
                <w:spacing w:val="-2"/>
                <w:sz w:val="18"/>
              </w:rPr>
              <w:t xml:space="preserve"> </w:t>
            </w:r>
            <w:r>
              <w:rPr>
                <w:sz w:val="18"/>
              </w:rPr>
              <w:t>(%)</w:t>
            </w:r>
          </w:p>
        </w:tc>
        <w:tc>
          <w:tcPr>
            <w:tcW w:w="696" w:type="pct"/>
            <w:tcBorders>
              <w:left w:val="nil"/>
              <w:right w:val="nil"/>
            </w:tcBorders>
            <w:shd w:val="clear" w:color="auto" w:fill="ECECEC"/>
            <w:vAlign w:val="center"/>
          </w:tcPr>
          <w:p w14:paraId="6F5758A3" w14:textId="1069302A" w:rsidR="008C5735" w:rsidRDefault="008C5735" w:rsidP="00AE2094">
            <w:pPr>
              <w:pStyle w:val="TableParagraph"/>
              <w:spacing w:before="28" w:line="240" w:lineRule="auto"/>
              <w:ind w:left="141"/>
              <w:rPr>
                <w:sz w:val="18"/>
              </w:rPr>
            </w:pPr>
            <w:r>
              <w:rPr>
                <w:sz w:val="18"/>
              </w:rPr>
              <w:t>173 (28.2)</w:t>
            </w:r>
          </w:p>
        </w:tc>
        <w:tc>
          <w:tcPr>
            <w:tcW w:w="759" w:type="pct"/>
            <w:gridSpan w:val="2"/>
            <w:tcBorders>
              <w:left w:val="nil"/>
              <w:right w:val="nil"/>
            </w:tcBorders>
            <w:shd w:val="clear" w:color="auto" w:fill="ECECEC"/>
            <w:vAlign w:val="center"/>
          </w:tcPr>
          <w:p w14:paraId="04F05589" w14:textId="2E696465" w:rsidR="008C5735" w:rsidRDefault="008C5735" w:rsidP="00AE2094">
            <w:pPr>
              <w:pStyle w:val="TableParagraph"/>
              <w:spacing w:before="28" w:line="240" w:lineRule="auto"/>
              <w:rPr>
                <w:sz w:val="18"/>
              </w:rPr>
            </w:pPr>
            <w:r>
              <w:rPr>
                <w:sz w:val="18"/>
              </w:rPr>
              <w:t>102 (30.8)</w:t>
            </w:r>
          </w:p>
        </w:tc>
        <w:tc>
          <w:tcPr>
            <w:tcW w:w="695" w:type="pct"/>
            <w:tcBorders>
              <w:left w:val="nil"/>
              <w:right w:val="nil"/>
            </w:tcBorders>
            <w:shd w:val="clear" w:color="auto" w:fill="ECECEC"/>
            <w:vAlign w:val="center"/>
          </w:tcPr>
          <w:p w14:paraId="130E270A" w14:textId="2E6BB9FC" w:rsidR="008C5735" w:rsidRDefault="008C5735" w:rsidP="00AE2094">
            <w:pPr>
              <w:pStyle w:val="TableParagraph"/>
              <w:spacing w:before="28" w:line="240" w:lineRule="auto"/>
              <w:rPr>
                <w:sz w:val="18"/>
              </w:rPr>
            </w:pPr>
            <w:r>
              <w:rPr>
                <w:sz w:val="18"/>
              </w:rPr>
              <w:t>75 (32.9)</w:t>
            </w:r>
          </w:p>
        </w:tc>
        <w:tc>
          <w:tcPr>
            <w:tcW w:w="695" w:type="pct"/>
            <w:tcBorders>
              <w:left w:val="nil"/>
            </w:tcBorders>
            <w:shd w:val="clear" w:color="auto" w:fill="ECECEC"/>
            <w:vAlign w:val="center"/>
          </w:tcPr>
          <w:p w14:paraId="20FC5BF0" w14:textId="1C3D5430" w:rsidR="008C5735" w:rsidRDefault="008C5735" w:rsidP="00AE2094">
            <w:pPr>
              <w:pStyle w:val="TableParagraph"/>
              <w:spacing w:before="28" w:line="240" w:lineRule="auto"/>
              <w:ind w:left="194"/>
              <w:rPr>
                <w:sz w:val="18"/>
              </w:rPr>
            </w:pPr>
            <w:r>
              <w:rPr>
                <w:sz w:val="18"/>
              </w:rPr>
              <w:t>3 (25)</w:t>
            </w:r>
          </w:p>
        </w:tc>
        <w:tc>
          <w:tcPr>
            <w:tcW w:w="695" w:type="pct"/>
            <w:tcBorders>
              <w:left w:val="nil"/>
            </w:tcBorders>
            <w:shd w:val="clear" w:color="auto" w:fill="ECECEC"/>
            <w:vAlign w:val="center"/>
          </w:tcPr>
          <w:p w14:paraId="0C5FCD99" w14:textId="77D364CA" w:rsidR="008C5735" w:rsidRDefault="008C5735" w:rsidP="00AE2094">
            <w:pPr>
              <w:pStyle w:val="TableParagraph"/>
              <w:spacing w:before="28" w:line="240" w:lineRule="auto"/>
              <w:ind w:left="194"/>
              <w:rPr>
                <w:sz w:val="18"/>
              </w:rPr>
            </w:pPr>
            <w:r>
              <w:rPr>
                <w:sz w:val="18"/>
              </w:rPr>
              <w:t>88 (31.9)</w:t>
            </w:r>
          </w:p>
        </w:tc>
      </w:tr>
      <w:tr w:rsidR="00AE2094" w14:paraId="40A3FA37" w14:textId="77777777" w:rsidTr="00BB21F9">
        <w:trPr>
          <w:trHeight w:val="279"/>
        </w:trPr>
        <w:tc>
          <w:tcPr>
            <w:tcW w:w="1460" w:type="pct"/>
            <w:tcBorders>
              <w:right w:val="nil"/>
            </w:tcBorders>
            <w:shd w:val="clear" w:color="auto" w:fill="ECECEC"/>
          </w:tcPr>
          <w:p w14:paraId="2D3FEA0E" w14:textId="54696752" w:rsidR="00AE2094" w:rsidRDefault="00AE2094" w:rsidP="00CC768E">
            <w:pPr>
              <w:pStyle w:val="TableParagraph"/>
              <w:spacing w:before="28" w:line="240" w:lineRule="auto"/>
              <w:jc w:val="left"/>
              <w:rPr>
                <w:sz w:val="18"/>
              </w:rPr>
            </w:pPr>
            <w:r w:rsidRPr="00A046A9">
              <w:rPr>
                <w:b/>
                <w:sz w:val="18"/>
                <w:szCs w:val="18"/>
              </w:rPr>
              <w:t xml:space="preserve">Secondary analysis of </w:t>
            </w:r>
            <w:r>
              <w:rPr>
                <w:b/>
                <w:sz w:val="18"/>
                <w:szCs w:val="18"/>
              </w:rPr>
              <w:t>major thrombotic events or death*</w:t>
            </w:r>
          </w:p>
        </w:tc>
        <w:tc>
          <w:tcPr>
            <w:tcW w:w="3540" w:type="pct"/>
            <w:gridSpan w:val="6"/>
            <w:tcBorders>
              <w:left w:val="nil"/>
            </w:tcBorders>
            <w:shd w:val="clear" w:color="auto" w:fill="ECECEC"/>
            <w:vAlign w:val="center"/>
          </w:tcPr>
          <w:p w14:paraId="36504641" w14:textId="77777777" w:rsidR="00AE2094" w:rsidRDefault="00AE2094" w:rsidP="00CC768E">
            <w:pPr>
              <w:pStyle w:val="TableParagraph"/>
              <w:spacing w:before="28" w:line="240" w:lineRule="auto"/>
              <w:ind w:left="194"/>
              <w:rPr>
                <w:sz w:val="18"/>
              </w:rPr>
            </w:pPr>
          </w:p>
        </w:tc>
      </w:tr>
      <w:tr w:rsidR="00CC768E" w14:paraId="19E830CE" w14:textId="77777777" w:rsidTr="00BB21F9">
        <w:trPr>
          <w:trHeight w:val="279"/>
        </w:trPr>
        <w:tc>
          <w:tcPr>
            <w:tcW w:w="1460" w:type="pct"/>
            <w:tcBorders>
              <w:right w:val="nil"/>
            </w:tcBorders>
            <w:shd w:val="clear" w:color="auto" w:fill="ECECEC"/>
          </w:tcPr>
          <w:p w14:paraId="3825E583" w14:textId="7BA52154" w:rsidR="00CC768E" w:rsidRPr="00A046A9" w:rsidRDefault="00CC768E" w:rsidP="00CC768E">
            <w:pPr>
              <w:pStyle w:val="TableParagraph"/>
              <w:spacing w:before="28" w:line="240" w:lineRule="auto"/>
              <w:jc w:val="left"/>
              <w:rPr>
                <w:b/>
                <w:sz w:val="18"/>
                <w:szCs w:val="18"/>
              </w:rPr>
            </w:pPr>
            <w:r w:rsidRPr="00A76818">
              <w:rPr>
                <w:sz w:val="18"/>
                <w:szCs w:val="18"/>
              </w:rPr>
              <w:t>Adjusted</w:t>
            </w:r>
            <w:r w:rsidRPr="00A76818">
              <w:rPr>
                <w:spacing w:val="-3"/>
                <w:sz w:val="18"/>
                <w:szCs w:val="18"/>
              </w:rPr>
              <w:t xml:space="preserve"> </w:t>
            </w:r>
            <w:r w:rsidRPr="00A76818">
              <w:rPr>
                <w:sz w:val="18"/>
                <w:szCs w:val="18"/>
              </w:rPr>
              <w:t>OR</w:t>
            </w:r>
            <w:r w:rsidRPr="00A76818">
              <w:rPr>
                <w:spacing w:val="2"/>
                <w:sz w:val="18"/>
                <w:szCs w:val="18"/>
              </w:rPr>
              <w:t xml:space="preserve"> </w:t>
            </w:r>
            <w:r w:rsidRPr="00A76818">
              <w:rPr>
                <w:sz w:val="18"/>
                <w:szCs w:val="18"/>
              </w:rPr>
              <w:t>-</w:t>
            </w:r>
            <w:r w:rsidRPr="00A76818">
              <w:rPr>
                <w:spacing w:val="-2"/>
                <w:sz w:val="18"/>
                <w:szCs w:val="18"/>
              </w:rPr>
              <w:t xml:space="preserve"> </w:t>
            </w:r>
            <w:r w:rsidRPr="00A76818">
              <w:rPr>
                <w:sz w:val="18"/>
                <w:szCs w:val="18"/>
              </w:rPr>
              <w:t>mean</w:t>
            </w:r>
            <w:r w:rsidRPr="00A76818">
              <w:rPr>
                <w:spacing w:val="-3"/>
                <w:sz w:val="18"/>
                <w:szCs w:val="18"/>
              </w:rPr>
              <w:t xml:space="preserve"> </w:t>
            </w:r>
            <w:r w:rsidRPr="00A76818">
              <w:rPr>
                <w:sz w:val="18"/>
                <w:szCs w:val="18"/>
              </w:rPr>
              <w:t>(SD)</w:t>
            </w:r>
          </w:p>
        </w:tc>
        <w:tc>
          <w:tcPr>
            <w:tcW w:w="1454" w:type="pct"/>
            <w:gridSpan w:val="3"/>
            <w:tcBorders>
              <w:left w:val="nil"/>
              <w:right w:val="nil"/>
            </w:tcBorders>
            <w:shd w:val="clear" w:color="auto" w:fill="ECECEC"/>
            <w:vAlign w:val="center"/>
          </w:tcPr>
          <w:p w14:paraId="30D5E277" w14:textId="4C8F0424" w:rsidR="00CC768E" w:rsidRDefault="00CC768E" w:rsidP="00CC768E">
            <w:pPr>
              <w:pStyle w:val="TableParagraph"/>
              <w:spacing w:before="28" w:line="240" w:lineRule="auto"/>
              <w:rPr>
                <w:sz w:val="18"/>
              </w:rPr>
            </w:pPr>
            <w:r>
              <w:rPr>
                <w:sz w:val="18"/>
                <w:szCs w:val="18"/>
              </w:rPr>
              <w:t>1.78 (0.34)</w:t>
            </w:r>
          </w:p>
        </w:tc>
        <w:tc>
          <w:tcPr>
            <w:tcW w:w="695" w:type="pct"/>
            <w:tcBorders>
              <w:left w:val="nil"/>
              <w:right w:val="nil"/>
            </w:tcBorders>
            <w:shd w:val="clear" w:color="auto" w:fill="ECECEC"/>
            <w:vAlign w:val="center"/>
          </w:tcPr>
          <w:p w14:paraId="185DBA3D" w14:textId="422C79A6" w:rsidR="00CC768E" w:rsidRDefault="00CC768E" w:rsidP="00CC768E">
            <w:pPr>
              <w:pStyle w:val="TableParagraph"/>
              <w:spacing w:before="28" w:line="240" w:lineRule="auto"/>
              <w:rPr>
                <w:sz w:val="18"/>
              </w:rPr>
            </w:pPr>
            <w:r>
              <w:rPr>
                <w:sz w:val="18"/>
                <w:szCs w:val="18"/>
              </w:rPr>
              <w:t>1.01 (0.29)</w:t>
            </w:r>
          </w:p>
        </w:tc>
        <w:tc>
          <w:tcPr>
            <w:tcW w:w="695" w:type="pct"/>
            <w:tcBorders>
              <w:left w:val="nil"/>
            </w:tcBorders>
            <w:shd w:val="clear" w:color="auto" w:fill="ECECEC"/>
            <w:vAlign w:val="center"/>
          </w:tcPr>
          <w:p w14:paraId="5EBE62D1" w14:textId="3F439A9D" w:rsidR="00CC768E" w:rsidRDefault="00CC768E" w:rsidP="00CC768E">
            <w:pPr>
              <w:pStyle w:val="TableParagraph"/>
              <w:spacing w:before="28" w:line="240" w:lineRule="auto"/>
              <w:ind w:left="194"/>
              <w:rPr>
                <w:sz w:val="18"/>
              </w:rPr>
            </w:pPr>
            <w:r>
              <w:rPr>
                <w:sz w:val="18"/>
                <w:szCs w:val="18"/>
              </w:rPr>
              <w:t>1.63 (1.00)</w:t>
            </w:r>
          </w:p>
        </w:tc>
        <w:tc>
          <w:tcPr>
            <w:tcW w:w="695" w:type="pct"/>
            <w:tcBorders>
              <w:left w:val="nil"/>
            </w:tcBorders>
            <w:shd w:val="clear" w:color="auto" w:fill="ECECEC"/>
            <w:vAlign w:val="center"/>
          </w:tcPr>
          <w:p w14:paraId="48E1CFA8" w14:textId="1F8F538D" w:rsidR="00CC768E" w:rsidRDefault="00CC768E" w:rsidP="00CC768E">
            <w:pPr>
              <w:pStyle w:val="TableParagraph"/>
              <w:spacing w:before="28" w:line="240" w:lineRule="auto"/>
              <w:ind w:left="194"/>
              <w:rPr>
                <w:sz w:val="18"/>
              </w:rPr>
            </w:pPr>
            <w:r w:rsidRPr="00CB5289">
              <w:rPr>
                <w:sz w:val="18"/>
                <w:szCs w:val="18"/>
              </w:rPr>
              <w:t>1</w:t>
            </w:r>
          </w:p>
        </w:tc>
      </w:tr>
      <w:tr w:rsidR="00CC768E" w14:paraId="25F5E46A" w14:textId="77777777" w:rsidTr="00BB21F9">
        <w:trPr>
          <w:trHeight w:val="279"/>
        </w:trPr>
        <w:tc>
          <w:tcPr>
            <w:tcW w:w="1460" w:type="pct"/>
            <w:tcBorders>
              <w:right w:val="nil"/>
            </w:tcBorders>
            <w:shd w:val="clear" w:color="auto" w:fill="ECECEC"/>
          </w:tcPr>
          <w:p w14:paraId="7DECF1A1" w14:textId="6548755F" w:rsidR="00CC768E" w:rsidRPr="00A76818" w:rsidRDefault="00CC768E" w:rsidP="00CC768E">
            <w:pPr>
              <w:pStyle w:val="TableParagraph"/>
              <w:spacing w:before="28" w:line="240" w:lineRule="auto"/>
              <w:jc w:val="left"/>
              <w:rPr>
                <w:sz w:val="18"/>
                <w:szCs w:val="18"/>
              </w:rPr>
            </w:pPr>
            <w:r w:rsidRPr="00A76818">
              <w:rPr>
                <w:sz w:val="18"/>
                <w:szCs w:val="18"/>
              </w:rPr>
              <w:t>-</w:t>
            </w:r>
            <w:r w:rsidRPr="00A76818">
              <w:rPr>
                <w:spacing w:val="-3"/>
                <w:sz w:val="18"/>
                <w:szCs w:val="18"/>
              </w:rPr>
              <w:t xml:space="preserve"> </w:t>
            </w:r>
            <w:r w:rsidRPr="00A76818">
              <w:rPr>
                <w:sz w:val="18"/>
                <w:szCs w:val="18"/>
              </w:rPr>
              <w:t>median</w:t>
            </w:r>
            <w:r w:rsidRPr="00A76818">
              <w:rPr>
                <w:spacing w:val="-2"/>
                <w:sz w:val="18"/>
                <w:szCs w:val="18"/>
              </w:rPr>
              <w:t xml:space="preserve"> </w:t>
            </w:r>
            <w:r w:rsidRPr="00A76818">
              <w:rPr>
                <w:sz w:val="18"/>
                <w:szCs w:val="18"/>
              </w:rPr>
              <w:t>(95%</w:t>
            </w:r>
            <w:r w:rsidRPr="00A76818">
              <w:rPr>
                <w:spacing w:val="-1"/>
                <w:sz w:val="18"/>
                <w:szCs w:val="18"/>
              </w:rPr>
              <w:t xml:space="preserve"> </w:t>
            </w:r>
            <w:r w:rsidRPr="00A76818">
              <w:rPr>
                <w:sz w:val="18"/>
                <w:szCs w:val="18"/>
              </w:rPr>
              <w:t>CrI)</w:t>
            </w:r>
          </w:p>
        </w:tc>
        <w:tc>
          <w:tcPr>
            <w:tcW w:w="1454" w:type="pct"/>
            <w:gridSpan w:val="3"/>
            <w:tcBorders>
              <w:left w:val="nil"/>
              <w:right w:val="nil"/>
            </w:tcBorders>
            <w:shd w:val="clear" w:color="auto" w:fill="ECECEC"/>
            <w:vAlign w:val="center"/>
          </w:tcPr>
          <w:p w14:paraId="14186B1F" w14:textId="2224430E" w:rsidR="00CC768E" w:rsidRDefault="00CC768E" w:rsidP="00CC768E">
            <w:pPr>
              <w:pStyle w:val="TableParagraph"/>
              <w:spacing w:before="28" w:line="240" w:lineRule="auto"/>
              <w:rPr>
                <w:sz w:val="18"/>
                <w:szCs w:val="18"/>
              </w:rPr>
            </w:pPr>
            <w:r>
              <w:rPr>
                <w:sz w:val="18"/>
                <w:szCs w:val="18"/>
              </w:rPr>
              <w:t>1.75 (1.22 to 2.55)</w:t>
            </w:r>
          </w:p>
        </w:tc>
        <w:tc>
          <w:tcPr>
            <w:tcW w:w="695" w:type="pct"/>
            <w:tcBorders>
              <w:left w:val="nil"/>
              <w:right w:val="nil"/>
            </w:tcBorders>
            <w:shd w:val="clear" w:color="auto" w:fill="ECECEC"/>
            <w:vAlign w:val="center"/>
          </w:tcPr>
          <w:p w14:paraId="07D23591" w14:textId="58850BE2" w:rsidR="00CC768E" w:rsidRDefault="00CC768E" w:rsidP="00CC768E">
            <w:pPr>
              <w:pStyle w:val="TableParagraph"/>
              <w:spacing w:before="28" w:line="240" w:lineRule="auto"/>
              <w:rPr>
                <w:sz w:val="18"/>
                <w:szCs w:val="18"/>
              </w:rPr>
            </w:pPr>
            <w:r>
              <w:rPr>
                <w:sz w:val="18"/>
                <w:szCs w:val="18"/>
              </w:rPr>
              <w:t>0.97 (0.57 to 1.69)</w:t>
            </w:r>
          </w:p>
        </w:tc>
        <w:tc>
          <w:tcPr>
            <w:tcW w:w="695" w:type="pct"/>
            <w:tcBorders>
              <w:left w:val="nil"/>
            </w:tcBorders>
            <w:shd w:val="clear" w:color="auto" w:fill="ECECEC"/>
            <w:vAlign w:val="center"/>
          </w:tcPr>
          <w:p w14:paraId="265DC316" w14:textId="0325B7C5" w:rsidR="00CC768E" w:rsidRPr="00CB5289" w:rsidRDefault="00CC768E" w:rsidP="00CC768E">
            <w:pPr>
              <w:pStyle w:val="TableParagraph"/>
              <w:spacing w:before="28" w:line="240" w:lineRule="auto"/>
              <w:ind w:left="194"/>
              <w:rPr>
                <w:sz w:val="18"/>
                <w:szCs w:val="18"/>
              </w:rPr>
            </w:pPr>
            <w:r>
              <w:rPr>
                <w:sz w:val="18"/>
                <w:szCs w:val="18"/>
              </w:rPr>
              <w:t>1.38 (0.51 to 4.17)</w:t>
            </w:r>
          </w:p>
        </w:tc>
        <w:tc>
          <w:tcPr>
            <w:tcW w:w="695" w:type="pct"/>
            <w:tcBorders>
              <w:left w:val="nil"/>
            </w:tcBorders>
            <w:shd w:val="clear" w:color="auto" w:fill="ECECEC"/>
            <w:vAlign w:val="center"/>
          </w:tcPr>
          <w:p w14:paraId="7611DA70" w14:textId="5907ABCD" w:rsidR="00CC768E" w:rsidRDefault="00CC768E" w:rsidP="00CC768E">
            <w:pPr>
              <w:pStyle w:val="TableParagraph"/>
              <w:spacing w:before="28" w:line="240" w:lineRule="auto"/>
              <w:ind w:left="194"/>
              <w:rPr>
                <w:sz w:val="18"/>
              </w:rPr>
            </w:pPr>
            <w:r w:rsidRPr="00CB5289">
              <w:rPr>
                <w:sz w:val="18"/>
                <w:szCs w:val="18"/>
              </w:rPr>
              <w:t>1</w:t>
            </w:r>
          </w:p>
        </w:tc>
      </w:tr>
      <w:tr w:rsidR="00CC768E" w14:paraId="18FD3350" w14:textId="77777777" w:rsidTr="00BB21F9">
        <w:trPr>
          <w:trHeight w:val="279"/>
        </w:trPr>
        <w:tc>
          <w:tcPr>
            <w:tcW w:w="1460" w:type="pct"/>
            <w:tcBorders>
              <w:right w:val="nil"/>
            </w:tcBorders>
            <w:shd w:val="clear" w:color="auto" w:fill="ECECEC"/>
          </w:tcPr>
          <w:p w14:paraId="273CCAE4" w14:textId="44A64A1F" w:rsidR="00CC768E" w:rsidRPr="00A76818" w:rsidRDefault="00CC768E" w:rsidP="00CC768E">
            <w:pPr>
              <w:pStyle w:val="TableParagraph"/>
              <w:spacing w:before="28" w:line="240" w:lineRule="auto"/>
              <w:jc w:val="left"/>
              <w:rPr>
                <w:sz w:val="18"/>
                <w:szCs w:val="18"/>
              </w:rPr>
            </w:pPr>
            <w:r w:rsidRPr="00A76818">
              <w:rPr>
                <w:sz w:val="18"/>
                <w:szCs w:val="18"/>
              </w:rPr>
              <w:t>Probability</w:t>
            </w:r>
            <w:r w:rsidRPr="00A76818">
              <w:rPr>
                <w:spacing w:val="-6"/>
                <w:sz w:val="18"/>
                <w:szCs w:val="18"/>
              </w:rPr>
              <w:t xml:space="preserve"> </w:t>
            </w:r>
            <w:r w:rsidRPr="00A76818">
              <w:rPr>
                <w:sz w:val="18"/>
                <w:szCs w:val="18"/>
              </w:rPr>
              <w:t>of</w:t>
            </w:r>
            <w:r w:rsidRPr="00A76818">
              <w:rPr>
                <w:spacing w:val="-3"/>
                <w:sz w:val="18"/>
                <w:szCs w:val="18"/>
              </w:rPr>
              <w:t xml:space="preserve"> </w:t>
            </w:r>
            <w:r w:rsidRPr="00A76818">
              <w:rPr>
                <w:sz w:val="18"/>
                <w:szCs w:val="18"/>
              </w:rPr>
              <w:t>superiority</w:t>
            </w:r>
            <w:r w:rsidRPr="00A76818">
              <w:rPr>
                <w:spacing w:val="-5"/>
                <w:sz w:val="18"/>
                <w:szCs w:val="18"/>
              </w:rPr>
              <w:t xml:space="preserve"> </w:t>
            </w:r>
            <w:r w:rsidRPr="00A76818">
              <w:rPr>
                <w:sz w:val="18"/>
                <w:szCs w:val="18"/>
              </w:rPr>
              <w:t>to</w:t>
            </w:r>
            <w:r w:rsidRPr="00A76818">
              <w:rPr>
                <w:spacing w:val="-4"/>
                <w:sz w:val="18"/>
                <w:szCs w:val="18"/>
              </w:rPr>
              <w:t xml:space="preserve"> </w:t>
            </w:r>
            <w:r w:rsidRPr="00A76818">
              <w:rPr>
                <w:sz w:val="18"/>
                <w:szCs w:val="18"/>
              </w:rPr>
              <w:t>control,</w:t>
            </w:r>
            <w:r w:rsidRPr="00A76818">
              <w:rPr>
                <w:spacing w:val="-3"/>
                <w:sz w:val="18"/>
                <w:szCs w:val="18"/>
              </w:rPr>
              <w:t xml:space="preserve"> </w:t>
            </w:r>
            <w:r w:rsidRPr="00A76818">
              <w:rPr>
                <w:sz w:val="18"/>
                <w:szCs w:val="18"/>
              </w:rPr>
              <w:t>%</w:t>
            </w:r>
          </w:p>
        </w:tc>
        <w:tc>
          <w:tcPr>
            <w:tcW w:w="1454" w:type="pct"/>
            <w:gridSpan w:val="3"/>
            <w:tcBorders>
              <w:left w:val="nil"/>
              <w:right w:val="nil"/>
            </w:tcBorders>
            <w:shd w:val="clear" w:color="auto" w:fill="ECECEC"/>
            <w:vAlign w:val="center"/>
          </w:tcPr>
          <w:p w14:paraId="57D86C05" w14:textId="5C3FC563" w:rsidR="00CC768E" w:rsidRDefault="00CC768E" w:rsidP="00CC768E">
            <w:pPr>
              <w:pStyle w:val="TableParagraph"/>
              <w:spacing w:before="28" w:line="240" w:lineRule="auto"/>
              <w:rPr>
                <w:sz w:val="18"/>
                <w:szCs w:val="18"/>
              </w:rPr>
            </w:pPr>
            <w:r>
              <w:rPr>
                <w:sz w:val="18"/>
                <w:szCs w:val="18"/>
              </w:rPr>
              <w:t>99.9</w:t>
            </w:r>
          </w:p>
        </w:tc>
        <w:tc>
          <w:tcPr>
            <w:tcW w:w="695" w:type="pct"/>
            <w:tcBorders>
              <w:left w:val="nil"/>
              <w:right w:val="nil"/>
            </w:tcBorders>
            <w:shd w:val="clear" w:color="auto" w:fill="ECECEC"/>
            <w:vAlign w:val="center"/>
          </w:tcPr>
          <w:p w14:paraId="24B4F188" w14:textId="1656A9E6" w:rsidR="00CC768E" w:rsidRDefault="00CC768E" w:rsidP="00CC768E">
            <w:pPr>
              <w:pStyle w:val="TableParagraph"/>
              <w:spacing w:before="28" w:line="240" w:lineRule="auto"/>
              <w:rPr>
                <w:sz w:val="18"/>
                <w:szCs w:val="18"/>
              </w:rPr>
            </w:pPr>
            <w:r>
              <w:rPr>
                <w:sz w:val="18"/>
                <w:szCs w:val="18"/>
              </w:rPr>
              <w:t>46.0</w:t>
            </w:r>
          </w:p>
        </w:tc>
        <w:tc>
          <w:tcPr>
            <w:tcW w:w="695" w:type="pct"/>
            <w:tcBorders>
              <w:left w:val="nil"/>
            </w:tcBorders>
            <w:shd w:val="clear" w:color="auto" w:fill="ECECEC"/>
            <w:vAlign w:val="center"/>
          </w:tcPr>
          <w:p w14:paraId="4CA2AF98" w14:textId="15C09F8B" w:rsidR="00CC768E" w:rsidRPr="00CB5289" w:rsidRDefault="00CC768E" w:rsidP="00CC768E">
            <w:pPr>
              <w:pStyle w:val="TableParagraph"/>
              <w:spacing w:before="28" w:line="240" w:lineRule="auto"/>
              <w:ind w:left="194"/>
              <w:rPr>
                <w:sz w:val="18"/>
                <w:szCs w:val="18"/>
              </w:rPr>
            </w:pPr>
            <w:r>
              <w:rPr>
                <w:sz w:val="18"/>
                <w:szCs w:val="18"/>
              </w:rPr>
              <w:t>73.0</w:t>
            </w:r>
          </w:p>
        </w:tc>
        <w:tc>
          <w:tcPr>
            <w:tcW w:w="695" w:type="pct"/>
            <w:tcBorders>
              <w:left w:val="nil"/>
            </w:tcBorders>
            <w:shd w:val="clear" w:color="auto" w:fill="ECECEC"/>
            <w:vAlign w:val="center"/>
          </w:tcPr>
          <w:p w14:paraId="1837351C" w14:textId="19B559CF" w:rsidR="00CC768E" w:rsidRDefault="00CC768E" w:rsidP="00CC768E">
            <w:pPr>
              <w:pStyle w:val="TableParagraph"/>
              <w:spacing w:before="28" w:line="240" w:lineRule="auto"/>
              <w:ind w:left="194"/>
              <w:rPr>
                <w:sz w:val="18"/>
              </w:rPr>
            </w:pPr>
            <w:r w:rsidRPr="00CB5289">
              <w:rPr>
                <w:sz w:val="18"/>
                <w:szCs w:val="18"/>
              </w:rPr>
              <w:t>-</w:t>
            </w:r>
          </w:p>
        </w:tc>
      </w:tr>
      <w:tr w:rsidR="00AE2094" w14:paraId="23DBA72E" w14:textId="77777777" w:rsidTr="00BB21F9">
        <w:trPr>
          <w:trHeight w:val="279"/>
        </w:trPr>
        <w:tc>
          <w:tcPr>
            <w:tcW w:w="1460" w:type="pct"/>
            <w:tcBorders>
              <w:right w:val="nil"/>
            </w:tcBorders>
            <w:shd w:val="clear" w:color="auto" w:fill="ECECEC"/>
          </w:tcPr>
          <w:p w14:paraId="6D214F69" w14:textId="3CA95A0A" w:rsidR="00AE2094" w:rsidRPr="00A76818" w:rsidRDefault="00AE2094" w:rsidP="00CC768E">
            <w:pPr>
              <w:pStyle w:val="TableParagraph"/>
              <w:spacing w:before="28" w:line="240" w:lineRule="auto"/>
              <w:jc w:val="left"/>
              <w:rPr>
                <w:sz w:val="18"/>
                <w:szCs w:val="18"/>
              </w:rPr>
            </w:pPr>
            <w:r w:rsidRPr="00A046A9">
              <w:rPr>
                <w:b/>
                <w:sz w:val="18"/>
                <w:szCs w:val="18"/>
              </w:rPr>
              <w:t xml:space="preserve">Secondary analysis of </w:t>
            </w:r>
            <w:r>
              <w:rPr>
                <w:b/>
                <w:sz w:val="18"/>
                <w:szCs w:val="18"/>
              </w:rPr>
              <w:t>major thrombotic events*</w:t>
            </w:r>
          </w:p>
        </w:tc>
        <w:tc>
          <w:tcPr>
            <w:tcW w:w="3540" w:type="pct"/>
            <w:gridSpan w:val="6"/>
            <w:tcBorders>
              <w:left w:val="nil"/>
            </w:tcBorders>
            <w:shd w:val="clear" w:color="auto" w:fill="ECECEC"/>
            <w:vAlign w:val="center"/>
          </w:tcPr>
          <w:p w14:paraId="2D9763C7" w14:textId="77777777" w:rsidR="00AE2094" w:rsidRDefault="00AE2094" w:rsidP="00CC768E">
            <w:pPr>
              <w:pStyle w:val="TableParagraph"/>
              <w:spacing w:before="28" w:line="240" w:lineRule="auto"/>
              <w:ind w:left="194"/>
              <w:rPr>
                <w:sz w:val="18"/>
              </w:rPr>
            </w:pPr>
          </w:p>
        </w:tc>
      </w:tr>
      <w:tr w:rsidR="00CC768E" w14:paraId="336F6D43" w14:textId="77777777" w:rsidTr="00BB21F9">
        <w:trPr>
          <w:trHeight w:val="279"/>
        </w:trPr>
        <w:tc>
          <w:tcPr>
            <w:tcW w:w="1460" w:type="pct"/>
            <w:tcBorders>
              <w:right w:val="nil"/>
            </w:tcBorders>
            <w:shd w:val="clear" w:color="auto" w:fill="ECECEC"/>
          </w:tcPr>
          <w:p w14:paraId="453B860A" w14:textId="54BF5FE2" w:rsidR="00CC768E" w:rsidRPr="00A046A9" w:rsidRDefault="00CC768E" w:rsidP="00CC768E">
            <w:pPr>
              <w:pStyle w:val="TableParagraph"/>
              <w:spacing w:before="28" w:line="240" w:lineRule="auto"/>
              <w:jc w:val="left"/>
              <w:rPr>
                <w:b/>
                <w:sz w:val="18"/>
                <w:szCs w:val="18"/>
              </w:rPr>
            </w:pPr>
            <w:r w:rsidRPr="00A76818">
              <w:rPr>
                <w:sz w:val="18"/>
                <w:szCs w:val="18"/>
              </w:rPr>
              <w:t>Adjusted</w:t>
            </w:r>
            <w:r w:rsidRPr="00A76818">
              <w:rPr>
                <w:spacing w:val="-3"/>
                <w:sz w:val="18"/>
                <w:szCs w:val="18"/>
              </w:rPr>
              <w:t xml:space="preserve"> </w:t>
            </w:r>
            <w:r w:rsidRPr="00A76818">
              <w:rPr>
                <w:sz w:val="18"/>
                <w:szCs w:val="18"/>
              </w:rPr>
              <w:t>OR</w:t>
            </w:r>
            <w:r w:rsidRPr="00A76818">
              <w:rPr>
                <w:spacing w:val="2"/>
                <w:sz w:val="18"/>
                <w:szCs w:val="18"/>
              </w:rPr>
              <w:t xml:space="preserve"> </w:t>
            </w:r>
            <w:r w:rsidRPr="00A76818">
              <w:rPr>
                <w:sz w:val="18"/>
                <w:szCs w:val="18"/>
              </w:rPr>
              <w:t>-</w:t>
            </w:r>
            <w:r w:rsidRPr="00A76818">
              <w:rPr>
                <w:spacing w:val="-2"/>
                <w:sz w:val="18"/>
                <w:szCs w:val="18"/>
              </w:rPr>
              <w:t xml:space="preserve"> </w:t>
            </w:r>
            <w:r w:rsidRPr="00A76818">
              <w:rPr>
                <w:sz w:val="18"/>
                <w:szCs w:val="18"/>
              </w:rPr>
              <w:t>mean</w:t>
            </w:r>
            <w:r w:rsidRPr="00A76818">
              <w:rPr>
                <w:spacing w:val="-3"/>
                <w:sz w:val="18"/>
                <w:szCs w:val="18"/>
              </w:rPr>
              <w:t xml:space="preserve"> </w:t>
            </w:r>
            <w:r w:rsidRPr="00A76818">
              <w:rPr>
                <w:sz w:val="18"/>
                <w:szCs w:val="18"/>
              </w:rPr>
              <w:t>(SD)</w:t>
            </w:r>
          </w:p>
        </w:tc>
        <w:tc>
          <w:tcPr>
            <w:tcW w:w="1454" w:type="pct"/>
            <w:gridSpan w:val="3"/>
            <w:tcBorders>
              <w:left w:val="nil"/>
              <w:right w:val="nil"/>
            </w:tcBorders>
            <w:shd w:val="clear" w:color="auto" w:fill="ECECEC"/>
            <w:vAlign w:val="center"/>
          </w:tcPr>
          <w:p w14:paraId="592413E5" w14:textId="66A9F17A" w:rsidR="00CC768E" w:rsidRDefault="00CC768E" w:rsidP="00CC768E">
            <w:pPr>
              <w:pStyle w:val="TableParagraph"/>
              <w:spacing w:before="28" w:line="240" w:lineRule="auto"/>
              <w:rPr>
                <w:sz w:val="18"/>
                <w:szCs w:val="18"/>
              </w:rPr>
            </w:pPr>
            <w:r>
              <w:rPr>
                <w:sz w:val="18"/>
                <w:szCs w:val="18"/>
              </w:rPr>
              <w:t>1.24 (0.37)</w:t>
            </w:r>
          </w:p>
        </w:tc>
        <w:tc>
          <w:tcPr>
            <w:tcW w:w="695" w:type="pct"/>
            <w:tcBorders>
              <w:left w:val="nil"/>
              <w:right w:val="nil"/>
            </w:tcBorders>
            <w:shd w:val="clear" w:color="auto" w:fill="ECECEC"/>
            <w:vAlign w:val="center"/>
          </w:tcPr>
          <w:p w14:paraId="581C14CD" w14:textId="5D432A85" w:rsidR="00CC768E" w:rsidRDefault="00CC768E" w:rsidP="00CC768E">
            <w:pPr>
              <w:pStyle w:val="TableParagraph"/>
              <w:spacing w:before="28" w:line="240" w:lineRule="auto"/>
              <w:rPr>
                <w:sz w:val="18"/>
                <w:szCs w:val="18"/>
              </w:rPr>
            </w:pPr>
            <w:r>
              <w:rPr>
                <w:sz w:val="18"/>
                <w:szCs w:val="18"/>
              </w:rPr>
              <w:t>1.79 (0.91)</w:t>
            </w:r>
          </w:p>
        </w:tc>
        <w:tc>
          <w:tcPr>
            <w:tcW w:w="695" w:type="pct"/>
            <w:tcBorders>
              <w:left w:val="nil"/>
            </w:tcBorders>
            <w:shd w:val="clear" w:color="auto" w:fill="ECECEC"/>
            <w:vAlign w:val="center"/>
          </w:tcPr>
          <w:p w14:paraId="4856E9CB" w14:textId="74C325BA" w:rsidR="00CC768E" w:rsidRPr="00CB5289" w:rsidRDefault="00CC768E" w:rsidP="00CC768E">
            <w:pPr>
              <w:pStyle w:val="TableParagraph"/>
              <w:spacing w:before="28" w:line="240" w:lineRule="auto"/>
              <w:ind w:left="194"/>
              <w:rPr>
                <w:sz w:val="18"/>
                <w:szCs w:val="18"/>
              </w:rPr>
            </w:pPr>
            <w:r>
              <w:rPr>
                <w:sz w:val="18"/>
                <w:szCs w:val="18"/>
              </w:rPr>
              <w:t>3.07 (3.07)</w:t>
            </w:r>
          </w:p>
        </w:tc>
        <w:tc>
          <w:tcPr>
            <w:tcW w:w="695" w:type="pct"/>
            <w:tcBorders>
              <w:left w:val="nil"/>
            </w:tcBorders>
            <w:shd w:val="clear" w:color="auto" w:fill="ECECEC"/>
            <w:vAlign w:val="center"/>
          </w:tcPr>
          <w:p w14:paraId="4953EB1C" w14:textId="7D8B429C" w:rsidR="00CC768E" w:rsidRDefault="00CC768E" w:rsidP="00CC768E">
            <w:pPr>
              <w:pStyle w:val="TableParagraph"/>
              <w:spacing w:before="28" w:line="240" w:lineRule="auto"/>
              <w:ind w:left="194"/>
              <w:rPr>
                <w:sz w:val="18"/>
              </w:rPr>
            </w:pPr>
            <w:r w:rsidRPr="00CB5289">
              <w:rPr>
                <w:sz w:val="18"/>
                <w:szCs w:val="18"/>
              </w:rPr>
              <w:t>1</w:t>
            </w:r>
          </w:p>
        </w:tc>
      </w:tr>
      <w:tr w:rsidR="00CC768E" w14:paraId="28EEAE46" w14:textId="77777777" w:rsidTr="00BB21F9">
        <w:trPr>
          <w:trHeight w:val="279"/>
        </w:trPr>
        <w:tc>
          <w:tcPr>
            <w:tcW w:w="1460" w:type="pct"/>
            <w:tcBorders>
              <w:right w:val="nil"/>
            </w:tcBorders>
            <w:shd w:val="clear" w:color="auto" w:fill="ECECEC"/>
          </w:tcPr>
          <w:p w14:paraId="0532821A" w14:textId="67A06C26" w:rsidR="00CC768E" w:rsidRPr="00A76818" w:rsidRDefault="00CC768E" w:rsidP="00CC768E">
            <w:pPr>
              <w:pStyle w:val="TableParagraph"/>
              <w:spacing w:before="28" w:line="240" w:lineRule="auto"/>
              <w:jc w:val="left"/>
              <w:rPr>
                <w:sz w:val="18"/>
                <w:szCs w:val="18"/>
              </w:rPr>
            </w:pPr>
            <w:r w:rsidRPr="00A76818">
              <w:rPr>
                <w:sz w:val="18"/>
                <w:szCs w:val="18"/>
              </w:rPr>
              <w:t>-</w:t>
            </w:r>
            <w:r w:rsidRPr="00A76818">
              <w:rPr>
                <w:spacing w:val="-3"/>
                <w:sz w:val="18"/>
                <w:szCs w:val="18"/>
              </w:rPr>
              <w:t xml:space="preserve"> </w:t>
            </w:r>
            <w:r w:rsidRPr="00A76818">
              <w:rPr>
                <w:sz w:val="18"/>
                <w:szCs w:val="18"/>
              </w:rPr>
              <w:t>median</w:t>
            </w:r>
            <w:r w:rsidRPr="00A76818">
              <w:rPr>
                <w:spacing w:val="-2"/>
                <w:sz w:val="18"/>
                <w:szCs w:val="18"/>
              </w:rPr>
              <w:t xml:space="preserve"> </w:t>
            </w:r>
            <w:r w:rsidRPr="00A76818">
              <w:rPr>
                <w:sz w:val="18"/>
                <w:szCs w:val="18"/>
              </w:rPr>
              <w:t>(95%</w:t>
            </w:r>
            <w:r w:rsidRPr="00A76818">
              <w:rPr>
                <w:spacing w:val="-1"/>
                <w:sz w:val="18"/>
                <w:szCs w:val="18"/>
              </w:rPr>
              <w:t xml:space="preserve"> </w:t>
            </w:r>
            <w:r w:rsidRPr="00A76818">
              <w:rPr>
                <w:sz w:val="18"/>
                <w:szCs w:val="18"/>
              </w:rPr>
              <w:t>CrI)</w:t>
            </w:r>
          </w:p>
        </w:tc>
        <w:tc>
          <w:tcPr>
            <w:tcW w:w="1454" w:type="pct"/>
            <w:gridSpan w:val="3"/>
            <w:tcBorders>
              <w:left w:val="nil"/>
              <w:right w:val="nil"/>
            </w:tcBorders>
            <w:shd w:val="clear" w:color="auto" w:fill="ECECEC"/>
            <w:vAlign w:val="center"/>
          </w:tcPr>
          <w:p w14:paraId="4280A3E2" w14:textId="3AD6AF91" w:rsidR="00CC768E" w:rsidRDefault="00CC768E" w:rsidP="00CC768E">
            <w:pPr>
              <w:pStyle w:val="TableParagraph"/>
              <w:spacing w:before="28" w:line="240" w:lineRule="auto"/>
              <w:rPr>
                <w:sz w:val="18"/>
                <w:szCs w:val="18"/>
              </w:rPr>
            </w:pPr>
            <w:r>
              <w:rPr>
                <w:sz w:val="18"/>
                <w:szCs w:val="18"/>
              </w:rPr>
              <w:t>1.19 (0.68 to 2.09)</w:t>
            </w:r>
          </w:p>
        </w:tc>
        <w:tc>
          <w:tcPr>
            <w:tcW w:w="695" w:type="pct"/>
            <w:tcBorders>
              <w:left w:val="nil"/>
              <w:right w:val="nil"/>
            </w:tcBorders>
            <w:shd w:val="clear" w:color="auto" w:fill="ECECEC"/>
            <w:vAlign w:val="center"/>
          </w:tcPr>
          <w:p w14:paraId="5C1BE31A" w14:textId="62874631" w:rsidR="00CC768E" w:rsidRDefault="00CC768E" w:rsidP="00CC768E">
            <w:pPr>
              <w:pStyle w:val="TableParagraph"/>
              <w:spacing w:before="28" w:line="240" w:lineRule="auto"/>
              <w:rPr>
                <w:sz w:val="18"/>
                <w:szCs w:val="18"/>
              </w:rPr>
            </w:pPr>
            <w:r>
              <w:rPr>
                <w:sz w:val="18"/>
                <w:szCs w:val="18"/>
              </w:rPr>
              <w:t>1.58 (0.66 to 4.10)</w:t>
            </w:r>
          </w:p>
        </w:tc>
        <w:tc>
          <w:tcPr>
            <w:tcW w:w="695" w:type="pct"/>
            <w:tcBorders>
              <w:left w:val="nil"/>
            </w:tcBorders>
            <w:shd w:val="clear" w:color="auto" w:fill="ECECEC"/>
            <w:vAlign w:val="center"/>
          </w:tcPr>
          <w:p w14:paraId="34E439A8" w14:textId="7A9CB8D0" w:rsidR="00CC768E" w:rsidRPr="00CB5289" w:rsidRDefault="00CC768E" w:rsidP="00CC768E">
            <w:pPr>
              <w:pStyle w:val="TableParagraph"/>
              <w:spacing w:before="28" w:line="240" w:lineRule="auto"/>
              <w:ind w:left="194"/>
              <w:rPr>
                <w:sz w:val="18"/>
                <w:szCs w:val="18"/>
              </w:rPr>
            </w:pPr>
            <w:r>
              <w:rPr>
                <w:sz w:val="18"/>
                <w:szCs w:val="18"/>
              </w:rPr>
              <w:t>2.16 (0.52 to 11.15)</w:t>
            </w:r>
          </w:p>
        </w:tc>
        <w:tc>
          <w:tcPr>
            <w:tcW w:w="695" w:type="pct"/>
            <w:tcBorders>
              <w:left w:val="nil"/>
            </w:tcBorders>
            <w:shd w:val="clear" w:color="auto" w:fill="ECECEC"/>
            <w:vAlign w:val="center"/>
          </w:tcPr>
          <w:p w14:paraId="3284BA5F" w14:textId="696AFCCB" w:rsidR="00CC768E" w:rsidRDefault="00CC768E" w:rsidP="00CC768E">
            <w:pPr>
              <w:pStyle w:val="TableParagraph"/>
              <w:spacing w:before="28" w:line="240" w:lineRule="auto"/>
              <w:ind w:left="194"/>
              <w:rPr>
                <w:sz w:val="18"/>
              </w:rPr>
            </w:pPr>
            <w:r w:rsidRPr="00CB5289">
              <w:rPr>
                <w:sz w:val="18"/>
                <w:szCs w:val="18"/>
              </w:rPr>
              <w:t>1</w:t>
            </w:r>
          </w:p>
        </w:tc>
      </w:tr>
      <w:tr w:rsidR="00CC768E" w14:paraId="1231645A" w14:textId="77777777" w:rsidTr="00BB21F9">
        <w:trPr>
          <w:trHeight w:val="279"/>
        </w:trPr>
        <w:tc>
          <w:tcPr>
            <w:tcW w:w="1460" w:type="pct"/>
            <w:tcBorders>
              <w:right w:val="nil"/>
            </w:tcBorders>
            <w:shd w:val="clear" w:color="auto" w:fill="ECECEC"/>
          </w:tcPr>
          <w:p w14:paraId="2B0D70DB" w14:textId="0BE39003" w:rsidR="00CC768E" w:rsidRPr="00A76818" w:rsidRDefault="00CC768E" w:rsidP="00CC768E">
            <w:pPr>
              <w:pStyle w:val="TableParagraph"/>
              <w:spacing w:before="28" w:line="240" w:lineRule="auto"/>
              <w:jc w:val="left"/>
              <w:rPr>
                <w:sz w:val="18"/>
                <w:szCs w:val="18"/>
              </w:rPr>
            </w:pPr>
            <w:r w:rsidRPr="00A76818">
              <w:rPr>
                <w:sz w:val="18"/>
                <w:szCs w:val="18"/>
              </w:rPr>
              <w:t>Probability</w:t>
            </w:r>
            <w:r w:rsidRPr="00A76818">
              <w:rPr>
                <w:spacing w:val="-6"/>
                <w:sz w:val="18"/>
                <w:szCs w:val="18"/>
              </w:rPr>
              <w:t xml:space="preserve"> </w:t>
            </w:r>
            <w:r w:rsidRPr="00A76818">
              <w:rPr>
                <w:sz w:val="18"/>
                <w:szCs w:val="18"/>
              </w:rPr>
              <w:t>of</w:t>
            </w:r>
            <w:r w:rsidRPr="00A76818">
              <w:rPr>
                <w:spacing w:val="-3"/>
                <w:sz w:val="18"/>
                <w:szCs w:val="18"/>
              </w:rPr>
              <w:t xml:space="preserve"> </w:t>
            </w:r>
            <w:r w:rsidRPr="00A76818">
              <w:rPr>
                <w:sz w:val="18"/>
                <w:szCs w:val="18"/>
              </w:rPr>
              <w:t>superiority</w:t>
            </w:r>
            <w:r w:rsidRPr="00A76818">
              <w:rPr>
                <w:spacing w:val="-5"/>
                <w:sz w:val="18"/>
                <w:szCs w:val="18"/>
              </w:rPr>
              <w:t xml:space="preserve"> </w:t>
            </w:r>
            <w:r w:rsidRPr="00A76818">
              <w:rPr>
                <w:sz w:val="18"/>
                <w:szCs w:val="18"/>
              </w:rPr>
              <w:t>to</w:t>
            </w:r>
            <w:r w:rsidRPr="00A76818">
              <w:rPr>
                <w:spacing w:val="-4"/>
                <w:sz w:val="18"/>
                <w:szCs w:val="18"/>
              </w:rPr>
              <w:t xml:space="preserve"> </w:t>
            </w:r>
            <w:r w:rsidRPr="00A76818">
              <w:rPr>
                <w:sz w:val="18"/>
                <w:szCs w:val="18"/>
              </w:rPr>
              <w:t>control,</w:t>
            </w:r>
            <w:r w:rsidRPr="00A76818">
              <w:rPr>
                <w:spacing w:val="-3"/>
                <w:sz w:val="18"/>
                <w:szCs w:val="18"/>
              </w:rPr>
              <w:t xml:space="preserve"> </w:t>
            </w:r>
            <w:r w:rsidRPr="00A76818">
              <w:rPr>
                <w:sz w:val="18"/>
                <w:szCs w:val="18"/>
              </w:rPr>
              <w:t>%</w:t>
            </w:r>
          </w:p>
        </w:tc>
        <w:tc>
          <w:tcPr>
            <w:tcW w:w="1454" w:type="pct"/>
            <w:gridSpan w:val="3"/>
            <w:tcBorders>
              <w:left w:val="nil"/>
              <w:right w:val="nil"/>
            </w:tcBorders>
            <w:shd w:val="clear" w:color="auto" w:fill="ECECEC"/>
            <w:vAlign w:val="center"/>
          </w:tcPr>
          <w:p w14:paraId="064A63AB" w14:textId="55F0789F" w:rsidR="00CC768E" w:rsidRDefault="00CC768E" w:rsidP="00CC768E">
            <w:pPr>
              <w:pStyle w:val="TableParagraph"/>
              <w:spacing w:before="28" w:line="240" w:lineRule="auto"/>
              <w:rPr>
                <w:sz w:val="18"/>
                <w:szCs w:val="18"/>
              </w:rPr>
            </w:pPr>
            <w:r>
              <w:rPr>
                <w:sz w:val="18"/>
                <w:szCs w:val="18"/>
              </w:rPr>
              <w:t>72.9</w:t>
            </w:r>
          </w:p>
        </w:tc>
        <w:tc>
          <w:tcPr>
            <w:tcW w:w="695" w:type="pct"/>
            <w:tcBorders>
              <w:left w:val="nil"/>
              <w:right w:val="nil"/>
            </w:tcBorders>
            <w:shd w:val="clear" w:color="auto" w:fill="ECECEC"/>
            <w:vAlign w:val="center"/>
          </w:tcPr>
          <w:p w14:paraId="6EDE4EF1" w14:textId="4870F40D" w:rsidR="00CC768E" w:rsidRDefault="00CC768E" w:rsidP="00CC768E">
            <w:pPr>
              <w:pStyle w:val="TableParagraph"/>
              <w:spacing w:before="28" w:line="240" w:lineRule="auto"/>
              <w:rPr>
                <w:sz w:val="18"/>
                <w:szCs w:val="18"/>
              </w:rPr>
            </w:pPr>
            <w:r>
              <w:rPr>
                <w:sz w:val="18"/>
                <w:szCs w:val="18"/>
              </w:rPr>
              <w:t>84.4</w:t>
            </w:r>
          </w:p>
        </w:tc>
        <w:tc>
          <w:tcPr>
            <w:tcW w:w="695" w:type="pct"/>
            <w:tcBorders>
              <w:left w:val="nil"/>
            </w:tcBorders>
            <w:shd w:val="clear" w:color="auto" w:fill="ECECEC"/>
            <w:vAlign w:val="center"/>
          </w:tcPr>
          <w:p w14:paraId="618759C0" w14:textId="304F7DAD" w:rsidR="00CC768E" w:rsidRPr="00CB5289" w:rsidRDefault="00CC768E" w:rsidP="00CC768E">
            <w:pPr>
              <w:pStyle w:val="TableParagraph"/>
              <w:spacing w:before="28" w:line="240" w:lineRule="auto"/>
              <w:ind w:left="194"/>
              <w:rPr>
                <w:sz w:val="18"/>
                <w:szCs w:val="18"/>
              </w:rPr>
            </w:pPr>
            <w:r>
              <w:rPr>
                <w:sz w:val="18"/>
                <w:szCs w:val="18"/>
              </w:rPr>
              <w:t>84.3</w:t>
            </w:r>
          </w:p>
        </w:tc>
        <w:tc>
          <w:tcPr>
            <w:tcW w:w="695" w:type="pct"/>
            <w:tcBorders>
              <w:left w:val="nil"/>
            </w:tcBorders>
            <w:shd w:val="clear" w:color="auto" w:fill="ECECEC"/>
            <w:vAlign w:val="center"/>
          </w:tcPr>
          <w:p w14:paraId="208B11AA" w14:textId="74951F59" w:rsidR="00CC768E" w:rsidRDefault="00CC768E" w:rsidP="00CC768E">
            <w:pPr>
              <w:pStyle w:val="TableParagraph"/>
              <w:spacing w:before="28" w:line="240" w:lineRule="auto"/>
              <w:ind w:left="194"/>
              <w:rPr>
                <w:sz w:val="18"/>
              </w:rPr>
            </w:pPr>
            <w:r w:rsidRPr="00CB5289">
              <w:rPr>
                <w:sz w:val="18"/>
                <w:szCs w:val="18"/>
              </w:rPr>
              <w:t>-</w:t>
            </w:r>
          </w:p>
        </w:tc>
      </w:tr>
      <w:tr w:rsidR="00AE2094" w14:paraId="34BCBF0A" w14:textId="77777777" w:rsidTr="00BB21F9">
        <w:trPr>
          <w:trHeight w:val="279"/>
        </w:trPr>
        <w:tc>
          <w:tcPr>
            <w:tcW w:w="1460" w:type="pct"/>
            <w:tcBorders>
              <w:right w:val="nil"/>
            </w:tcBorders>
            <w:shd w:val="clear" w:color="auto" w:fill="ECECEC"/>
          </w:tcPr>
          <w:p w14:paraId="0F878BBB" w14:textId="47F9B953" w:rsidR="00AE2094" w:rsidRPr="00A76818" w:rsidRDefault="00AE2094" w:rsidP="00CC768E">
            <w:pPr>
              <w:pStyle w:val="TableParagraph"/>
              <w:spacing w:before="28" w:line="240" w:lineRule="auto"/>
              <w:jc w:val="left"/>
              <w:rPr>
                <w:sz w:val="18"/>
                <w:szCs w:val="18"/>
              </w:rPr>
            </w:pPr>
            <w:r w:rsidRPr="00A046A9">
              <w:rPr>
                <w:b/>
                <w:sz w:val="18"/>
                <w:szCs w:val="18"/>
              </w:rPr>
              <w:t xml:space="preserve">Secondary analysis of </w:t>
            </w:r>
            <w:r>
              <w:rPr>
                <w:b/>
                <w:sz w:val="18"/>
                <w:szCs w:val="18"/>
              </w:rPr>
              <w:t>major bleeding events*</w:t>
            </w:r>
          </w:p>
        </w:tc>
        <w:tc>
          <w:tcPr>
            <w:tcW w:w="3540" w:type="pct"/>
            <w:gridSpan w:val="6"/>
            <w:tcBorders>
              <w:left w:val="nil"/>
            </w:tcBorders>
            <w:shd w:val="clear" w:color="auto" w:fill="ECECEC"/>
            <w:vAlign w:val="center"/>
          </w:tcPr>
          <w:p w14:paraId="79D67E6B" w14:textId="77777777" w:rsidR="00AE2094" w:rsidRDefault="00AE2094" w:rsidP="00CC768E">
            <w:pPr>
              <w:pStyle w:val="TableParagraph"/>
              <w:spacing w:before="28" w:line="240" w:lineRule="auto"/>
              <w:ind w:left="194"/>
              <w:rPr>
                <w:sz w:val="18"/>
              </w:rPr>
            </w:pPr>
          </w:p>
        </w:tc>
      </w:tr>
      <w:tr w:rsidR="00CC768E" w14:paraId="42B65F44" w14:textId="77777777" w:rsidTr="00BB21F9">
        <w:trPr>
          <w:trHeight w:val="279"/>
        </w:trPr>
        <w:tc>
          <w:tcPr>
            <w:tcW w:w="1460" w:type="pct"/>
            <w:tcBorders>
              <w:right w:val="nil"/>
            </w:tcBorders>
            <w:shd w:val="clear" w:color="auto" w:fill="ECECEC"/>
          </w:tcPr>
          <w:p w14:paraId="1F839B90" w14:textId="69719808" w:rsidR="00CC768E" w:rsidRPr="00A046A9" w:rsidRDefault="00CC768E" w:rsidP="00CC768E">
            <w:pPr>
              <w:pStyle w:val="TableParagraph"/>
              <w:spacing w:before="28" w:line="240" w:lineRule="auto"/>
              <w:jc w:val="left"/>
              <w:rPr>
                <w:b/>
                <w:sz w:val="18"/>
                <w:szCs w:val="18"/>
              </w:rPr>
            </w:pPr>
            <w:r w:rsidRPr="00A76818">
              <w:rPr>
                <w:sz w:val="18"/>
                <w:szCs w:val="18"/>
              </w:rPr>
              <w:t>Adjusted</w:t>
            </w:r>
            <w:r w:rsidRPr="00A76818">
              <w:rPr>
                <w:spacing w:val="-3"/>
                <w:sz w:val="18"/>
                <w:szCs w:val="18"/>
              </w:rPr>
              <w:t xml:space="preserve"> </w:t>
            </w:r>
            <w:r w:rsidRPr="00A76818">
              <w:rPr>
                <w:sz w:val="18"/>
                <w:szCs w:val="18"/>
              </w:rPr>
              <w:t>OR</w:t>
            </w:r>
            <w:r w:rsidRPr="00A76818">
              <w:rPr>
                <w:spacing w:val="2"/>
                <w:sz w:val="18"/>
                <w:szCs w:val="18"/>
              </w:rPr>
              <w:t xml:space="preserve"> </w:t>
            </w:r>
            <w:r w:rsidRPr="00A76818">
              <w:rPr>
                <w:sz w:val="18"/>
                <w:szCs w:val="18"/>
              </w:rPr>
              <w:t>-</w:t>
            </w:r>
            <w:r w:rsidRPr="00A76818">
              <w:rPr>
                <w:spacing w:val="-2"/>
                <w:sz w:val="18"/>
                <w:szCs w:val="18"/>
              </w:rPr>
              <w:t xml:space="preserve"> </w:t>
            </w:r>
            <w:r w:rsidRPr="00A76818">
              <w:rPr>
                <w:sz w:val="18"/>
                <w:szCs w:val="18"/>
              </w:rPr>
              <w:t>mean</w:t>
            </w:r>
            <w:r w:rsidRPr="00A76818">
              <w:rPr>
                <w:spacing w:val="-3"/>
                <w:sz w:val="18"/>
                <w:szCs w:val="18"/>
              </w:rPr>
              <w:t xml:space="preserve"> </w:t>
            </w:r>
            <w:r w:rsidRPr="00A76818">
              <w:rPr>
                <w:sz w:val="18"/>
                <w:szCs w:val="18"/>
              </w:rPr>
              <w:t>(SD)</w:t>
            </w:r>
          </w:p>
        </w:tc>
        <w:tc>
          <w:tcPr>
            <w:tcW w:w="1454" w:type="pct"/>
            <w:gridSpan w:val="3"/>
            <w:tcBorders>
              <w:left w:val="nil"/>
              <w:right w:val="nil"/>
            </w:tcBorders>
            <w:shd w:val="clear" w:color="auto" w:fill="ECECEC"/>
            <w:vAlign w:val="center"/>
          </w:tcPr>
          <w:p w14:paraId="1DDAA7CB" w14:textId="30A307C7" w:rsidR="00CC768E" w:rsidRDefault="00CC768E" w:rsidP="00CC768E">
            <w:pPr>
              <w:pStyle w:val="TableParagraph"/>
              <w:spacing w:before="28" w:line="240" w:lineRule="auto"/>
              <w:rPr>
                <w:sz w:val="18"/>
                <w:szCs w:val="18"/>
              </w:rPr>
            </w:pPr>
            <w:r>
              <w:rPr>
                <w:sz w:val="18"/>
                <w:szCs w:val="18"/>
              </w:rPr>
              <w:t>1.46 (0.93)</w:t>
            </w:r>
          </w:p>
        </w:tc>
        <w:tc>
          <w:tcPr>
            <w:tcW w:w="695" w:type="pct"/>
            <w:tcBorders>
              <w:left w:val="nil"/>
              <w:right w:val="nil"/>
            </w:tcBorders>
            <w:shd w:val="clear" w:color="auto" w:fill="ECECEC"/>
            <w:vAlign w:val="center"/>
          </w:tcPr>
          <w:p w14:paraId="6863D935" w14:textId="17E0A0CE" w:rsidR="00CC768E" w:rsidRDefault="00CC768E" w:rsidP="00CC768E">
            <w:pPr>
              <w:pStyle w:val="TableParagraph"/>
              <w:spacing w:before="28" w:line="240" w:lineRule="auto"/>
              <w:rPr>
                <w:sz w:val="18"/>
                <w:szCs w:val="18"/>
              </w:rPr>
            </w:pPr>
            <w:r>
              <w:rPr>
                <w:sz w:val="18"/>
                <w:szCs w:val="18"/>
              </w:rPr>
              <w:t>1.31 (1.26)</w:t>
            </w:r>
          </w:p>
        </w:tc>
        <w:tc>
          <w:tcPr>
            <w:tcW w:w="695" w:type="pct"/>
            <w:tcBorders>
              <w:left w:val="nil"/>
            </w:tcBorders>
            <w:shd w:val="clear" w:color="auto" w:fill="ECECEC"/>
            <w:vAlign w:val="center"/>
          </w:tcPr>
          <w:p w14:paraId="5990A483" w14:textId="1F85C1E6" w:rsidR="00CC768E" w:rsidRPr="00CB5289" w:rsidRDefault="00CC768E" w:rsidP="00CC768E">
            <w:pPr>
              <w:pStyle w:val="TableParagraph"/>
              <w:spacing w:before="28" w:line="240" w:lineRule="auto"/>
              <w:ind w:left="194"/>
              <w:rPr>
                <w:sz w:val="18"/>
                <w:szCs w:val="18"/>
              </w:rPr>
            </w:pPr>
            <w:r>
              <w:rPr>
                <w:sz w:val="18"/>
                <w:szCs w:val="18"/>
              </w:rPr>
              <w:t>0.88 (0.96)</w:t>
            </w:r>
          </w:p>
        </w:tc>
        <w:tc>
          <w:tcPr>
            <w:tcW w:w="695" w:type="pct"/>
            <w:tcBorders>
              <w:left w:val="nil"/>
            </w:tcBorders>
            <w:shd w:val="clear" w:color="auto" w:fill="ECECEC"/>
            <w:vAlign w:val="center"/>
          </w:tcPr>
          <w:p w14:paraId="1D0422C3" w14:textId="696C5DD5" w:rsidR="00CC768E" w:rsidRDefault="00CC768E" w:rsidP="00CC768E">
            <w:pPr>
              <w:pStyle w:val="TableParagraph"/>
              <w:spacing w:before="28" w:line="240" w:lineRule="auto"/>
              <w:ind w:left="194"/>
              <w:rPr>
                <w:sz w:val="18"/>
              </w:rPr>
            </w:pPr>
            <w:r w:rsidRPr="00CB5289">
              <w:rPr>
                <w:sz w:val="18"/>
                <w:szCs w:val="18"/>
              </w:rPr>
              <w:t>1</w:t>
            </w:r>
          </w:p>
        </w:tc>
      </w:tr>
      <w:tr w:rsidR="00CC768E" w14:paraId="1D8AF12E" w14:textId="77777777" w:rsidTr="00BB21F9">
        <w:trPr>
          <w:trHeight w:val="279"/>
        </w:trPr>
        <w:tc>
          <w:tcPr>
            <w:tcW w:w="1460" w:type="pct"/>
            <w:tcBorders>
              <w:right w:val="nil"/>
            </w:tcBorders>
            <w:shd w:val="clear" w:color="auto" w:fill="ECECEC"/>
          </w:tcPr>
          <w:p w14:paraId="2E021919" w14:textId="76534674" w:rsidR="00CC768E" w:rsidRPr="00A76818" w:rsidRDefault="00CC768E" w:rsidP="00CC768E">
            <w:pPr>
              <w:pStyle w:val="TableParagraph"/>
              <w:spacing w:before="28" w:line="240" w:lineRule="auto"/>
              <w:jc w:val="left"/>
              <w:rPr>
                <w:sz w:val="18"/>
                <w:szCs w:val="18"/>
              </w:rPr>
            </w:pPr>
            <w:r w:rsidRPr="00A76818">
              <w:rPr>
                <w:sz w:val="18"/>
                <w:szCs w:val="18"/>
              </w:rPr>
              <w:t>-</w:t>
            </w:r>
            <w:r w:rsidRPr="00A76818">
              <w:rPr>
                <w:spacing w:val="-3"/>
                <w:sz w:val="18"/>
                <w:szCs w:val="18"/>
              </w:rPr>
              <w:t xml:space="preserve"> </w:t>
            </w:r>
            <w:r w:rsidRPr="00A76818">
              <w:rPr>
                <w:sz w:val="18"/>
                <w:szCs w:val="18"/>
              </w:rPr>
              <w:t>median</w:t>
            </w:r>
            <w:r w:rsidRPr="00A76818">
              <w:rPr>
                <w:spacing w:val="-2"/>
                <w:sz w:val="18"/>
                <w:szCs w:val="18"/>
              </w:rPr>
              <w:t xml:space="preserve"> </w:t>
            </w:r>
            <w:r w:rsidRPr="00A76818">
              <w:rPr>
                <w:sz w:val="18"/>
                <w:szCs w:val="18"/>
              </w:rPr>
              <w:t>(95%</w:t>
            </w:r>
            <w:r w:rsidRPr="00A76818">
              <w:rPr>
                <w:spacing w:val="-1"/>
                <w:sz w:val="18"/>
                <w:szCs w:val="18"/>
              </w:rPr>
              <w:t xml:space="preserve"> </w:t>
            </w:r>
            <w:r w:rsidRPr="00A76818">
              <w:rPr>
                <w:sz w:val="18"/>
                <w:szCs w:val="18"/>
              </w:rPr>
              <w:t>CrI)</w:t>
            </w:r>
          </w:p>
        </w:tc>
        <w:tc>
          <w:tcPr>
            <w:tcW w:w="1454" w:type="pct"/>
            <w:gridSpan w:val="3"/>
            <w:tcBorders>
              <w:left w:val="nil"/>
              <w:right w:val="nil"/>
            </w:tcBorders>
            <w:shd w:val="clear" w:color="auto" w:fill="ECECEC"/>
            <w:vAlign w:val="center"/>
          </w:tcPr>
          <w:p w14:paraId="3A0A4699" w14:textId="6A6F1AA3" w:rsidR="00CC768E" w:rsidRDefault="00CC768E" w:rsidP="00CC768E">
            <w:pPr>
              <w:pStyle w:val="TableParagraph"/>
              <w:spacing w:before="28" w:line="240" w:lineRule="auto"/>
              <w:rPr>
                <w:sz w:val="18"/>
                <w:szCs w:val="18"/>
              </w:rPr>
            </w:pPr>
            <w:r>
              <w:rPr>
                <w:sz w:val="18"/>
                <w:szCs w:val="18"/>
              </w:rPr>
              <w:t>1.24 (0.39 to 3.89)</w:t>
            </w:r>
          </w:p>
        </w:tc>
        <w:tc>
          <w:tcPr>
            <w:tcW w:w="695" w:type="pct"/>
            <w:tcBorders>
              <w:left w:val="nil"/>
              <w:right w:val="nil"/>
            </w:tcBorders>
            <w:shd w:val="clear" w:color="auto" w:fill="ECECEC"/>
            <w:vAlign w:val="center"/>
          </w:tcPr>
          <w:p w14:paraId="374321A4" w14:textId="7D58A6F1" w:rsidR="00CC768E" w:rsidRDefault="00CC768E" w:rsidP="00CC768E">
            <w:pPr>
              <w:pStyle w:val="TableParagraph"/>
              <w:spacing w:before="28" w:line="240" w:lineRule="auto"/>
              <w:rPr>
                <w:sz w:val="18"/>
                <w:szCs w:val="18"/>
              </w:rPr>
            </w:pPr>
            <w:r>
              <w:rPr>
                <w:sz w:val="18"/>
                <w:szCs w:val="18"/>
              </w:rPr>
              <w:t>0.96 (0.23 to 4.44)</w:t>
            </w:r>
          </w:p>
        </w:tc>
        <w:tc>
          <w:tcPr>
            <w:tcW w:w="695" w:type="pct"/>
            <w:tcBorders>
              <w:left w:val="nil"/>
            </w:tcBorders>
            <w:shd w:val="clear" w:color="auto" w:fill="ECECEC"/>
            <w:vAlign w:val="center"/>
          </w:tcPr>
          <w:p w14:paraId="256E640D" w14:textId="4D096156" w:rsidR="00CC768E" w:rsidRPr="00CB5289" w:rsidRDefault="00CC768E" w:rsidP="00CC768E">
            <w:pPr>
              <w:pStyle w:val="TableParagraph"/>
              <w:spacing w:before="28" w:line="240" w:lineRule="auto"/>
              <w:ind w:left="194"/>
              <w:rPr>
                <w:sz w:val="18"/>
                <w:szCs w:val="18"/>
              </w:rPr>
            </w:pPr>
            <w:r>
              <w:rPr>
                <w:sz w:val="18"/>
                <w:szCs w:val="18"/>
              </w:rPr>
              <w:t>0.59 (0.12 to 3.47)</w:t>
            </w:r>
          </w:p>
        </w:tc>
        <w:tc>
          <w:tcPr>
            <w:tcW w:w="695" w:type="pct"/>
            <w:tcBorders>
              <w:left w:val="nil"/>
            </w:tcBorders>
            <w:shd w:val="clear" w:color="auto" w:fill="ECECEC"/>
            <w:vAlign w:val="center"/>
          </w:tcPr>
          <w:p w14:paraId="1701078A" w14:textId="7BE80EC2" w:rsidR="00CC768E" w:rsidRDefault="00CC768E" w:rsidP="00CC768E">
            <w:pPr>
              <w:pStyle w:val="TableParagraph"/>
              <w:spacing w:before="28" w:line="240" w:lineRule="auto"/>
              <w:ind w:left="194"/>
              <w:rPr>
                <w:sz w:val="18"/>
              </w:rPr>
            </w:pPr>
            <w:r w:rsidRPr="00CB5289">
              <w:rPr>
                <w:sz w:val="18"/>
                <w:szCs w:val="18"/>
              </w:rPr>
              <w:t>1</w:t>
            </w:r>
          </w:p>
        </w:tc>
      </w:tr>
      <w:tr w:rsidR="00CC768E" w14:paraId="641A653A" w14:textId="77777777" w:rsidTr="00BB21F9">
        <w:trPr>
          <w:trHeight w:val="279"/>
        </w:trPr>
        <w:tc>
          <w:tcPr>
            <w:tcW w:w="1460" w:type="pct"/>
            <w:tcBorders>
              <w:right w:val="nil"/>
            </w:tcBorders>
            <w:shd w:val="clear" w:color="auto" w:fill="ECECEC"/>
          </w:tcPr>
          <w:p w14:paraId="7EAB4AE7" w14:textId="63AA5336" w:rsidR="00CC768E" w:rsidRPr="00A76818" w:rsidRDefault="00CC768E" w:rsidP="00CC768E">
            <w:pPr>
              <w:pStyle w:val="TableParagraph"/>
              <w:spacing w:before="28" w:line="240" w:lineRule="auto"/>
              <w:jc w:val="left"/>
              <w:rPr>
                <w:sz w:val="18"/>
                <w:szCs w:val="18"/>
              </w:rPr>
            </w:pPr>
            <w:r w:rsidRPr="00A76818">
              <w:rPr>
                <w:sz w:val="18"/>
                <w:szCs w:val="18"/>
              </w:rPr>
              <w:t>Probability</w:t>
            </w:r>
            <w:r w:rsidRPr="00A76818">
              <w:rPr>
                <w:spacing w:val="-6"/>
                <w:sz w:val="18"/>
                <w:szCs w:val="18"/>
              </w:rPr>
              <w:t xml:space="preserve"> </w:t>
            </w:r>
            <w:r w:rsidRPr="00A76818">
              <w:rPr>
                <w:sz w:val="18"/>
                <w:szCs w:val="18"/>
              </w:rPr>
              <w:t>of</w:t>
            </w:r>
            <w:r w:rsidRPr="00A76818">
              <w:rPr>
                <w:spacing w:val="-3"/>
                <w:sz w:val="18"/>
                <w:szCs w:val="18"/>
              </w:rPr>
              <w:t xml:space="preserve"> </w:t>
            </w:r>
            <w:r w:rsidRPr="00A76818">
              <w:rPr>
                <w:sz w:val="18"/>
                <w:szCs w:val="18"/>
              </w:rPr>
              <w:t>superiority</w:t>
            </w:r>
            <w:r w:rsidRPr="00A76818">
              <w:rPr>
                <w:spacing w:val="-5"/>
                <w:sz w:val="18"/>
                <w:szCs w:val="18"/>
              </w:rPr>
              <w:t xml:space="preserve"> </w:t>
            </w:r>
            <w:r w:rsidRPr="00A76818">
              <w:rPr>
                <w:sz w:val="18"/>
                <w:szCs w:val="18"/>
              </w:rPr>
              <w:t>to</w:t>
            </w:r>
            <w:r w:rsidRPr="00A76818">
              <w:rPr>
                <w:spacing w:val="-4"/>
                <w:sz w:val="18"/>
                <w:szCs w:val="18"/>
              </w:rPr>
              <w:t xml:space="preserve"> </w:t>
            </w:r>
            <w:r w:rsidRPr="00A76818">
              <w:rPr>
                <w:sz w:val="18"/>
                <w:szCs w:val="18"/>
              </w:rPr>
              <w:t>control,</w:t>
            </w:r>
            <w:r w:rsidRPr="00A76818">
              <w:rPr>
                <w:spacing w:val="-3"/>
                <w:sz w:val="18"/>
                <w:szCs w:val="18"/>
              </w:rPr>
              <w:t xml:space="preserve"> </w:t>
            </w:r>
            <w:r w:rsidRPr="00A76818">
              <w:rPr>
                <w:sz w:val="18"/>
                <w:szCs w:val="18"/>
              </w:rPr>
              <w:t>%</w:t>
            </w:r>
          </w:p>
        </w:tc>
        <w:tc>
          <w:tcPr>
            <w:tcW w:w="1454" w:type="pct"/>
            <w:gridSpan w:val="3"/>
            <w:tcBorders>
              <w:left w:val="nil"/>
              <w:right w:val="nil"/>
            </w:tcBorders>
            <w:shd w:val="clear" w:color="auto" w:fill="ECECEC"/>
            <w:vAlign w:val="center"/>
          </w:tcPr>
          <w:p w14:paraId="299B3D7F" w14:textId="192A4AD0" w:rsidR="00CC768E" w:rsidRDefault="00CC768E" w:rsidP="00CC768E">
            <w:pPr>
              <w:pStyle w:val="TableParagraph"/>
              <w:spacing w:before="28" w:line="240" w:lineRule="auto"/>
              <w:rPr>
                <w:sz w:val="18"/>
                <w:szCs w:val="18"/>
              </w:rPr>
            </w:pPr>
            <w:r>
              <w:rPr>
                <w:sz w:val="18"/>
                <w:szCs w:val="18"/>
              </w:rPr>
              <w:t>63.7</w:t>
            </w:r>
          </w:p>
        </w:tc>
        <w:tc>
          <w:tcPr>
            <w:tcW w:w="695" w:type="pct"/>
            <w:tcBorders>
              <w:left w:val="nil"/>
              <w:right w:val="nil"/>
            </w:tcBorders>
            <w:shd w:val="clear" w:color="auto" w:fill="ECECEC"/>
            <w:vAlign w:val="center"/>
          </w:tcPr>
          <w:p w14:paraId="4392EE6E" w14:textId="108B259C" w:rsidR="00CC768E" w:rsidRDefault="00CC768E" w:rsidP="00CC768E">
            <w:pPr>
              <w:pStyle w:val="TableParagraph"/>
              <w:spacing w:before="28" w:line="240" w:lineRule="auto"/>
              <w:rPr>
                <w:sz w:val="18"/>
                <w:szCs w:val="18"/>
              </w:rPr>
            </w:pPr>
            <w:r>
              <w:rPr>
                <w:sz w:val="18"/>
                <w:szCs w:val="18"/>
              </w:rPr>
              <w:t>47.4</w:t>
            </w:r>
          </w:p>
        </w:tc>
        <w:tc>
          <w:tcPr>
            <w:tcW w:w="695" w:type="pct"/>
            <w:tcBorders>
              <w:left w:val="nil"/>
            </w:tcBorders>
            <w:shd w:val="clear" w:color="auto" w:fill="ECECEC"/>
            <w:vAlign w:val="center"/>
          </w:tcPr>
          <w:p w14:paraId="76D1BBC3" w14:textId="452E9256" w:rsidR="00CC768E" w:rsidRPr="00CB5289" w:rsidRDefault="00CC768E" w:rsidP="00CC768E">
            <w:pPr>
              <w:pStyle w:val="TableParagraph"/>
              <w:spacing w:before="28" w:line="240" w:lineRule="auto"/>
              <w:ind w:left="194"/>
              <w:rPr>
                <w:sz w:val="18"/>
                <w:szCs w:val="18"/>
              </w:rPr>
            </w:pPr>
            <w:r>
              <w:rPr>
                <w:sz w:val="18"/>
                <w:szCs w:val="18"/>
              </w:rPr>
              <w:t>27.0</w:t>
            </w:r>
          </w:p>
        </w:tc>
        <w:tc>
          <w:tcPr>
            <w:tcW w:w="695" w:type="pct"/>
            <w:tcBorders>
              <w:left w:val="nil"/>
            </w:tcBorders>
            <w:shd w:val="clear" w:color="auto" w:fill="ECECEC"/>
            <w:vAlign w:val="center"/>
          </w:tcPr>
          <w:p w14:paraId="671D24D1" w14:textId="26B0BDB8" w:rsidR="00CC768E" w:rsidRDefault="00CC768E" w:rsidP="00CC768E">
            <w:pPr>
              <w:pStyle w:val="TableParagraph"/>
              <w:spacing w:before="28" w:line="240" w:lineRule="auto"/>
              <w:ind w:left="194"/>
              <w:rPr>
                <w:sz w:val="18"/>
              </w:rPr>
            </w:pPr>
            <w:r w:rsidRPr="00CB5289">
              <w:rPr>
                <w:sz w:val="18"/>
                <w:szCs w:val="18"/>
              </w:rPr>
              <w:t>-</w:t>
            </w:r>
          </w:p>
        </w:tc>
      </w:tr>
    </w:tbl>
    <w:p w14:paraId="5BD875DD" w14:textId="0F2A3422" w:rsidR="00C80338" w:rsidRPr="00434B67" w:rsidRDefault="00434B67" w:rsidP="00434B67">
      <w:pPr>
        <w:rPr>
          <w:rFonts w:asciiTheme="majorHAnsi" w:hAnsiTheme="majorHAnsi" w:cstheme="majorHAnsi"/>
          <w:sz w:val="22"/>
          <w:szCs w:val="22"/>
        </w:rPr>
      </w:pPr>
      <w:r w:rsidRPr="00A046A9">
        <w:rPr>
          <w:rFonts w:asciiTheme="majorHAnsi" w:hAnsiTheme="majorHAnsi" w:cstheme="majorHAnsi"/>
          <w:sz w:val="22"/>
          <w:szCs w:val="22"/>
        </w:rPr>
        <w:t>*</w:t>
      </w:r>
      <w:r>
        <w:rPr>
          <w:rFonts w:asciiTheme="majorHAnsi" w:hAnsiTheme="majorHAnsi" w:cstheme="majorHAnsi"/>
          <w:szCs w:val="22"/>
        </w:rPr>
        <w:t xml:space="preserve"> </w:t>
      </w:r>
      <w:r w:rsidRPr="00A046A9">
        <w:rPr>
          <w:rFonts w:asciiTheme="majorHAnsi" w:hAnsiTheme="majorHAnsi" w:cstheme="majorHAnsi"/>
          <w:sz w:val="16"/>
          <w:szCs w:val="16"/>
        </w:rPr>
        <w:t>results are provided for the pooled IL-6ra</w:t>
      </w:r>
    </w:p>
    <w:p w14:paraId="6B41BAC8" w14:textId="77777777" w:rsidR="008E5DB6" w:rsidRDefault="008E5DB6">
      <w:pPr>
        <w:rPr>
          <w:rFonts w:asciiTheme="minorHAnsi" w:eastAsiaTheme="minorHAnsi" w:hAnsiTheme="minorHAnsi" w:cstheme="majorHAnsi"/>
          <w:lang w:val="en-US" w:eastAsia="en-US"/>
        </w:rPr>
      </w:pPr>
    </w:p>
    <w:p w14:paraId="18DED02E" w14:textId="77777777" w:rsidR="008E5DB6" w:rsidRDefault="008E5DB6">
      <w:pPr>
        <w:rPr>
          <w:rFonts w:asciiTheme="minorHAnsi" w:eastAsiaTheme="minorHAnsi" w:hAnsiTheme="minorHAnsi" w:cstheme="majorHAnsi"/>
          <w:b/>
          <w:bCs/>
          <w:color w:val="000000" w:themeColor="text1"/>
          <w:lang w:val="en-US" w:eastAsia="en-US"/>
        </w:rPr>
      </w:pPr>
      <w:r>
        <w:rPr>
          <w:rFonts w:asciiTheme="minorHAnsi" w:eastAsiaTheme="minorHAnsi" w:hAnsiTheme="minorHAnsi" w:cstheme="majorHAnsi"/>
          <w:bCs/>
          <w:lang w:val="en-US" w:eastAsia="en-US"/>
        </w:rPr>
        <w:br w:type="page"/>
      </w:r>
    </w:p>
    <w:p w14:paraId="53A76F49" w14:textId="7D1BCDE4" w:rsidR="008E5DB6" w:rsidRDefault="008E5DB6" w:rsidP="00FE7214">
      <w:pPr>
        <w:pStyle w:val="Heading2"/>
        <w:rPr>
          <w:rFonts w:asciiTheme="minorHAnsi" w:eastAsiaTheme="minorHAnsi" w:hAnsiTheme="minorHAnsi" w:cstheme="majorHAnsi"/>
          <w:bCs/>
          <w:sz w:val="24"/>
          <w:szCs w:val="24"/>
          <w:lang w:val="en-US" w:eastAsia="en-US"/>
        </w:rPr>
      </w:pPr>
      <w:bookmarkStart w:id="34" w:name="_Toc74659160"/>
      <w:r w:rsidRPr="005153A6">
        <w:rPr>
          <w:rFonts w:asciiTheme="minorHAnsi" w:eastAsiaTheme="minorHAnsi" w:hAnsiTheme="minorHAnsi" w:cstheme="majorHAnsi"/>
          <w:bCs/>
          <w:sz w:val="24"/>
          <w:szCs w:val="24"/>
          <w:lang w:val="en-US" w:eastAsia="en-US"/>
        </w:rPr>
        <w:lastRenderedPageBreak/>
        <w:t>Table S</w:t>
      </w:r>
      <w:r>
        <w:rPr>
          <w:rFonts w:asciiTheme="minorHAnsi" w:eastAsiaTheme="minorHAnsi" w:hAnsiTheme="minorHAnsi" w:cstheme="majorHAnsi"/>
          <w:bCs/>
          <w:sz w:val="24"/>
          <w:szCs w:val="24"/>
          <w:lang w:val="en-US" w:eastAsia="en-US"/>
        </w:rPr>
        <w:t>5</w:t>
      </w:r>
      <w:r w:rsidRPr="005153A6">
        <w:rPr>
          <w:rFonts w:asciiTheme="minorHAnsi" w:eastAsiaTheme="minorHAnsi" w:hAnsiTheme="minorHAnsi" w:cstheme="majorHAnsi"/>
          <w:bCs/>
          <w:sz w:val="24"/>
          <w:szCs w:val="24"/>
          <w:lang w:val="en-US" w:eastAsia="en-US"/>
        </w:rPr>
        <w:t xml:space="preserve">. </w:t>
      </w:r>
      <w:r w:rsidRPr="008E5DB6">
        <w:rPr>
          <w:rFonts w:asciiTheme="minorHAnsi" w:eastAsiaTheme="minorHAnsi" w:hAnsiTheme="minorHAnsi" w:cstheme="majorHAnsi"/>
          <w:bCs/>
          <w:sz w:val="24"/>
          <w:szCs w:val="24"/>
          <w:lang w:val="en-US" w:eastAsia="en-US"/>
        </w:rPr>
        <w:t>Primary safety analysis of serious adverse events</w:t>
      </w:r>
      <w:bookmarkEnd w:id="34"/>
    </w:p>
    <w:p w14:paraId="425C1E7C" w14:textId="77777777" w:rsidR="008E5DB6" w:rsidRPr="008E5DB6" w:rsidRDefault="008E5DB6" w:rsidP="008E5DB6">
      <w:pPr>
        <w:rPr>
          <w:rFonts w:eastAsiaTheme="minorHAnsi"/>
          <w:lang w:val="en-US" w:eastAsia="en-US"/>
        </w:rPr>
      </w:pPr>
    </w:p>
    <w:tbl>
      <w:tblPr>
        <w:tblW w:w="5000" w:type="pct"/>
        <w:tblBorders>
          <w:top w:val="dashSmallGap" w:sz="4" w:space="0" w:color="D8D8D8"/>
          <w:left w:val="dashSmallGap" w:sz="4" w:space="0" w:color="D8D8D8"/>
          <w:bottom w:val="dashSmallGap" w:sz="4" w:space="0" w:color="D8D8D8"/>
          <w:right w:val="dashSmallGap" w:sz="4" w:space="0" w:color="D8D8D8"/>
          <w:insideH w:val="dashSmallGap" w:sz="4" w:space="0" w:color="D8D8D8"/>
          <w:insideV w:val="dashSmallGap" w:sz="4" w:space="0" w:color="D8D8D8"/>
        </w:tblBorders>
        <w:tblCellMar>
          <w:left w:w="0" w:type="dxa"/>
          <w:right w:w="0" w:type="dxa"/>
        </w:tblCellMar>
        <w:tblLook w:val="01E0" w:firstRow="1" w:lastRow="1" w:firstColumn="1" w:lastColumn="1" w:noHBand="0" w:noVBand="0"/>
      </w:tblPr>
      <w:tblGrid>
        <w:gridCol w:w="2628"/>
        <w:gridCol w:w="1249"/>
        <w:gridCol w:w="59"/>
        <w:gridCol w:w="1310"/>
        <w:gridCol w:w="1252"/>
        <w:gridCol w:w="1254"/>
        <w:gridCol w:w="1258"/>
      </w:tblGrid>
      <w:tr w:rsidR="008E5DB6" w14:paraId="04542A6B" w14:textId="77777777" w:rsidTr="00BB21F9">
        <w:trPr>
          <w:trHeight w:val="279"/>
        </w:trPr>
        <w:tc>
          <w:tcPr>
            <w:tcW w:w="1458" w:type="pct"/>
            <w:tcBorders>
              <w:right w:val="nil"/>
            </w:tcBorders>
            <w:shd w:val="clear" w:color="auto" w:fill="ECECEC"/>
            <w:vAlign w:val="center"/>
          </w:tcPr>
          <w:p w14:paraId="2DE6511E" w14:textId="12664381" w:rsidR="008E5DB6" w:rsidRDefault="008E5DB6" w:rsidP="008E5DB6">
            <w:pPr>
              <w:pStyle w:val="TableParagraph"/>
              <w:spacing w:before="28" w:line="240" w:lineRule="auto"/>
              <w:jc w:val="left"/>
              <w:rPr>
                <w:b/>
                <w:sz w:val="18"/>
                <w:szCs w:val="18"/>
              </w:rPr>
            </w:pPr>
          </w:p>
        </w:tc>
        <w:tc>
          <w:tcPr>
            <w:tcW w:w="693" w:type="pct"/>
            <w:tcBorders>
              <w:left w:val="nil"/>
            </w:tcBorders>
            <w:shd w:val="clear" w:color="auto" w:fill="ECECEC"/>
            <w:vAlign w:val="center"/>
          </w:tcPr>
          <w:p w14:paraId="67DC7AA2" w14:textId="010F06A6" w:rsidR="008E5DB6" w:rsidRDefault="008E5DB6" w:rsidP="00960B88">
            <w:pPr>
              <w:pStyle w:val="TableParagraph"/>
              <w:spacing w:before="28" w:line="240" w:lineRule="auto"/>
              <w:ind w:left="194"/>
              <w:rPr>
                <w:sz w:val="18"/>
              </w:rPr>
            </w:pPr>
            <w:r>
              <w:rPr>
                <w:b/>
                <w:sz w:val="18"/>
              </w:rPr>
              <w:t>Tocilizumab</w:t>
            </w:r>
            <w:r>
              <w:rPr>
                <w:b/>
                <w:spacing w:val="-7"/>
                <w:sz w:val="18"/>
              </w:rPr>
              <w:t xml:space="preserve"> </w:t>
            </w:r>
            <w:r>
              <w:rPr>
                <w:b/>
                <w:sz w:val="18"/>
              </w:rPr>
              <w:t>(N=947)</w:t>
            </w:r>
          </w:p>
        </w:tc>
        <w:tc>
          <w:tcPr>
            <w:tcW w:w="760" w:type="pct"/>
            <w:gridSpan w:val="2"/>
            <w:tcBorders>
              <w:left w:val="nil"/>
            </w:tcBorders>
            <w:shd w:val="clear" w:color="auto" w:fill="ECECEC"/>
            <w:vAlign w:val="center"/>
          </w:tcPr>
          <w:p w14:paraId="10597D8F" w14:textId="387ED051" w:rsidR="008E5DB6" w:rsidRDefault="008E5DB6" w:rsidP="00960B88">
            <w:pPr>
              <w:pStyle w:val="TableParagraph"/>
              <w:spacing w:before="28" w:line="240" w:lineRule="auto"/>
              <w:ind w:left="194"/>
              <w:rPr>
                <w:sz w:val="18"/>
              </w:rPr>
            </w:pPr>
            <w:r>
              <w:rPr>
                <w:b/>
                <w:sz w:val="18"/>
              </w:rPr>
              <w:t xml:space="preserve">Sarilumab </w:t>
            </w:r>
            <w:r>
              <w:rPr>
                <w:b/>
                <w:spacing w:val="-7"/>
                <w:sz w:val="18"/>
              </w:rPr>
              <w:t xml:space="preserve"> </w:t>
            </w:r>
            <w:r>
              <w:rPr>
                <w:b/>
                <w:sz w:val="18"/>
              </w:rPr>
              <w:t>(N=482)</w:t>
            </w:r>
          </w:p>
        </w:tc>
        <w:tc>
          <w:tcPr>
            <w:tcW w:w="695" w:type="pct"/>
            <w:tcBorders>
              <w:left w:val="nil"/>
            </w:tcBorders>
            <w:shd w:val="clear" w:color="auto" w:fill="ECECEC"/>
            <w:vAlign w:val="center"/>
          </w:tcPr>
          <w:p w14:paraId="54328F38" w14:textId="740A8E3D" w:rsidR="008E5DB6" w:rsidRDefault="008E5DB6" w:rsidP="00960B88">
            <w:pPr>
              <w:pStyle w:val="TableParagraph"/>
              <w:spacing w:before="28" w:line="240" w:lineRule="auto"/>
              <w:ind w:left="194"/>
              <w:rPr>
                <w:sz w:val="18"/>
              </w:rPr>
            </w:pPr>
            <w:r>
              <w:rPr>
                <w:b/>
                <w:sz w:val="18"/>
              </w:rPr>
              <w:t>Anakinra</w:t>
            </w:r>
            <w:r>
              <w:rPr>
                <w:b/>
                <w:spacing w:val="-6"/>
                <w:sz w:val="18"/>
              </w:rPr>
              <w:t xml:space="preserve"> </w:t>
            </w:r>
            <w:r>
              <w:rPr>
                <w:b/>
                <w:sz w:val="18"/>
              </w:rPr>
              <w:t>(N=373)</w:t>
            </w:r>
          </w:p>
        </w:tc>
        <w:tc>
          <w:tcPr>
            <w:tcW w:w="696" w:type="pct"/>
            <w:tcBorders>
              <w:left w:val="nil"/>
            </w:tcBorders>
            <w:shd w:val="clear" w:color="auto" w:fill="ECECEC"/>
            <w:vAlign w:val="center"/>
          </w:tcPr>
          <w:p w14:paraId="239040DD" w14:textId="77777777" w:rsidR="008E5DB6" w:rsidRDefault="008E5DB6" w:rsidP="00960B88">
            <w:pPr>
              <w:pStyle w:val="TableParagraph"/>
              <w:spacing w:before="28" w:line="240" w:lineRule="auto"/>
              <w:ind w:left="194"/>
              <w:rPr>
                <w:sz w:val="18"/>
              </w:rPr>
            </w:pPr>
            <w:r w:rsidRPr="00C02122">
              <w:rPr>
                <w:b/>
                <w:sz w:val="18"/>
              </w:rPr>
              <w:t>Interferon-β1a</w:t>
            </w:r>
            <w:r>
              <w:rPr>
                <w:b/>
                <w:sz w:val="18"/>
              </w:rPr>
              <w:t xml:space="preserve"> (N=19)</w:t>
            </w:r>
          </w:p>
        </w:tc>
        <w:tc>
          <w:tcPr>
            <w:tcW w:w="698" w:type="pct"/>
            <w:tcBorders>
              <w:left w:val="nil"/>
            </w:tcBorders>
            <w:shd w:val="clear" w:color="auto" w:fill="ECECEC"/>
            <w:vAlign w:val="center"/>
          </w:tcPr>
          <w:p w14:paraId="77C2B985" w14:textId="74684B39" w:rsidR="008E5DB6" w:rsidRDefault="008E5DB6" w:rsidP="00960B88">
            <w:pPr>
              <w:pStyle w:val="TableParagraph"/>
              <w:spacing w:before="28" w:line="240" w:lineRule="auto"/>
              <w:ind w:left="194"/>
              <w:rPr>
                <w:sz w:val="18"/>
              </w:rPr>
            </w:pPr>
            <w:r>
              <w:rPr>
                <w:b/>
                <w:sz w:val="18"/>
              </w:rPr>
              <w:t>Control</w:t>
            </w:r>
            <w:r>
              <w:rPr>
                <w:b/>
                <w:spacing w:val="-38"/>
                <w:sz w:val="18"/>
              </w:rPr>
              <w:t xml:space="preserve"> </w:t>
            </w:r>
            <w:r>
              <w:rPr>
                <w:b/>
                <w:spacing w:val="-1"/>
                <w:sz w:val="18"/>
              </w:rPr>
              <w:t>(N=405)</w:t>
            </w:r>
          </w:p>
        </w:tc>
      </w:tr>
      <w:tr w:rsidR="00960B88" w14:paraId="2DAEB8CD" w14:textId="77777777" w:rsidTr="00BB21F9">
        <w:trPr>
          <w:trHeight w:val="279"/>
        </w:trPr>
        <w:tc>
          <w:tcPr>
            <w:tcW w:w="5000" w:type="pct"/>
            <w:gridSpan w:val="7"/>
            <w:shd w:val="clear" w:color="auto" w:fill="ECECEC"/>
            <w:vAlign w:val="center"/>
          </w:tcPr>
          <w:p w14:paraId="6007FE2C" w14:textId="23FBCF86" w:rsidR="00960B88" w:rsidRDefault="00960B88" w:rsidP="00960B88">
            <w:pPr>
              <w:pStyle w:val="TableParagraph"/>
              <w:spacing w:before="28" w:line="240" w:lineRule="auto"/>
              <w:ind w:left="194"/>
              <w:jc w:val="left"/>
              <w:rPr>
                <w:sz w:val="18"/>
              </w:rPr>
            </w:pPr>
            <w:r>
              <w:rPr>
                <w:b/>
                <w:sz w:val="18"/>
                <w:szCs w:val="18"/>
              </w:rPr>
              <w:t>For the Immune Modulation ITT Population</w:t>
            </w:r>
          </w:p>
        </w:tc>
      </w:tr>
      <w:tr w:rsidR="008E5DB6" w14:paraId="7BEB2DDB" w14:textId="77777777" w:rsidTr="00BB21F9">
        <w:trPr>
          <w:trHeight w:val="279"/>
        </w:trPr>
        <w:tc>
          <w:tcPr>
            <w:tcW w:w="1458" w:type="pct"/>
            <w:tcBorders>
              <w:right w:val="nil"/>
            </w:tcBorders>
            <w:shd w:val="clear" w:color="auto" w:fill="ECECEC"/>
          </w:tcPr>
          <w:p w14:paraId="22F449A5" w14:textId="77777777" w:rsidR="008E5DB6" w:rsidRPr="00A046A9" w:rsidRDefault="008E5DB6" w:rsidP="001304D9">
            <w:pPr>
              <w:pStyle w:val="TableParagraph"/>
              <w:spacing w:before="28" w:line="240" w:lineRule="auto"/>
              <w:jc w:val="left"/>
              <w:rPr>
                <w:b/>
                <w:sz w:val="18"/>
                <w:szCs w:val="18"/>
              </w:rPr>
            </w:pPr>
            <w:r w:rsidRPr="00A76818">
              <w:rPr>
                <w:sz w:val="18"/>
                <w:szCs w:val="18"/>
              </w:rPr>
              <w:t>Adjusted</w:t>
            </w:r>
            <w:r w:rsidRPr="00A76818">
              <w:rPr>
                <w:spacing w:val="-3"/>
                <w:sz w:val="18"/>
                <w:szCs w:val="18"/>
              </w:rPr>
              <w:t xml:space="preserve"> </w:t>
            </w:r>
            <w:r w:rsidRPr="00A76818">
              <w:rPr>
                <w:sz w:val="18"/>
                <w:szCs w:val="18"/>
              </w:rPr>
              <w:t>OR</w:t>
            </w:r>
            <w:r w:rsidRPr="00A76818">
              <w:rPr>
                <w:spacing w:val="2"/>
                <w:sz w:val="18"/>
                <w:szCs w:val="18"/>
              </w:rPr>
              <w:t xml:space="preserve"> </w:t>
            </w:r>
            <w:r w:rsidRPr="00A76818">
              <w:rPr>
                <w:sz w:val="18"/>
                <w:szCs w:val="18"/>
              </w:rPr>
              <w:t>-</w:t>
            </w:r>
            <w:r w:rsidRPr="00A76818">
              <w:rPr>
                <w:spacing w:val="-2"/>
                <w:sz w:val="18"/>
                <w:szCs w:val="18"/>
              </w:rPr>
              <w:t xml:space="preserve"> </w:t>
            </w:r>
            <w:r w:rsidRPr="00A76818">
              <w:rPr>
                <w:sz w:val="18"/>
                <w:szCs w:val="18"/>
              </w:rPr>
              <w:t>mean</w:t>
            </w:r>
            <w:r w:rsidRPr="00A76818">
              <w:rPr>
                <w:spacing w:val="-3"/>
                <w:sz w:val="18"/>
                <w:szCs w:val="18"/>
              </w:rPr>
              <w:t xml:space="preserve"> </w:t>
            </w:r>
            <w:r w:rsidRPr="00A76818">
              <w:rPr>
                <w:sz w:val="18"/>
                <w:szCs w:val="18"/>
              </w:rPr>
              <w:t>(SD)</w:t>
            </w:r>
          </w:p>
        </w:tc>
        <w:tc>
          <w:tcPr>
            <w:tcW w:w="726" w:type="pct"/>
            <w:gridSpan w:val="2"/>
            <w:tcBorders>
              <w:left w:val="nil"/>
              <w:right w:val="nil"/>
            </w:tcBorders>
            <w:shd w:val="clear" w:color="auto" w:fill="ECECEC"/>
            <w:vAlign w:val="center"/>
          </w:tcPr>
          <w:p w14:paraId="04256FF8" w14:textId="30C0481E" w:rsidR="008E5DB6" w:rsidRDefault="00960B88" w:rsidP="00960B88">
            <w:pPr>
              <w:pStyle w:val="TableParagraph"/>
              <w:spacing w:before="28" w:line="240" w:lineRule="auto"/>
              <w:rPr>
                <w:sz w:val="18"/>
                <w:szCs w:val="18"/>
              </w:rPr>
            </w:pPr>
            <w:r>
              <w:rPr>
                <w:sz w:val="18"/>
                <w:szCs w:val="18"/>
              </w:rPr>
              <w:t>1.15 (0.41)</w:t>
            </w:r>
          </w:p>
        </w:tc>
        <w:tc>
          <w:tcPr>
            <w:tcW w:w="727" w:type="pct"/>
            <w:tcBorders>
              <w:left w:val="nil"/>
              <w:right w:val="nil"/>
            </w:tcBorders>
            <w:shd w:val="clear" w:color="auto" w:fill="ECECEC"/>
            <w:vAlign w:val="center"/>
          </w:tcPr>
          <w:p w14:paraId="10BA0920" w14:textId="7C826499" w:rsidR="008E5DB6" w:rsidRDefault="00960B88" w:rsidP="00960B88">
            <w:pPr>
              <w:pStyle w:val="TableParagraph"/>
              <w:spacing w:before="28" w:line="240" w:lineRule="auto"/>
              <w:rPr>
                <w:sz w:val="18"/>
                <w:szCs w:val="18"/>
              </w:rPr>
            </w:pPr>
            <w:r>
              <w:rPr>
                <w:sz w:val="18"/>
                <w:szCs w:val="18"/>
              </w:rPr>
              <w:t>1.68 (0.79)</w:t>
            </w:r>
          </w:p>
        </w:tc>
        <w:tc>
          <w:tcPr>
            <w:tcW w:w="695" w:type="pct"/>
            <w:tcBorders>
              <w:left w:val="nil"/>
              <w:right w:val="nil"/>
            </w:tcBorders>
            <w:shd w:val="clear" w:color="auto" w:fill="ECECEC"/>
            <w:vAlign w:val="center"/>
          </w:tcPr>
          <w:p w14:paraId="4BFCBD5B" w14:textId="4A407D8B" w:rsidR="008E5DB6" w:rsidRDefault="00960B88" w:rsidP="00960B88">
            <w:pPr>
              <w:pStyle w:val="TableParagraph"/>
              <w:spacing w:before="28" w:line="240" w:lineRule="auto"/>
              <w:rPr>
                <w:sz w:val="18"/>
                <w:szCs w:val="18"/>
              </w:rPr>
            </w:pPr>
            <w:r>
              <w:rPr>
                <w:sz w:val="18"/>
                <w:szCs w:val="18"/>
              </w:rPr>
              <w:t>1.32 (0.60)</w:t>
            </w:r>
          </w:p>
        </w:tc>
        <w:tc>
          <w:tcPr>
            <w:tcW w:w="696" w:type="pct"/>
            <w:tcBorders>
              <w:left w:val="nil"/>
            </w:tcBorders>
            <w:shd w:val="clear" w:color="auto" w:fill="ECECEC"/>
            <w:vAlign w:val="center"/>
          </w:tcPr>
          <w:p w14:paraId="39F936C2" w14:textId="1E7CD996" w:rsidR="008E5DB6" w:rsidRPr="00CB5289" w:rsidRDefault="00960B88" w:rsidP="00960B88">
            <w:pPr>
              <w:pStyle w:val="TableParagraph"/>
              <w:spacing w:before="28" w:line="240" w:lineRule="auto"/>
              <w:ind w:left="194"/>
              <w:rPr>
                <w:sz w:val="18"/>
                <w:szCs w:val="18"/>
              </w:rPr>
            </w:pPr>
            <w:r>
              <w:rPr>
                <w:sz w:val="18"/>
                <w:szCs w:val="18"/>
              </w:rPr>
              <w:t>1.26 (1.16)</w:t>
            </w:r>
          </w:p>
        </w:tc>
        <w:tc>
          <w:tcPr>
            <w:tcW w:w="698" w:type="pct"/>
            <w:tcBorders>
              <w:left w:val="nil"/>
            </w:tcBorders>
            <w:shd w:val="clear" w:color="auto" w:fill="ECECEC"/>
            <w:vAlign w:val="center"/>
          </w:tcPr>
          <w:p w14:paraId="28B67D21" w14:textId="77777777" w:rsidR="008E5DB6" w:rsidRDefault="008E5DB6" w:rsidP="00960B88">
            <w:pPr>
              <w:pStyle w:val="TableParagraph"/>
              <w:spacing w:before="28" w:line="240" w:lineRule="auto"/>
              <w:ind w:left="194"/>
              <w:rPr>
                <w:sz w:val="18"/>
              </w:rPr>
            </w:pPr>
            <w:r w:rsidRPr="00CB5289">
              <w:rPr>
                <w:sz w:val="18"/>
                <w:szCs w:val="18"/>
              </w:rPr>
              <w:t>1</w:t>
            </w:r>
          </w:p>
        </w:tc>
      </w:tr>
      <w:tr w:rsidR="00960B88" w14:paraId="12F279F5" w14:textId="77777777" w:rsidTr="00BB21F9">
        <w:trPr>
          <w:trHeight w:val="279"/>
        </w:trPr>
        <w:tc>
          <w:tcPr>
            <w:tcW w:w="1458" w:type="pct"/>
            <w:tcBorders>
              <w:right w:val="nil"/>
            </w:tcBorders>
            <w:shd w:val="clear" w:color="auto" w:fill="ECECEC"/>
          </w:tcPr>
          <w:p w14:paraId="084B26B8" w14:textId="77777777" w:rsidR="00960B88" w:rsidRPr="00A76818" w:rsidRDefault="00960B88" w:rsidP="00960B88">
            <w:pPr>
              <w:pStyle w:val="TableParagraph"/>
              <w:spacing w:before="28" w:line="240" w:lineRule="auto"/>
              <w:jc w:val="left"/>
              <w:rPr>
                <w:sz w:val="18"/>
                <w:szCs w:val="18"/>
              </w:rPr>
            </w:pPr>
            <w:r w:rsidRPr="00A76818">
              <w:rPr>
                <w:sz w:val="18"/>
                <w:szCs w:val="18"/>
              </w:rPr>
              <w:t>-</w:t>
            </w:r>
            <w:r w:rsidRPr="00A76818">
              <w:rPr>
                <w:spacing w:val="-3"/>
                <w:sz w:val="18"/>
                <w:szCs w:val="18"/>
              </w:rPr>
              <w:t xml:space="preserve"> </w:t>
            </w:r>
            <w:r w:rsidRPr="00A76818">
              <w:rPr>
                <w:sz w:val="18"/>
                <w:szCs w:val="18"/>
              </w:rPr>
              <w:t>median</w:t>
            </w:r>
            <w:r w:rsidRPr="00A76818">
              <w:rPr>
                <w:spacing w:val="-2"/>
                <w:sz w:val="18"/>
                <w:szCs w:val="18"/>
              </w:rPr>
              <w:t xml:space="preserve"> </w:t>
            </w:r>
            <w:r w:rsidRPr="00A76818">
              <w:rPr>
                <w:sz w:val="18"/>
                <w:szCs w:val="18"/>
              </w:rPr>
              <w:t>(95%</w:t>
            </w:r>
            <w:r w:rsidRPr="00A76818">
              <w:rPr>
                <w:spacing w:val="-1"/>
                <w:sz w:val="18"/>
                <w:szCs w:val="18"/>
              </w:rPr>
              <w:t xml:space="preserve"> </w:t>
            </w:r>
            <w:r w:rsidRPr="00A76818">
              <w:rPr>
                <w:sz w:val="18"/>
                <w:szCs w:val="18"/>
              </w:rPr>
              <w:t>CrI)</w:t>
            </w:r>
          </w:p>
        </w:tc>
        <w:tc>
          <w:tcPr>
            <w:tcW w:w="726" w:type="pct"/>
            <w:gridSpan w:val="2"/>
            <w:tcBorders>
              <w:left w:val="nil"/>
              <w:right w:val="nil"/>
            </w:tcBorders>
            <w:shd w:val="clear" w:color="auto" w:fill="ECECEC"/>
            <w:vAlign w:val="center"/>
          </w:tcPr>
          <w:p w14:paraId="33747F07" w14:textId="2DFC2805" w:rsidR="00960B88" w:rsidRDefault="00960B88" w:rsidP="00960B88">
            <w:pPr>
              <w:pStyle w:val="TableParagraph"/>
              <w:spacing w:before="28" w:line="240" w:lineRule="auto"/>
              <w:rPr>
                <w:sz w:val="18"/>
                <w:szCs w:val="18"/>
              </w:rPr>
            </w:pPr>
            <w:r>
              <w:rPr>
                <w:sz w:val="18"/>
                <w:szCs w:val="18"/>
              </w:rPr>
              <w:t>1.08 (0.53 to 2.15)</w:t>
            </w:r>
          </w:p>
        </w:tc>
        <w:tc>
          <w:tcPr>
            <w:tcW w:w="727" w:type="pct"/>
            <w:tcBorders>
              <w:left w:val="nil"/>
              <w:right w:val="nil"/>
            </w:tcBorders>
            <w:shd w:val="clear" w:color="auto" w:fill="ECECEC"/>
            <w:vAlign w:val="center"/>
          </w:tcPr>
          <w:p w14:paraId="46191392" w14:textId="4D49FC51" w:rsidR="00960B88" w:rsidRDefault="00960B88" w:rsidP="00960B88">
            <w:pPr>
              <w:pStyle w:val="TableParagraph"/>
              <w:spacing w:before="28" w:line="240" w:lineRule="auto"/>
              <w:rPr>
                <w:sz w:val="18"/>
                <w:szCs w:val="18"/>
              </w:rPr>
            </w:pPr>
            <w:r>
              <w:rPr>
                <w:sz w:val="18"/>
                <w:szCs w:val="18"/>
              </w:rPr>
              <w:t>1.52 (0.65 to 3.66)</w:t>
            </w:r>
          </w:p>
        </w:tc>
        <w:tc>
          <w:tcPr>
            <w:tcW w:w="695" w:type="pct"/>
            <w:tcBorders>
              <w:left w:val="nil"/>
              <w:right w:val="nil"/>
            </w:tcBorders>
            <w:shd w:val="clear" w:color="auto" w:fill="ECECEC"/>
            <w:vAlign w:val="center"/>
          </w:tcPr>
          <w:p w14:paraId="4B10A0C1" w14:textId="2A311CF0" w:rsidR="00960B88" w:rsidRDefault="00960B88" w:rsidP="00960B88">
            <w:pPr>
              <w:pStyle w:val="TableParagraph"/>
              <w:spacing w:before="28" w:line="240" w:lineRule="auto"/>
              <w:rPr>
                <w:sz w:val="18"/>
                <w:szCs w:val="18"/>
              </w:rPr>
            </w:pPr>
            <w:r>
              <w:rPr>
                <w:sz w:val="18"/>
                <w:szCs w:val="18"/>
              </w:rPr>
              <w:t>1.20 (0.51 to 2.77)</w:t>
            </w:r>
          </w:p>
        </w:tc>
        <w:tc>
          <w:tcPr>
            <w:tcW w:w="696" w:type="pct"/>
            <w:tcBorders>
              <w:left w:val="nil"/>
            </w:tcBorders>
            <w:shd w:val="clear" w:color="auto" w:fill="ECECEC"/>
            <w:vAlign w:val="center"/>
          </w:tcPr>
          <w:p w14:paraId="57F3E859" w14:textId="5324B4AD" w:rsidR="00960B88" w:rsidRPr="00CB5289" w:rsidRDefault="00960B88" w:rsidP="00960B88">
            <w:pPr>
              <w:pStyle w:val="TableParagraph"/>
              <w:spacing w:before="28" w:line="240" w:lineRule="auto"/>
              <w:ind w:left="194"/>
              <w:rPr>
                <w:sz w:val="18"/>
                <w:szCs w:val="18"/>
              </w:rPr>
            </w:pPr>
            <w:r>
              <w:rPr>
                <w:sz w:val="18"/>
                <w:szCs w:val="18"/>
              </w:rPr>
              <w:t>0.92 (0.22 to 4.33)</w:t>
            </w:r>
          </w:p>
        </w:tc>
        <w:tc>
          <w:tcPr>
            <w:tcW w:w="698" w:type="pct"/>
            <w:tcBorders>
              <w:left w:val="nil"/>
            </w:tcBorders>
            <w:shd w:val="clear" w:color="auto" w:fill="ECECEC"/>
            <w:vAlign w:val="center"/>
          </w:tcPr>
          <w:p w14:paraId="43258F2D" w14:textId="77777777" w:rsidR="00960B88" w:rsidRDefault="00960B88" w:rsidP="00960B88">
            <w:pPr>
              <w:pStyle w:val="TableParagraph"/>
              <w:spacing w:before="28" w:line="240" w:lineRule="auto"/>
              <w:ind w:left="194"/>
              <w:rPr>
                <w:sz w:val="18"/>
              </w:rPr>
            </w:pPr>
            <w:r w:rsidRPr="00CB5289">
              <w:rPr>
                <w:sz w:val="18"/>
                <w:szCs w:val="18"/>
              </w:rPr>
              <w:t>1</w:t>
            </w:r>
          </w:p>
        </w:tc>
      </w:tr>
      <w:tr w:rsidR="00960B88" w14:paraId="0377B681" w14:textId="77777777" w:rsidTr="00BB21F9">
        <w:trPr>
          <w:trHeight w:val="279"/>
        </w:trPr>
        <w:tc>
          <w:tcPr>
            <w:tcW w:w="1458" w:type="pct"/>
            <w:tcBorders>
              <w:right w:val="nil"/>
            </w:tcBorders>
            <w:shd w:val="clear" w:color="auto" w:fill="ECECEC"/>
          </w:tcPr>
          <w:p w14:paraId="7B3D5FDA" w14:textId="77777777" w:rsidR="00960B88" w:rsidRPr="00A76818" w:rsidRDefault="00960B88" w:rsidP="00960B88">
            <w:pPr>
              <w:pStyle w:val="TableParagraph"/>
              <w:spacing w:before="28" w:line="240" w:lineRule="auto"/>
              <w:jc w:val="left"/>
              <w:rPr>
                <w:sz w:val="18"/>
                <w:szCs w:val="18"/>
              </w:rPr>
            </w:pPr>
            <w:r w:rsidRPr="00A76818">
              <w:rPr>
                <w:sz w:val="18"/>
                <w:szCs w:val="18"/>
              </w:rPr>
              <w:t>Probability</w:t>
            </w:r>
            <w:r w:rsidRPr="00A76818">
              <w:rPr>
                <w:spacing w:val="-6"/>
                <w:sz w:val="18"/>
                <w:szCs w:val="18"/>
              </w:rPr>
              <w:t xml:space="preserve"> </w:t>
            </w:r>
            <w:r w:rsidRPr="00A76818">
              <w:rPr>
                <w:sz w:val="18"/>
                <w:szCs w:val="18"/>
              </w:rPr>
              <w:t>of</w:t>
            </w:r>
            <w:r w:rsidRPr="00A76818">
              <w:rPr>
                <w:spacing w:val="-3"/>
                <w:sz w:val="18"/>
                <w:szCs w:val="18"/>
              </w:rPr>
              <w:t xml:space="preserve"> </w:t>
            </w:r>
            <w:r w:rsidRPr="00A76818">
              <w:rPr>
                <w:sz w:val="18"/>
                <w:szCs w:val="18"/>
              </w:rPr>
              <w:t>superiority</w:t>
            </w:r>
            <w:r w:rsidRPr="00A76818">
              <w:rPr>
                <w:spacing w:val="-5"/>
                <w:sz w:val="18"/>
                <w:szCs w:val="18"/>
              </w:rPr>
              <w:t xml:space="preserve"> </w:t>
            </w:r>
            <w:r w:rsidRPr="00A76818">
              <w:rPr>
                <w:sz w:val="18"/>
                <w:szCs w:val="18"/>
              </w:rPr>
              <w:t>to</w:t>
            </w:r>
            <w:r w:rsidRPr="00A76818">
              <w:rPr>
                <w:spacing w:val="-4"/>
                <w:sz w:val="18"/>
                <w:szCs w:val="18"/>
              </w:rPr>
              <w:t xml:space="preserve"> </w:t>
            </w:r>
            <w:r w:rsidRPr="00A76818">
              <w:rPr>
                <w:sz w:val="18"/>
                <w:szCs w:val="18"/>
              </w:rPr>
              <w:t>control,</w:t>
            </w:r>
            <w:r w:rsidRPr="00A76818">
              <w:rPr>
                <w:spacing w:val="-3"/>
                <w:sz w:val="18"/>
                <w:szCs w:val="18"/>
              </w:rPr>
              <w:t xml:space="preserve"> </w:t>
            </w:r>
            <w:r w:rsidRPr="00A76818">
              <w:rPr>
                <w:sz w:val="18"/>
                <w:szCs w:val="18"/>
              </w:rPr>
              <w:t>%</w:t>
            </w:r>
          </w:p>
        </w:tc>
        <w:tc>
          <w:tcPr>
            <w:tcW w:w="726" w:type="pct"/>
            <w:gridSpan w:val="2"/>
            <w:tcBorders>
              <w:left w:val="nil"/>
              <w:right w:val="nil"/>
            </w:tcBorders>
            <w:shd w:val="clear" w:color="auto" w:fill="ECECEC"/>
            <w:vAlign w:val="center"/>
          </w:tcPr>
          <w:p w14:paraId="00DCCE8E" w14:textId="54A0A626" w:rsidR="00960B88" w:rsidRDefault="00960B88" w:rsidP="00960B88">
            <w:pPr>
              <w:pStyle w:val="TableParagraph"/>
              <w:spacing w:before="28" w:line="240" w:lineRule="auto"/>
              <w:rPr>
                <w:sz w:val="18"/>
                <w:szCs w:val="18"/>
              </w:rPr>
            </w:pPr>
            <w:r>
              <w:rPr>
                <w:sz w:val="18"/>
                <w:szCs w:val="18"/>
              </w:rPr>
              <w:t>59.2</w:t>
            </w:r>
          </w:p>
        </w:tc>
        <w:tc>
          <w:tcPr>
            <w:tcW w:w="727" w:type="pct"/>
            <w:tcBorders>
              <w:left w:val="nil"/>
              <w:right w:val="nil"/>
            </w:tcBorders>
            <w:shd w:val="clear" w:color="auto" w:fill="ECECEC"/>
            <w:vAlign w:val="center"/>
          </w:tcPr>
          <w:p w14:paraId="7C9322B5" w14:textId="483FABFE" w:rsidR="00960B88" w:rsidRDefault="00960B88" w:rsidP="00960B88">
            <w:pPr>
              <w:pStyle w:val="TableParagraph"/>
              <w:spacing w:before="28" w:line="240" w:lineRule="auto"/>
              <w:rPr>
                <w:sz w:val="18"/>
                <w:szCs w:val="18"/>
              </w:rPr>
            </w:pPr>
            <w:r>
              <w:rPr>
                <w:sz w:val="18"/>
                <w:szCs w:val="18"/>
              </w:rPr>
              <w:t>84.0</w:t>
            </w:r>
          </w:p>
        </w:tc>
        <w:tc>
          <w:tcPr>
            <w:tcW w:w="695" w:type="pct"/>
            <w:tcBorders>
              <w:left w:val="nil"/>
              <w:right w:val="nil"/>
            </w:tcBorders>
            <w:shd w:val="clear" w:color="auto" w:fill="ECECEC"/>
            <w:vAlign w:val="center"/>
          </w:tcPr>
          <w:p w14:paraId="33A764FA" w14:textId="014CEFBF" w:rsidR="00960B88" w:rsidRDefault="00960B88" w:rsidP="00960B88">
            <w:pPr>
              <w:pStyle w:val="TableParagraph"/>
              <w:spacing w:before="28" w:line="240" w:lineRule="auto"/>
              <w:rPr>
                <w:sz w:val="18"/>
                <w:szCs w:val="18"/>
              </w:rPr>
            </w:pPr>
            <w:r>
              <w:rPr>
                <w:sz w:val="18"/>
                <w:szCs w:val="18"/>
              </w:rPr>
              <w:t>66.9</w:t>
            </w:r>
          </w:p>
        </w:tc>
        <w:tc>
          <w:tcPr>
            <w:tcW w:w="696" w:type="pct"/>
            <w:tcBorders>
              <w:left w:val="nil"/>
            </w:tcBorders>
            <w:shd w:val="clear" w:color="auto" w:fill="ECECEC"/>
            <w:vAlign w:val="center"/>
          </w:tcPr>
          <w:p w14:paraId="37D9A1F6" w14:textId="31348320" w:rsidR="00960B88" w:rsidRPr="00CB5289" w:rsidRDefault="00960B88" w:rsidP="00960B88">
            <w:pPr>
              <w:pStyle w:val="TableParagraph"/>
              <w:spacing w:before="28" w:line="240" w:lineRule="auto"/>
              <w:ind w:left="194"/>
              <w:rPr>
                <w:sz w:val="18"/>
                <w:szCs w:val="18"/>
              </w:rPr>
            </w:pPr>
            <w:r>
              <w:rPr>
                <w:sz w:val="18"/>
                <w:szCs w:val="18"/>
              </w:rPr>
              <w:t>45.6</w:t>
            </w:r>
          </w:p>
        </w:tc>
        <w:tc>
          <w:tcPr>
            <w:tcW w:w="698" w:type="pct"/>
            <w:tcBorders>
              <w:left w:val="nil"/>
            </w:tcBorders>
            <w:shd w:val="clear" w:color="auto" w:fill="ECECEC"/>
            <w:vAlign w:val="center"/>
          </w:tcPr>
          <w:p w14:paraId="33273DB9" w14:textId="77777777" w:rsidR="00960B88" w:rsidRDefault="00960B88" w:rsidP="00960B88">
            <w:pPr>
              <w:pStyle w:val="TableParagraph"/>
              <w:spacing w:before="28" w:line="240" w:lineRule="auto"/>
              <w:ind w:left="194"/>
              <w:rPr>
                <w:sz w:val="18"/>
              </w:rPr>
            </w:pPr>
            <w:r w:rsidRPr="00CB5289">
              <w:rPr>
                <w:sz w:val="18"/>
                <w:szCs w:val="18"/>
              </w:rPr>
              <w:t>-</w:t>
            </w:r>
          </w:p>
        </w:tc>
      </w:tr>
    </w:tbl>
    <w:p w14:paraId="041D4FF9" w14:textId="0B6E24FF" w:rsidR="00C80338" w:rsidRPr="008E5DB6" w:rsidRDefault="008E5DB6" w:rsidP="008E5DB6">
      <w:pPr>
        <w:rPr>
          <w:rFonts w:asciiTheme="majorHAnsi" w:eastAsiaTheme="minorHAnsi" w:hAnsiTheme="majorHAnsi" w:cstheme="majorHAnsi"/>
          <w:sz w:val="16"/>
          <w:szCs w:val="16"/>
          <w:lang w:val="en-US" w:eastAsia="en-US"/>
        </w:rPr>
      </w:pPr>
      <w:r w:rsidRPr="008E5DB6">
        <w:rPr>
          <w:rFonts w:asciiTheme="majorHAnsi" w:eastAsiaTheme="minorHAnsi" w:hAnsiTheme="majorHAnsi" w:cstheme="majorHAnsi"/>
          <w:sz w:val="16"/>
          <w:szCs w:val="16"/>
          <w:lang w:val="en-US" w:eastAsia="en-US"/>
        </w:rPr>
        <w:t>ORs above 1 indicate fewer SAEs, and ORs below 1 indicate more SAEs.</w:t>
      </w:r>
    </w:p>
    <w:p w14:paraId="68D895CB" w14:textId="1B8E1126" w:rsidR="008E5DB6" w:rsidRDefault="008E5DB6">
      <w:pPr>
        <w:rPr>
          <w:rFonts w:asciiTheme="minorHAnsi" w:eastAsiaTheme="minorHAnsi" w:hAnsiTheme="minorHAnsi" w:cstheme="majorHAnsi"/>
          <w:b/>
          <w:bCs/>
          <w:lang w:val="en-US" w:eastAsia="en-US"/>
        </w:rPr>
      </w:pPr>
    </w:p>
    <w:p w14:paraId="62186DAB" w14:textId="77777777" w:rsidR="008E5DB6" w:rsidRDefault="008E5DB6">
      <w:pPr>
        <w:rPr>
          <w:rFonts w:asciiTheme="minorHAnsi" w:eastAsiaTheme="minorHAnsi" w:hAnsiTheme="minorHAnsi" w:cstheme="majorHAnsi"/>
          <w:b/>
          <w:bCs/>
          <w:lang w:val="en-US" w:eastAsia="en-US"/>
        </w:rPr>
      </w:pPr>
    </w:p>
    <w:p w14:paraId="56097A86" w14:textId="4ECA0C30" w:rsidR="001E7156" w:rsidRPr="00C80338" w:rsidRDefault="001E7156" w:rsidP="00FE7214">
      <w:pPr>
        <w:pStyle w:val="Heading2"/>
        <w:rPr>
          <w:rFonts w:asciiTheme="minorHAnsi" w:eastAsia="Times New Roman" w:hAnsiTheme="minorHAnsi" w:cstheme="majorHAnsi"/>
          <w:color w:val="0070C0"/>
          <w:sz w:val="24"/>
          <w:szCs w:val="24"/>
          <w:lang w:val="en-US"/>
        </w:rPr>
      </w:pPr>
      <w:bookmarkStart w:id="35" w:name="_Toc74659161"/>
      <w:r w:rsidRPr="00C80338">
        <w:rPr>
          <w:rFonts w:asciiTheme="minorHAnsi" w:eastAsiaTheme="minorHAnsi" w:hAnsiTheme="minorHAnsi" w:cstheme="majorHAnsi"/>
          <w:sz w:val="24"/>
          <w:szCs w:val="24"/>
          <w:lang w:val="en-US" w:eastAsia="en-US"/>
        </w:rPr>
        <w:t>Table S</w:t>
      </w:r>
      <w:r w:rsidR="00F80FDA">
        <w:rPr>
          <w:rFonts w:asciiTheme="minorHAnsi" w:eastAsiaTheme="minorHAnsi" w:hAnsiTheme="minorHAnsi" w:cstheme="majorHAnsi"/>
          <w:sz w:val="24"/>
          <w:szCs w:val="24"/>
          <w:lang w:val="en-US" w:eastAsia="en-US"/>
        </w:rPr>
        <w:t>6</w:t>
      </w:r>
      <w:r w:rsidRPr="00C80338">
        <w:rPr>
          <w:rFonts w:asciiTheme="minorHAnsi" w:eastAsiaTheme="minorHAnsi" w:hAnsiTheme="minorHAnsi" w:cstheme="majorHAnsi"/>
          <w:sz w:val="24"/>
          <w:szCs w:val="24"/>
          <w:lang w:val="en-US" w:eastAsia="en-US"/>
        </w:rPr>
        <w:t xml:space="preserve">. </w:t>
      </w:r>
      <w:r w:rsidR="002C4DB0">
        <w:rPr>
          <w:rFonts w:asciiTheme="minorHAnsi" w:eastAsiaTheme="minorHAnsi" w:hAnsiTheme="minorHAnsi" w:cstheme="majorHAnsi"/>
          <w:sz w:val="24"/>
          <w:szCs w:val="24"/>
          <w:lang w:val="en-US" w:eastAsia="en-US"/>
        </w:rPr>
        <w:t>Predefined s</w:t>
      </w:r>
      <w:r w:rsidR="00A27929" w:rsidRPr="00C80338">
        <w:rPr>
          <w:rFonts w:asciiTheme="minorHAnsi" w:eastAsiaTheme="minorHAnsi" w:hAnsiTheme="minorHAnsi" w:cstheme="majorHAnsi"/>
          <w:sz w:val="24"/>
          <w:szCs w:val="24"/>
          <w:lang w:val="en-US" w:eastAsia="en-US"/>
        </w:rPr>
        <w:t>ubgroup analys</w:t>
      </w:r>
      <w:r w:rsidR="00586EDE">
        <w:rPr>
          <w:rFonts w:asciiTheme="minorHAnsi" w:eastAsiaTheme="minorHAnsi" w:hAnsiTheme="minorHAnsi" w:cstheme="majorHAnsi"/>
          <w:sz w:val="24"/>
          <w:szCs w:val="24"/>
          <w:lang w:val="en-US" w:eastAsia="en-US"/>
        </w:rPr>
        <w:t>i</w:t>
      </w:r>
      <w:r w:rsidR="00A27929" w:rsidRPr="00C80338">
        <w:rPr>
          <w:rFonts w:asciiTheme="minorHAnsi" w:eastAsiaTheme="minorHAnsi" w:hAnsiTheme="minorHAnsi" w:cstheme="majorHAnsi"/>
          <w:sz w:val="24"/>
          <w:szCs w:val="24"/>
          <w:lang w:val="en-US" w:eastAsia="en-US"/>
        </w:rPr>
        <w:t xml:space="preserve">s of the </w:t>
      </w:r>
      <w:r w:rsidR="00FE7214">
        <w:rPr>
          <w:rFonts w:asciiTheme="minorHAnsi" w:eastAsiaTheme="minorHAnsi" w:hAnsiTheme="minorHAnsi" w:cstheme="majorHAnsi"/>
          <w:sz w:val="24"/>
          <w:szCs w:val="24"/>
          <w:lang w:val="en-US" w:eastAsia="en-US"/>
        </w:rPr>
        <w:t>p</w:t>
      </w:r>
      <w:r w:rsidR="00A27929" w:rsidRPr="00C80338">
        <w:rPr>
          <w:rFonts w:asciiTheme="minorHAnsi" w:eastAsiaTheme="minorHAnsi" w:hAnsiTheme="minorHAnsi" w:cstheme="majorHAnsi"/>
          <w:sz w:val="24"/>
          <w:szCs w:val="24"/>
          <w:lang w:val="en-US" w:eastAsia="en-US"/>
        </w:rPr>
        <w:t xml:space="preserve">rimary </w:t>
      </w:r>
      <w:r w:rsidR="00FE7214">
        <w:rPr>
          <w:rFonts w:asciiTheme="minorHAnsi" w:eastAsiaTheme="minorHAnsi" w:hAnsiTheme="minorHAnsi" w:cstheme="majorHAnsi"/>
          <w:sz w:val="24"/>
          <w:szCs w:val="24"/>
          <w:lang w:val="en-US" w:eastAsia="en-US"/>
        </w:rPr>
        <w:t>o</w:t>
      </w:r>
      <w:r w:rsidR="00A27929" w:rsidRPr="00C80338">
        <w:rPr>
          <w:rFonts w:asciiTheme="minorHAnsi" w:eastAsiaTheme="minorHAnsi" w:hAnsiTheme="minorHAnsi" w:cstheme="majorHAnsi"/>
          <w:sz w:val="24"/>
          <w:szCs w:val="24"/>
          <w:lang w:val="en-US" w:eastAsia="en-US"/>
        </w:rPr>
        <w:t>utcome</w:t>
      </w:r>
      <w:r w:rsidR="002C4DB0">
        <w:rPr>
          <w:rFonts w:asciiTheme="minorHAnsi" w:eastAsiaTheme="minorHAnsi" w:hAnsiTheme="minorHAnsi" w:cstheme="majorHAnsi"/>
          <w:sz w:val="24"/>
          <w:szCs w:val="24"/>
          <w:lang w:val="en-US" w:eastAsia="en-US"/>
        </w:rPr>
        <w:t>s</w:t>
      </w:r>
      <w:r w:rsidR="00586EDE">
        <w:rPr>
          <w:rFonts w:asciiTheme="minorHAnsi" w:eastAsiaTheme="minorHAnsi" w:hAnsiTheme="minorHAnsi" w:cstheme="majorHAnsi"/>
          <w:sz w:val="24"/>
          <w:szCs w:val="24"/>
          <w:lang w:val="en-US" w:eastAsia="en-US"/>
        </w:rPr>
        <w:t xml:space="preserve"> by CRP terciles</w:t>
      </w:r>
      <w:bookmarkEnd w:id="35"/>
    </w:p>
    <w:p w14:paraId="32D9C605" w14:textId="17A588B2" w:rsidR="005B7C8D" w:rsidRDefault="005B7C8D" w:rsidP="009C2A20">
      <w:pPr>
        <w:spacing w:line="360" w:lineRule="auto"/>
        <w:rPr>
          <w:rFonts w:asciiTheme="majorHAnsi" w:hAnsiTheme="majorHAnsi" w:cstheme="majorHAnsi"/>
          <w:color w:val="0070C0"/>
          <w:sz w:val="22"/>
          <w:szCs w:val="22"/>
          <w:lang w:val="en-US"/>
        </w:rPr>
      </w:pPr>
    </w:p>
    <w:tbl>
      <w:tblPr>
        <w:tblW w:w="5000" w:type="pct"/>
        <w:tblBorders>
          <w:top w:val="dashSmallGap" w:sz="4" w:space="0" w:color="D8D8D8"/>
          <w:left w:val="dashSmallGap" w:sz="4" w:space="0" w:color="D8D8D8"/>
          <w:bottom w:val="dashSmallGap" w:sz="4" w:space="0" w:color="D8D8D8"/>
          <w:right w:val="dashSmallGap" w:sz="4" w:space="0" w:color="D8D8D8"/>
          <w:insideH w:val="dashSmallGap" w:sz="4" w:space="0" w:color="D8D8D8"/>
          <w:insideV w:val="dashSmallGap" w:sz="4" w:space="0" w:color="D8D8D8"/>
        </w:tblBorders>
        <w:tblCellMar>
          <w:left w:w="0" w:type="dxa"/>
          <w:right w:w="0" w:type="dxa"/>
        </w:tblCellMar>
        <w:tblLook w:val="01E0" w:firstRow="1" w:lastRow="1" w:firstColumn="1" w:lastColumn="1" w:noHBand="0" w:noVBand="0"/>
      </w:tblPr>
      <w:tblGrid>
        <w:gridCol w:w="2884"/>
        <w:gridCol w:w="1689"/>
        <w:gridCol w:w="1873"/>
        <w:gridCol w:w="1333"/>
        <w:gridCol w:w="1241"/>
      </w:tblGrid>
      <w:tr w:rsidR="002E75ED" w14:paraId="7CC8ACB7" w14:textId="77777777" w:rsidTr="00BB21F9">
        <w:trPr>
          <w:trHeight w:val="500"/>
        </w:trPr>
        <w:tc>
          <w:tcPr>
            <w:tcW w:w="1599" w:type="pct"/>
            <w:tcBorders>
              <w:top w:val="single" w:sz="4" w:space="0" w:color="000000"/>
              <w:left w:val="nil"/>
              <w:right w:val="nil"/>
            </w:tcBorders>
            <w:shd w:val="clear" w:color="auto" w:fill="ECECEC"/>
            <w:vAlign w:val="center"/>
          </w:tcPr>
          <w:p w14:paraId="7FA7575A" w14:textId="77777777" w:rsidR="002E75ED" w:rsidRDefault="002E75ED" w:rsidP="00A027EE">
            <w:pPr>
              <w:pStyle w:val="TableParagraph"/>
              <w:spacing w:line="240" w:lineRule="auto"/>
              <w:jc w:val="left"/>
              <w:rPr>
                <w:b/>
                <w:sz w:val="18"/>
              </w:rPr>
            </w:pPr>
            <w:bookmarkStart w:id="36" w:name="_bookmark83"/>
            <w:bookmarkEnd w:id="36"/>
            <w:r>
              <w:rPr>
                <w:b/>
                <w:sz w:val="18"/>
              </w:rPr>
              <w:t>Outcome/Analysis</w:t>
            </w:r>
          </w:p>
        </w:tc>
        <w:tc>
          <w:tcPr>
            <w:tcW w:w="936" w:type="pct"/>
            <w:tcBorders>
              <w:top w:val="single" w:sz="4" w:space="0" w:color="000000"/>
              <w:left w:val="nil"/>
              <w:right w:val="nil"/>
            </w:tcBorders>
            <w:shd w:val="clear" w:color="auto" w:fill="ECECEC"/>
            <w:vAlign w:val="center"/>
          </w:tcPr>
          <w:p w14:paraId="11CEB921" w14:textId="77777777" w:rsidR="002E75ED" w:rsidRDefault="002E75ED" w:rsidP="00A027EE">
            <w:pPr>
              <w:pStyle w:val="TableParagraph"/>
              <w:spacing w:line="240" w:lineRule="auto"/>
              <w:rPr>
                <w:b/>
                <w:sz w:val="18"/>
              </w:rPr>
            </w:pPr>
            <w:r>
              <w:rPr>
                <w:b/>
                <w:sz w:val="18"/>
              </w:rPr>
              <w:t>Tocilizumab</w:t>
            </w:r>
            <w:r>
              <w:rPr>
                <w:b/>
                <w:spacing w:val="-7"/>
                <w:sz w:val="18"/>
              </w:rPr>
              <w:t xml:space="preserve"> </w:t>
            </w:r>
            <w:r>
              <w:rPr>
                <w:b/>
                <w:sz w:val="18"/>
              </w:rPr>
              <w:t>(N=947)</w:t>
            </w:r>
          </w:p>
        </w:tc>
        <w:tc>
          <w:tcPr>
            <w:tcW w:w="1038" w:type="pct"/>
            <w:tcBorders>
              <w:top w:val="single" w:sz="4" w:space="0" w:color="000000"/>
              <w:left w:val="nil"/>
              <w:right w:val="nil"/>
            </w:tcBorders>
            <w:shd w:val="clear" w:color="auto" w:fill="ECECEC"/>
            <w:vAlign w:val="center"/>
          </w:tcPr>
          <w:p w14:paraId="2FF27884" w14:textId="70FF4ECA" w:rsidR="002E75ED" w:rsidRDefault="002E75ED" w:rsidP="00A027EE">
            <w:pPr>
              <w:pStyle w:val="TableParagraph"/>
              <w:spacing w:before="4" w:line="240" w:lineRule="auto"/>
              <w:rPr>
                <w:sz w:val="20"/>
              </w:rPr>
            </w:pPr>
            <w:r>
              <w:rPr>
                <w:b/>
                <w:sz w:val="18"/>
              </w:rPr>
              <w:t>Sarilumab (N=482)</w:t>
            </w:r>
          </w:p>
        </w:tc>
        <w:tc>
          <w:tcPr>
            <w:tcW w:w="739" w:type="pct"/>
            <w:tcBorders>
              <w:top w:val="single" w:sz="4" w:space="0" w:color="000000"/>
              <w:left w:val="nil"/>
              <w:right w:val="nil"/>
            </w:tcBorders>
            <w:shd w:val="clear" w:color="auto" w:fill="ECECEC"/>
            <w:vAlign w:val="center"/>
          </w:tcPr>
          <w:p w14:paraId="7BF86888" w14:textId="77777777" w:rsidR="002E75ED" w:rsidRDefault="002E75ED" w:rsidP="00A027EE">
            <w:pPr>
              <w:pStyle w:val="TableParagraph"/>
              <w:spacing w:before="4" w:line="240" w:lineRule="auto"/>
              <w:rPr>
                <w:sz w:val="20"/>
              </w:rPr>
            </w:pPr>
            <w:r>
              <w:rPr>
                <w:b/>
                <w:sz w:val="18"/>
              </w:rPr>
              <w:t>Anakinra</w:t>
            </w:r>
            <w:r>
              <w:rPr>
                <w:b/>
                <w:spacing w:val="-6"/>
                <w:sz w:val="18"/>
              </w:rPr>
              <w:t xml:space="preserve"> </w:t>
            </w:r>
            <w:r>
              <w:rPr>
                <w:b/>
                <w:sz w:val="18"/>
              </w:rPr>
              <w:t>(N=373)</w:t>
            </w:r>
          </w:p>
        </w:tc>
        <w:tc>
          <w:tcPr>
            <w:tcW w:w="688" w:type="pct"/>
            <w:tcBorders>
              <w:top w:val="single" w:sz="4" w:space="0" w:color="000000"/>
              <w:left w:val="nil"/>
              <w:right w:val="nil"/>
            </w:tcBorders>
            <w:shd w:val="clear" w:color="auto" w:fill="ECECEC"/>
            <w:vAlign w:val="center"/>
          </w:tcPr>
          <w:p w14:paraId="39CA620B" w14:textId="604ECCD7" w:rsidR="002E75ED" w:rsidRDefault="002E75ED" w:rsidP="00A027EE">
            <w:pPr>
              <w:pStyle w:val="TableParagraph"/>
              <w:spacing w:line="240" w:lineRule="auto"/>
              <w:rPr>
                <w:b/>
                <w:sz w:val="18"/>
              </w:rPr>
            </w:pPr>
            <w:r>
              <w:rPr>
                <w:b/>
                <w:sz w:val="18"/>
              </w:rPr>
              <w:t>Control</w:t>
            </w:r>
            <w:r>
              <w:rPr>
                <w:b/>
                <w:spacing w:val="-38"/>
                <w:sz w:val="18"/>
              </w:rPr>
              <w:t xml:space="preserve"> </w:t>
            </w:r>
            <w:r>
              <w:rPr>
                <w:b/>
                <w:spacing w:val="-1"/>
                <w:sz w:val="18"/>
              </w:rPr>
              <w:t>(N=405)</w:t>
            </w:r>
          </w:p>
        </w:tc>
      </w:tr>
      <w:tr w:rsidR="002E75ED" w14:paraId="6C91BCF1" w14:textId="77777777" w:rsidTr="00BB21F9">
        <w:trPr>
          <w:trHeight w:val="715"/>
        </w:trPr>
        <w:tc>
          <w:tcPr>
            <w:tcW w:w="5000" w:type="pct"/>
            <w:gridSpan w:val="5"/>
            <w:shd w:val="clear" w:color="auto" w:fill="ECECEC"/>
          </w:tcPr>
          <w:p w14:paraId="660B96F6" w14:textId="77777777" w:rsidR="002E75ED" w:rsidRDefault="002E75ED" w:rsidP="00F42F00">
            <w:pPr>
              <w:pStyle w:val="TableParagraph"/>
              <w:spacing w:before="30" w:line="237" w:lineRule="auto"/>
              <w:ind w:left="110" w:right="5276"/>
              <w:jc w:val="left"/>
              <w:rPr>
                <w:b/>
                <w:sz w:val="18"/>
              </w:rPr>
            </w:pPr>
            <w:r>
              <w:rPr>
                <w:b/>
                <w:sz w:val="18"/>
              </w:rPr>
              <w:t>Secondary Analysis of Primary Outcome</w:t>
            </w:r>
            <w:r>
              <w:rPr>
                <w:sz w:val="18"/>
              </w:rPr>
              <w:t>, model</w:t>
            </w:r>
            <w:r>
              <w:rPr>
                <w:spacing w:val="1"/>
                <w:sz w:val="18"/>
              </w:rPr>
              <w:t xml:space="preserve"> </w:t>
            </w:r>
            <w:r>
              <w:rPr>
                <w:sz w:val="18"/>
              </w:rPr>
              <w:t>restricted to Immune Modulation Therapy Domain</w:t>
            </w:r>
            <w:r>
              <w:rPr>
                <w:spacing w:val="-39"/>
                <w:sz w:val="18"/>
              </w:rPr>
              <w:t xml:space="preserve"> </w:t>
            </w:r>
            <w:r>
              <w:rPr>
                <w:sz w:val="18"/>
              </w:rPr>
              <w:t>participants,</w:t>
            </w:r>
            <w:r>
              <w:rPr>
                <w:spacing w:val="-3"/>
                <w:sz w:val="18"/>
              </w:rPr>
              <w:t xml:space="preserve"> </w:t>
            </w:r>
            <w:r>
              <w:rPr>
                <w:sz w:val="18"/>
              </w:rPr>
              <w:t>according</w:t>
            </w:r>
            <w:r>
              <w:rPr>
                <w:spacing w:val="-3"/>
                <w:sz w:val="18"/>
              </w:rPr>
              <w:t xml:space="preserve"> </w:t>
            </w:r>
            <w:r>
              <w:rPr>
                <w:sz w:val="18"/>
              </w:rPr>
              <w:t>to</w:t>
            </w:r>
            <w:r>
              <w:rPr>
                <w:spacing w:val="-2"/>
                <w:sz w:val="18"/>
              </w:rPr>
              <w:t xml:space="preserve"> </w:t>
            </w:r>
            <w:r>
              <w:rPr>
                <w:b/>
                <w:sz w:val="18"/>
              </w:rPr>
              <w:t>CRP</w:t>
            </w:r>
            <w:r>
              <w:rPr>
                <w:b/>
                <w:spacing w:val="-4"/>
                <w:sz w:val="18"/>
              </w:rPr>
              <w:t xml:space="preserve"> </w:t>
            </w:r>
            <w:r>
              <w:rPr>
                <w:b/>
                <w:sz w:val="18"/>
              </w:rPr>
              <w:t>tercile</w:t>
            </w:r>
            <w:r>
              <w:rPr>
                <w:b/>
                <w:spacing w:val="-4"/>
                <w:sz w:val="18"/>
              </w:rPr>
              <w:t xml:space="preserve"> </w:t>
            </w:r>
            <w:r>
              <w:rPr>
                <w:b/>
                <w:sz w:val="18"/>
              </w:rPr>
              <w:t>subgroups</w:t>
            </w:r>
          </w:p>
        </w:tc>
      </w:tr>
      <w:tr w:rsidR="002E75ED" w14:paraId="5E066FC2" w14:textId="77777777" w:rsidTr="00BB21F9">
        <w:trPr>
          <w:trHeight w:val="530"/>
        </w:trPr>
        <w:tc>
          <w:tcPr>
            <w:tcW w:w="1599" w:type="pct"/>
            <w:tcBorders>
              <w:right w:val="nil"/>
            </w:tcBorders>
            <w:shd w:val="clear" w:color="auto" w:fill="ECECEC"/>
          </w:tcPr>
          <w:p w14:paraId="2E0A6B7A" w14:textId="77777777" w:rsidR="002E75ED" w:rsidRDefault="002E75ED" w:rsidP="002E75ED">
            <w:pPr>
              <w:pStyle w:val="TableParagraph"/>
              <w:spacing w:before="28" w:line="240" w:lineRule="auto"/>
              <w:ind w:left="110"/>
              <w:jc w:val="left"/>
              <w:rPr>
                <w:b/>
                <w:sz w:val="18"/>
              </w:rPr>
            </w:pPr>
            <w:r>
              <w:rPr>
                <w:b/>
                <w:sz w:val="18"/>
              </w:rPr>
              <w:t>CRP</w:t>
            </w:r>
            <w:r>
              <w:rPr>
                <w:b/>
                <w:spacing w:val="-5"/>
                <w:sz w:val="18"/>
              </w:rPr>
              <w:t xml:space="preserve"> </w:t>
            </w:r>
            <w:r>
              <w:rPr>
                <w:b/>
                <w:sz w:val="18"/>
              </w:rPr>
              <w:t>lowest</w:t>
            </w:r>
            <w:r>
              <w:rPr>
                <w:b/>
                <w:spacing w:val="-1"/>
                <w:sz w:val="18"/>
              </w:rPr>
              <w:t xml:space="preserve"> </w:t>
            </w:r>
            <w:r>
              <w:rPr>
                <w:b/>
                <w:sz w:val="18"/>
              </w:rPr>
              <w:t>tercile</w:t>
            </w:r>
          </w:p>
          <w:p w14:paraId="60C9FFF5" w14:textId="77777777" w:rsidR="002E75ED" w:rsidRDefault="002E75ED" w:rsidP="002E75ED">
            <w:pPr>
              <w:pStyle w:val="TableParagraph"/>
              <w:spacing w:before="31" w:line="240" w:lineRule="auto"/>
              <w:ind w:left="110"/>
              <w:jc w:val="left"/>
              <w:rPr>
                <w:sz w:val="18"/>
              </w:rPr>
            </w:pPr>
            <w:r>
              <w:rPr>
                <w:sz w:val="18"/>
              </w:rPr>
              <w:t>Adjusted</w:t>
            </w:r>
            <w:r>
              <w:rPr>
                <w:spacing w:val="-3"/>
                <w:sz w:val="18"/>
              </w:rPr>
              <w:t xml:space="preserve"> </w:t>
            </w:r>
            <w:r>
              <w:rPr>
                <w:sz w:val="18"/>
              </w:rPr>
              <w:t>OR</w:t>
            </w:r>
            <w:r>
              <w:rPr>
                <w:spacing w:val="2"/>
                <w:sz w:val="18"/>
              </w:rPr>
              <w:t xml:space="preserve"> </w:t>
            </w:r>
            <w:r>
              <w:rPr>
                <w:sz w:val="18"/>
              </w:rPr>
              <w:t>-</w:t>
            </w:r>
            <w:r>
              <w:rPr>
                <w:spacing w:val="-2"/>
                <w:sz w:val="18"/>
              </w:rPr>
              <w:t xml:space="preserve"> </w:t>
            </w:r>
            <w:r>
              <w:rPr>
                <w:sz w:val="18"/>
              </w:rPr>
              <w:t>mean</w:t>
            </w:r>
            <w:r>
              <w:rPr>
                <w:spacing w:val="-3"/>
                <w:sz w:val="18"/>
              </w:rPr>
              <w:t xml:space="preserve"> </w:t>
            </w:r>
            <w:r>
              <w:rPr>
                <w:sz w:val="18"/>
              </w:rPr>
              <w:t>(SD)</w:t>
            </w:r>
          </w:p>
        </w:tc>
        <w:tc>
          <w:tcPr>
            <w:tcW w:w="936" w:type="pct"/>
            <w:tcBorders>
              <w:left w:val="nil"/>
              <w:right w:val="nil"/>
            </w:tcBorders>
            <w:shd w:val="clear" w:color="auto" w:fill="ECECEC"/>
            <w:vAlign w:val="bottom"/>
          </w:tcPr>
          <w:p w14:paraId="406D55A3" w14:textId="44DEF24A" w:rsidR="002E75ED" w:rsidRPr="00A27929" w:rsidRDefault="002E75ED" w:rsidP="00251540">
            <w:pPr>
              <w:pStyle w:val="TableParagraph"/>
              <w:spacing w:line="240" w:lineRule="auto"/>
              <w:rPr>
                <w:sz w:val="18"/>
                <w:szCs w:val="18"/>
              </w:rPr>
            </w:pPr>
            <w:r w:rsidRPr="00A27929">
              <w:rPr>
                <w:sz w:val="18"/>
                <w:szCs w:val="18"/>
              </w:rPr>
              <w:t>1.30 (</w:t>
            </w:r>
            <w:r>
              <w:rPr>
                <w:sz w:val="18"/>
                <w:szCs w:val="18"/>
              </w:rPr>
              <w:t>0.23)</w:t>
            </w:r>
          </w:p>
        </w:tc>
        <w:tc>
          <w:tcPr>
            <w:tcW w:w="1038" w:type="pct"/>
            <w:tcBorders>
              <w:left w:val="nil"/>
              <w:right w:val="nil"/>
            </w:tcBorders>
            <w:shd w:val="clear" w:color="auto" w:fill="ECECEC"/>
            <w:vAlign w:val="bottom"/>
          </w:tcPr>
          <w:p w14:paraId="370D4628" w14:textId="0EE113BF" w:rsidR="002E75ED" w:rsidRPr="00A27929" w:rsidRDefault="002E75ED" w:rsidP="00251540">
            <w:pPr>
              <w:pStyle w:val="TableParagraph"/>
              <w:spacing w:before="10" w:line="240" w:lineRule="auto"/>
              <w:rPr>
                <w:sz w:val="18"/>
                <w:szCs w:val="18"/>
              </w:rPr>
            </w:pPr>
            <w:r>
              <w:rPr>
                <w:sz w:val="18"/>
                <w:szCs w:val="18"/>
              </w:rPr>
              <w:t>1.42 (0.30)</w:t>
            </w:r>
          </w:p>
        </w:tc>
        <w:tc>
          <w:tcPr>
            <w:tcW w:w="739" w:type="pct"/>
            <w:tcBorders>
              <w:left w:val="nil"/>
              <w:right w:val="nil"/>
            </w:tcBorders>
            <w:shd w:val="clear" w:color="auto" w:fill="ECECEC"/>
            <w:vAlign w:val="bottom"/>
          </w:tcPr>
          <w:p w14:paraId="7DB2F575" w14:textId="5CC5C832" w:rsidR="002E75ED" w:rsidRPr="00A27929" w:rsidRDefault="002E75ED" w:rsidP="00251540">
            <w:pPr>
              <w:pStyle w:val="TableParagraph"/>
              <w:spacing w:before="10" w:line="240" w:lineRule="auto"/>
              <w:rPr>
                <w:sz w:val="18"/>
                <w:szCs w:val="18"/>
              </w:rPr>
            </w:pPr>
            <w:r>
              <w:rPr>
                <w:sz w:val="18"/>
                <w:szCs w:val="18"/>
              </w:rPr>
              <w:t>1.04 (0.25)</w:t>
            </w:r>
          </w:p>
        </w:tc>
        <w:tc>
          <w:tcPr>
            <w:tcW w:w="688" w:type="pct"/>
            <w:tcBorders>
              <w:left w:val="nil"/>
              <w:right w:val="nil"/>
            </w:tcBorders>
            <w:shd w:val="clear" w:color="auto" w:fill="ECECEC"/>
            <w:vAlign w:val="bottom"/>
          </w:tcPr>
          <w:p w14:paraId="15631E14" w14:textId="7B8FAD46" w:rsidR="002E75ED" w:rsidRPr="00A27929" w:rsidRDefault="002E75ED" w:rsidP="00DE64DA">
            <w:pPr>
              <w:pStyle w:val="TableParagraph"/>
              <w:spacing w:line="240" w:lineRule="auto"/>
              <w:rPr>
                <w:sz w:val="18"/>
                <w:szCs w:val="18"/>
              </w:rPr>
            </w:pPr>
            <w:r>
              <w:rPr>
                <w:sz w:val="18"/>
              </w:rPr>
              <w:t>1</w:t>
            </w:r>
          </w:p>
        </w:tc>
      </w:tr>
      <w:tr w:rsidR="002E75ED" w14:paraId="5DBC7F6E" w14:textId="77777777" w:rsidTr="00BB21F9">
        <w:trPr>
          <w:trHeight w:val="280"/>
        </w:trPr>
        <w:tc>
          <w:tcPr>
            <w:tcW w:w="1599" w:type="pct"/>
            <w:tcBorders>
              <w:right w:val="nil"/>
            </w:tcBorders>
            <w:shd w:val="clear" w:color="auto" w:fill="ECECEC"/>
          </w:tcPr>
          <w:p w14:paraId="37FA3B92" w14:textId="77777777" w:rsidR="002E75ED" w:rsidRDefault="002E75ED" w:rsidP="002E75ED">
            <w:pPr>
              <w:pStyle w:val="TableParagraph"/>
              <w:spacing w:before="28" w:line="240" w:lineRule="auto"/>
              <w:ind w:left="150"/>
              <w:jc w:val="left"/>
              <w:rPr>
                <w:sz w:val="18"/>
              </w:rPr>
            </w:pPr>
            <w:r>
              <w:rPr>
                <w:sz w:val="18"/>
              </w:rPr>
              <w:t>-</w:t>
            </w:r>
            <w:r>
              <w:rPr>
                <w:spacing w:val="-3"/>
                <w:sz w:val="18"/>
              </w:rPr>
              <w:t xml:space="preserve"> </w:t>
            </w:r>
            <w:r>
              <w:rPr>
                <w:sz w:val="18"/>
              </w:rPr>
              <w:t>median</w:t>
            </w:r>
            <w:r>
              <w:rPr>
                <w:spacing w:val="-2"/>
                <w:sz w:val="18"/>
              </w:rPr>
              <w:t xml:space="preserve"> </w:t>
            </w:r>
            <w:r>
              <w:rPr>
                <w:sz w:val="18"/>
              </w:rPr>
              <w:t>(95%</w:t>
            </w:r>
            <w:r>
              <w:rPr>
                <w:spacing w:val="-1"/>
                <w:sz w:val="18"/>
              </w:rPr>
              <w:t xml:space="preserve"> </w:t>
            </w:r>
            <w:r>
              <w:rPr>
                <w:sz w:val="18"/>
              </w:rPr>
              <w:t>CrI)</w:t>
            </w:r>
          </w:p>
        </w:tc>
        <w:tc>
          <w:tcPr>
            <w:tcW w:w="936" w:type="pct"/>
            <w:tcBorders>
              <w:left w:val="nil"/>
              <w:right w:val="nil"/>
            </w:tcBorders>
            <w:shd w:val="clear" w:color="auto" w:fill="ECECEC"/>
            <w:vAlign w:val="center"/>
          </w:tcPr>
          <w:p w14:paraId="15CC1E91" w14:textId="0B782400" w:rsidR="002E75ED" w:rsidRPr="00A27929" w:rsidRDefault="002E75ED" w:rsidP="00251540">
            <w:pPr>
              <w:pStyle w:val="TableParagraph"/>
              <w:spacing w:before="28" w:line="240" w:lineRule="auto"/>
              <w:rPr>
                <w:sz w:val="18"/>
                <w:szCs w:val="18"/>
              </w:rPr>
            </w:pPr>
            <w:r>
              <w:rPr>
                <w:sz w:val="18"/>
                <w:szCs w:val="18"/>
              </w:rPr>
              <w:t>1.28 (0.91 to 1.82)</w:t>
            </w:r>
          </w:p>
        </w:tc>
        <w:tc>
          <w:tcPr>
            <w:tcW w:w="1038" w:type="pct"/>
            <w:tcBorders>
              <w:left w:val="nil"/>
              <w:right w:val="nil"/>
            </w:tcBorders>
            <w:shd w:val="clear" w:color="auto" w:fill="ECECEC"/>
            <w:vAlign w:val="center"/>
          </w:tcPr>
          <w:p w14:paraId="52BD61F0" w14:textId="1B09D198" w:rsidR="002E75ED" w:rsidRPr="00A27929" w:rsidRDefault="002E75ED" w:rsidP="00251540">
            <w:pPr>
              <w:pStyle w:val="TableParagraph"/>
              <w:spacing w:before="28" w:line="240" w:lineRule="auto"/>
              <w:ind w:left="-6"/>
              <w:rPr>
                <w:sz w:val="18"/>
                <w:szCs w:val="18"/>
              </w:rPr>
            </w:pPr>
            <w:r>
              <w:rPr>
                <w:sz w:val="18"/>
                <w:szCs w:val="18"/>
              </w:rPr>
              <w:t>1.39 (0.93 to 2.09)</w:t>
            </w:r>
          </w:p>
        </w:tc>
        <w:tc>
          <w:tcPr>
            <w:tcW w:w="739" w:type="pct"/>
            <w:tcBorders>
              <w:left w:val="nil"/>
              <w:right w:val="nil"/>
            </w:tcBorders>
            <w:shd w:val="clear" w:color="auto" w:fill="ECECEC"/>
            <w:vAlign w:val="center"/>
          </w:tcPr>
          <w:p w14:paraId="4663160B" w14:textId="62BA7388" w:rsidR="002E75ED" w:rsidRPr="00A27929" w:rsidRDefault="002E75ED" w:rsidP="00251540">
            <w:pPr>
              <w:pStyle w:val="TableParagraph"/>
              <w:spacing w:before="28" w:line="240" w:lineRule="auto"/>
              <w:rPr>
                <w:sz w:val="18"/>
                <w:szCs w:val="18"/>
              </w:rPr>
            </w:pPr>
            <w:r>
              <w:rPr>
                <w:sz w:val="18"/>
                <w:szCs w:val="18"/>
              </w:rPr>
              <w:t>1.01 (0.64 to 1.60)</w:t>
            </w:r>
          </w:p>
        </w:tc>
        <w:tc>
          <w:tcPr>
            <w:tcW w:w="688" w:type="pct"/>
            <w:tcBorders>
              <w:left w:val="nil"/>
              <w:right w:val="nil"/>
            </w:tcBorders>
            <w:shd w:val="clear" w:color="auto" w:fill="ECECEC"/>
            <w:vAlign w:val="center"/>
          </w:tcPr>
          <w:p w14:paraId="62518660" w14:textId="153CBF36" w:rsidR="002E75ED" w:rsidRPr="00A27929" w:rsidRDefault="002E75ED" w:rsidP="002E75ED">
            <w:pPr>
              <w:pStyle w:val="TableParagraph"/>
              <w:spacing w:before="28" w:line="240" w:lineRule="auto"/>
              <w:rPr>
                <w:sz w:val="18"/>
                <w:szCs w:val="18"/>
              </w:rPr>
            </w:pPr>
            <w:r>
              <w:rPr>
                <w:sz w:val="18"/>
              </w:rPr>
              <w:t>1</w:t>
            </w:r>
          </w:p>
        </w:tc>
      </w:tr>
      <w:tr w:rsidR="002E75ED" w14:paraId="7447A484" w14:textId="77777777" w:rsidTr="00BB21F9">
        <w:trPr>
          <w:trHeight w:val="280"/>
        </w:trPr>
        <w:tc>
          <w:tcPr>
            <w:tcW w:w="1599" w:type="pct"/>
            <w:tcBorders>
              <w:right w:val="nil"/>
            </w:tcBorders>
            <w:shd w:val="clear" w:color="auto" w:fill="ECECEC"/>
          </w:tcPr>
          <w:p w14:paraId="237197F9" w14:textId="77777777" w:rsidR="002E75ED" w:rsidRDefault="002E75ED" w:rsidP="002E75ED">
            <w:pPr>
              <w:pStyle w:val="TableParagraph"/>
              <w:spacing w:before="28" w:line="240" w:lineRule="auto"/>
              <w:ind w:left="110"/>
              <w:jc w:val="left"/>
              <w:rPr>
                <w:sz w:val="18"/>
              </w:rPr>
            </w:pPr>
            <w:r>
              <w:rPr>
                <w:sz w:val="18"/>
              </w:rPr>
              <w:t>Probability</w:t>
            </w:r>
            <w:r>
              <w:rPr>
                <w:spacing w:val="-6"/>
                <w:sz w:val="18"/>
              </w:rPr>
              <w:t xml:space="preserve"> </w:t>
            </w:r>
            <w:r>
              <w:rPr>
                <w:sz w:val="18"/>
              </w:rPr>
              <w:t>of</w:t>
            </w:r>
            <w:r>
              <w:rPr>
                <w:spacing w:val="-3"/>
                <w:sz w:val="18"/>
              </w:rPr>
              <w:t xml:space="preserve"> </w:t>
            </w:r>
            <w:r>
              <w:rPr>
                <w:sz w:val="18"/>
              </w:rPr>
              <w:t>superiority</w:t>
            </w:r>
            <w:r>
              <w:rPr>
                <w:spacing w:val="-5"/>
                <w:sz w:val="18"/>
              </w:rPr>
              <w:t xml:space="preserve"> </w:t>
            </w:r>
            <w:r>
              <w:rPr>
                <w:sz w:val="18"/>
              </w:rPr>
              <w:t>to</w:t>
            </w:r>
            <w:r>
              <w:rPr>
                <w:spacing w:val="-4"/>
                <w:sz w:val="18"/>
              </w:rPr>
              <w:t xml:space="preserve"> </w:t>
            </w:r>
            <w:r>
              <w:rPr>
                <w:sz w:val="18"/>
              </w:rPr>
              <w:t>control,</w:t>
            </w:r>
            <w:r>
              <w:rPr>
                <w:spacing w:val="-3"/>
                <w:sz w:val="18"/>
              </w:rPr>
              <w:t xml:space="preserve"> </w:t>
            </w:r>
            <w:r>
              <w:rPr>
                <w:sz w:val="18"/>
              </w:rPr>
              <w:t>%</w:t>
            </w:r>
          </w:p>
        </w:tc>
        <w:tc>
          <w:tcPr>
            <w:tcW w:w="936" w:type="pct"/>
            <w:tcBorders>
              <w:left w:val="nil"/>
              <w:right w:val="nil"/>
            </w:tcBorders>
            <w:shd w:val="clear" w:color="auto" w:fill="ECECEC"/>
            <w:vAlign w:val="center"/>
          </w:tcPr>
          <w:p w14:paraId="57DFEC58" w14:textId="6001BC5B" w:rsidR="002E75ED" w:rsidRPr="00A27929" w:rsidRDefault="002E75ED" w:rsidP="00251540">
            <w:pPr>
              <w:pStyle w:val="TableParagraph"/>
              <w:spacing w:before="28" w:line="240" w:lineRule="auto"/>
              <w:rPr>
                <w:sz w:val="18"/>
                <w:szCs w:val="18"/>
              </w:rPr>
            </w:pPr>
            <w:r>
              <w:rPr>
                <w:sz w:val="18"/>
                <w:szCs w:val="18"/>
              </w:rPr>
              <w:t>92.4</w:t>
            </w:r>
          </w:p>
        </w:tc>
        <w:tc>
          <w:tcPr>
            <w:tcW w:w="1038" w:type="pct"/>
            <w:tcBorders>
              <w:left w:val="nil"/>
              <w:right w:val="nil"/>
            </w:tcBorders>
            <w:shd w:val="clear" w:color="auto" w:fill="ECECEC"/>
            <w:vAlign w:val="center"/>
          </w:tcPr>
          <w:p w14:paraId="447AD159" w14:textId="3DA3D21D" w:rsidR="002E75ED" w:rsidRPr="00A27929" w:rsidRDefault="002E75ED" w:rsidP="00251540">
            <w:pPr>
              <w:pStyle w:val="TableParagraph"/>
              <w:spacing w:before="28" w:line="240" w:lineRule="auto"/>
              <w:rPr>
                <w:sz w:val="18"/>
                <w:szCs w:val="18"/>
              </w:rPr>
            </w:pPr>
            <w:r>
              <w:rPr>
                <w:sz w:val="18"/>
                <w:szCs w:val="18"/>
              </w:rPr>
              <w:t>94.4</w:t>
            </w:r>
          </w:p>
        </w:tc>
        <w:tc>
          <w:tcPr>
            <w:tcW w:w="739" w:type="pct"/>
            <w:tcBorders>
              <w:left w:val="nil"/>
              <w:right w:val="nil"/>
            </w:tcBorders>
            <w:shd w:val="clear" w:color="auto" w:fill="ECECEC"/>
            <w:vAlign w:val="center"/>
          </w:tcPr>
          <w:p w14:paraId="36BE13F5" w14:textId="50C08152" w:rsidR="002E75ED" w:rsidRPr="00A27929" w:rsidRDefault="002E75ED" w:rsidP="00251540">
            <w:pPr>
              <w:pStyle w:val="TableParagraph"/>
              <w:spacing w:before="28" w:line="240" w:lineRule="auto"/>
              <w:ind w:left="181"/>
              <w:rPr>
                <w:sz w:val="18"/>
                <w:szCs w:val="18"/>
              </w:rPr>
            </w:pPr>
            <w:r>
              <w:rPr>
                <w:sz w:val="18"/>
                <w:szCs w:val="18"/>
              </w:rPr>
              <w:t>52.5</w:t>
            </w:r>
          </w:p>
        </w:tc>
        <w:tc>
          <w:tcPr>
            <w:tcW w:w="688" w:type="pct"/>
            <w:tcBorders>
              <w:left w:val="nil"/>
              <w:right w:val="nil"/>
            </w:tcBorders>
            <w:shd w:val="clear" w:color="auto" w:fill="ECECEC"/>
            <w:vAlign w:val="center"/>
          </w:tcPr>
          <w:p w14:paraId="35106290" w14:textId="56802A45" w:rsidR="002E75ED" w:rsidRPr="00A27929" w:rsidRDefault="002E75ED" w:rsidP="002E75ED">
            <w:pPr>
              <w:pStyle w:val="TableParagraph"/>
              <w:spacing w:before="28" w:line="240" w:lineRule="auto"/>
              <w:rPr>
                <w:sz w:val="18"/>
                <w:szCs w:val="18"/>
              </w:rPr>
            </w:pPr>
            <w:r>
              <w:rPr>
                <w:sz w:val="18"/>
              </w:rPr>
              <w:t>-</w:t>
            </w:r>
          </w:p>
        </w:tc>
      </w:tr>
      <w:tr w:rsidR="002E75ED" w14:paraId="3FB9AF13" w14:textId="77777777" w:rsidTr="00BB21F9">
        <w:trPr>
          <w:trHeight w:val="431"/>
        </w:trPr>
        <w:tc>
          <w:tcPr>
            <w:tcW w:w="1599" w:type="pct"/>
            <w:tcBorders>
              <w:right w:val="nil"/>
            </w:tcBorders>
            <w:shd w:val="clear" w:color="auto" w:fill="ECECEC"/>
          </w:tcPr>
          <w:p w14:paraId="7B7F593B" w14:textId="77777777" w:rsidR="002E75ED" w:rsidRDefault="002E75ED" w:rsidP="002E75ED">
            <w:pPr>
              <w:pStyle w:val="TableParagraph"/>
              <w:spacing w:before="29" w:line="240" w:lineRule="auto"/>
              <w:ind w:left="110"/>
              <w:jc w:val="left"/>
              <w:rPr>
                <w:b/>
                <w:sz w:val="18"/>
              </w:rPr>
            </w:pPr>
            <w:r>
              <w:rPr>
                <w:b/>
                <w:sz w:val="18"/>
              </w:rPr>
              <w:t>CRP</w:t>
            </w:r>
            <w:r>
              <w:rPr>
                <w:b/>
                <w:spacing w:val="-5"/>
                <w:sz w:val="18"/>
              </w:rPr>
              <w:t xml:space="preserve"> </w:t>
            </w:r>
            <w:r>
              <w:rPr>
                <w:b/>
                <w:sz w:val="18"/>
              </w:rPr>
              <w:t>middle</w:t>
            </w:r>
            <w:r>
              <w:rPr>
                <w:b/>
                <w:spacing w:val="-5"/>
                <w:sz w:val="18"/>
              </w:rPr>
              <w:t xml:space="preserve"> </w:t>
            </w:r>
            <w:r>
              <w:rPr>
                <w:b/>
                <w:sz w:val="18"/>
              </w:rPr>
              <w:t>tercile</w:t>
            </w:r>
          </w:p>
          <w:p w14:paraId="5F8F213F" w14:textId="77777777" w:rsidR="002E75ED" w:rsidRDefault="002E75ED" w:rsidP="002E75ED">
            <w:pPr>
              <w:pStyle w:val="TableParagraph"/>
              <w:spacing w:before="30" w:line="240" w:lineRule="auto"/>
              <w:ind w:left="110"/>
              <w:jc w:val="left"/>
              <w:rPr>
                <w:sz w:val="18"/>
              </w:rPr>
            </w:pPr>
            <w:r>
              <w:rPr>
                <w:sz w:val="18"/>
              </w:rPr>
              <w:t>Adjusted</w:t>
            </w:r>
            <w:r>
              <w:rPr>
                <w:spacing w:val="-3"/>
                <w:sz w:val="18"/>
              </w:rPr>
              <w:t xml:space="preserve"> </w:t>
            </w:r>
            <w:r>
              <w:rPr>
                <w:sz w:val="18"/>
              </w:rPr>
              <w:t>OR</w:t>
            </w:r>
            <w:r>
              <w:rPr>
                <w:spacing w:val="2"/>
                <w:sz w:val="18"/>
              </w:rPr>
              <w:t xml:space="preserve"> </w:t>
            </w:r>
            <w:r>
              <w:rPr>
                <w:sz w:val="18"/>
              </w:rPr>
              <w:t>-</w:t>
            </w:r>
            <w:r>
              <w:rPr>
                <w:spacing w:val="-2"/>
                <w:sz w:val="18"/>
              </w:rPr>
              <w:t xml:space="preserve"> </w:t>
            </w:r>
            <w:r>
              <w:rPr>
                <w:sz w:val="18"/>
              </w:rPr>
              <w:t>mean</w:t>
            </w:r>
            <w:r>
              <w:rPr>
                <w:spacing w:val="-3"/>
                <w:sz w:val="18"/>
              </w:rPr>
              <w:t xml:space="preserve"> </w:t>
            </w:r>
            <w:r>
              <w:rPr>
                <w:sz w:val="18"/>
              </w:rPr>
              <w:t>(SD)</w:t>
            </w:r>
          </w:p>
        </w:tc>
        <w:tc>
          <w:tcPr>
            <w:tcW w:w="936" w:type="pct"/>
            <w:tcBorders>
              <w:left w:val="nil"/>
              <w:right w:val="nil"/>
            </w:tcBorders>
            <w:shd w:val="clear" w:color="auto" w:fill="ECECEC"/>
            <w:vAlign w:val="bottom"/>
          </w:tcPr>
          <w:p w14:paraId="472F8CA5" w14:textId="77777777" w:rsidR="002E75ED" w:rsidRDefault="002E75ED" w:rsidP="00251540">
            <w:pPr>
              <w:pStyle w:val="TableParagraph"/>
              <w:spacing w:line="240" w:lineRule="auto"/>
              <w:ind w:left="601"/>
              <w:rPr>
                <w:sz w:val="18"/>
                <w:szCs w:val="18"/>
              </w:rPr>
            </w:pPr>
          </w:p>
          <w:p w14:paraId="10FB4E9F" w14:textId="72906108" w:rsidR="002E75ED" w:rsidRPr="00A27929" w:rsidRDefault="002E75ED" w:rsidP="00251540">
            <w:pPr>
              <w:pStyle w:val="TableParagraph"/>
              <w:spacing w:line="240" w:lineRule="auto"/>
              <w:rPr>
                <w:sz w:val="18"/>
                <w:szCs w:val="18"/>
              </w:rPr>
            </w:pPr>
            <w:r>
              <w:rPr>
                <w:sz w:val="18"/>
                <w:szCs w:val="18"/>
              </w:rPr>
              <w:t>1.33 (0.23)</w:t>
            </w:r>
          </w:p>
        </w:tc>
        <w:tc>
          <w:tcPr>
            <w:tcW w:w="1038" w:type="pct"/>
            <w:tcBorders>
              <w:left w:val="nil"/>
              <w:right w:val="nil"/>
            </w:tcBorders>
            <w:shd w:val="clear" w:color="auto" w:fill="ECECEC"/>
            <w:vAlign w:val="bottom"/>
          </w:tcPr>
          <w:p w14:paraId="265AAA95" w14:textId="77777777" w:rsidR="002E75ED" w:rsidRDefault="002E75ED" w:rsidP="00251540">
            <w:pPr>
              <w:pStyle w:val="TableParagraph"/>
              <w:spacing w:before="10" w:line="240" w:lineRule="auto"/>
              <w:rPr>
                <w:sz w:val="18"/>
                <w:szCs w:val="18"/>
              </w:rPr>
            </w:pPr>
          </w:p>
          <w:p w14:paraId="76283DDA" w14:textId="708FB02B" w:rsidR="002E75ED" w:rsidRPr="00A27929" w:rsidRDefault="002E75ED" w:rsidP="00251540">
            <w:pPr>
              <w:pStyle w:val="TableParagraph"/>
              <w:spacing w:before="10" w:line="240" w:lineRule="auto"/>
              <w:ind w:left="136"/>
              <w:rPr>
                <w:sz w:val="18"/>
                <w:szCs w:val="18"/>
              </w:rPr>
            </w:pPr>
            <w:r>
              <w:rPr>
                <w:sz w:val="18"/>
                <w:szCs w:val="18"/>
              </w:rPr>
              <w:t>1.37 (0.28)</w:t>
            </w:r>
          </w:p>
        </w:tc>
        <w:tc>
          <w:tcPr>
            <w:tcW w:w="739" w:type="pct"/>
            <w:tcBorders>
              <w:left w:val="nil"/>
              <w:right w:val="nil"/>
            </w:tcBorders>
            <w:shd w:val="clear" w:color="auto" w:fill="ECECEC"/>
            <w:vAlign w:val="bottom"/>
          </w:tcPr>
          <w:p w14:paraId="114A9AED" w14:textId="27E756DC" w:rsidR="002E75ED" w:rsidRDefault="002E75ED" w:rsidP="00251540">
            <w:pPr>
              <w:pStyle w:val="TableParagraph"/>
              <w:spacing w:before="10" w:line="240" w:lineRule="auto"/>
              <w:rPr>
                <w:sz w:val="18"/>
                <w:szCs w:val="18"/>
              </w:rPr>
            </w:pPr>
          </w:p>
          <w:p w14:paraId="00D9C4E4" w14:textId="7F4EE8EC" w:rsidR="002E75ED" w:rsidRPr="00A27929" w:rsidRDefault="002E75ED" w:rsidP="00251540">
            <w:pPr>
              <w:pStyle w:val="TableParagraph"/>
              <w:spacing w:before="10" w:line="240" w:lineRule="auto"/>
              <w:rPr>
                <w:sz w:val="18"/>
                <w:szCs w:val="18"/>
              </w:rPr>
            </w:pPr>
            <w:r>
              <w:rPr>
                <w:sz w:val="18"/>
                <w:szCs w:val="18"/>
              </w:rPr>
              <w:t>0.92 (0.20)</w:t>
            </w:r>
          </w:p>
        </w:tc>
        <w:tc>
          <w:tcPr>
            <w:tcW w:w="688" w:type="pct"/>
            <w:tcBorders>
              <w:left w:val="nil"/>
              <w:right w:val="nil"/>
            </w:tcBorders>
            <w:shd w:val="clear" w:color="auto" w:fill="ECECEC"/>
            <w:vAlign w:val="bottom"/>
          </w:tcPr>
          <w:p w14:paraId="1DD5FF99" w14:textId="46615D4B" w:rsidR="002E75ED" w:rsidRPr="00A27929" w:rsidRDefault="002E75ED" w:rsidP="002E75ED">
            <w:pPr>
              <w:pStyle w:val="TableParagraph"/>
              <w:spacing w:line="240" w:lineRule="auto"/>
              <w:rPr>
                <w:sz w:val="18"/>
                <w:szCs w:val="18"/>
              </w:rPr>
            </w:pPr>
            <w:r>
              <w:rPr>
                <w:sz w:val="18"/>
              </w:rPr>
              <w:t>1</w:t>
            </w:r>
          </w:p>
        </w:tc>
      </w:tr>
      <w:tr w:rsidR="002E75ED" w14:paraId="1AFF6606" w14:textId="77777777" w:rsidTr="00BB21F9">
        <w:trPr>
          <w:trHeight w:val="280"/>
        </w:trPr>
        <w:tc>
          <w:tcPr>
            <w:tcW w:w="1599" w:type="pct"/>
            <w:tcBorders>
              <w:right w:val="nil"/>
            </w:tcBorders>
            <w:shd w:val="clear" w:color="auto" w:fill="ECECEC"/>
          </w:tcPr>
          <w:p w14:paraId="517E3542" w14:textId="77777777" w:rsidR="002E75ED" w:rsidRDefault="002E75ED" w:rsidP="002E75ED">
            <w:pPr>
              <w:pStyle w:val="TableParagraph"/>
              <w:spacing w:before="28" w:line="240" w:lineRule="auto"/>
              <w:ind w:left="150"/>
              <w:jc w:val="left"/>
              <w:rPr>
                <w:sz w:val="18"/>
              </w:rPr>
            </w:pPr>
            <w:r>
              <w:rPr>
                <w:sz w:val="18"/>
              </w:rPr>
              <w:t>-</w:t>
            </w:r>
            <w:r>
              <w:rPr>
                <w:spacing w:val="-3"/>
                <w:sz w:val="18"/>
              </w:rPr>
              <w:t xml:space="preserve"> </w:t>
            </w:r>
            <w:r>
              <w:rPr>
                <w:sz w:val="18"/>
              </w:rPr>
              <w:t>median</w:t>
            </w:r>
            <w:r>
              <w:rPr>
                <w:spacing w:val="-2"/>
                <w:sz w:val="18"/>
              </w:rPr>
              <w:t xml:space="preserve"> </w:t>
            </w:r>
            <w:r>
              <w:rPr>
                <w:sz w:val="18"/>
              </w:rPr>
              <w:t>(95%</w:t>
            </w:r>
            <w:r>
              <w:rPr>
                <w:spacing w:val="-1"/>
                <w:sz w:val="18"/>
              </w:rPr>
              <w:t xml:space="preserve"> </w:t>
            </w:r>
            <w:r>
              <w:rPr>
                <w:sz w:val="18"/>
              </w:rPr>
              <w:t>CrI)</w:t>
            </w:r>
          </w:p>
        </w:tc>
        <w:tc>
          <w:tcPr>
            <w:tcW w:w="936" w:type="pct"/>
            <w:tcBorders>
              <w:left w:val="nil"/>
              <w:right w:val="nil"/>
            </w:tcBorders>
            <w:shd w:val="clear" w:color="auto" w:fill="ECECEC"/>
            <w:vAlign w:val="center"/>
          </w:tcPr>
          <w:p w14:paraId="71CDF825" w14:textId="0E889973" w:rsidR="002E75ED" w:rsidRPr="00A27929" w:rsidRDefault="002E75ED" w:rsidP="00251540">
            <w:pPr>
              <w:pStyle w:val="TableParagraph"/>
              <w:spacing w:before="28" w:line="240" w:lineRule="auto"/>
              <w:rPr>
                <w:sz w:val="18"/>
                <w:szCs w:val="18"/>
              </w:rPr>
            </w:pPr>
            <w:r>
              <w:rPr>
                <w:sz w:val="18"/>
                <w:szCs w:val="18"/>
              </w:rPr>
              <w:t>1.31 (0.95 to 1.83)</w:t>
            </w:r>
          </w:p>
        </w:tc>
        <w:tc>
          <w:tcPr>
            <w:tcW w:w="1038" w:type="pct"/>
            <w:tcBorders>
              <w:left w:val="nil"/>
              <w:right w:val="nil"/>
            </w:tcBorders>
            <w:shd w:val="clear" w:color="auto" w:fill="ECECEC"/>
            <w:vAlign w:val="center"/>
          </w:tcPr>
          <w:p w14:paraId="05B5951D" w14:textId="29738BBF" w:rsidR="002E75ED" w:rsidRPr="00A27929" w:rsidRDefault="002E75ED" w:rsidP="00251540">
            <w:pPr>
              <w:pStyle w:val="TableParagraph"/>
              <w:spacing w:before="28" w:line="240" w:lineRule="auto"/>
              <w:ind w:left="136"/>
              <w:rPr>
                <w:sz w:val="18"/>
                <w:szCs w:val="18"/>
              </w:rPr>
            </w:pPr>
            <w:r>
              <w:rPr>
                <w:sz w:val="18"/>
                <w:szCs w:val="18"/>
              </w:rPr>
              <w:t>1.34 (0.91 to 2.01)</w:t>
            </w:r>
          </w:p>
        </w:tc>
        <w:tc>
          <w:tcPr>
            <w:tcW w:w="739" w:type="pct"/>
            <w:tcBorders>
              <w:left w:val="nil"/>
              <w:right w:val="nil"/>
            </w:tcBorders>
            <w:shd w:val="clear" w:color="auto" w:fill="ECECEC"/>
            <w:vAlign w:val="center"/>
          </w:tcPr>
          <w:p w14:paraId="22261BC8" w14:textId="50C4F65A" w:rsidR="002E75ED" w:rsidRPr="00A27929" w:rsidRDefault="002E75ED" w:rsidP="00251540">
            <w:pPr>
              <w:pStyle w:val="TableParagraph"/>
              <w:spacing w:before="28" w:line="240" w:lineRule="auto"/>
              <w:rPr>
                <w:sz w:val="18"/>
                <w:szCs w:val="18"/>
              </w:rPr>
            </w:pPr>
            <w:r>
              <w:rPr>
                <w:sz w:val="18"/>
                <w:szCs w:val="18"/>
              </w:rPr>
              <w:t>0.90 (0.58 to 1.38)</w:t>
            </w:r>
          </w:p>
        </w:tc>
        <w:tc>
          <w:tcPr>
            <w:tcW w:w="688" w:type="pct"/>
            <w:tcBorders>
              <w:left w:val="nil"/>
              <w:right w:val="nil"/>
            </w:tcBorders>
            <w:shd w:val="clear" w:color="auto" w:fill="ECECEC"/>
            <w:vAlign w:val="center"/>
          </w:tcPr>
          <w:p w14:paraId="2B047B82" w14:textId="2044E7BB" w:rsidR="002E75ED" w:rsidRPr="00A27929" w:rsidRDefault="002E75ED" w:rsidP="002E75ED">
            <w:pPr>
              <w:pStyle w:val="TableParagraph"/>
              <w:spacing w:before="28" w:line="240" w:lineRule="auto"/>
              <w:rPr>
                <w:sz w:val="18"/>
                <w:szCs w:val="18"/>
              </w:rPr>
            </w:pPr>
            <w:r>
              <w:rPr>
                <w:sz w:val="18"/>
              </w:rPr>
              <w:t>1</w:t>
            </w:r>
          </w:p>
        </w:tc>
      </w:tr>
      <w:tr w:rsidR="002E75ED" w14:paraId="41AE8286" w14:textId="77777777" w:rsidTr="00BB21F9">
        <w:trPr>
          <w:trHeight w:val="279"/>
        </w:trPr>
        <w:tc>
          <w:tcPr>
            <w:tcW w:w="1599" w:type="pct"/>
            <w:tcBorders>
              <w:right w:val="nil"/>
            </w:tcBorders>
            <w:shd w:val="clear" w:color="auto" w:fill="ECECEC"/>
          </w:tcPr>
          <w:p w14:paraId="52F9C447" w14:textId="77777777" w:rsidR="002E75ED" w:rsidRDefault="002E75ED" w:rsidP="002E75ED">
            <w:pPr>
              <w:pStyle w:val="TableParagraph"/>
              <w:spacing w:before="28" w:line="240" w:lineRule="auto"/>
              <w:ind w:left="110"/>
              <w:jc w:val="left"/>
              <w:rPr>
                <w:sz w:val="18"/>
              </w:rPr>
            </w:pPr>
            <w:r>
              <w:rPr>
                <w:sz w:val="18"/>
              </w:rPr>
              <w:t>Probability</w:t>
            </w:r>
            <w:r>
              <w:rPr>
                <w:spacing w:val="-6"/>
                <w:sz w:val="18"/>
              </w:rPr>
              <w:t xml:space="preserve"> </w:t>
            </w:r>
            <w:r>
              <w:rPr>
                <w:sz w:val="18"/>
              </w:rPr>
              <w:t>of</w:t>
            </w:r>
            <w:r>
              <w:rPr>
                <w:spacing w:val="-3"/>
                <w:sz w:val="18"/>
              </w:rPr>
              <w:t xml:space="preserve"> </w:t>
            </w:r>
            <w:r>
              <w:rPr>
                <w:sz w:val="18"/>
              </w:rPr>
              <w:t>superiority</w:t>
            </w:r>
            <w:r>
              <w:rPr>
                <w:spacing w:val="-5"/>
                <w:sz w:val="18"/>
              </w:rPr>
              <w:t xml:space="preserve"> </w:t>
            </w:r>
            <w:r>
              <w:rPr>
                <w:sz w:val="18"/>
              </w:rPr>
              <w:t>to</w:t>
            </w:r>
            <w:r>
              <w:rPr>
                <w:spacing w:val="-2"/>
                <w:sz w:val="18"/>
              </w:rPr>
              <w:t xml:space="preserve"> </w:t>
            </w:r>
            <w:r>
              <w:rPr>
                <w:sz w:val="18"/>
              </w:rPr>
              <w:t>control,</w:t>
            </w:r>
            <w:r>
              <w:rPr>
                <w:spacing w:val="-3"/>
                <w:sz w:val="18"/>
              </w:rPr>
              <w:t xml:space="preserve"> </w:t>
            </w:r>
            <w:r>
              <w:rPr>
                <w:sz w:val="18"/>
              </w:rPr>
              <w:t>%</w:t>
            </w:r>
          </w:p>
        </w:tc>
        <w:tc>
          <w:tcPr>
            <w:tcW w:w="936" w:type="pct"/>
            <w:tcBorders>
              <w:left w:val="nil"/>
              <w:right w:val="nil"/>
            </w:tcBorders>
            <w:shd w:val="clear" w:color="auto" w:fill="ECECEC"/>
            <w:vAlign w:val="center"/>
          </w:tcPr>
          <w:p w14:paraId="52EBB84D" w14:textId="3C23ED26" w:rsidR="002E75ED" w:rsidRPr="00A27929" w:rsidRDefault="002E75ED" w:rsidP="00251540">
            <w:pPr>
              <w:pStyle w:val="TableParagraph"/>
              <w:spacing w:before="28" w:line="240" w:lineRule="auto"/>
              <w:ind w:left="601"/>
              <w:rPr>
                <w:sz w:val="18"/>
                <w:szCs w:val="18"/>
              </w:rPr>
            </w:pPr>
            <w:r>
              <w:rPr>
                <w:sz w:val="18"/>
                <w:szCs w:val="18"/>
              </w:rPr>
              <w:t>94.8</w:t>
            </w:r>
          </w:p>
        </w:tc>
        <w:tc>
          <w:tcPr>
            <w:tcW w:w="1038" w:type="pct"/>
            <w:tcBorders>
              <w:left w:val="nil"/>
              <w:right w:val="nil"/>
            </w:tcBorders>
            <w:shd w:val="clear" w:color="auto" w:fill="ECECEC"/>
            <w:vAlign w:val="center"/>
          </w:tcPr>
          <w:p w14:paraId="380A3A04" w14:textId="494D8FAA" w:rsidR="002E75ED" w:rsidRPr="00A27929" w:rsidRDefault="002E75ED" w:rsidP="00251540">
            <w:pPr>
              <w:pStyle w:val="TableParagraph"/>
              <w:spacing w:before="28" w:line="240" w:lineRule="auto"/>
              <w:ind w:left="181"/>
              <w:rPr>
                <w:sz w:val="18"/>
                <w:szCs w:val="18"/>
              </w:rPr>
            </w:pPr>
            <w:r>
              <w:rPr>
                <w:sz w:val="18"/>
                <w:szCs w:val="18"/>
              </w:rPr>
              <w:t>93.3</w:t>
            </w:r>
          </w:p>
        </w:tc>
        <w:tc>
          <w:tcPr>
            <w:tcW w:w="739" w:type="pct"/>
            <w:tcBorders>
              <w:left w:val="nil"/>
              <w:right w:val="nil"/>
            </w:tcBorders>
            <w:shd w:val="clear" w:color="auto" w:fill="ECECEC"/>
            <w:vAlign w:val="center"/>
          </w:tcPr>
          <w:p w14:paraId="7B606F56" w14:textId="3F8D43D3" w:rsidR="002E75ED" w:rsidRPr="00A27929" w:rsidRDefault="002E75ED" w:rsidP="00251540">
            <w:pPr>
              <w:pStyle w:val="TableParagraph"/>
              <w:spacing w:before="28" w:line="240" w:lineRule="auto"/>
              <w:ind w:left="181"/>
              <w:rPr>
                <w:sz w:val="18"/>
                <w:szCs w:val="18"/>
              </w:rPr>
            </w:pPr>
            <w:r>
              <w:rPr>
                <w:sz w:val="18"/>
                <w:szCs w:val="18"/>
              </w:rPr>
              <w:t>31</w:t>
            </w:r>
          </w:p>
        </w:tc>
        <w:tc>
          <w:tcPr>
            <w:tcW w:w="688" w:type="pct"/>
            <w:tcBorders>
              <w:left w:val="nil"/>
              <w:right w:val="nil"/>
            </w:tcBorders>
            <w:shd w:val="clear" w:color="auto" w:fill="ECECEC"/>
            <w:vAlign w:val="center"/>
          </w:tcPr>
          <w:p w14:paraId="3D9C25D0" w14:textId="0E7AB07A" w:rsidR="002E75ED" w:rsidRPr="00A27929" w:rsidRDefault="002E75ED" w:rsidP="002E75ED">
            <w:pPr>
              <w:pStyle w:val="TableParagraph"/>
              <w:spacing w:before="28" w:line="240" w:lineRule="auto"/>
              <w:rPr>
                <w:sz w:val="18"/>
                <w:szCs w:val="18"/>
              </w:rPr>
            </w:pPr>
            <w:r>
              <w:rPr>
                <w:sz w:val="18"/>
              </w:rPr>
              <w:t>-</w:t>
            </w:r>
          </w:p>
        </w:tc>
      </w:tr>
      <w:tr w:rsidR="002E75ED" w14:paraId="408D5FEB" w14:textId="77777777" w:rsidTr="00BB21F9">
        <w:trPr>
          <w:trHeight w:val="530"/>
        </w:trPr>
        <w:tc>
          <w:tcPr>
            <w:tcW w:w="1599" w:type="pct"/>
            <w:tcBorders>
              <w:right w:val="nil"/>
            </w:tcBorders>
            <w:shd w:val="clear" w:color="auto" w:fill="ECECEC"/>
          </w:tcPr>
          <w:p w14:paraId="5ED238B4" w14:textId="77777777" w:rsidR="002E75ED" w:rsidRDefault="002E75ED" w:rsidP="002E75ED">
            <w:pPr>
              <w:pStyle w:val="TableParagraph"/>
              <w:spacing w:before="29" w:line="240" w:lineRule="auto"/>
              <w:ind w:left="110"/>
              <w:jc w:val="left"/>
              <w:rPr>
                <w:b/>
                <w:sz w:val="18"/>
              </w:rPr>
            </w:pPr>
            <w:r>
              <w:rPr>
                <w:b/>
                <w:sz w:val="18"/>
              </w:rPr>
              <w:t>CRP</w:t>
            </w:r>
            <w:r>
              <w:rPr>
                <w:b/>
                <w:spacing w:val="-4"/>
                <w:sz w:val="18"/>
              </w:rPr>
              <w:t xml:space="preserve"> </w:t>
            </w:r>
            <w:r>
              <w:rPr>
                <w:b/>
                <w:sz w:val="18"/>
              </w:rPr>
              <w:t>highest</w:t>
            </w:r>
            <w:r>
              <w:rPr>
                <w:b/>
                <w:spacing w:val="-1"/>
                <w:sz w:val="18"/>
              </w:rPr>
              <w:t xml:space="preserve"> </w:t>
            </w:r>
            <w:r>
              <w:rPr>
                <w:b/>
                <w:sz w:val="18"/>
              </w:rPr>
              <w:t>tercile</w:t>
            </w:r>
          </w:p>
          <w:p w14:paraId="41D62C0E" w14:textId="77777777" w:rsidR="002E75ED" w:rsidRDefault="002E75ED" w:rsidP="002E75ED">
            <w:pPr>
              <w:pStyle w:val="TableParagraph"/>
              <w:spacing w:before="30" w:line="240" w:lineRule="auto"/>
              <w:ind w:left="110"/>
              <w:jc w:val="left"/>
              <w:rPr>
                <w:sz w:val="18"/>
              </w:rPr>
            </w:pPr>
            <w:r>
              <w:rPr>
                <w:sz w:val="18"/>
              </w:rPr>
              <w:t>Adjusted</w:t>
            </w:r>
            <w:r>
              <w:rPr>
                <w:spacing w:val="-3"/>
                <w:sz w:val="18"/>
              </w:rPr>
              <w:t xml:space="preserve"> </w:t>
            </w:r>
            <w:r>
              <w:rPr>
                <w:sz w:val="18"/>
              </w:rPr>
              <w:t>OR</w:t>
            </w:r>
            <w:r>
              <w:rPr>
                <w:spacing w:val="2"/>
                <w:sz w:val="18"/>
              </w:rPr>
              <w:t xml:space="preserve"> </w:t>
            </w:r>
            <w:r>
              <w:rPr>
                <w:sz w:val="18"/>
              </w:rPr>
              <w:t>-</w:t>
            </w:r>
            <w:r>
              <w:rPr>
                <w:spacing w:val="-2"/>
                <w:sz w:val="18"/>
              </w:rPr>
              <w:t xml:space="preserve"> </w:t>
            </w:r>
            <w:r>
              <w:rPr>
                <w:sz w:val="18"/>
              </w:rPr>
              <w:t>mean</w:t>
            </w:r>
            <w:r>
              <w:rPr>
                <w:spacing w:val="-3"/>
                <w:sz w:val="18"/>
              </w:rPr>
              <w:t xml:space="preserve"> </w:t>
            </w:r>
            <w:r>
              <w:rPr>
                <w:sz w:val="18"/>
              </w:rPr>
              <w:t>(SD)</w:t>
            </w:r>
          </w:p>
        </w:tc>
        <w:tc>
          <w:tcPr>
            <w:tcW w:w="936" w:type="pct"/>
            <w:tcBorders>
              <w:left w:val="nil"/>
              <w:right w:val="nil"/>
            </w:tcBorders>
            <w:shd w:val="clear" w:color="auto" w:fill="ECECEC"/>
            <w:vAlign w:val="bottom"/>
          </w:tcPr>
          <w:p w14:paraId="5064E6AF" w14:textId="77777777" w:rsidR="002E75ED" w:rsidRPr="00A27929" w:rsidRDefault="002E75ED" w:rsidP="00251540">
            <w:pPr>
              <w:pStyle w:val="TableParagraph"/>
              <w:spacing w:before="10" w:line="240" w:lineRule="auto"/>
              <w:jc w:val="left"/>
              <w:rPr>
                <w:sz w:val="18"/>
                <w:szCs w:val="18"/>
              </w:rPr>
            </w:pPr>
          </w:p>
          <w:p w14:paraId="49F299FF" w14:textId="41D9A20C" w:rsidR="002E75ED" w:rsidRPr="00A27929" w:rsidRDefault="002E75ED" w:rsidP="00251540">
            <w:pPr>
              <w:pStyle w:val="TableParagraph"/>
              <w:spacing w:line="240" w:lineRule="auto"/>
              <w:rPr>
                <w:sz w:val="18"/>
                <w:szCs w:val="18"/>
              </w:rPr>
            </w:pPr>
            <w:r>
              <w:rPr>
                <w:sz w:val="18"/>
                <w:szCs w:val="18"/>
              </w:rPr>
              <w:t>1.90 (0.32)</w:t>
            </w:r>
          </w:p>
        </w:tc>
        <w:tc>
          <w:tcPr>
            <w:tcW w:w="1038" w:type="pct"/>
            <w:tcBorders>
              <w:left w:val="nil"/>
              <w:right w:val="nil"/>
            </w:tcBorders>
            <w:shd w:val="clear" w:color="auto" w:fill="ECECEC"/>
            <w:vAlign w:val="bottom"/>
          </w:tcPr>
          <w:p w14:paraId="7B0A9DFB" w14:textId="5C735FF4" w:rsidR="002E75ED" w:rsidRPr="00A27929" w:rsidRDefault="002E75ED" w:rsidP="00251540">
            <w:pPr>
              <w:pStyle w:val="TableParagraph"/>
              <w:spacing w:before="10" w:line="240" w:lineRule="auto"/>
              <w:rPr>
                <w:sz w:val="18"/>
                <w:szCs w:val="18"/>
              </w:rPr>
            </w:pPr>
            <w:r>
              <w:rPr>
                <w:sz w:val="18"/>
                <w:szCs w:val="18"/>
              </w:rPr>
              <w:t>1.88 (0.38)</w:t>
            </w:r>
          </w:p>
        </w:tc>
        <w:tc>
          <w:tcPr>
            <w:tcW w:w="739" w:type="pct"/>
            <w:tcBorders>
              <w:left w:val="nil"/>
              <w:right w:val="nil"/>
            </w:tcBorders>
            <w:shd w:val="clear" w:color="auto" w:fill="ECECEC"/>
            <w:vAlign w:val="bottom"/>
          </w:tcPr>
          <w:p w14:paraId="11E02EC0" w14:textId="5135011C" w:rsidR="002E75ED" w:rsidRPr="00A27929" w:rsidRDefault="002E75ED" w:rsidP="00251540">
            <w:pPr>
              <w:pStyle w:val="TableParagraph"/>
              <w:spacing w:before="10" w:line="240" w:lineRule="auto"/>
              <w:rPr>
                <w:sz w:val="18"/>
                <w:szCs w:val="18"/>
              </w:rPr>
            </w:pPr>
            <w:r>
              <w:rPr>
                <w:sz w:val="18"/>
                <w:szCs w:val="18"/>
              </w:rPr>
              <w:t>1.34 (0.32)</w:t>
            </w:r>
          </w:p>
        </w:tc>
        <w:tc>
          <w:tcPr>
            <w:tcW w:w="688" w:type="pct"/>
            <w:tcBorders>
              <w:left w:val="nil"/>
              <w:right w:val="nil"/>
            </w:tcBorders>
            <w:shd w:val="clear" w:color="auto" w:fill="ECECEC"/>
            <w:vAlign w:val="center"/>
          </w:tcPr>
          <w:p w14:paraId="7E92302D" w14:textId="5120C0B6" w:rsidR="002E75ED" w:rsidRPr="00A27929" w:rsidRDefault="002E75ED" w:rsidP="002E75ED">
            <w:pPr>
              <w:pStyle w:val="TableParagraph"/>
              <w:spacing w:line="240" w:lineRule="auto"/>
              <w:rPr>
                <w:sz w:val="18"/>
                <w:szCs w:val="18"/>
              </w:rPr>
            </w:pPr>
            <w:r>
              <w:rPr>
                <w:sz w:val="18"/>
              </w:rPr>
              <w:t>1</w:t>
            </w:r>
          </w:p>
        </w:tc>
      </w:tr>
      <w:tr w:rsidR="002E75ED" w14:paraId="3BAA3DAF" w14:textId="77777777" w:rsidTr="00BB21F9">
        <w:trPr>
          <w:trHeight w:val="280"/>
        </w:trPr>
        <w:tc>
          <w:tcPr>
            <w:tcW w:w="1599" w:type="pct"/>
            <w:tcBorders>
              <w:right w:val="nil"/>
            </w:tcBorders>
            <w:shd w:val="clear" w:color="auto" w:fill="ECECEC"/>
          </w:tcPr>
          <w:p w14:paraId="0AA582D5" w14:textId="77777777" w:rsidR="002E75ED" w:rsidRDefault="002E75ED" w:rsidP="002E75ED">
            <w:pPr>
              <w:pStyle w:val="TableParagraph"/>
              <w:spacing w:before="29" w:line="240" w:lineRule="auto"/>
              <w:ind w:left="150"/>
              <w:jc w:val="left"/>
              <w:rPr>
                <w:sz w:val="18"/>
              </w:rPr>
            </w:pPr>
            <w:r>
              <w:rPr>
                <w:sz w:val="18"/>
              </w:rPr>
              <w:t>-</w:t>
            </w:r>
            <w:r>
              <w:rPr>
                <w:spacing w:val="-3"/>
                <w:sz w:val="18"/>
              </w:rPr>
              <w:t xml:space="preserve"> </w:t>
            </w:r>
            <w:r>
              <w:rPr>
                <w:sz w:val="18"/>
              </w:rPr>
              <w:t>median</w:t>
            </w:r>
            <w:r>
              <w:rPr>
                <w:spacing w:val="-2"/>
                <w:sz w:val="18"/>
              </w:rPr>
              <w:t xml:space="preserve"> </w:t>
            </w:r>
            <w:r>
              <w:rPr>
                <w:sz w:val="18"/>
              </w:rPr>
              <w:t>(95%</w:t>
            </w:r>
            <w:r>
              <w:rPr>
                <w:spacing w:val="-1"/>
                <w:sz w:val="18"/>
              </w:rPr>
              <w:t xml:space="preserve"> </w:t>
            </w:r>
            <w:r>
              <w:rPr>
                <w:sz w:val="18"/>
              </w:rPr>
              <w:t>CrI)</w:t>
            </w:r>
          </w:p>
        </w:tc>
        <w:tc>
          <w:tcPr>
            <w:tcW w:w="936" w:type="pct"/>
            <w:tcBorders>
              <w:left w:val="nil"/>
              <w:right w:val="nil"/>
            </w:tcBorders>
            <w:shd w:val="clear" w:color="auto" w:fill="ECECEC"/>
            <w:vAlign w:val="center"/>
          </w:tcPr>
          <w:p w14:paraId="0A98CB4C" w14:textId="1D8C30CE" w:rsidR="002E75ED" w:rsidRPr="00A27929" w:rsidRDefault="002E75ED" w:rsidP="00251540">
            <w:pPr>
              <w:pStyle w:val="TableParagraph"/>
              <w:spacing w:before="29" w:line="240" w:lineRule="auto"/>
              <w:rPr>
                <w:sz w:val="18"/>
                <w:szCs w:val="18"/>
              </w:rPr>
            </w:pPr>
            <w:r>
              <w:rPr>
                <w:sz w:val="18"/>
                <w:szCs w:val="18"/>
              </w:rPr>
              <w:t>1.87 (1.35 to 2.59)</w:t>
            </w:r>
          </w:p>
        </w:tc>
        <w:tc>
          <w:tcPr>
            <w:tcW w:w="1038" w:type="pct"/>
            <w:tcBorders>
              <w:left w:val="nil"/>
              <w:right w:val="nil"/>
            </w:tcBorders>
            <w:shd w:val="clear" w:color="auto" w:fill="ECECEC"/>
            <w:vAlign w:val="center"/>
          </w:tcPr>
          <w:p w14:paraId="22BBD2A4" w14:textId="26390C34" w:rsidR="002E75ED" w:rsidRPr="00A27929" w:rsidRDefault="002E75ED" w:rsidP="00251540">
            <w:pPr>
              <w:pStyle w:val="TableParagraph"/>
              <w:spacing w:before="29" w:line="240" w:lineRule="auto"/>
              <w:rPr>
                <w:sz w:val="18"/>
                <w:szCs w:val="18"/>
              </w:rPr>
            </w:pPr>
            <w:r>
              <w:rPr>
                <w:sz w:val="18"/>
                <w:szCs w:val="18"/>
              </w:rPr>
              <w:t>1.85 (1.24 to 2.69)</w:t>
            </w:r>
          </w:p>
        </w:tc>
        <w:tc>
          <w:tcPr>
            <w:tcW w:w="739" w:type="pct"/>
            <w:tcBorders>
              <w:left w:val="nil"/>
              <w:right w:val="nil"/>
            </w:tcBorders>
            <w:shd w:val="clear" w:color="auto" w:fill="ECECEC"/>
            <w:vAlign w:val="center"/>
          </w:tcPr>
          <w:p w14:paraId="1A8CA19E" w14:textId="7595F7A9" w:rsidR="002E75ED" w:rsidRPr="00A27929" w:rsidRDefault="002E75ED" w:rsidP="00251540">
            <w:pPr>
              <w:pStyle w:val="TableParagraph"/>
              <w:spacing w:before="29" w:line="240" w:lineRule="auto"/>
              <w:rPr>
                <w:sz w:val="18"/>
                <w:szCs w:val="18"/>
              </w:rPr>
            </w:pPr>
            <w:r>
              <w:rPr>
                <w:sz w:val="18"/>
                <w:szCs w:val="18"/>
              </w:rPr>
              <w:t>0.83 to 2.05)</w:t>
            </w:r>
          </w:p>
        </w:tc>
        <w:tc>
          <w:tcPr>
            <w:tcW w:w="688" w:type="pct"/>
            <w:tcBorders>
              <w:left w:val="nil"/>
              <w:right w:val="nil"/>
            </w:tcBorders>
            <w:shd w:val="clear" w:color="auto" w:fill="ECECEC"/>
            <w:vAlign w:val="center"/>
          </w:tcPr>
          <w:p w14:paraId="2020DB2E" w14:textId="708DEA4B" w:rsidR="002E75ED" w:rsidRPr="00A27929" w:rsidRDefault="002E75ED" w:rsidP="002E75ED">
            <w:pPr>
              <w:pStyle w:val="TableParagraph"/>
              <w:spacing w:before="29" w:line="240" w:lineRule="auto"/>
              <w:rPr>
                <w:sz w:val="18"/>
                <w:szCs w:val="18"/>
              </w:rPr>
            </w:pPr>
            <w:r>
              <w:rPr>
                <w:sz w:val="18"/>
              </w:rPr>
              <w:t>1</w:t>
            </w:r>
          </w:p>
        </w:tc>
      </w:tr>
      <w:tr w:rsidR="002E75ED" w14:paraId="279EE9F0" w14:textId="77777777" w:rsidTr="00BB21F9">
        <w:trPr>
          <w:trHeight w:val="280"/>
        </w:trPr>
        <w:tc>
          <w:tcPr>
            <w:tcW w:w="1599" w:type="pct"/>
            <w:tcBorders>
              <w:right w:val="nil"/>
            </w:tcBorders>
            <w:shd w:val="clear" w:color="auto" w:fill="ECECEC"/>
          </w:tcPr>
          <w:p w14:paraId="0D0D49AE" w14:textId="77777777" w:rsidR="002E75ED" w:rsidRDefault="002E75ED" w:rsidP="002E75ED">
            <w:pPr>
              <w:pStyle w:val="TableParagraph"/>
              <w:spacing w:before="28" w:line="240" w:lineRule="auto"/>
              <w:ind w:left="110"/>
              <w:jc w:val="left"/>
              <w:rPr>
                <w:sz w:val="18"/>
              </w:rPr>
            </w:pPr>
            <w:r>
              <w:rPr>
                <w:sz w:val="18"/>
              </w:rPr>
              <w:t>Probability</w:t>
            </w:r>
            <w:r>
              <w:rPr>
                <w:spacing w:val="-6"/>
                <w:sz w:val="18"/>
              </w:rPr>
              <w:t xml:space="preserve"> </w:t>
            </w:r>
            <w:r>
              <w:rPr>
                <w:sz w:val="18"/>
              </w:rPr>
              <w:t>of</w:t>
            </w:r>
            <w:r>
              <w:rPr>
                <w:spacing w:val="-3"/>
                <w:sz w:val="18"/>
              </w:rPr>
              <w:t xml:space="preserve"> </w:t>
            </w:r>
            <w:r>
              <w:rPr>
                <w:sz w:val="18"/>
              </w:rPr>
              <w:t>superiority</w:t>
            </w:r>
            <w:r>
              <w:rPr>
                <w:spacing w:val="-5"/>
                <w:sz w:val="18"/>
              </w:rPr>
              <w:t xml:space="preserve"> </w:t>
            </w:r>
            <w:r>
              <w:rPr>
                <w:sz w:val="18"/>
              </w:rPr>
              <w:t>to</w:t>
            </w:r>
            <w:r>
              <w:rPr>
                <w:spacing w:val="-4"/>
                <w:sz w:val="18"/>
              </w:rPr>
              <w:t xml:space="preserve"> </w:t>
            </w:r>
            <w:r>
              <w:rPr>
                <w:sz w:val="18"/>
              </w:rPr>
              <w:t>control,</w:t>
            </w:r>
            <w:r>
              <w:rPr>
                <w:spacing w:val="-3"/>
                <w:sz w:val="18"/>
              </w:rPr>
              <w:t xml:space="preserve"> </w:t>
            </w:r>
            <w:r>
              <w:rPr>
                <w:sz w:val="18"/>
              </w:rPr>
              <w:t>%</w:t>
            </w:r>
          </w:p>
        </w:tc>
        <w:tc>
          <w:tcPr>
            <w:tcW w:w="936" w:type="pct"/>
            <w:tcBorders>
              <w:left w:val="nil"/>
              <w:right w:val="nil"/>
            </w:tcBorders>
            <w:shd w:val="clear" w:color="auto" w:fill="ECECEC"/>
            <w:vAlign w:val="center"/>
          </w:tcPr>
          <w:p w14:paraId="51D0494A" w14:textId="7A622200" w:rsidR="002E75ED" w:rsidRPr="00A27929" w:rsidRDefault="002E75ED" w:rsidP="00251540">
            <w:pPr>
              <w:pStyle w:val="TableParagraph"/>
              <w:spacing w:before="28" w:line="240" w:lineRule="auto"/>
              <w:rPr>
                <w:sz w:val="18"/>
                <w:szCs w:val="18"/>
              </w:rPr>
            </w:pPr>
            <w:r>
              <w:rPr>
                <w:sz w:val="18"/>
                <w:szCs w:val="18"/>
              </w:rPr>
              <w:t>&gt;99.9</w:t>
            </w:r>
          </w:p>
        </w:tc>
        <w:tc>
          <w:tcPr>
            <w:tcW w:w="1038" w:type="pct"/>
            <w:tcBorders>
              <w:left w:val="nil"/>
              <w:right w:val="nil"/>
            </w:tcBorders>
            <w:shd w:val="clear" w:color="auto" w:fill="ECECEC"/>
            <w:vAlign w:val="center"/>
          </w:tcPr>
          <w:p w14:paraId="3E9874C0" w14:textId="21BF4E97" w:rsidR="002E75ED" w:rsidRPr="00A27929" w:rsidRDefault="002E75ED" w:rsidP="00251540">
            <w:pPr>
              <w:pStyle w:val="TableParagraph"/>
              <w:spacing w:before="28" w:line="240" w:lineRule="auto"/>
              <w:rPr>
                <w:sz w:val="18"/>
                <w:szCs w:val="18"/>
              </w:rPr>
            </w:pPr>
            <w:r>
              <w:rPr>
                <w:sz w:val="18"/>
                <w:szCs w:val="18"/>
              </w:rPr>
              <w:t>99.8</w:t>
            </w:r>
          </w:p>
        </w:tc>
        <w:tc>
          <w:tcPr>
            <w:tcW w:w="739" w:type="pct"/>
            <w:tcBorders>
              <w:left w:val="nil"/>
              <w:right w:val="nil"/>
            </w:tcBorders>
            <w:shd w:val="clear" w:color="auto" w:fill="ECECEC"/>
            <w:vAlign w:val="center"/>
          </w:tcPr>
          <w:p w14:paraId="79C3AD8F" w14:textId="4336C29C" w:rsidR="002E75ED" w:rsidRPr="00A27929" w:rsidRDefault="002E75ED" w:rsidP="00251540">
            <w:pPr>
              <w:pStyle w:val="TableParagraph"/>
              <w:spacing w:before="28" w:line="240" w:lineRule="auto"/>
              <w:ind w:left="181"/>
              <w:rPr>
                <w:sz w:val="18"/>
                <w:szCs w:val="18"/>
              </w:rPr>
            </w:pPr>
            <w:r>
              <w:rPr>
                <w:sz w:val="18"/>
                <w:szCs w:val="18"/>
              </w:rPr>
              <w:t>87.1</w:t>
            </w:r>
          </w:p>
        </w:tc>
        <w:tc>
          <w:tcPr>
            <w:tcW w:w="688" w:type="pct"/>
            <w:tcBorders>
              <w:left w:val="nil"/>
              <w:right w:val="nil"/>
            </w:tcBorders>
            <w:shd w:val="clear" w:color="auto" w:fill="ECECEC"/>
            <w:vAlign w:val="center"/>
          </w:tcPr>
          <w:p w14:paraId="62E62F8C" w14:textId="0F6239D5" w:rsidR="002E75ED" w:rsidRPr="00A27929" w:rsidRDefault="002E75ED" w:rsidP="002E75ED">
            <w:pPr>
              <w:pStyle w:val="TableParagraph"/>
              <w:spacing w:before="28" w:line="240" w:lineRule="auto"/>
              <w:rPr>
                <w:sz w:val="18"/>
                <w:szCs w:val="18"/>
              </w:rPr>
            </w:pPr>
            <w:r>
              <w:rPr>
                <w:sz w:val="18"/>
              </w:rPr>
              <w:t>-</w:t>
            </w:r>
          </w:p>
        </w:tc>
      </w:tr>
      <w:tr w:rsidR="002E75ED" w14:paraId="7D6C154D" w14:textId="77777777" w:rsidTr="00BB21F9">
        <w:trPr>
          <w:trHeight w:val="715"/>
        </w:trPr>
        <w:tc>
          <w:tcPr>
            <w:tcW w:w="5000" w:type="pct"/>
            <w:gridSpan w:val="5"/>
            <w:tcBorders>
              <w:top w:val="dashSmallGap" w:sz="4" w:space="0" w:color="D8D8D8"/>
              <w:left w:val="dashSmallGap" w:sz="4" w:space="0" w:color="D8D8D8"/>
              <w:bottom w:val="dashSmallGap" w:sz="4" w:space="0" w:color="D8D8D8"/>
              <w:right w:val="dashSmallGap" w:sz="4" w:space="0" w:color="D8D8D8"/>
            </w:tcBorders>
            <w:shd w:val="clear" w:color="auto" w:fill="ECECEC"/>
          </w:tcPr>
          <w:p w14:paraId="33266148" w14:textId="77777777" w:rsidR="002E75ED" w:rsidRPr="00A27929" w:rsidRDefault="002E75ED" w:rsidP="002E75ED">
            <w:pPr>
              <w:pStyle w:val="TableParagraph"/>
              <w:spacing w:before="30" w:line="237" w:lineRule="auto"/>
              <w:ind w:left="110" w:right="5276"/>
              <w:jc w:val="left"/>
              <w:rPr>
                <w:b/>
                <w:sz w:val="18"/>
                <w:szCs w:val="18"/>
              </w:rPr>
            </w:pPr>
            <w:r w:rsidRPr="00A27929">
              <w:rPr>
                <w:b/>
                <w:sz w:val="18"/>
                <w:szCs w:val="18"/>
              </w:rPr>
              <w:t xml:space="preserve">Secondary Analysis of Hospital Survival, </w:t>
            </w:r>
            <w:r w:rsidRPr="002C4DB0">
              <w:rPr>
                <w:bCs/>
                <w:sz w:val="18"/>
                <w:szCs w:val="18"/>
              </w:rPr>
              <w:t>model restricted to Immune Modulation Therapy Domain participants, according to CRP tercile subgroups</w:t>
            </w:r>
          </w:p>
        </w:tc>
      </w:tr>
      <w:tr w:rsidR="002E75ED" w14:paraId="546749BB" w14:textId="77777777" w:rsidTr="00BB21F9">
        <w:trPr>
          <w:trHeight w:val="525"/>
        </w:trPr>
        <w:tc>
          <w:tcPr>
            <w:tcW w:w="1599" w:type="pct"/>
            <w:tcBorders>
              <w:right w:val="nil"/>
            </w:tcBorders>
            <w:shd w:val="clear" w:color="auto" w:fill="ECECEC"/>
          </w:tcPr>
          <w:p w14:paraId="367A2495" w14:textId="77777777" w:rsidR="002E75ED" w:rsidRDefault="002E75ED" w:rsidP="002E75ED">
            <w:pPr>
              <w:pStyle w:val="TableParagraph"/>
              <w:spacing w:before="29" w:line="240" w:lineRule="auto"/>
              <w:ind w:left="110"/>
              <w:jc w:val="left"/>
              <w:rPr>
                <w:b/>
                <w:sz w:val="18"/>
              </w:rPr>
            </w:pPr>
            <w:r>
              <w:rPr>
                <w:b/>
                <w:sz w:val="18"/>
              </w:rPr>
              <w:t>CRP</w:t>
            </w:r>
            <w:r>
              <w:rPr>
                <w:b/>
                <w:spacing w:val="-5"/>
                <w:sz w:val="18"/>
              </w:rPr>
              <w:t xml:space="preserve"> </w:t>
            </w:r>
            <w:r>
              <w:rPr>
                <w:b/>
                <w:sz w:val="18"/>
              </w:rPr>
              <w:t>lowest</w:t>
            </w:r>
            <w:r>
              <w:rPr>
                <w:b/>
                <w:spacing w:val="-1"/>
                <w:sz w:val="18"/>
              </w:rPr>
              <w:t xml:space="preserve"> </w:t>
            </w:r>
            <w:r>
              <w:rPr>
                <w:b/>
                <w:sz w:val="18"/>
              </w:rPr>
              <w:t>tercile</w:t>
            </w:r>
          </w:p>
          <w:p w14:paraId="06DA3A7B" w14:textId="77777777" w:rsidR="002E75ED" w:rsidRDefault="002E75ED" w:rsidP="002E75ED">
            <w:pPr>
              <w:pStyle w:val="TableParagraph"/>
              <w:spacing w:before="30" w:line="240" w:lineRule="auto"/>
              <w:ind w:left="110"/>
              <w:jc w:val="left"/>
              <w:rPr>
                <w:sz w:val="18"/>
              </w:rPr>
            </w:pPr>
            <w:r>
              <w:rPr>
                <w:sz w:val="18"/>
              </w:rPr>
              <w:t>Adjusted</w:t>
            </w:r>
            <w:r>
              <w:rPr>
                <w:spacing w:val="-3"/>
                <w:sz w:val="18"/>
              </w:rPr>
              <w:t xml:space="preserve"> </w:t>
            </w:r>
            <w:r>
              <w:rPr>
                <w:sz w:val="18"/>
              </w:rPr>
              <w:t>OR</w:t>
            </w:r>
            <w:r>
              <w:rPr>
                <w:spacing w:val="2"/>
                <w:sz w:val="18"/>
              </w:rPr>
              <w:t xml:space="preserve"> </w:t>
            </w:r>
            <w:r>
              <w:rPr>
                <w:sz w:val="18"/>
              </w:rPr>
              <w:t>-</w:t>
            </w:r>
            <w:r>
              <w:rPr>
                <w:spacing w:val="-2"/>
                <w:sz w:val="18"/>
              </w:rPr>
              <w:t xml:space="preserve"> </w:t>
            </w:r>
            <w:r>
              <w:rPr>
                <w:sz w:val="18"/>
              </w:rPr>
              <w:t>mean</w:t>
            </w:r>
            <w:r>
              <w:rPr>
                <w:spacing w:val="-3"/>
                <w:sz w:val="18"/>
              </w:rPr>
              <w:t xml:space="preserve"> </w:t>
            </w:r>
            <w:r>
              <w:rPr>
                <w:sz w:val="18"/>
              </w:rPr>
              <w:t>(SD)</w:t>
            </w:r>
          </w:p>
        </w:tc>
        <w:tc>
          <w:tcPr>
            <w:tcW w:w="936" w:type="pct"/>
            <w:tcBorders>
              <w:left w:val="nil"/>
              <w:right w:val="nil"/>
            </w:tcBorders>
            <w:shd w:val="clear" w:color="auto" w:fill="ECECEC"/>
            <w:vAlign w:val="bottom"/>
          </w:tcPr>
          <w:p w14:paraId="7D0225B2" w14:textId="5CED07B8" w:rsidR="002E75ED" w:rsidRPr="00A27929" w:rsidRDefault="002E75ED" w:rsidP="00DE64DA">
            <w:pPr>
              <w:pStyle w:val="TableParagraph"/>
              <w:spacing w:line="240" w:lineRule="auto"/>
              <w:rPr>
                <w:sz w:val="18"/>
                <w:szCs w:val="18"/>
              </w:rPr>
            </w:pPr>
            <w:r>
              <w:rPr>
                <w:sz w:val="18"/>
                <w:szCs w:val="18"/>
              </w:rPr>
              <w:t>1.09 (0.24)</w:t>
            </w:r>
          </w:p>
        </w:tc>
        <w:tc>
          <w:tcPr>
            <w:tcW w:w="1038" w:type="pct"/>
            <w:tcBorders>
              <w:left w:val="nil"/>
              <w:right w:val="nil"/>
            </w:tcBorders>
            <w:shd w:val="clear" w:color="auto" w:fill="ECECEC"/>
            <w:vAlign w:val="bottom"/>
          </w:tcPr>
          <w:p w14:paraId="3192F13E" w14:textId="53254601" w:rsidR="002E75ED" w:rsidRPr="00A27929" w:rsidRDefault="002E75ED" w:rsidP="00DE64DA">
            <w:pPr>
              <w:pStyle w:val="TableParagraph"/>
              <w:spacing w:before="10" w:line="240" w:lineRule="auto"/>
              <w:rPr>
                <w:sz w:val="18"/>
                <w:szCs w:val="18"/>
              </w:rPr>
            </w:pPr>
            <w:r>
              <w:rPr>
                <w:sz w:val="18"/>
                <w:szCs w:val="18"/>
              </w:rPr>
              <w:t>1.33 (0.35)</w:t>
            </w:r>
          </w:p>
        </w:tc>
        <w:tc>
          <w:tcPr>
            <w:tcW w:w="739" w:type="pct"/>
            <w:tcBorders>
              <w:left w:val="nil"/>
              <w:right w:val="nil"/>
            </w:tcBorders>
            <w:shd w:val="clear" w:color="auto" w:fill="ECECEC"/>
            <w:vAlign w:val="bottom"/>
          </w:tcPr>
          <w:p w14:paraId="72C16ED8" w14:textId="57FB88BA" w:rsidR="002E75ED" w:rsidRPr="00A27929" w:rsidRDefault="002E75ED" w:rsidP="00DE64DA">
            <w:pPr>
              <w:pStyle w:val="TableParagraph"/>
              <w:spacing w:before="10" w:line="240" w:lineRule="auto"/>
              <w:rPr>
                <w:sz w:val="18"/>
                <w:szCs w:val="18"/>
              </w:rPr>
            </w:pPr>
            <w:r>
              <w:rPr>
                <w:sz w:val="18"/>
                <w:szCs w:val="18"/>
              </w:rPr>
              <w:t>0.85 (0.24)</w:t>
            </w:r>
          </w:p>
        </w:tc>
        <w:tc>
          <w:tcPr>
            <w:tcW w:w="688" w:type="pct"/>
            <w:tcBorders>
              <w:left w:val="nil"/>
              <w:right w:val="nil"/>
            </w:tcBorders>
            <w:shd w:val="clear" w:color="auto" w:fill="ECECEC"/>
            <w:vAlign w:val="bottom"/>
          </w:tcPr>
          <w:p w14:paraId="2CB749C1" w14:textId="39BD2441" w:rsidR="002E75ED" w:rsidRPr="00A27929" w:rsidRDefault="002E75ED" w:rsidP="00DE64DA">
            <w:pPr>
              <w:pStyle w:val="TableParagraph"/>
              <w:spacing w:line="240" w:lineRule="auto"/>
              <w:rPr>
                <w:sz w:val="18"/>
                <w:szCs w:val="18"/>
              </w:rPr>
            </w:pPr>
            <w:r>
              <w:rPr>
                <w:sz w:val="18"/>
              </w:rPr>
              <w:t>1</w:t>
            </w:r>
          </w:p>
        </w:tc>
      </w:tr>
      <w:tr w:rsidR="002E75ED" w14:paraId="29AE3179" w14:textId="77777777" w:rsidTr="00BB21F9">
        <w:trPr>
          <w:trHeight w:val="280"/>
        </w:trPr>
        <w:tc>
          <w:tcPr>
            <w:tcW w:w="1599" w:type="pct"/>
            <w:tcBorders>
              <w:right w:val="nil"/>
            </w:tcBorders>
            <w:shd w:val="clear" w:color="auto" w:fill="ECECEC"/>
          </w:tcPr>
          <w:p w14:paraId="19847CFA" w14:textId="77777777" w:rsidR="002E75ED" w:rsidRDefault="002E75ED" w:rsidP="002E75ED">
            <w:pPr>
              <w:pStyle w:val="TableParagraph"/>
              <w:spacing w:before="28" w:line="240" w:lineRule="auto"/>
              <w:ind w:left="150"/>
              <w:jc w:val="left"/>
              <w:rPr>
                <w:sz w:val="18"/>
              </w:rPr>
            </w:pPr>
            <w:r>
              <w:rPr>
                <w:sz w:val="18"/>
              </w:rPr>
              <w:t>-</w:t>
            </w:r>
            <w:r>
              <w:rPr>
                <w:spacing w:val="-3"/>
                <w:sz w:val="18"/>
              </w:rPr>
              <w:t xml:space="preserve"> </w:t>
            </w:r>
            <w:r>
              <w:rPr>
                <w:sz w:val="18"/>
              </w:rPr>
              <w:t>median</w:t>
            </w:r>
            <w:r>
              <w:rPr>
                <w:spacing w:val="-2"/>
                <w:sz w:val="18"/>
              </w:rPr>
              <w:t xml:space="preserve"> </w:t>
            </w:r>
            <w:r>
              <w:rPr>
                <w:sz w:val="18"/>
              </w:rPr>
              <w:t>(95%</w:t>
            </w:r>
            <w:r>
              <w:rPr>
                <w:spacing w:val="-1"/>
                <w:sz w:val="18"/>
              </w:rPr>
              <w:t xml:space="preserve"> </w:t>
            </w:r>
            <w:r>
              <w:rPr>
                <w:sz w:val="18"/>
              </w:rPr>
              <w:t>CrI)</w:t>
            </w:r>
          </w:p>
        </w:tc>
        <w:tc>
          <w:tcPr>
            <w:tcW w:w="936" w:type="pct"/>
            <w:tcBorders>
              <w:left w:val="nil"/>
              <w:right w:val="nil"/>
            </w:tcBorders>
            <w:shd w:val="clear" w:color="auto" w:fill="ECECEC"/>
            <w:vAlign w:val="center"/>
          </w:tcPr>
          <w:p w14:paraId="0ABB47D5" w14:textId="6616853F" w:rsidR="002E75ED" w:rsidRPr="00A27929" w:rsidRDefault="002E75ED" w:rsidP="00DE64DA">
            <w:pPr>
              <w:pStyle w:val="TableParagraph"/>
              <w:spacing w:before="28" w:line="240" w:lineRule="auto"/>
              <w:rPr>
                <w:sz w:val="18"/>
                <w:szCs w:val="18"/>
              </w:rPr>
            </w:pPr>
            <w:r>
              <w:rPr>
                <w:sz w:val="18"/>
                <w:szCs w:val="18"/>
              </w:rPr>
              <w:t>1.07 (0.70 to 1.63)</w:t>
            </w:r>
          </w:p>
        </w:tc>
        <w:tc>
          <w:tcPr>
            <w:tcW w:w="1038" w:type="pct"/>
            <w:tcBorders>
              <w:left w:val="nil"/>
              <w:right w:val="nil"/>
            </w:tcBorders>
            <w:shd w:val="clear" w:color="auto" w:fill="ECECEC"/>
            <w:vAlign w:val="center"/>
          </w:tcPr>
          <w:p w14:paraId="4DBF7505" w14:textId="0902C0AB" w:rsidR="002E75ED" w:rsidRPr="00A27929" w:rsidRDefault="002E75ED" w:rsidP="00DE64DA">
            <w:pPr>
              <w:pStyle w:val="TableParagraph"/>
              <w:spacing w:before="28" w:line="240" w:lineRule="auto"/>
              <w:rPr>
                <w:sz w:val="18"/>
                <w:szCs w:val="18"/>
              </w:rPr>
            </w:pPr>
            <w:r>
              <w:rPr>
                <w:sz w:val="18"/>
                <w:szCs w:val="18"/>
              </w:rPr>
              <w:t>1.29 (0.79 to 2.15)</w:t>
            </w:r>
          </w:p>
        </w:tc>
        <w:tc>
          <w:tcPr>
            <w:tcW w:w="739" w:type="pct"/>
            <w:tcBorders>
              <w:left w:val="nil"/>
              <w:right w:val="nil"/>
            </w:tcBorders>
            <w:shd w:val="clear" w:color="auto" w:fill="ECECEC"/>
            <w:vAlign w:val="center"/>
          </w:tcPr>
          <w:p w14:paraId="44F914F6" w14:textId="63C3405C" w:rsidR="002E75ED" w:rsidRPr="00A27929" w:rsidRDefault="002E75ED" w:rsidP="00DE64DA">
            <w:pPr>
              <w:pStyle w:val="TableParagraph"/>
              <w:spacing w:before="28" w:line="240" w:lineRule="auto"/>
              <w:rPr>
                <w:sz w:val="18"/>
                <w:szCs w:val="18"/>
              </w:rPr>
            </w:pPr>
            <w:r>
              <w:rPr>
                <w:sz w:val="18"/>
                <w:szCs w:val="18"/>
              </w:rPr>
              <w:t>0.82 (0.48 to 1.41)</w:t>
            </w:r>
          </w:p>
        </w:tc>
        <w:tc>
          <w:tcPr>
            <w:tcW w:w="688" w:type="pct"/>
            <w:tcBorders>
              <w:left w:val="nil"/>
              <w:right w:val="nil"/>
            </w:tcBorders>
            <w:shd w:val="clear" w:color="auto" w:fill="ECECEC"/>
            <w:vAlign w:val="center"/>
          </w:tcPr>
          <w:p w14:paraId="22A5FA89" w14:textId="2824A011" w:rsidR="002E75ED" w:rsidRPr="00A27929" w:rsidRDefault="002E75ED" w:rsidP="00DE64DA">
            <w:pPr>
              <w:pStyle w:val="TableParagraph"/>
              <w:spacing w:before="28" w:line="240" w:lineRule="auto"/>
              <w:rPr>
                <w:sz w:val="18"/>
                <w:szCs w:val="18"/>
              </w:rPr>
            </w:pPr>
            <w:r>
              <w:rPr>
                <w:sz w:val="18"/>
              </w:rPr>
              <w:t>1</w:t>
            </w:r>
          </w:p>
        </w:tc>
      </w:tr>
      <w:tr w:rsidR="002E75ED" w14:paraId="5530FF5E" w14:textId="77777777" w:rsidTr="00BB21F9">
        <w:trPr>
          <w:trHeight w:val="280"/>
        </w:trPr>
        <w:tc>
          <w:tcPr>
            <w:tcW w:w="1599" w:type="pct"/>
            <w:tcBorders>
              <w:right w:val="nil"/>
            </w:tcBorders>
            <w:shd w:val="clear" w:color="auto" w:fill="ECECEC"/>
          </w:tcPr>
          <w:p w14:paraId="1AACB9D0" w14:textId="77777777" w:rsidR="002E75ED" w:rsidRDefault="002E75ED" w:rsidP="002E75ED">
            <w:pPr>
              <w:pStyle w:val="TableParagraph"/>
              <w:spacing w:before="28" w:line="240" w:lineRule="auto"/>
              <w:ind w:left="110"/>
              <w:jc w:val="left"/>
              <w:rPr>
                <w:sz w:val="18"/>
              </w:rPr>
            </w:pPr>
            <w:r>
              <w:rPr>
                <w:sz w:val="18"/>
              </w:rPr>
              <w:t>Probability</w:t>
            </w:r>
            <w:r>
              <w:rPr>
                <w:spacing w:val="-6"/>
                <w:sz w:val="18"/>
              </w:rPr>
              <w:t xml:space="preserve"> </w:t>
            </w:r>
            <w:r>
              <w:rPr>
                <w:sz w:val="18"/>
              </w:rPr>
              <w:t>of</w:t>
            </w:r>
            <w:r>
              <w:rPr>
                <w:spacing w:val="-3"/>
                <w:sz w:val="18"/>
              </w:rPr>
              <w:t xml:space="preserve"> </w:t>
            </w:r>
            <w:r>
              <w:rPr>
                <w:sz w:val="18"/>
              </w:rPr>
              <w:t>superiority</w:t>
            </w:r>
            <w:r>
              <w:rPr>
                <w:spacing w:val="-5"/>
                <w:sz w:val="18"/>
              </w:rPr>
              <w:t xml:space="preserve"> </w:t>
            </w:r>
            <w:r>
              <w:rPr>
                <w:sz w:val="18"/>
              </w:rPr>
              <w:t>to</w:t>
            </w:r>
            <w:r>
              <w:rPr>
                <w:spacing w:val="-4"/>
                <w:sz w:val="18"/>
              </w:rPr>
              <w:t xml:space="preserve"> </w:t>
            </w:r>
            <w:r>
              <w:rPr>
                <w:sz w:val="18"/>
              </w:rPr>
              <w:t>control,</w:t>
            </w:r>
            <w:r>
              <w:rPr>
                <w:spacing w:val="-3"/>
                <w:sz w:val="18"/>
              </w:rPr>
              <w:t xml:space="preserve"> </w:t>
            </w:r>
            <w:r>
              <w:rPr>
                <w:sz w:val="18"/>
              </w:rPr>
              <w:t>%</w:t>
            </w:r>
          </w:p>
        </w:tc>
        <w:tc>
          <w:tcPr>
            <w:tcW w:w="936" w:type="pct"/>
            <w:tcBorders>
              <w:left w:val="nil"/>
              <w:right w:val="nil"/>
            </w:tcBorders>
            <w:shd w:val="clear" w:color="auto" w:fill="ECECEC"/>
            <w:vAlign w:val="center"/>
          </w:tcPr>
          <w:p w14:paraId="6F6125A5" w14:textId="49A6207C" w:rsidR="002E75ED" w:rsidRPr="00A27929" w:rsidRDefault="002E75ED" w:rsidP="00DE64DA">
            <w:pPr>
              <w:pStyle w:val="TableParagraph"/>
              <w:spacing w:before="28" w:line="240" w:lineRule="auto"/>
              <w:rPr>
                <w:sz w:val="18"/>
                <w:szCs w:val="18"/>
              </w:rPr>
            </w:pPr>
            <w:r>
              <w:rPr>
                <w:sz w:val="18"/>
                <w:szCs w:val="18"/>
              </w:rPr>
              <w:t>62.4</w:t>
            </w:r>
          </w:p>
        </w:tc>
        <w:tc>
          <w:tcPr>
            <w:tcW w:w="1038" w:type="pct"/>
            <w:tcBorders>
              <w:left w:val="nil"/>
              <w:right w:val="nil"/>
            </w:tcBorders>
            <w:shd w:val="clear" w:color="auto" w:fill="ECECEC"/>
            <w:vAlign w:val="center"/>
          </w:tcPr>
          <w:p w14:paraId="7CEE16E9" w14:textId="05391004" w:rsidR="002E75ED" w:rsidRPr="00A27929" w:rsidRDefault="002E75ED" w:rsidP="00DE64DA">
            <w:pPr>
              <w:pStyle w:val="TableParagraph"/>
              <w:spacing w:before="28" w:line="240" w:lineRule="auto"/>
              <w:rPr>
                <w:sz w:val="18"/>
                <w:szCs w:val="18"/>
              </w:rPr>
            </w:pPr>
            <w:r>
              <w:rPr>
                <w:sz w:val="18"/>
                <w:szCs w:val="18"/>
              </w:rPr>
              <w:t>84</w:t>
            </w:r>
          </w:p>
        </w:tc>
        <w:tc>
          <w:tcPr>
            <w:tcW w:w="739" w:type="pct"/>
            <w:tcBorders>
              <w:left w:val="nil"/>
              <w:right w:val="nil"/>
            </w:tcBorders>
            <w:shd w:val="clear" w:color="auto" w:fill="ECECEC"/>
            <w:vAlign w:val="center"/>
          </w:tcPr>
          <w:p w14:paraId="54F1DF1B" w14:textId="79280A32" w:rsidR="002E75ED" w:rsidRPr="00A27929" w:rsidRDefault="002E75ED" w:rsidP="00DE64DA">
            <w:pPr>
              <w:pStyle w:val="TableParagraph"/>
              <w:spacing w:before="28" w:line="240" w:lineRule="auto"/>
              <w:rPr>
                <w:sz w:val="18"/>
                <w:szCs w:val="18"/>
              </w:rPr>
            </w:pPr>
            <w:r>
              <w:rPr>
                <w:sz w:val="18"/>
                <w:szCs w:val="18"/>
              </w:rPr>
              <w:t>23.6</w:t>
            </w:r>
          </w:p>
        </w:tc>
        <w:tc>
          <w:tcPr>
            <w:tcW w:w="688" w:type="pct"/>
            <w:tcBorders>
              <w:left w:val="nil"/>
              <w:right w:val="nil"/>
            </w:tcBorders>
            <w:shd w:val="clear" w:color="auto" w:fill="ECECEC"/>
            <w:vAlign w:val="center"/>
          </w:tcPr>
          <w:p w14:paraId="5E08EF64" w14:textId="201D6679" w:rsidR="002E75ED" w:rsidRPr="00A27929" w:rsidRDefault="002E75ED" w:rsidP="00DE64DA">
            <w:pPr>
              <w:pStyle w:val="TableParagraph"/>
              <w:spacing w:before="28" w:line="240" w:lineRule="auto"/>
              <w:rPr>
                <w:sz w:val="18"/>
                <w:szCs w:val="18"/>
              </w:rPr>
            </w:pPr>
            <w:r>
              <w:rPr>
                <w:sz w:val="18"/>
              </w:rPr>
              <w:t>-</w:t>
            </w:r>
          </w:p>
        </w:tc>
      </w:tr>
      <w:tr w:rsidR="002E75ED" w14:paraId="2BEEA3F5" w14:textId="77777777" w:rsidTr="00BB21F9">
        <w:trPr>
          <w:trHeight w:val="530"/>
        </w:trPr>
        <w:tc>
          <w:tcPr>
            <w:tcW w:w="1599" w:type="pct"/>
            <w:tcBorders>
              <w:right w:val="nil"/>
            </w:tcBorders>
            <w:shd w:val="clear" w:color="auto" w:fill="ECECEC"/>
          </w:tcPr>
          <w:p w14:paraId="53C1A917" w14:textId="77777777" w:rsidR="002E75ED" w:rsidRDefault="002E75ED" w:rsidP="002E75ED">
            <w:pPr>
              <w:pStyle w:val="TableParagraph"/>
              <w:spacing w:before="28" w:line="240" w:lineRule="auto"/>
              <w:ind w:left="110"/>
              <w:jc w:val="left"/>
              <w:rPr>
                <w:b/>
                <w:sz w:val="18"/>
              </w:rPr>
            </w:pPr>
            <w:r>
              <w:rPr>
                <w:b/>
                <w:sz w:val="18"/>
              </w:rPr>
              <w:t>CRP</w:t>
            </w:r>
            <w:r>
              <w:rPr>
                <w:b/>
                <w:spacing w:val="-5"/>
                <w:sz w:val="18"/>
              </w:rPr>
              <w:t xml:space="preserve"> </w:t>
            </w:r>
            <w:r>
              <w:rPr>
                <w:b/>
                <w:sz w:val="18"/>
              </w:rPr>
              <w:t>middle</w:t>
            </w:r>
            <w:r>
              <w:rPr>
                <w:b/>
                <w:spacing w:val="-5"/>
                <w:sz w:val="18"/>
              </w:rPr>
              <w:t xml:space="preserve"> </w:t>
            </w:r>
            <w:r>
              <w:rPr>
                <w:b/>
                <w:sz w:val="18"/>
              </w:rPr>
              <w:t>tercile</w:t>
            </w:r>
          </w:p>
          <w:p w14:paraId="4780BF6E" w14:textId="77777777" w:rsidR="002E75ED" w:rsidRDefault="002E75ED" w:rsidP="002E75ED">
            <w:pPr>
              <w:pStyle w:val="TableParagraph"/>
              <w:spacing w:before="31" w:line="240" w:lineRule="auto"/>
              <w:ind w:left="110"/>
              <w:jc w:val="left"/>
              <w:rPr>
                <w:sz w:val="18"/>
              </w:rPr>
            </w:pPr>
            <w:r>
              <w:rPr>
                <w:sz w:val="18"/>
              </w:rPr>
              <w:t>Adjusted</w:t>
            </w:r>
            <w:r>
              <w:rPr>
                <w:spacing w:val="-3"/>
                <w:sz w:val="18"/>
              </w:rPr>
              <w:t xml:space="preserve"> </w:t>
            </w:r>
            <w:r>
              <w:rPr>
                <w:sz w:val="18"/>
              </w:rPr>
              <w:t>OR</w:t>
            </w:r>
            <w:r>
              <w:rPr>
                <w:spacing w:val="2"/>
                <w:sz w:val="18"/>
              </w:rPr>
              <w:t xml:space="preserve"> </w:t>
            </w:r>
            <w:r>
              <w:rPr>
                <w:sz w:val="18"/>
              </w:rPr>
              <w:t>-</w:t>
            </w:r>
            <w:r>
              <w:rPr>
                <w:spacing w:val="-2"/>
                <w:sz w:val="18"/>
              </w:rPr>
              <w:t xml:space="preserve"> </w:t>
            </w:r>
            <w:r>
              <w:rPr>
                <w:sz w:val="18"/>
              </w:rPr>
              <w:t>mean</w:t>
            </w:r>
            <w:r>
              <w:rPr>
                <w:spacing w:val="-3"/>
                <w:sz w:val="18"/>
              </w:rPr>
              <w:t xml:space="preserve"> </w:t>
            </w:r>
            <w:r>
              <w:rPr>
                <w:sz w:val="18"/>
              </w:rPr>
              <w:t>(SD)</w:t>
            </w:r>
          </w:p>
        </w:tc>
        <w:tc>
          <w:tcPr>
            <w:tcW w:w="936" w:type="pct"/>
            <w:tcBorders>
              <w:left w:val="nil"/>
              <w:right w:val="nil"/>
            </w:tcBorders>
            <w:shd w:val="clear" w:color="auto" w:fill="ECECEC"/>
            <w:vAlign w:val="bottom"/>
          </w:tcPr>
          <w:p w14:paraId="03422E5D" w14:textId="101C0878" w:rsidR="002E75ED" w:rsidRPr="00A27929" w:rsidRDefault="002E75ED" w:rsidP="00DE64DA">
            <w:pPr>
              <w:pStyle w:val="TableParagraph"/>
              <w:spacing w:line="240" w:lineRule="auto"/>
              <w:rPr>
                <w:sz w:val="18"/>
                <w:szCs w:val="18"/>
              </w:rPr>
            </w:pPr>
            <w:r>
              <w:rPr>
                <w:sz w:val="18"/>
                <w:szCs w:val="18"/>
              </w:rPr>
              <w:t>1.32 (0.29)</w:t>
            </w:r>
          </w:p>
        </w:tc>
        <w:tc>
          <w:tcPr>
            <w:tcW w:w="1038" w:type="pct"/>
            <w:tcBorders>
              <w:left w:val="nil"/>
              <w:right w:val="nil"/>
            </w:tcBorders>
            <w:shd w:val="clear" w:color="auto" w:fill="ECECEC"/>
            <w:vAlign w:val="bottom"/>
          </w:tcPr>
          <w:p w14:paraId="1CF9481B" w14:textId="42183CB7" w:rsidR="002E75ED" w:rsidRPr="00A27929" w:rsidRDefault="002E75ED" w:rsidP="00DE64DA">
            <w:pPr>
              <w:pStyle w:val="TableParagraph"/>
              <w:spacing w:before="10" w:line="240" w:lineRule="auto"/>
              <w:rPr>
                <w:sz w:val="18"/>
                <w:szCs w:val="18"/>
              </w:rPr>
            </w:pPr>
            <w:r>
              <w:rPr>
                <w:sz w:val="18"/>
                <w:szCs w:val="18"/>
              </w:rPr>
              <w:t>1.38 (0.36)</w:t>
            </w:r>
          </w:p>
        </w:tc>
        <w:tc>
          <w:tcPr>
            <w:tcW w:w="739" w:type="pct"/>
            <w:tcBorders>
              <w:left w:val="nil"/>
              <w:right w:val="nil"/>
            </w:tcBorders>
            <w:shd w:val="clear" w:color="auto" w:fill="ECECEC"/>
            <w:vAlign w:val="bottom"/>
          </w:tcPr>
          <w:p w14:paraId="6F827785" w14:textId="1E7D9114" w:rsidR="002E75ED" w:rsidRPr="00A27929" w:rsidRDefault="002E75ED" w:rsidP="00DE64DA">
            <w:pPr>
              <w:pStyle w:val="TableParagraph"/>
              <w:spacing w:before="10" w:line="240" w:lineRule="auto"/>
              <w:rPr>
                <w:sz w:val="18"/>
                <w:szCs w:val="18"/>
              </w:rPr>
            </w:pPr>
            <w:r>
              <w:rPr>
                <w:sz w:val="18"/>
                <w:szCs w:val="18"/>
              </w:rPr>
              <w:t>0.99 (0.27)</w:t>
            </w:r>
          </w:p>
        </w:tc>
        <w:tc>
          <w:tcPr>
            <w:tcW w:w="688" w:type="pct"/>
            <w:tcBorders>
              <w:left w:val="nil"/>
              <w:right w:val="nil"/>
            </w:tcBorders>
            <w:shd w:val="clear" w:color="auto" w:fill="ECECEC"/>
            <w:vAlign w:val="bottom"/>
          </w:tcPr>
          <w:p w14:paraId="7D40787A" w14:textId="22F0EF93" w:rsidR="002E75ED" w:rsidRPr="00A27929" w:rsidRDefault="002E75ED" w:rsidP="00DE64DA">
            <w:pPr>
              <w:pStyle w:val="TableParagraph"/>
              <w:spacing w:line="240" w:lineRule="auto"/>
              <w:rPr>
                <w:sz w:val="18"/>
                <w:szCs w:val="18"/>
              </w:rPr>
            </w:pPr>
            <w:r>
              <w:rPr>
                <w:sz w:val="18"/>
              </w:rPr>
              <w:t>1</w:t>
            </w:r>
          </w:p>
        </w:tc>
      </w:tr>
      <w:tr w:rsidR="002E75ED" w14:paraId="416C6BE7" w14:textId="77777777" w:rsidTr="00BB21F9">
        <w:trPr>
          <w:trHeight w:val="278"/>
        </w:trPr>
        <w:tc>
          <w:tcPr>
            <w:tcW w:w="1599" w:type="pct"/>
            <w:tcBorders>
              <w:bottom w:val="dashSmallGap" w:sz="6" w:space="0" w:color="D8D8D8"/>
              <w:right w:val="nil"/>
            </w:tcBorders>
            <w:shd w:val="clear" w:color="auto" w:fill="ECECEC"/>
          </w:tcPr>
          <w:p w14:paraId="7D14B81B" w14:textId="77777777" w:rsidR="002E75ED" w:rsidRDefault="002E75ED" w:rsidP="002E75ED">
            <w:pPr>
              <w:pStyle w:val="TableParagraph"/>
              <w:spacing w:before="29" w:line="240" w:lineRule="auto"/>
              <w:ind w:left="150"/>
              <w:jc w:val="left"/>
              <w:rPr>
                <w:sz w:val="18"/>
              </w:rPr>
            </w:pPr>
            <w:r>
              <w:rPr>
                <w:sz w:val="18"/>
              </w:rPr>
              <w:t>-</w:t>
            </w:r>
            <w:r>
              <w:rPr>
                <w:spacing w:val="-3"/>
                <w:sz w:val="18"/>
              </w:rPr>
              <w:t xml:space="preserve"> </w:t>
            </w:r>
            <w:r>
              <w:rPr>
                <w:sz w:val="18"/>
              </w:rPr>
              <w:t>median</w:t>
            </w:r>
            <w:r>
              <w:rPr>
                <w:spacing w:val="-2"/>
                <w:sz w:val="18"/>
              </w:rPr>
              <w:t xml:space="preserve"> </w:t>
            </w:r>
            <w:r>
              <w:rPr>
                <w:sz w:val="18"/>
              </w:rPr>
              <w:t>(95%</w:t>
            </w:r>
            <w:r>
              <w:rPr>
                <w:spacing w:val="-1"/>
                <w:sz w:val="18"/>
              </w:rPr>
              <w:t xml:space="preserve"> </w:t>
            </w:r>
            <w:r>
              <w:rPr>
                <w:sz w:val="18"/>
              </w:rPr>
              <w:t>CrI)</w:t>
            </w:r>
          </w:p>
        </w:tc>
        <w:tc>
          <w:tcPr>
            <w:tcW w:w="936" w:type="pct"/>
            <w:tcBorders>
              <w:left w:val="nil"/>
              <w:bottom w:val="dashSmallGap" w:sz="6" w:space="0" w:color="D8D8D8"/>
              <w:right w:val="nil"/>
            </w:tcBorders>
            <w:shd w:val="clear" w:color="auto" w:fill="ECECEC"/>
            <w:vAlign w:val="center"/>
          </w:tcPr>
          <w:p w14:paraId="1EE7D64D" w14:textId="5233698E" w:rsidR="002E75ED" w:rsidRPr="00A27929" w:rsidRDefault="002E75ED" w:rsidP="00DE64DA">
            <w:pPr>
              <w:pStyle w:val="TableParagraph"/>
              <w:spacing w:before="29" w:line="240" w:lineRule="auto"/>
              <w:rPr>
                <w:sz w:val="18"/>
                <w:szCs w:val="18"/>
              </w:rPr>
            </w:pPr>
            <w:r>
              <w:rPr>
                <w:sz w:val="18"/>
                <w:szCs w:val="18"/>
              </w:rPr>
              <w:t>1.29 (0.85 to 1.95)</w:t>
            </w:r>
          </w:p>
        </w:tc>
        <w:tc>
          <w:tcPr>
            <w:tcW w:w="1038" w:type="pct"/>
            <w:tcBorders>
              <w:left w:val="nil"/>
              <w:bottom w:val="dashSmallGap" w:sz="6" w:space="0" w:color="D8D8D8"/>
              <w:right w:val="nil"/>
            </w:tcBorders>
            <w:shd w:val="clear" w:color="auto" w:fill="ECECEC"/>
            <w:vAlign w:val="center"/>
          </w:tcPr>
          <w:p w14:paraId="3F15106E" w14:textId="19655CC2" w:rsidR="002E75ED" w:rsidRPr="00A27929" w:rsidRDefault="002E75ED" w:rsidP="00DE64DA">
            <w:pPr>
              <w:pStyle w:val="TableParagraph"/>
              <w:spacing w:before="29" w:line="240" w:lineRule="auto"/>
              <w:rPr>
                <w:sz w:val="18"/>
                <w:szCs w:val="18"/>
              </w:rPr>
            </w:pPr>
            <w:r>
              <w:rPr>
                <w:sz w:val="18"/>
                <w:szCs w:val="18"/>
              </w:rPr>
              <w:t>1.34 (0.81 to 2.20)</w:t>
            </w:r>
          </w:p>
        </w:tc>
        <w:tc>
          <w:tcPr>
            <w:tcW w:w="739" w:type="pct"/>
            <w:tcBorders>
              <w:left w:val="nil"/>
              <w:bottom w:val="dashSmallGap" w:sz="6" w:space="0" w:color="D8D8D8"/>
              <w:right w:val="nil"/>
            </w:tcBorders>
            <w:shd w:val="clear" w:color="auto" w:fill="ECECEC"/>
            <w:vAlign w:val="center"/>
          </w:tcPr>
          <w:p w14:paraId="2624183D" w14:textId="60A42EBB" w:rsidR="002E75ED" w:rsidRPr="00A27929" w:rsidRDefault="002E75ED" w:rsidP="00DE64DA">
            <w:pPr>
              <w:pStyle w:val="TableParagraph"/>
              <w:spacing w:before="29" w:line="240" w:lineRule="auto"/>
              <w:rPr>
                <w:sz w:val="18"/>
                <w:szCs w:val="18"/>
              </w:rPr>
            </w:pPr>
            <w:r>
              <w:rPr>
                <w:sz w:val="18"/>
                <w:szCs w:val="18"/>
              </w:rPr>
              <w:t>0.95 (0.57 to 1.62)</w:t>
            </w:r>
          </w:p>
        </w:tc>
        <w:tc>
          <w:tcPr>
            <w:tcW w:w="688" w:type="pct"/>
            <w:tcBorders>
              <w:left w:val="nil"/>
              <w:bottom w:val="dashSmallGap" w:sz="6" w:space="0" w:color="D8D8D8"/>
              <w:right w:val="nil"/>
            </w:tcBorders>
            <w:shd w:val="clear" w:color="auto" w:fill="ECECEC"/>
            <w:vAlign w:val="center"/>
          </w:tcPr>
          <w:p w14:paraId="51C2B28D" w14:textId="1023960C" w:rsidR="002E75ED" w:rsidRPr="00A27929" w:rsidRDefault="002E75ED" w:rsidP="00DE64DA">
            <w:pPr>
              <w:pStyle w:val="TableParagraph"/>
              <w:spacing w:before="29" w:line="240" w:lineRule="auto"/>
              <w:rPr>
                <w:sz w:val="18"/>
                <w:szCs w:val="18"/>
              </w:rPr>
            </w:pPr>
            <w:r>
              <w:rPr>
                <w:sz w:val="18"/>
              </w:rPr>
              <w:t>1</w:t>
            </w:r>
          </w:p>
        </w:tc>
      </w:tr>
      <w:tr w:rsidR="002E75ED" w14:paraId="1D634C2E" w14:textId="77777777" w:rsidTr="00BB21F9">
        <w:trPr>
          <w:trHeight w:val="275"/>
        </w:trPr>
        <w:tc>
          <w:tcPr>
            <w:tcW w:w="1599" w:type="pct"/>
            <w:tcBorders>
              <w:top w:val="dashSmallGap" w:sz="6" w:space="0" w:color="D8D8D8"/>
              <w:bottom w:val="dashSmallGap" w:sz="6" w:space="0" w:color="D8D8D8"/>
              <w:right w:val="nil"/>
            </w:tcBorders>
            <w:shd w:val="clear" w:color="auto" w:fill="ECECEC"/>
          </w:tcPr>
          <w:p w14:paraId="77746045" w14:textId="77777777" w:rsidR="002E75ED" w:rsidRDefault="002E75ED" w:rsidP="002E75ED">
            <w:pPr>
              <w:pStyle w:val="TableParagraph"/>
              <w:spacing w:before="26" w:line="240" w:lineRule="auto"/>
              <w:ind w:left="110"/>
              <w:jc w:val="left"/>
              <w:rPr>
                <w:sz w:val="18"/>
              </w:rPr>
            </w:pPr>
            <w:r>
              <w:rPr>
                <w:sz w:val="18"/>
              </w:rPr>
              <w:t>Probability</w:t>
            </w:r>
            <w:r>
              <w:rPr>
                <w:spacing w:val="-6"/>
                <w:sz w:val="18"/>
              </w:rPr>
              <w:t xml:space="preserve"> </w:t>
            </w:r>
            <w:r>
              <w:rPr>
                <w:sz w:val="18"/>
              </w:rPr>
              <w:t>of</w:t>
            </w:r>
            <w:r>
              <w:rPr>
                <w:spacing w:val="-3"/>
                <w:sz w:val="18"/>
              </w:rPr>
              <w:t xml:space="preserve"> </w:t>
            </w:r>
            <w:r>
              <w:rPr>
                <w:sz w:val="18"/>
              </w:rPr>
              <w:t>superiority</w:t>
            </w:r>
            <w:r>
              <w:rPr>
                <w:spacing w:val="-5"/>
                <w:sz w:val="18"/>
              </w:rPr>
              <w:t xml:space="preserve"> </w:t>
            </w:r>
            <w:r>
              <w:rPr>
                <w:sz w:val="18"/>
              </w:rPr>
              <w:t>to</w:t>
            </w:r>
            <w:r>
              <w:rPr>
                <w:spacing w:val="-2"/>
                <w:sz w:val="18"/>
              </w:rPr>
              <w:t xml:space="preserve"> </w:t>
            </w:r>
            <w:r>
              <w:rPr>
                <w:sz w:val="18"/>
              </w:rPr>
              <w:t>control,</w:t>
            </w:r>
            <w:r>
              <w:rPr>
                <w:spacing w:val="-3"/>
                <w:sz w:val="18"/>
              </w:rPr>
              <w:t xml:space="preserve"> </w:t>
            </w:r>
            <w:r>
              <w:rPr>
                <w:sz w:val="18"/>
              </w:rPr>
              <w:t>%</w:t>
            </w:r>
          </w:p>
        </w:tc>
        <w:tc>
          <w:tcPr>
            <w:tcW w:w="936" w:type="pct"/>
            <w:tcBorders>
              <w:top w:val="dashSmallGap" w:sz="6" w:space="0" w:color="D8D8D8"/>
              <w:left w:val="nil"/>
              <w:bottom w:val="dashSmallGap" w:sz="6" w:space="0" w:color="D8D8D8"/>
              <w:right w:val="nil"/>
            </w:tcBorders>
            <w:shd w:val="clear" w:color="auto" w:fill="ECECEC"/>
            <w:vAlign w:val="center"/>
          </w:tcPr>
          <w:p w14:paraId="469E31B9" w14:textId="72D92027" w:rsidR="002E75ED" w:rsidRPr="00A27929" w:rsidRDefault="002E75ED" w:rsidP="00DE64DA">
            <w:pPr>
              <w:pStyle w:val="TableParagraph"/>
              <w:spacing w:before="26" w:line="240" w:lineRule="auto"/>
              <w:rPr>
                <w:sz w:val="18"/>
                <w:szCs w:val="18"/>
              </w:rPr>
            </w:pPr>
            <w:r>
              <w:rPr>
                <w:sz w:val="18"/>
                <w:szCs w:val="18"/>
              </w:rPr>
              <w:t>87.6</w:t>
            </w:r>
          </w:p>
        </w:tc>
        <w:tc>
          <w:tcPr>
            <w:tcW w:w="1038" w:type="pct"/>
            <w:tcBorders>
              <w:top w:val="dashSmallGap" w:sz="6" w:space="0" w:color="D8D8D8"/>
              <w:left w:val="nil"/>
              <w:bottom w:val="dashSmallGap" w:sz="6" w:space="0" w:color="D8D8D8"/>
              <w:right w:val="nil"/>
            </w:tcBorders>
            <w:shd w:val="clear" w:color="auto" w:fill="ECECEC"/>
            <w:vAlign w:val="center"/>
          </w:tcPr>
          <w:p w14:paraId="3DE66D62" w14:textId="0EB35CA6" w:rsidR="002E75ED" w:rsidRPr="00A27929" w:rsidRDefault="002E75ED" w:rsidP="00DE64DA">
            <w:pPr>
              <w:pStyle w:val="TableParagraph"/>
              <w:spacing w:before="26" w:line="240" w:lineRule="auto"/>
              <w:rPr>
                <w:sz w:val="18"/>
                <w:szCs w:val="18"/>
              </w:rPr>
            </w:pPr>
            <w:r>
              <w:rPr>
                <w:sz w:val="18"/>
                <w:szCs w:val="18"/>
              </w:rPr>
              <w:t>87.1</w:t>
            </w:r>
          </w:p>
        </w:tc>
        <w:tc>
          <w:tcPr>
            <w:tcW w:w="739" w:type="pct"/>
            <w:tcBorders>
              <w:top w:val="dashSmallGap" w:sz="6" w:space="0" w:color="D8D8D8"/>
              <w:left w:val="nil"/>
              <w:bottom w:val="dashSmallGap" w:sz="6" w:space="0" w:color="D8D8D8"/>
              <w:right w:val="nil"/>
            </w:tcBorders>
            <w:shd w:val="clear" w:color="auto" w:fill="ECECEC"/>
            <w:vAlign w:val="center"/>
          </w:tcPr>
          <w:p w14:paraId="4BFF2703" w14:textId="11F6161D" w:rsidR="002E75ED" w:rsidRPr="00A27929" w:rsidRDefault="002E75ED" w:rsidP="00DE64DA">
            <w:pPr>
              <w:pStyle w:val="TableParagraph"/>
              <w:spacing w:before="26" w:line="240" w:lineRule="auto"/>
              <w:rPr>
                <w:sz w:val="18"/>
                <w:szCs w:val="18"/>
              </w:rPr>
            </w:pPr>
            <w:r>
              <w:rPr>
                <w:sz w:val="18"/>
                <w:szCs w:val="18"/>
              </w:rPr>
              <w:t>43.3</w:t>
            </w:r>
          </w:p>
        </w:tc>
        <w:tc>
          <w:tcPr>
            <w:tcW w:w="688" w:type="pct"/>
            <w:tcBorders>
              <w:top w:val="dashSmallGap" w:sz="6" w:space="0" w:color="D8D8D8"/>
              <w:left w:val="nil"/>
              <w:bottom w:val="dashSmallGap" w:sz="6" w:space="0" w:color="D8D8D8"/>
              <w:right w:val="nil"/>
            </w:tcBorders>
            <w:shd w:val="clear" w:color="auto" w:fill="ECECEC"/>
            <w:vAlign w:val="center"/>
          </w:tcPr>
          <w:p w14:paraId="168872D6" w14:textId="40401450" w:rsidR="002E75ED" w:rsidRPr="00A27929" w:rsidRDefault="002E75ED" w:rsidP="00DE64DA">
            <w:pPr>
              <w:pStyle w:val="TableParagraph"/>
              <w:spacing w:before="26" w:line="240" w:lineRule="auto"/>
              <w:rPr>
                <w:sz w:val="18"/>
                <w:szCs w:val="18"/>
              </w:rPr>
            </w:pPr>
            <w:r>
              <w:rPr>
                <w:sz w:val="18"/>
              </w:rPr>
              <w:t>-</w:t>
            </w:r>
          </w:p>
        </w:tc>
      </w:tr>
      <w:tr w:rsidR="002E75ED" w14:paraId="2AF01E50" w14:textId="77777777" w:rsidTr="00BB21F9">
        <w:trPr>
          <w:trHeight w:val="525"/>
        </w:trPr>
        <w:tc>
          <w:tcPr>
            <w:tcW w:w="1599" w:type="pct"/>
            <w:tcBorders>
              <w:top w:val="dashSmallGap" w:sz="6" w:space="0" w:color="D8D8D8"/>
              <w:bottom w:val="dashSmallGap" w:sz="6" w:space="0" w:color="D8D8D8"/>
              <w:right w:val="nil"/>
            </w:tcBorders>
            <w:shd w:val="clear" w:color="auto" w:fill="ECECEC"/>
          </w:tcPr>
          <w:p w14:paraId="056E3577" w14:textId="77777777" w:rsidR="002E75ED" w:rsidRDefault="002E75ED" w:rsidP="002E75ED">
            <w:pPr>
              <w:pStyle w:val="TableParagraph"/>
              <w:spacing w:before="26" w:line="240" w:lineRule="auto"/>
              <w:ind w:left="110"/>
              <w:jc w:val="left"/>
              <w:rPr>
                <w:b/>
                <w:sz w:val="18"/>
              </w:rPr>
            </w:pPr>
            <w:r>
              <w:rPr>
                <w:b/>
                <w:sz w:val="18"/>
              </w:rPr>
              <w:lastRenderedPageBreak/>
              <w:t>CRP</w:t>
            </w:r>
            <w:r>
              <w:rPr>
                <w:b/>
                <w:spacing w:val="-4"/>
                <w:sz w:val="18"/>
              </w:rPr>
              <w:t xml:space="preserve"> </w:t>
            </w:r>
            <w:r>
              <w:rPr>
                <w:b/>
                <w:sz w:val="18"/>
              </w:rPr>
              <w:t>highest</w:t>
            </w:r>
            <w:r>
              <w:rPr>
                <w:b/>
                <w:spacing w:val="-1"/>
                <w:sz w:val="18"/>
              </w:rPr>
              <w:t xml:space="preserve"> </w:t>
            </w:r>
            <w:r>
              <w:rPr>
                <w:b/>
                <w:sz w:val="18"/>
              </w:rPr>
              <w:t>tercile</w:t>
            </w:r>
          </w:p>
          <w:p w14:paraId="7005C4E8" w14:textId="77777777" w:rsidR="002E75ED" w:rsidRDefault="002E75ED" w:rsidP="002E75ED">
            <w:pPr>
              <w:pStyle w:val="TableParagraph"/>
              <w:spacing w:before="30" w:line="240" w:lineRule="auto"/>
              <w:ind w:left="110"/>
              <w:jc w:val="left"/>
              <w:rPr>
                <w:sz w:val="18"/>
              </w:rPr>
            </w:pPr>
            <w:r>
              <w:rPr>
                <w:sz w:val="18"/>
              </w:rPr>
              <w:t>Adjusted</w:t>
            </w:r>
            <w:r>
              <w:rPr>
                <w:spacing w:val="-3"/>
                <w:sz w:val="18"/>
              </w:rPr>
              <w:t xml:space="preserve"> </w:t>
            </w:r>
            <w:r>
              <w:rPr>
                <w:sz w:val="18"/>
              </w:rPr>
              <w:t>OR</w:t>
            </w:r>
            <w:r>
              <w:rPr>
                <w:spacing w:val="2"/>
                <w:sz w:val="18"/>
              </w:rPr>
              <w:t xml:space="preserve"> </w:t>
            </w:r>
            <w:r>
              <w:rPr>
                <w:sz w:val="18"/>
              </w:rPr>
              <w:t>-</w:t>
            </w:r>
            <w:r>
              <w:rPr>
                <w:spacing w:val="-2"/>
                <w:sz w:val="18"/>
              </w:rPr>
              <w:t xml:space="preserve"> </w:t>
            </w:r>
            <w:r>
              <w:rPr>
                <w:sz w:val="18"/>
              </w:rPr>
              <w:t>mean</w:t>
            </w:r>
            <w:r>
              <w:rPr>
                <w:spacing w:val="-3"/>
                <w:sz w:val="18"/>
              </w:rPr>
              <w:t xml:space="preserve"> </w:t>
            </w:r>
            <w:r>
              <w:rPr>
                <w:sz w:val="18"/>
              </w:rPr>
              <w:t>(SD)</w:t>
            </w:r>
          </w:p>
        </w:tc>
        <w:tc>
          <w:tcPr>
            <w:tcW w:w="936" w:type="pct"/>
            <w:tcBorders>
              <w:top w:val="dashSmallGap" w:sz="6" w:space="0" w:color="D8D8D8"/>
              <w:left w:val="nil"/>
              <w:bottom w:val="dashSmallGap" w:sz="6" w:space="0" w:color="D8D8D8"/>
              <w:right w:val="nil"/>
            </w:tcBorders>
            <w:shd w:val="clear" w:color="auto" w:fill="ECECEC"/>
            <w:vAlign w:val="bottom"/>
          </w:tcPr>
          <w:p w14:paraId="05BB1423" w14:textId="2A004C53" w:rsidR="002E75ED" w:rsidRDefault="002E75ED" w:rsidP="00DE64DA">
            <w:pPr>
              <w:pStyle w:val="TableParagraph"/>
              <w:spacing w:line="240" w:lineRule="auto"/>
              <w:rPr>
                <w:sz w:val="18"/>
              </w:rPr>
            </w:pPr>
            <w:r>
              <w:rPr>
                <w:sz w:val="18"/>
              </w:rPr>
              <w:t>1.80 (0.38)</w:t>
            </w:r>
          </w:p>
        </w:tc>
        <w:tc>
          <w:tcPr>
            <w:tcW w:w="1038" w:type="pct"/>
            <w:tcBorders>
              <w:top w:val="dashSmallGap" w:sz="6" w:space="0" w:color="D8D8D8"/>
              <w:left w:val="nil"/>
              <w:bottom w:val="dashSmallGap" w:sz="6" w:space="0" w:color="D8D8D8"/>
              <w:right w:val="nil"/>
            </w:tcBorders>
            <w:shd w:val="clear" w:color="auto" w:fill="ECECEC"/>
            <w:vAlign w:val="bottom"/>
          </w:tcPr>
          <w:p w14:paraId="26ACCAA3" w14:textId="687CD6EE" w:rsidR="002E75ED" w:rsidRDefault="002E75ED" w:rsidP="00DE64DA">
            <w:pPr>
              <w:pStyle w:val="TableParagraph"/>
              <w:spacing w:before="7" w:line="240" w:lineRule="auto"/>
            </w:pPr>
            <w:r>
              <w:rPr>
                <w:sz w:val="18"/>
              </w:rPr>
              <w:t>1.86 (0.47)</w:t>
            </w:r>
          </w:p>
        </w:tc>
        <w:tc>
          <w:tcPr>
            <w:tcW w:w="739" w:type="pct"/>
            <w:tcBorders>
              <w:top w:val="dashSmallGap" w:sz="6" w:space="0" w:color="D8D8D8"/>
              <w:left w:val="nil"/>
              <w:bottom w:val="dashSmallGap" w:sz="6" w:space="0" w:color="D8D8D8"/>
              <w:right w:val="nil"/>
            </w:tcBorders>
            <w:shd w:val="clear" w:color="auto" w:fill="ECECEC"/>
            <w:vAlign w:val="bottom"/>
          </w:tcPr>
          <w:p w14:paraId="1F644FA6" w14:textId="184E4CF1" w:rsidR="002E75ED" w:rsidRDefault="002E75ED" w:rsidP="00DE64DA">
            <w:pPr>
              <w:pStyle w:val="TableParagraph"/>
              <w:spacing w:before="7" w:line="240" w:lineRule="auto"/>
            </w:pPr>
            <w:r>
              <w:rPr>
                <w:sz w:val="18"/>
              </w:rPr>
              <w:t>1.23 (0.35)</w:t>
            </w:r>
          </w:p>
        </w:tc>
        <w:tc>
          <w:tcPr>
            <w:tcW w:w="688" w:type="pct"/>
            <w:tcBorders>
              <w:top w:val="dashSmallGap" w:sz="6" w:space="0" w:color="D8D8D8"/>
              <w:left w:val="nil"/>
              <w:bottom w:val="dashSmallGap" w:sz="6" w:space="0" w:color="D8D8D8"/>
              <w:right w:val="nil"/>
            </w:tcBorders>
            <w:shd w:val="clear" w:color="auto" w:fill="ECECEC"/>
            <w:vAlign w:val="bottom"/>
          </w:tcPr>
          <w:p w14:paraId="3108B4B5" w14:textId="7558259D" w:rsidR="002E75ED" w:rsidRDefault="002E75ED" w:rsidP="00DE64DA">
            <w:pPr>
              <w:pStyle w:val="TableParagraph"/>
              <w:spacing w:line="240" w:lineRule="auto"/>
              <w:rPr>
                <w:sz w:val="18"/>
              </w:rPr>
            </w:pPr>
            <w:r>
              <w:rPr>
                <w:sz w:val="18"/>
              </w:rPr>
              <w:t>1</w:t>
            </w:r>
          </w:p>
        </w:tc>
      </w:tr>
      <w:tr w:rsidR="002E75ED" w14:paraId="493B0AE2" w14:textId="77777777" w:rsidTr="00BB21F9">
        <w:trPr>
          <w:trHeight w:val="274"/>
        </w:trPr>
        <w:tc>
          <w:tcPr>
            <w:tcW w:w="1599" w:type="pct"/>
            <w:tcBorders>
              <w:top w:val="dashSmallGap" w:sz="6" w:space="0" w:color="D8D8D8"/>
              <w:bottom w:val="dashSmallGap" w:sz="6" w:space="0" w:color="D8D8D8"/>
              <w:right w:val="nil"/>
            </w:tcBorders>
            <w:shd w:val="clear" w:color="auto" w:fill="ECECEC"/>
          </w:tcPr>
          <w:p w14:paraId="58C7AD8A" w14:textId="77777777" w:rsidR="002E75ED" w:rsidRDefault="002E75ED" w:rsidP="002E75ED">
            <w:pPr>
              <w:pStyle w:val="TableParagraph"/>
              <w:spacing w:before="26" w:line="240" w:lineRule="auto"/>
              <w:ind w:left="150"/>
              <w:jc w:val="left"/>
              <w:rPr>
                <w:sz w:val="18"/>
              </w:rPr>
            </w:pPr>
            <w:r>
              <w:rPr>
                <w:sz w:val="18"/>
              </w:rPr>
              <w:t>-</w:t>
            </w:r>
            <w:r>
              <w:rPr>
                <w:spacing w:val="-3"/>
                <w:sz w:val="18"/>
              </w:rPr>
              <w:t xml:space="preserve"> </w:t>
            </w:r>
            <w:r>
              <w:rPr>
                <w:sz w:val="18"/>
              </w:rPr>
              <w:t>median</w:t>
            </w:r>
            <w:r>
              <w:rPr>
                <w:spacing w:val="-2"/>
                <w:sz w:val="18"/>
              </w:rPr>
              <w:t xml:space="preserve"> </w:t>
            </w:r>
            <w:r>
              <w:rPr>
                <w:sz w:val="18"/>
              </w:rPr>
              <w:t>(95%</w:t>
            </w:r>
            <w:r>
              <w:rPr>
                <w:spacing w:val="-1"/>
                <w:sz w:val="18"/>
              </w:rPr>
              <w:t xml:space="preserve"> </w:t>
            </w:r>
            <w:r>
              <w:rPr>
                <w:sz w:val="18"/>
              </w:rPr>
              <w:t>CrI)</w:t>
            </w:r>
          </w:p>
        </w:tc>
        <w:tc>
          <w:tcPr>
            <w:tcW w:w="936" w:type="pct"/>
            <w:tcBorders>
              <w:top w:val="dashSmallGap" w:sz="6" w:space="0" w:color="D8D8D8"/>
              <w:left w:val="nil"/>
              <w:bottom w:val="dashSmallGap" w:sz="6" w:space="0" w:color="D8D8D8"/>
              <w:right w:val="nil"/>
            </w:tcBorders>
            <w:shd w:val="clear" w:color="auto" w:fill="ECECEC"/>
            <w:vAlign w:val="center"/>
          </w:tcPr>
          <w:p w14:paraId="7F597619" w14:textId="55BB30CE" w:rsidR="002E75ED" w:rsidRDefault="002E75ED" w:rsidP="00DE64DA">
            <w:pPr>
              <w:pStyle w:val="TableParagraph"/>
              <w:spacing w:before="26" w:line="240" w:lineRule="auto"/>
              <w:rPr>
                <w:sz w:val="18"/>
              </w:rPr>
            </w:pPr>
            <w:r>
              <w:rPr>
                <w:sz w:val="18"/>
              </w:rPr>
              <w:t>1.76 (1.18 to 1.95)</w:t>
            </w:r>
          </w:p>
        </w:tc>
        <w:tc>
          <w:tcPr>
            <w:tcW w:w="1038" w:type="pct"/>
            <w:tcBorders>
              <w:top w:val="dashSmallGap" w:sz="6" w:space="0" w:color="D8D8D8"/>
              <w:left w:val="nil"/>
              <w:bottom w:val="dashSmallGap" w:sz="6" w:space="0" w:color="D8D8D8"/>
              <w:right w:val="nil"/>
            </w:tcBorders>
            <w:shd w:val="clear" w:color="auto" w:fill="ECECEC"/>
            <w:vAlign w:val="center"/>
          </w:tcPr>
          <w:p w14:paraId="26149DA9" w14:textId="094C2BE7" w:rsidR="002E75ED" w:rsidRDefault="002E75ED" w:rsidP="00DE64DA">
            <w:pPr>
              <w:pStyle w:val="TableParagraph"/>
              <w:spacing w:before="26" w:line="240" w:lineRule="auto"/>
              <w:rPr>
                <w:sz w:val="18"/>
              </w:rPr>
            </w:pPr>
            <w:r>
              <w:rPr>
                <w:sz w:val="18"/>
              </w:rPr>
              <w:t>1.80 (1.11 to 2.95)</w:t>
            </w:r>
          </w:p>
        </w:tc>
        <w:tc>
          <w:tcPr>
            <w:tcW w:w="739" w:type="pct"/>
            <w:tcBorders>
              <w:top w:val="dashSmallGap" w:sz="6" w:space="0" w:color="D8D8D8"/>
              <w:left w:val="nil"/>
              <w:bottom w:val="dashSmallGap" w:sz="6" w:space="0" w:color="D8D8D8"/>
              <w:right w:val="nil"/>
            </w:tcBorders>
            <w:shd w:val="clear" w:color="auto" w:fill="ECECEC"/>
            <w:vAlign w:val="center"/>
          </w:tcPr>
          <w:p w14:paraId="7FF12A8B" w14:textId="4A3CE0F5" w:rsidR="002E75ED" w:rsidRDefault="002E75ED" w:rsidP="00DE64DA">
            <w:pPr>
              <w:pStyle w:val="TableParagraph"/>
              <w:spacing w:before="26" w:line="240" w:lineRule="auto"/>
              <w:rPr>
                <w:sz w:val="18"/>
              </w:rPr>
            </w:pPr>
            <w:r>
              <w:rPr>
                <w:sz w:val="18"/>
              </w:rPr>
              <w:t>1.18 (0.68 to 2.06)</w:t>
            </w:r>
          </w:p>
        </w:tc>
        <w:tc>
          <w:tcPr>
            <w:tcW w:w="688" w:type="pct"/>
            <w:tcBorders>
              <w:top w:val="dashSmallGap" w:sz="6" w:space="0" w:color="D8D8D8"/>
              <w:left w:val="nil"/>
              <w:bottom w:val="dashSmallGap" w:sz="6" w:space="0" w:color="D8D8D8"/>
              <w:right w:val="nil"/>
            </w:tcBorders>
            <w:shd w:val="clear" w:color="auto" w:fill="ECECEC"/>
            <w:vAlign w:val="center"/>
          </w:tcPr>
          <w:p w14:paraId="61FA01A4" w14:textId="51A7EF18" w:rsidR="002E75ED" w:rsidRDefault="002E75ED" w:rsidP="00DE64DA">
            <w:pPr>
              <w:pStyle w:val="TableParagraph"/>
              <w:spacing w:before="26" w:line="240" w:lineRule="auto"/>
              <w:rPr>
                <w:sz w:val="18"/>
              </w:rPr>
            </w:pPr>
            <w:r>
              <w:rPr>
                <w:sz w:val="18"/>
              </w:rPr>
              <w:t>1</w:t>
            </w:r>
          </w:p>
        </w:tc>
      </w:tr>
      <w:tr w:rsidR="002E75ED" w14:paraId="35695C4A" w14:textId="77777777" w:rsidTr="00BB21F9">
        <w:trPr>
          <w:trHeight w:val="275"/>
        </w:trPr>
        <w:tc>
          <w:tcPr>
            <w:tcW w:w="1599" w:type="pct"/>
            <w:tcBorders>
              <w:top w:val="dashSmallGap" w:sz="6" w:space="0" w:color="D8D8D8"/>
              <w:bottom w:val="dashSmallGap" w:sz="6" w:space="0" w:color="D8D8D8"/>
              <w:right w:val="nil"/>
            </w:tcBorders>
            <w:shd w:val="clear" w:color="auto" w:fill="ECECEC"/>
          </w:tcPr>
          <w:p w14:paraId="791D4FE6" w14:textId="77777777" w:rsidR="002E75ED" w:rsidRDefault="002E75ED" w:rsidP="002E75ED">
            <w:pPr>
              <w:pStyle w:val="TableParagraph"/>
              <w:spacing w:before="26" w:line="240" w:lineRule="auto"/>
              <w:ind w:left="110"/>
              <w:jc w:val="left"/>
              <w:rPr>
                <w:sz w:val="18"/>
              </w:rPr>
            </w:pPr>
            <w:r>
              <w:rPr>
                <w:sz w:val="18"/>
              </w:rPr>
              <w:t>Probability</w:t>
            </w:r>
            <w:r>
              <w:rPr>
                <w:spacing w:val="-6"/>
                <w:sz w:val="18"/>
              </w:rPr>
              <w:t xml:space="preserve"> </w:t>
            </w:r>
            <w:r>
              <w:rPr>
                <w:sz w:val="18"/>
              </w:rPr>
              <w:t>of</w:t>
            </w:r>
            <w:r>
              <w:rPr>
                <w:spacing w:val="-3"/>
                <w:sz w:val="18"/>
              </w:rPr>
              <w:t xml:space="preserve"> </w:t>
            </w:r>
            <w:r>
              <w:rPr>
                <w:sz w:val="18"/>
              </w:rPr>
              <w:t>superiority</w:t>
            </w:r>
            <w:r>
              <w:rPr>
                <w:spacing w:val="-5"/>
                <w:sz w:val="18"/>
              </w:rPr>
              <w:t xml:space="preserve"> </w:t>
            </w:r>
            <w:r>
              <w:rPr>
                <w:sz w:val="18"/>
              </w:rPr>
              <w:t>to</w:t>
            </w:r>
            <w:r>
              <w:rPr>
                <w:spacing w:val="-4"/>
                <w:sz w:val="18"/>
              </w:rPr>
              <w:t xml:space="preserve"> </w:t>
            </w:r>
            <w:r>
              <w:rPr>
                <w:sz w:val="18"/>
              </w:rPr>
              <w:t>control,</w:t>
            </w:r>
            <w:r>
              <w:rPr>
                <w:spacing w:val="-3"/>
                <w:sz w:val="18"/>
              </w:rPr>
              <w:t xml:space="preserve"> </w:t>
            </w:r>
            <w:r>
              <w:rPr>
                <w:sz w:val="18"/>
              </w:rPr>
              <w:t>%</w:t>
            </w:r>
          </w:p>
        </w:tc>
        <w:tc>
          <w:tcPr>
            <w:tcW w:w="936" w:type="pct"/>
            <w:tcBorders>
              <w:top w:val="dashSmallGap" w:sz="6" w:space="0" w:color="D8D8D8"/>
              <w:left w:val="nil"/>
              <w:bottom w:val="dashSmallGap" w:sz="6" w:space="0" w:color="D8D8D8"/>
              <w:right w:val="nil"/>
            </w:tcBorders>
            <w:shd w:val="clear" w:color="auto" w:fill="ECECEC"/>
            <w:vAlign w:val="center"/>
          </w:tcPr>
          <w:p w14:paraId="748F158D" w14:textId="34D9A7B3" w:rsidR="002E75ED" w:rsidRDefault="002E75ED" w:rsidP="00DE64DA">
            <w:pPr>
              <w:pStyle w:val="TableParagraph"/>
              <w:spacing w:before="26" w:line="240" w:lineRule="auto"/>
              <w:rPr>
                <w:sz w:val="18"/>
              </w:rPr>
            </w:pPr>
            <w:r>
              <w:rPr>
                <w:sz w:val="18"/>
              </w:rPr>
              <w:t>99.7</w:t>
            </w:r>
          </w:p>
        </w:tc>
        <w:tc>
          <w:tcPr>
            <w:tcW w:w="1038" w:type="pct"/>
            <w:tcBorders>
              <w:top w:val="dashSmallGap" w:sz="6" w:space="0" w:color="D8D8D8"/>
              <w:left w:val="nil"/>
              <w:bottom w:val="dashSmallGap" w:sz="6" w:space="0" w:color="D8D8D8"/>
              <w:right w:val="nil"/>
            </w:tcBorders>
            <w:shd w:val="clear" w:color="auto" w:fill="ECECEC"/>
            <w:vAlign w:val="center"/>
          </w:tcPr>
          <w:p w14:paraId="303AAAC0" w14:textId="1D034BCE" w:rsidR="002E75ED" w:rsidRDefault="002E75ED" w:rsidP="00DE64DA">
            <w:pPr>
              <w:pStyle w:val="TableParagraph"/>
              <w:spacing w:before="26" w:line="240" w:lineRule="auto"/>
              <w:rPr>
                <w:sz w:val="18"/>
              </w:rPr>
            </w:pPr>
            <w:r>
              <w:rPr>
                <w:sz w:val="18"/>
              </w:rPr>
              <w:t>99.1</w:t>
            </w:r>
          </w:p>
        </w:tc>
        <w:tc>
          <w:tcPr>
            <w:tcW w:w="739" w:type="pct"/>
            <w:tcBorders>
              <w:top w:val="dashSmallGap" w:sz="6" w:space="0" w:color="D8D8D8"/>
              <w:left w:val="nil"/>
              <w:bottom w:val="dashSmallGap" w:sz="6" w:space="0" w:color="D8D8D8"/>
              <w:right w:val="nil"/>
            </w:tcBorders>
            <w:shd w:val="clear" w:color="auto" w:fill="ECECEC"/>
            <w:vAlign w:val="center"/>
          </w:tcPr>
          <w:p w14:paraId="55B54A36" w14:textId="227FE625" w:rsidR="002E75ED" w:rsidRDefault="002E75ED" w:rsidP="00DE64DA">
            <w:pPr>
              <w:pStyle w:val="TableParagraph"/>
              <w:spacing w:before="26" w:line="240" w:lineRule="auto"/>
              <w:rPr>
                <w:sz w:val="18"/>
              </w:rPr>
            </w:pPr>
            <w:r>
              <w:rPr>
                <w:sz w:val="18"/>
              </w:rPr>
              <w:t>72.8</w:t>
            </w:r>
          </w:p>
        </w:tc>
        <w:tc>
          <w:tcPr>
            <w:tcW w:w="688" w:type="pct"/>
            <w:tcBorders>
              <w:top w:val="dashSmallGap" w:sz="6" w:space="0" w:color="D8D8D8"/>
              <w:left w:val="nil"/>
              <w:bottom w:val="dashSmallGap" w:sz="6" w:space="0" w:color="D8D8D8"/>
              <w:right w:val="nil"/>
            </w:tcBorders>
            <w:shd w:val="clear" w:color="auto" w:fill="ECECEC"/>
            <w:vAlign w:val="center"/>
          </w:tcPr>
          <w:p w14:paraId="26ECD7E1" w14:textId="328C5DB0" w:rsidR="002E75ED" w:rsidRDefault="002E75ED" w:rsidP="00DE64DA">
            <w:pPr>
              <w:pStyle w:val="TableParagraph"/>
              <w:spacing w:before="26" w:line="240" w:lineRule="auto"/>
              <w:rPr>
                <w:sz w:val="18"/>
              </w:rPr>
            </w:pPr>
            <w:r>
              <w:rPr>
                <w:sz w:val="18"/>
              </w:rPr>
              <w:t>-</w:t>
            </w:r>
          </w:p>
        </w:tc>
      </w:tr>
    </w:tbl>
    <w:p w14:paraId="422F68FD" w14:textId="5B7706DA" w:rsidR="00A53FE9" w:rsidRPr="00A53FE9" w:rsidRDefault="00A53FE9" w:rsidP="00A53FE9">
      <w:pPr>
        <w:spacing w:line="360" w:lineRule="auto"/>
        <w:rPr>
          <w:rFonts w:asciiTheme="majorHAnsi" w:hAnsiTheme="majorHAnsi" w:cstheme="majorHAnsi"/>
          <w:color w:val="000000" w:themeColor="text1"/>
          <w:sz w:val="16"/>
          <w:szCs w:val="16"/>
          <w:lang w:val="en-US"/>
        </w:rPr>
      </w:pPr>
      <w:r w:rsidRPr="00A53FE9">
        <w:rPr>
          <w:rFonts w:asciiTheme="majorHAnsi" w:hAnsiTheme="majorHAnsi" w:cstheme="majorHAnsi"/>
          <w:color w:val="000000" w:themeColor="text1"/>
          <w:sz w:val="16"/>
          <w:szCs w:val="16"/>
          <w:lang w:val="en-US"/>
        </w:rPr>
        <w:t>subgroup analyses are performed by baseline C-reac</w:t>
      </w:r>
      <w:r>
        <w:rPr>
          <w:rFonts w:asciiTheme="majorHAnsi" w:hAnsiTheme="majorHAnsi" w:cstheme="majorHAnsi"/>
          <w:color w:val="000000" w:themeColor="text1"/>
          <w:sz w:val="16"/>
          <w:szCs w:val="16"/>
          <w:lang w:val="en-US"/>
        </w:rPr>
        <w:t>ti</w:t>
      </w:r>
      <w:r w:rsidRPr="00A53FE9">
        <w:rPr>
          <w:rFonts w:asciiTheme="majorHAnsi" w:hAnsiTheme="majorHAnsi" w:cstheme="majorHAnsi"/>
          <w:color w:val="000000" w:themeColor="text1"/>
          <w:sz w:val="16"/>
          <w:szCs w:val="16"/>
          <w:lang w:val="en-US"/>
        </w:rPr>
        <w:t>ve protein (CRP) subgroup. The CRP</w:t>
      </w:r>
      <w:r>
        <w:rPr>
          <w:rFonts w:asciiTheme="majorHAnsi" w:hAnsiTheme="majorHAnsi" w:cstheme="majorHAnsi"/>
          <w:color w:val="000000" w:themeColor="text1"/>
          <w:sz w:val="16"/>
          <w:szCs w:val="16"/>
          <w:lang w:val="en-US"/>
        </w:rPr>
        <w:t xml:space="preserve"> </w:t>
      </w:r>
      <w:r w:rsidRPr="00A53FE9">
        <w:rPr>
          <w:rFonts w:asciiTheme="majorHAnsi" w:hAnsiTheme="majorHAnsi" w:cstheme="majorHAnsi"/>
          <w:color w:val="000000" w:themeColor="text1"/>
          <w:sz w:val="16"/>
          <w:szCs w:val="16"/>
          <w:lang w:val="en-US"/>
        </w:rPr>
        <w:t>subgroups are defined based on terciles of CRP. Pa</w:t>
      </w:r>
      <w:r>
        <w:rPr>
          <w:rFonts w:asciiTheme="majorHAnsi" w:hAnsiTheme="majorHAnsi" w:cstheme="majorHAnsi"/>
          <w:color w:val="000000" w:themeColor="text1"/>
          <w:sz w:val="16"/>
          <w:szCs w:val="16"/>
          <w:lang w:val="en-US"/>
        </w:rPr>
        <w:t>ti</w:t>
      </w:r>
      <w:r w:rsidRPr="00A53FE9">
        <w:rPr>
          <w:rFonts w:asciiTheme="majorHAnsi" w:hAnsiTheme="majorHAnsi" w:cstheme="majorHAnsi"/>
          <w:color w:val="000000" w:themeColor="text1"/>
          <w:sz w:val="16"/>
          <w:szCs w:val="16"/>
          <w:lang w:val="en-US"/>
        </w:rPr>
        <w:t xml:space="preserve">ents with CRP lower than 85 </w:t>
      </w:r>
      <w:r w:rsidRPr="00A53FE9">
        <w:rPr>
          <w:rFonts w:ascii="Cambria Math" w:hAnsi="Cambria Math" w:cs="Cambria Math"/>
          <w:color w:val="000000" w:themeColor="text1"/>
          <w:sz w:val="16"/>
          <w:szCs w:val="16"/>
          <w:lang w:val="en-US"/>
        </w:rPr>
        <w:t>𝜇</w:t>
      </w:r>
      <w:r w:rsidRPr="00A53FE9">
        <w:rPr>
          <w:rFonts w:asciiTheme="majorHAnsi" w:hAnsiTheme="majorHAnsi" w:cstheme="majorHAnsi"/>
          <w:color w:val="000000" w:themeColor="text1"/>
          <w:sz w:val="16"/>
          <w:szCs w:val="16"/>
          <w:lang w:val="en-US"/>
        </w:rPr>
        <w:t>g/ml are included in the</w:t>
      </w:r>
      <w:r>
        <w:rPr>
          <w:rFonts w:asciiTheme="majorHAnsi" w:hAnsiTheme="majorHAnsi" w:cstheme="majorHAnsi"/>
          <w:color w:val="000000" w:themeColor="text1"/>
          <w:sz w:val="16"/>
          <w:szCs w:val="16"/>
          <w:lang w:val="en-US"/>
        </w:rPr>
        <w:t xml:space="preserve"> </w:t>
      </w:r>
      <w:r w:rsidRPr="00A53FE9">
        <w:rPr>
          <w:rFonts w:asciiTheme="majorHAnsi" w:hAnsiTheme="majorHAnsi" w:cstheme="majorHAnsi"/>
          <w:color w:val="000000" w:themeColor="text1"/>
          <w:sz w:val="16"/>
          <w:szCs w:val="16"/>
          <w:lang w:val="en-US"/>
        </w:rPr>
        <w:t>lowest CRP subgroup. Pa</w:t>
      </w:r>
      <w:r>
        <w:rPr>
          <w:rFonts w:asciiTheme="majorHAnsi" w:hAnsiTheme="majorHAnsi" w:cstheme="majorHAnsi"/>
          <w:color w:val="000000" w:themeColor="text1"/>
          <w:sz w:val="16"/>
          <w:szCs w:val="16"/>
          <w:lang w:val="en-US"/>
        </w:rPr>
        <w:t>ti</w:t>
      </w:r>
      <w:r w:rsidRPr="00A53FE9">
        <w:rPr>
          <w:rFonts w:asciiTheme="majorHAnsi" w:hAnsiTheme="majorHAnsi" w:cstheme="majorHAnsi"/>
          <w:color w:val="000000" w:themeColor="text1"/>
          <w:sz w:val="16"/>
          <w:szCs w:val="16"/>
          <w:lang w:val="en-US"/>
        </w:rPr>
        <w:t xml:space="preserve">ents with CRP greater/equal to 85 and less than 169 </w:t>
      </w:r>
      <w:r w:rsidRPr="00A53FE9">
        <w:rPr>
          <w:rFonts w:ascii="Cambria Math" w:hAnsi="Cambria Math" w:cs="Cambria Math"/>
          <w:color w:val="000000" w:themeColor="text1"/>
          <w:sz w:val="16"/>
          <w:szCs w:val="16"/>
          <w:lang w:val="en-US"/>
        </w:rPr>
        <w:t>𝜇</w:t>
      </w:r>
      <w:r w:rsidRPr="00A53FE9">
        <w:rPr>
          <w:rFonts w:asciiTheme="majorHAnsi" w:hAnsiTheme="majorHAnsi" w:cstheme="majorHAnsi"/>
          <w:color w:val="000000" w:themeColor="text1"/>
          <w:sz w:val="16"/>
          <w:szCs w:val="16"/>
          <w:lang w:val="en-US"/>
        </w:rPr>
        <w:t>g/ml are included in the</w:t>
      </w:r>
      <w:r>
        <w:rPr>
          <w:rFonts w:asciiTheme="majorHAnsi" w:hAnsiTheme="majorHAnsi" w:cstheme="majorHAnsi"/>
          <w:color w:val="000000" w:themeColor="text1"/>
          <w:sz w:val="16"/>
          <w:szCs w:val="16"/>
          <w:lang w:val="en-US"/>
        </w:rPr>
        <w:t xml:space="preserve"> </w:t>
      </w:r>
      <w:r w:rsidRPr="00A53FE9">
        <w:rPr>
          <w:rFonts w:asciiTheme="majorHAnsi" w:hAnsiTheme="majorHAnsi" w:cstheme="majorHAnsi"/>
          <w:color w:val="000000" w:themeColor="text1"/>
          <w:sz w:val="16"/>
          <w:szCs w:val="16"/>
          <w:lang w:val="en-US"/>
        </w:rPr>
        <w:t>middle CRP subgroup. Pa</w:t>
      </w:r>
      <w:r>
        <w:rPr>
          <w:rFonts w:asciiTheme="majorHAnsi" w:hAnsiTheme="majorHAnsi" w:cstheme="majorHAnsi"/>
          <w:color w:val="000000" w:themeColor="text1"/>
          <w:sz w:val="16"/>
          <w:szCs w:val="16"/>
          <w:lang w:val="en-US"/>
        </w:rPr>
        <w:t>ti</w:t>
      </w:r>
      <w:r w:rsidRPr="00A53FE9">
        <w:rPr>
          <w:rFonts w:asciiTheme="majorHAnsi" w:hAnsiTheme="majorHAnsi" w:cstheme="majorHAnsi"/>
          <w:color w:val="000000" w:themeColor="text1"/>
          <w:sz w:val="16"/>
          <w:szCs w:val="16"/>
          <w:lang w:val="en-US"/>
        </w:rPr>
        <w:t xml:space="preserve">ents with CRP greater or equal to 169 </w:t>
      </w:r>
      <w:r w:rsidRPr="00A53FE9">
        <w:rPr>
          <w:rFonts w:ascii="Cambria Math" w:hAnsi="Cambria Math" w:cs="Cambria Math"/>
          <w:color w:val="000000" w:themeColor="text1"/>
          <w:sz w:val="16"/>
          <w:szCs w:val="16"/>
          <w:lang w:val="en-US"/>
        </w:rPr>
        <w:t>𝜇</w:t>
      </w:r>
      <w:r w:rsidRPr="00A53FE9">
        <w:rPr>
          <w:rFonts w:asciiTheme="majorHAnsi" w:hAnsiTheme="majorHAnsi" w:cstheme="majorHAnsi"/>
          <w:color w:val="000000" w:themeColor="text1"/>
          <w:sz w:val="16"/>
          <w:szCs w:val="16"/>
          <w:lang w:val="en-US"/>
        </w:rPr>
        <w:t>g/ml are included in the highest CRP</w:t>
      </w:r>
    </w:p>
    <w:p w14:paraId="2CC7E614" w14:textId="00F070A0" w:rsidR="00A551E3" w:rsidRPr="00A53FE9" w:rsidRDefault="00A53FE9" w:rsidP="00A53FE9">
      <w:pPr>
        <w:spacing w:line="360" w:lineRule="auto"/>
        <w:rPr>
          <w:rFonts w:asciiTheme="majorHAnsi" w:hAnsiTheme="majorHAnsi" w:cstheme="majorHAnsi"/>
          <w:color w:val="000000" w:themeColor="text1"/>
          <w:sz w:val="16"/>
          <w:szCs w:val="16"/>
          <w:lang w:val="en-US"/>
        </w:rPr>
      </w:pPr>
      <w:r w:rsidRPr="00A53FE9">
        <w:rPr>
          <w:rFonts w:asciiTheme="majorHAnsi" w:hAnsiTheme="majorHAnsi" w:cstheme="majorHAnsi"/>
          <w:color w:val="000000" w:themeColor="text1"/>
          <w:sz w:val="16"/>
          <w:szCs w:val="16"/>
          <w:lang w:val="en-US"/>
        </w:rPr>
        <w:t>subgroup. Pa</w:t>
      </w:r>
      <w:r>
        <w:rPr>
          <w:rFonts w:asciiTheme="majorHAnsi" w:hAnsiTheme="majorHAnsi" w:cstheme="majorHAnsi"/>
          <w:color w:val="000000" w:themeColor="text1"/>
          <w:sz w:val="16"/>
          <w:szCs w:val="16"/>
          <w:lang w:val="en-US"/>
        </w:rPr>
        <w:t>ti</w:t>
      </w:r>
      <w:r w:rsidRPr="00A53FE9">
        <w:rPr>
          <w:rFonts w:asciiTheme="majorHAnsi" w:hAnsiTheme="majorHAnsi" w:cstheme="majorHAnsi"/>
          <w:color w:val="000000" w:themeColor="text1"/>
          <w:sz w:val="16"/>
          <w:szCs w:val="16"/>
          <w:lang w:val="en-US"/>
        </w:rPr>
        <w:t>ents with unknown CRP are included in a fourth “unknown” subgroup.</w:t>
      </w:r>
    </w:p>
    <w:p w14:paraId="27AC9DD6" w14:textId="6094E31A" w:rsidR="001E7156" w:rsidRPr="00A53FE9" w:rsidRDefault="00A551E3" w:rsidP="00A53FE9">
      <w:pPr>
        <w:pStyle w:val="Heading2"/>
        <w:rPr>
          <w:rFonts w:eastAsia="Times New Roman" w:cstheme="majorHAnsi"/>
          <w:color w:val="0070C0"/>
          <w:sz w:val="24"/>
          <w:szCs w:val="24"/>
          <w:lang w:val="en-US"/>
        </w:rPr>
      </w:pPr>
      <w:r>
        <w:rPr>
          <w:rFonts w:cstheme="majorHAnsi"/>
          <w:color w:val="0070C0"/>
          <w:sz w:val="22"/>
          <w:szCs w:val="22"/>
          <w:lang w:val="en-US"/>
        </w:rPr>
        <w:br w:type="page"/>
      </w:r>
      <w:bookmarkStart w:id="37" w:name="_Toc74659162"/>
      <w:r w:rsidR="001E7156" w:rsidRPr="00A53FE9">
        <w:rPr>
          <w:rFonts w:asciiTheme="minorHAnsi" w:eastAsiaTheme="minorHAnsi" w:hAnsiTheme="minorHAnsi" w:cstheme="majorHAnsi"/>
          <w:sz w:val="24"/>
          <w:szCs w:val="24"/>
          <w:lang w:val="en-US" w:eastAsia="en-US"/>
        </w:rPr>
        <w:lastRenderedPageBreak/>
        <w:t>Table S</w:t>
      </w:r>
      <w:r w:rsidR="00EA7C87">
        <w:rPr>
          <w:rFonts w:asciiTheme="minorHAnsi" w:eastAsiaTheme="minorHAnsi" w:hAnsiTheme="minorHAnsi" w:cstheme="majorHAnsi"/>
          <w:sz w:val="24"/>
          <w:szCs w:val="24"/>
          <w:lang w:val="en-US" w:eastAsia="en-US"/>
        </w:rPr>
        <w:t>7</w:t>
      </w:r>
      <w:r w:rsidR="001E7156" w:rsidRPr="00A53FE9">
        <w:rPr>
          <w:rFonts w:asciiTheme="minorHAnsi" w:eastAsiaTheme="minorHAnsi" w:hAnsiTheme="minorHAnsi" w:cstheme="majorHAnsi"/>
          <w:sz w:val="24"/>
          <w:szCs w:val="24"/>
          <w:lang w:val="en-US" w:eastAsia="en-US"/>
        </w:rPr>
        <w:t xml:space="preserve">. </w:t>
      </w:r>
      <w:r w:rsidR="002C4DB0" w:rsidRPr="00A53FE9">
        <w:rPr>
          <w:rFonts w:asciiTheme="minorHAnsi" w:eastAsiaTheme="minorHAnsi" w:hAnsiTheme="minorHAnsi" w:cstheme="majorHAnsi"/>
          <w:sz w:val="24"/>
          <w:szCs w:val="24"/>
          <w:lang w:val="en-US" w:eastAsia="en-US"/>
        </w:rPr>
        <w:t>Predefined subgroup analys</w:t>
      </w:r>
      <w:r w:rsidR="00586EDE" w:rsidRPr="00A53FE9">
        <w:rPr>
          <w:rFonts w:asciiTheme="minorHAnsi" w:eastAsiaTheme="minorHAnsi" w:hAnsiTheme="minorHAnsi" w:cstheme="majorHAnsi"/>
          <w:sz w:val="24"/>
          <w:szCs w:val="24"/>
          <w:lang w:val="en-US" w:eastAsia="en-US"/>
        </w:rPr>
        <w:t>i</w:t>
      </w:r>
      <w:r w:rsidR="002C4DB0" w:rsidRPr="00A53FE9">
        <w:rPr>
          <w:rFonts w:asciiTheme="minorHAnsi" w:eastAsiaTheme="minorHAnsi" w:hAnsiTheme="minorHAnsi" w:cstheme="majorHAnsi"/>
          <w:sz w:val="24"/>
          <w:szCs w:val="24"/>
          <w:lang w:val="en-US" w:eastAsia="en-US"/>
        </w:rPr>
        <w:t>s</w:t>
      </w:r>
      <w:r w:rsidR="001E7156" w:rsidRPr="00A53FE9">
        <w:rPr>
          <w:rFonts w:asciiTheme="minorHAnsi" w:eastAsiaTheme="minorHAnsi" w:hAnsiTheme="minorHAnsi" w:cstheme="majorHAnsi"/>
          <w:sz w:val="24"/>
          <w:szCs w:val="24"/>
          <w:lang w:val="en-US" w:eastAsia="en-US"/>
        </w:rPr>
        <w:t xml:space="preserve"> of the Primary Outcomes </w:t>
      </w:r>
      <w:r w:rsidR="00586EDE" w:rsidRPr="00A53FE9">
        <w:rPr>
          <w:rFonts w:asciiTheme="minorHAnsi" w:eastAsiaTheme="minorHAnsi" w:hAnsiTheme="minorHAnsi" w:cstheme="majorHAnsi"/>
          <w:sz w:val="24"/>
          <w:szCs w:val="24"/>
          <w:lang w:val="en-US" w:eastAsia="en-US"/>
        </w:rPr>
        <w:t xml:space="preserve">by </w:t>
      </w:r>
      <w:r w:rsidR="0022427B">
        <w:rPr>
          <w:rFonts w:asciiTheme="minorHAnsi" w:eastAsiaTheme="minorHAnsi" w:hAnsiTheme="minorHAnsi" w:cstheme="majorHAnsi"/>
          <w:sz w:val="24"/>
          <w:szCs w:val="24"/>
          <w:lang w:val="en-US" w:eastAsia="en-US"/>
        </w:rPr>
        <w:t xml:space="preserve">baseline mechanical </w:t>
      </w:r>
      <w:r w:rsidR="00586EDE" w:rsidRPr="00A53FE9">
        <w:rPr>
          <w:rFonts w:asciiTheme="minorHAnsi" w:eastAsiaTheme="minorHAnsi" w:hAnsiTheme="minorHAnsi" w:cstheme="majorHAnsi"/>
          <w:sz w:val="24"/>
          <w:szCs w:val="24"/>
          <w:lang w:val="en-US" w:eastAsia="en-US"/>
        </w:rPr>
        <w:t xml:space="preserve">ventilation </w:t>
      </w:r>
      <w:r w:rsidR="0022427B">
        <w:rPr>
          <w:rFonts w:asciiTheme="minorHAnsi" w:eastAsiaTheme="minorHAnsi" w:hAnsiTheme="minorHAnsi" w:cstheme="majorHAnsi"/>
          <w:sz w:val="24"/>
          <w:szCs w:val="24"/>
          <w:lang w:val="en-US" w:eastAsia="en-US"/>
        </w:rPr>
        <w:t>status</w:t>
      </w:r>
      <w:bookmarkEnd w:id="37"/>
    </w:p>
    <w:p w14:paraId="7833184D" w14:textId="4B74881D" w:rsidR="001E7156" w:rsidRDefault="001E7156" w:rsidP="009C2A20">
      <w:pPr>
        <w:spacing w:line="360" w:lineRule="auto"/>
        <w:rPr>
          <w:rFonts w:asciiTheme="majorHAnsi" w:hAnsiTheme="majorHAnsi" w:cstheme="majorHAnsi"/>
          <w:sz w:val="22"/>
          <w:szCs w:val="22"/>
          <w:lang w:val="en-US"/>
        </w:rPr>
      </w:pPr>
    </w:p>
    <w:tbl>
      <w:tblPr>
        <w:tblW w:w="5000" w:type="pct"/>
        <w:tblBorders>
          <w:top w:val="dashSmallGap" w:sz="4" w:space="0" w:color="D8D8D8"/>
          <w:left w:val="dashSmallGap" w:sz="4" w:space="0" w:color="D8D8D8"/>
          <w:bottom w:val="dashSmallGap" w:sz="4" w:space="0" w:color="D8D8D8"/>
          <w:right w:val="dashSmallGap" w:sz="4" w:space="0" w:color="D8D8D8"/>
          <w:insideH w:val="dashSmallGap" w:sz="4" w:space="0" w:color="D8D8D8"/>
          <w:insideV w:val="dashSmallGap" w:sz="4" w:space="0" w:color="D8D8D8"/>
        </w:tblBorders>
        <w:tblCellMar>
          <w:left w:w="0" w:type="dxa"/>
          <w:right w:w="0" w:type="dxa"/>
        </w:tblCellMar>
        <w:tblLook w:val="01E0" w:firstRow="1" w:lastRow="1" w:firstColumn="1" w:lastColumn="1" w:noHBand="0" w:noVBand="0"/>
      </w:tblPr>
      <w:tblGrid>
        <w:gridCol w:w="2885"/>
        <w:gridCol w:w="1923"/>
        <w:gridCol w:w="1638"/>
        <w:gridCol w:w="1333"/>
        <w:gridCol w:w="1241"/>
      </w:tblGrid>
      <w:tr w:rsidR="008554B0" w14:paraId="6EA2B469" w14:textId="77777777" w:rsidTr="00BB21F9">
        <w:trPr>
          <w:trHeight w:val="500"/>
        </w:trPr>
        <w:tc>
          <w:tcPr>
            <w:tcW w:w="1599" w:type="pct"/>
            <w:tcBorders>
              <w:top w:val="single" w:sz="4" w:space="0" w:color="000000"/>
              <w:left w:val="nil"/>
              <w:right w:val="nil"/>
            </w:tcBorders>
            <w:shd w:val="clear" w:color="auto" w:fill="ECECEC"/>
            <w:vAlign w:val="center"/>
          </w:tcPr>
          <w:p w14:paraId="70E17E6A" w14:textId="77777777" w:rsidR="008554B0" w:rsidRDefault="008554B0" w:rsidP="001304D9">
            <w:pPr>
              <w:pStyle w:val="TableParagraph"/>
              <w:spacing w:line="240" w:lineRule="auto"/>
              <w:jc w:val="left"/>
              <w:rPr>
                <w:b/>
                <w:sz w:val="18"/>
              </w:rPr>
            </w:pPr>
            <w:r>
              <w:rPr>
                <w:b/>
                <w:sz w:val="18"/>
              </w:rPr>
              <w:t>Outcome/Analysis</w:t>
            </w:r>
          </w:p>
        </w:tc>
        <w:tc>
          <w:tcPr>
            <w:tcW w:w="1066" w:type="pct"/>
            <w:tcBorders>
              <w:top w:val="single" w:sz="4" w:space="0" w:color="000000"/>
              <w:left w:val="nil"/>
              <w:right w:val="nil"/>
            </w:tcBorders>
            <w:shd w:val="clear" w:color="auto" w:fill="ECECEC"/>
            <w:vAlign w:val="center"/>
          </w:tcPr>
          <w:p w14:paraId="15BB8A71" w14:textId="77777777" w:rsidR="008554B0" w:rsidRDefault="008554B0" w:rsidP="001304D9">
            <w:pPr>
              <w:pStyle w:val="TableParagraph"/>
              <w:spacing w:line="240" w:lineRule="auto"/>
              <w:rPr>
                <w:b/>
                <w:sz w:val="18"/>
              </w:rPr>
            </w:pPr>
            <w:r>
              <w:rPr>
                <w:b/>
                <w:sz w:val="18"/>
              </w:rPr>
              <w:t>Tocilizumab</w:t>
            </w:r>
            <w:r>
              <w:rPr>
                <w:b/>
                <w:spacing w:val="-7"/>
                <w:sz w:val="18"/>
              </w:rPr>
              <w:t xml:space="preserve"> </w:t>
            </w:r>
            <w:r>
              <w:rPr>
                <w:b/>
                <w:sz w:val="18"/>
              </w:rPr>
              <w:t>(N=947)</w:t>
            </w:r>
          </w:p>
        </w:tc>
        <w:tc>
          <w:tcPr>
            <w:tcW w:w="908" w:type="pct"/>
            <w:tcBorders>
              <w:top w:val="single" w:sz="4" w:space="0" w:color="000000"/>
              <w:left w:val="nil"/>
              <w:right w:val="nil"/>
            </w:tcBorders>
            <w:shd w:val="clear" w:color="auto" w:fill="ECECEC"/>
            <w:vAlign w:val="center"/>
          </w:tcPr>
          <w:p w14:paraId="56BAD41C" w14:textId="185ADDE5" w:rsidR="008554B0" w:rsidRDefault="008554B0" w:rsidP="001304D9">
            <w:pPr>
              <w:pStyle w:val="TableParagraph"/>
              <w:spacing w:before="4" w:line="240" w:lineRule="auto"/>
              <w:rPr>
                <w:sz w:val="20"/>
              </w:rPr>
            </w:pPr>
            <w:r>
              <w:rPr>
                <w:b/>
                <w:sz w:val="18"/>
              </w:rPr>
              <w:t>Sarilumab</w:t>
            </w:r>
            <w:r>
              <w:rPr>
                <w:b/>
                <w:spacing w:val="-7"/>
                <w:sz w:val="18"/>
              </w:rPr>
              <w:t xml:space="preserve"> </w:t>
            </w:r>
            <w:r>
              <w:rPr>
                <w:b/>
                <w:sz w:val="18"/>
              </w:rPr>
              <w:t>(N=482)</w:t>
            </w:r>
          </w:p>
        </w:tc>
        <w:tc>
          <w:tcPr>
            <w:tcW w:w="739" w:type="pct"/>
            <w:tcBorders>
              <w:top w:val="single" w:sz="4" w:space="0" w:color="000000"/>
              <w:left w:val="nil"/>
              <w:right w:val="nil"/>
            </w:tcBorders>
            <w:shd w:val="clear" w:color="auto" w:fill="ECECEC"/>
            <w:vAlign w:val="center"/>
          </w:tcPr>
          <w:p w14:paraId="586825D0" w14:textId="77777777" w:rsidR="008554B0" w:rsidRDefault="008554B0" w:rsidP="001304D9">
            <w:pPr>
              <w:pStyle w:val="TableParagraph"/>
              <w:spacing w:before="4" w:line="240" w:lineRule="auto"/>
              <w:rPr>
                <w:sz w:val="20"/>
              </w:rPr>
            </w:pPr>
            <w:r>
              <w:rPr>
                <w:b/>
                <w:sz w:val="18"/>
              </w:rPr>
              <w:t>Anakinra</w:t>
            </w:r>
            <w:r>
              <w:rPr>
                <w:b/>
                <w:spacing w:val="-6"/>
                <w:sz w:val="18"/>
              </w:rPr>
              <w:t xml:space="preserve"> </w:t>
            </w:r>
            <w:r>
              <w:rPr>
                <w:b/>
                <w:sz w:val="18"/>
              </w:rPr>
              <w:t>(N=373)</w:t>
            </w:r>
          </w:p>
        </w:tc>
        <w:tc>
          <w:tcPr>
            <w:tcW w:w="688" w:type="pct"/>
            <w:tcBorders>
              <w:top w:val="single" w:sz="4" w:space="0" w:color="000000"/>
              <w:left w:val="nil"/>
              <w:right w:val="nil"/>
            </w:tcBorders>
            <w:shd w:val="clear" w:color="auto" w:fill="ECECEC"/>
            <w:vAlign w:val="center"/>
          </w:tcPr>
          <w:p w14:paraId="2E7F8F21" w14:textId="77777777" w:rsidR="008554B0" w:rsidRDefault="008554B0" w:rsidP="001304D9">
            <w:pPr>
              <w:pStyle w:val="TableParagraph"/>
              <w:spacing w:line="240" w:lineRule="auto"/>
              <w:rPr>
                <w:b/>
                <w:sz w:val="18"/>
              </w:rPr>
            </w:pPr>
            <w:r>
              <w:rPr>
                <w:b/>
                <w:sz w:val="18"/>
              </w:rPr>
              <w:t>Control</w:t>
            </w:r>
            <w:r>
              <w:rPr>
                <w:b/>
                <w:spacing w:val="-38"/>
                <w:sz w:val="18"/>
              </w:rPr>
              <w:t xml:space="preserve"> </w:t>
            </w:r>
            <w:r>
              <w:rPr>
                <w:b/>
                <w:spacing w:val="-1"/>
                <w:sz w:val="18"/>
              </w:rPr>
              <w:t>(N=405)</w:t>
            </w:r>
          </w:p>
        </w:tc>
      </w:tr>
      <w:tr w:rsidR="008554B0" w14:paraId="7E6F6699" w14:textId="77777777" w:rsidTr="00BB21F9">
        <w:trPr>
          <w:trHeight w:val="715"/>
        </w:trPr>
        <w:tc>
          <w:tcPr>
            <w:tcW w:w="5000" w:type="pct"/>
            <w:gridSpan w:val="5"/>
            <w:shd w:val="clear" w:color="auto" w:fill="ECECEC"/>
          </w:tcPr>
          <w:p w14:paraId="72F00EA9" w14:textId="1EB03634" w:rsidR="008554B0" w:rsidRDefault="008554B0" w:rsidP="001304D9">
            <w:pPr>
              <w:pStyle w:val="TableParagraph"/>
              <w:spacing w:before="30" w:line="237" w:lineRule="auto"/>
              <w:ind w:left="110" w:right="5276"/>
              <w:jc w:val="left"/>
              <w:rPr>
                <w:b/>
                <w:sz w:val="18"/>
              </w:rPr>
            </w:pPr>
            <w:r>
              <w:rPr>
                <w:b/>
                <w:sz w:val="18"/>
              </w:rPr>
              <w:t>Secondary Analysis of Primary Outcome</w:t>
            </w:r>
            <w:r>
              <w:rPr>
                <w:sz w:val="18"/>
              </w:rPr>
              <w:t>, model</w:t>
            </w:r>
            <w:r>
              <w:rPr>
                <w:spacing w:val="1"/>
                <w:sz w:val="18"/>
              </w:rPr>
              <w:t xml:space="preserve"> </w:t>
            </w:r>
            <w:r>
              <w:rPr>
                <w:sz w:val="18"/>
              </w:rPr>
              <w:t>restricted to Immune Modulation Therapy Domain</w:t>
            </w:r>
            <w:r w:rsidR="007A0E6B">
              <w:rPr>
                <w:sz w:val="18"/>
              </w:rPr>
              <w:t xml:space="preserve"> </w:t>
            </w:r>
            <w:r>
              <w:rPr>
                <w:spacing w:val="-39"/>
                <w:sz w:val="18"/>
              </w:rPr>
              <w:t xml:space="preserve"> </w:t>
            </w:r>
            <w:r w:rsidR="007A0E6B">
              <w:rPr>
                <w:spacing w:val="-39"/>
                <w:sz w:val="18"/>
              </w:rPr>
              <w:t xml:space="preserve">   </w:t>
            </w:r>
            <w:r>
              <w:rPr>
                <w:sz w:val="18"/>
              </w:rPr>
              <w:t>participants,</w:t>
            </w:r>
            <w:r>
              <w:rPr>
                <w:spacing w:val="-3"/>
                <w:sz w:val="18"/>
              </w:rPr>
              <w:t xml:space="preserve"> </w:t>
            </w:r>
            <w:r>
              <w:rPr>
                <w:sz w:val="18"/>
              </w:rPr>
              <w:t>according</w:t>
            </w:r>
            <w:r>
              <w:rPr>
                <w:spacing w:val="-3"/>
                <w:sz w:val="18"/>
              </w:rPr>
              <w:t xml:space="preserve"> </w:t>
            </w:r>
            <w:r>
              <w:rPr>
                <w:sz w:val="18"/>
              </w:rPr>
              <w:t>to</w:t>
            </w:r>
            <w:r>
              <w:rPr>
                <w:spacing w:val="-2"/>
                <w:sz w:val="18"/>
              </w:rPr>
              <w:t xml:space="preserve"> </w:t>
            </w:r>
            <w:r>
              <w:rPr>
                <w:b/>
                <w:sz w:val="18"/>
              </w:rPr>
              <w:t>baseline mechanical ventilation status</w:t>
            </w:r>
          </w:p>
        </w:tc>
      </w:tr>
      <w:tr w:rsidR="008554B0" w14:paraId="220A18AC" w14:textId="77777777" w:rsidTr="00BB21F9">
        <w:trPr>
          <w:trHeight w:val="431"/>
        </w:trPr>
        <w:tc>
          <w:tcPr>
            <w:tcW w:w="1599" w:type="pct"/>
            <w:tcBorders>
              <w:right w:val="nil"/>
            </w:tcBorders>
            <w:shd w:val="clear" w:color="auto" w:fill="ECECEC"/>
          </w:tcPr>
          <w:p w14:paraId="54BBF597" w14:textId="77777777" w:rsidR="008554B0" w:rsidRDefault="008554B0" w:rsidP="001304D9">
            <w:pPr>
              <w:pStyle w:val="TableParagraph"/>
              <w:spacing w:before="30" w:line="240" w:lineRule="auto"/>
              <w:ind w:left="110"/>
              <w:jc w:val="left"/>
              <w:rPr>
                <w:b/>
                <w:sz w:val="18"/>
                <w:lang w:val="en-GB"/>
              </w:rPr>
            </w:pPr>
            <w:r w:rsidRPr="008554B0">
              <w:rPr>
                <w:b/>
                <w:sz w:val="18"/>
                <w:lang w:val="en-GB"/>
              </w:rPr>
              <w:t>No invasive mechanical ven</w:t>
            </w:r>
            <w:r>
              <w:rPr>
                <w:b/>
                <w:sz w:val="18"/>
                <w:lang w:val="en-GB"/>
              </w:rPr>
              <w:t>ti</w:t>
            </w:r>
            <w:r w:rsidRPr="008554B0">
              <w:rPr>
                <w:b/>
                <w:sz w:val="18"/>
                <w:lang w:val="en-GB"/>
              </w:rPr>
              <w:t>la</w:t>
            </w:r>
            <w:r>
              <w:rPr>
                <w:b/>
                <w:sz w:val="18"/>
                <w:lang w:val="en-GB"/>
              </w:rPr>
              <w:t>ti</w:t>
            </w:r>
            <w:r w:rsidRPr="008554B0">
              <w:rPr>
                <w:b/>
                <w:sz w:val="18"/>
                <w:lang w:val="en-GB"/>
              </w:rPr>
              <w:t xml:space="preserve">on at baseline </w:t>
            </w:r>
          </w:p>
          <w:p w14:paraId="7A498029" w14:textId="2FF13CF3" w:rsidR="008554B0" w:rsidRDefault="008554B0" w:rsidP="001304D9">
            <w:pPr>
              <w:pStyle w:val="TableParagraph"/>
              <w:spacing w:before="30" w:line="240" w:lineRule="auto"/>
              <w:ind w:left="110"/>
              <w:jc w:val="left"/>
              <w:rPr>
                <w:sz w:val="18"/>
              </w:rPr>
            </w:pPr>
            <w:r>
              <w:rPr>
                <w:sz w:val="18"/>
              </w:rPr>
              <w:t>Adjusted</w:t>
            </w:r>
            <w:r>
              <w:rPr>
                <w:spacing w:val="-3"/>
                <w:sz w:val="18"/>
              </w:rPr>
              <w:t xml:space="preserve"> </w:t>
            </w:r>
            <w:r>
              <w:rPr>
                <w:sz w:val="18"/>
              </w:rPr>
              <w:t>OR</w:t>
            </w:r>
            <w:r>
              <w:rPr>
                <w:spacing w:val="2"/>
                <w:sz w:val="18"/>
              </w:rPr>
              <w:t xml:space="preserve"> </w:t>
            </w:r>
            <w:r>
              <w:rPr>
                <w:sz w:val="18"/>
              </w:rPr>
              <w:t>-</w:t>
            </w:r>
            <w:r>
              <w:rPr>
                <w:spacing w:val="-2"/>
                <w:sz w:val="18"/>
              </w:rPr>
              <w:t xml:space="preserve"> </w:t>
            </w:r>
            <w:r>
              <w:rPr>
                <w:sz w:val="18"/>
              </w:rPr>
              <w:t>mean</w:t>
            </w:r>
            <w:r>
              <w:rPr>
                <w:spacing w:val="-3"/>
                <w:sz w:val="18"/>
              </w:rPr>
              <w:t xml:space="preserve"> </w:t>
            </w:r>
            <w:r>
              <w:rPr>
                <w:sz w:val="18"/>
              </w:rPr>
              <w:t>(SD)</w:t>
            </w:r>
          </w:p>
        </w:tc>
        <w:tc>
          <w:tcPr>
            <w:tcW w:w="1066" w:type="pct"/>
            <w:tcBorders>
              <w:left w:val="nil"/>
              <w:right w:val="nil"/>
            </w:tcBorders>
            <w:shd w:val="clear" w:color="auto" w:fill="ECECEC"/>
            <w:vAlign w:val="bottom"/>
          </w:tcPr>
          <w:p w14:paraId="70C6A4F2" w14:textId="77777777" w:rsidR="008554B0" w:rsidRPr="001E006B" w:rsidRDefault="008554B0" w:rsidP="008554B0">
            <w:pPr>
              <w:pStyle w:val="TableParagraph"/>
              <w:spacing w:line="240" w:lineRule="auto"/>
              <w:ind w:left="601"/>
              <w:rPr>
                <w:sz w:val="18"/>
                <w:szCs w:val="18"/>
              </w:rPr>
            </w:pPr>
          </w:p>
          <w:p w14:paraId="0FB2C217" w14:textId="6A194A2E" w:rsidR="008554B0" w:rsidRPr="001E006B" w:rsidRDefault="008554B0" w:rsidP="008554B0">
            <w:pPr>
              <w:pStyle w:val="TableParagraph"/>
              <w:spacing w:line="240" w:lineRule="auto"/>
              <w:ind w:left="601"/>
              <w:rPr>
                <w:sz w:val="18"/>
                <w:szCs w:val="18"/>
              </w:rPr>
            </w:pPr>
            <w:r w:rsidRPr="001E006B">
              <w:rPr>
                <w:sz w:val="18"/>
                <w:szCs w:val="18"/>
              </w:rPr>
              <w:t>1.</w:t>
            </w:r>
            <w:r w:rsidR="00815E42" w:rsidRPr="001E006B">
              <w:rPr>
                <w:sz w:val="18"/>
                <w:szCs w:val="18"/>
              </w:rPr>
              <w:t>62 (0.20)</w:t>
            </w:r>
          </w:p>
        </w:tc>
        <w:tc>
          <w:tcPr>
            <w:tcW w:w="908" w:type="pct"/>
            <w:tcBorders>
              <w:left w:val="nil"/>
              <w:right w:val="nil"/>
            </w:tcBorders>
            <w:shd w:val="clear" w:color="auto" w:fill="ECECEC"/>
            <w:vAlign w:val="bottom"/>
          </w:tcPr>
          <w:p w14:paraId="57CCAEAA" w14:textId="77777777" w:rsidR="008554B0" w:rsidRPr="001E006B" w:rsidRDefault="008554B0" w:rsidP="008554B0">
            <w:pPr>
              <w:pStyle w:val="TableParagraph"/>
              <w:spacing w:before="10" w:line="240" w:lineRule="auto"/>
              <w:rPr>
                <w:sz w:val="18"/>
                <w:szCs w:val="18"/>
              </w:rPr>
            </w:pPr>
          </w:p>
          <w:p w14:paraId="6255A671" w14:textId="22280E17" w:rsidR="008554B0" w:rsidRPr="001E006B" w:rsidRDefault="008554B0" w:rsidP="008554B0">
            <w:pPr>
              <w:pStyle w:val="TableParagraph"/>
              <w:spacing w:before="10" w:line="240" w:lineRule="auto"/>
              <w:ind w:left="136"/>
              <w:rPr>
                <w:sz w:val="18"/>
                <w:szCs w:val="18"/>
              </w:rPr>
            </w:pPr>
            <w:r w:rsidRPr="001E006B">
              <w:rPr>
                <w:sz w:val="18"/>
                <w:szCs w:val="18"/>
              </w:rPr>
              <w:t>1.</w:t>
            </w:r>
            <w:r w:rsidR="00815E42" w:rsidRPr="001E006B">
              <w:rPr>
                <w:sz w:val="18"/>
                <w:szCs w:val="18"/>
              </w:rPr>
              <w:t>56 (0.23)</w:t>
            </w:r>
          </w:p>
        </w:tc>
        <w:tc>
          <w:tcPr>
            <w:tcW w:w="739" w:type="pct"/>
            <w:tcBorders>
              <w:left w:val="nil"/>
              <w:right w:val="nil"/>
            </w:tcBorders>
            <w:shd w:val="clear" w:color="auto" w:fill="ECECEC"/>
            <w:vAlign w:val="bottom"/>
          </w:tcPr>
          <w:p w14:paraId="0ADF3278" w14:textId="77777777" w:rsidR="008554B0" w:rsidRPr="001E006B" w:rsidRDefault="008554B0" w:rsidP="008554B0">
            <w:pPr>
              <w:pStyle w:val="TableParagraph"/>
              <w:spacing w:before="10" w:line="240" w:lineRule="auto"/>
              <w:rPr>
                <w:sz w:val="18"/>
                <w:szCs w:val="18"/>
              </w:rPr>
            </w:pPr>
          </w:p>
          <w:p w14:paraId="2F9FCAE9" w14:textId="507B82CF" w:rsidR="008554B0" w:rsidRPr="001E006B" w:rsidRDefault="00815E42" w:rsidP="008554B0">
            <w:pPr>
              <w:pStyle w:val="TableParagraph"/>
              <w:spacing w:before="10" w:line="240" w:lineRule="auto"/>
              <w:rPr>
                <w:sz w:val="18"/>
                <w:szCs w:val="18"/>
              </w:rPr>
            </w:pPr>
            <w:r w:rsidRPr="001E006B">
              <w:rPr>
                <w:sz w:val="18"/>
                <w:szCs w:val="18"/>
              </w:rPr>
              <w:t>1.11 (0.19)</w:t>
            </w:r>
          </w:p>
        </w:tc>
        <w:tc>
          <w:tcPr>
            <w:tcW w:w="688" w:type="pct"/>
            <w:tcBorders>
              <w:left w:val="nil"/>
              <w:right w:val="nil"/>
            </w:tcBorders>
            <w:shd w:val="clear" w:color="auto" w:fill="ECECEC"/>
            <w:vAlign w:val="bottom"/>
          </w:tcPr>
          <w:p w14:paraId="203811A8" w14:textId="77777777" w:rsidR="008554B0" w:rsidRPr="00302F3B" w:rsidRDefault="008554B0" w:rsidP="001304D9">
            <w:pPr>
              <w:pStyle w:val="TableParagraph"/>
              <w:spacing w:line="240" w:lineRule="auto"/>
              <w:rPr>
                <w:sz w:val="18"/>
                <w:szCs w:val="18"/>
              </w:rPr>
            </w:pPr>
            <w:r w:rsidRPr="00302F3B">
              <w:rPr>
                <w:sz w:val="18"/>
              </w:rPr>
              <w:t>1</w:t>
            </w:r>
          </w:p>
        </w:tc>
      </w:tr>
      <w:tr w:rsidR="008554B0" w14:paraId="6FFE7CF9" w14:textId="77777777" w:rsidTr="00BB21F9">
        <w:trPr>
          <w:trHeight w:val="280"/>
        </w:trPr>
        <w:tc>
          <w:tcPr>
            <w:tcW w:w="1599" w:type="pct"/>
            <w:tcBorders>
              <w:right w:val="nil"/>
            </w:tcBorders>
            <w:shd w:val="clear" w:color="auto" w:fill="ECECEC"/>
          </w:tcPr>
          <w:p w14:paraId="786152A0" w14:textId="77777777" w:rsidR="008554B0" w:rsidRDefault="008554B0" w:rsidP="001304D9">
            <w:pPr>
              <w:pStyle w:val="TableParagraph"/>
              <w:spacing w:before="28" w:line="240" w:lineRule="auto"/>
              <w:ind w:left="150"/>
              <w:jc w:val="left"/>
              <w:rPr>
                <w:sz w:val="18"/>
              </w:rPr>
            </w:pPr>
            <w:r>
              <w:rPr>
                <w:sz w:val="18"/>
              </w:rPr>
              <w:t>-</w:t>
            </w:r>
            <w:r>
              <w:rPr>
                <w:spacing w:val="-3"/>
                <w:sz w:val="18"/>
              </w:rPr>
              <w:t xml:space="preserve"> </w:t>
            </w:r>
            <w:r>
              <w:rPr>
                <w:sz w:val="18"/>
              </w:rPr>
              <w:t>median</w:t>
            </w:r>
            <w:r>
              <w:rPr>
                <w:spacing w:val="-2"/>
                <w:sz w:val="18"/>
              </w:rPr>
              <w:t xml:space="preserve"> </w:t>
            </w:r>
            <w:r>
              <w:rPr>
                <w:sz w:val="18"/>
              </w:rPr>
              <w:t>(95%</w:t>
            </w:r>
            <w:r>
              <w:rPr>
                <w:spacing w:val="-1"/>
                <w:sz w:val="18"/>
              </w:rPr>
              <w:t xml:space="preserve"> </w:t>
            </w:r>
            <w:r>
              <w:rPr>
                <w:sz w:val="18"/>
              </w:rPr>
              <w:t>CrI)</w:t>
            </w:r>
          </w:p>
        </w:tc>
        <w:tc>
          <w:tcPr>
            <w:tcW w:w="1066" w:type="pct"/>
            <w:tcBorders>
              <w:left w:val="nil"/>
              <w:right w:val="nil"/>
            </w:tcBorders>
            <w:shd w:val="clear" w:color="auto" w:fill="ECECEC"/>
          </w:tcPr>
          <w:p w14:paraId="48ABC3A7" w14:textId="48EA4FEF" w:rsidR="008554B0" w:rsidRPr="001E006B" w:rsidRDefault="008554B0" w:rsidP="001304D9">
            <w:pPr>
              <w:pStyle w:val="TableParagraph"/>
              <w:spacing w:before="28" w:line="240" w:lineRule="auto"/>
              <w:ind w:left="601"/>
              <w:rPr>
                <w:sz w:val="18"/>
                <w:szCs w:val="18"/>
              </w:rPr>
            </w:pPr>
            <w:r w:rsidRPr="001E006B">
              <w:rPr>
                <w:sz w:val="18"/>
                <w:szCs w:val="18"/>
              </w:rPr>
              <w:t>1.</w:t>
            </w:r>
            <w:r w:rsidR="00815E42" w:rsidRPr="001E006B">
              <w:rPr>
                <w:sz w:val="18"/>
                <w:szCs w:val="18"/>
              </w:rPr>
              <w:t>61 (1.26 to 2.07)</w:t>
            </w:r>
          </w:p>
        </w:tc>
        <w:tc>
          <w:tcPr>
            <w:tcW w:w="908" w:type="pct"/>
            <w:tcBorders>
              <w:left w:val="nil"/>
              <w:right w:val="nil"/>
            </w:tcBorders>
            <w:shd w:val="clear" w:color="auto" w:fill="ECECEC"/>
          </w:tcPr>
          <w:p w14:paraId="007DBD81" w14:textId="533C7C44" w:rsidR="008554B0" w:rsidRPr="001E006B" w:rsidRDefault="008554B0" w:rsidP="001304D9">
            <w:pPr>
              <w:pStyle w:val="TableParagraph"/>
              <w:spacing w:before="28" w:line="240" w:lineRule="auto"/>
              <w:ind w:left="136"/>
              <w:rPr>
                <w:sz w:val="18"/>
                <w:szCs w:val="18"/>
              </w:rPr>
            </w:pPr>
            <w:r w:rsidRPr="001E006B">
              <w:rPr>
                <w:sz w:val="18"/>
                <w:szCs w:val="18"/>
              </w:rPr>
              <w:t>1.</w:t>
            </w:r>
            <w:r w:rsidR="00815E42" w:rsidRPr="001E006B">
              <w:rPr>
                <w:sz w:val="18"/>
                <w:szCs w:val="18"/>
              </w:rPr>
              <w:t>54 (1.16 to 2.08)</w:t>
            </w:r>
          </w:p>
        </w:tc>
        <w:tc>
          <w:tcPr>
            <w:tcW w:w="739" w:type="pct"/>
            <w:tcBorders>
              <w:left w:val="nil"/>
              <w:right w:val="nil"/>
            </w:tcBorders>
            <w:shd w:val="clear" w:color="auto" w:fill="ECECEC"/>
          </w:tcPr>
          <w:p w14:paraId="72DBBD8D" w14:textId="5D8AD9DD" w:rsidR="008554B0" w:rsidRPr="001E006B" w:rsidRDefault="00815E42" w:rsidP="001304D9">
            <w:pPr>
              <w:pStyle w:val="TableParagraph"/>
              <w:spacing w:before="28" w:line="240" w:lineRule="auto"/>
              <w:rPr>
                <w:sz w:val="18"/>
                <w:szCs w:val="18"/>
              </w:rPr>
            </w:pPr>
            <w:r w:rsidRPr="001E006B">
              <w:rPr>
                <w:sz w:val="18"/>
                <w:szCs w:val="18"/>
              </w:rPr>
              <w:t>1.09 (0.78 to 1.53)</w:t>
            </w:r>
          </w:p>
        </w:tc>
        <w:tc>
          <w:tcPr>
            <w:tcW w:w="688" w:type="pct"/>
            <w:tcBorders>
              <w:left w:val="nil"/>
              <w:right w:val="nil"/>
            </w:tcBorders>
            <w:shd w:val="clear" w:color="auto" w:fill="ECECEC"/>
            <w:vAlign w:val="center"/>
          </w:tcPr>
          <w:p w14:paraId="7303B332" w14:textId="77777777" w:rsidR="008554B0" w:rsidRPr="00302F3B" w:rsidRDefault="008554B0" w:rsidP="001304D9">
            <w:pPr>
              <w:pStyle w:val="TableParagraph"/>
              <w:spacing w:before="28" w:line="240" w:lineRule="auto"/>
              <w:rPr>
                <w:sz w:val="18"/>
                <w:szCs w:val="18"/>
              </w:rPr>
            </w:pPr>
            <w:r w:rsidRPr="00302F3B">
              <w:rPr>
                <w:sz w:val="18"/>
              </w:rPr>
              <w:t>1</w:t>
            </w:r>
          </w:p>
        </w:tc>
      </w:tr>
      <w:tr w:rsidR="008554B0" w14:paraId="0FD37768" w14:textId="77777777" w:rsidTr="00BB21F9">
        <w:trPr>
          <w:trHeight w:val="279"/>
        </w:trPr>
        <w:tc>
          <w:tcPr>
            <w:tcW w:w="1599" w:type="pct"/>
            <w:tcBorders>
              <w:right w:val="nil"/>
            </w:tcBorders>
            <w:shd w:val="clear" w:color="auto" w:fill="ECECEC"/>
          </w:tcPr>
          <w:p w14:paraId="110D4762" w14:textId="77777777" w:rsidR="008554B0" w:rsidRDefault="008554B0" w:rsidP="001304D9">
            <w:pPr>
              <w:pStyle w:val="TableParagraph"/>
              <w:spacing w:before="28" w:line="240" w:lineRule="auto"/>
              <w:ind w:left="110"/>
              <w:jc w:val="left"/>
              <w:rPr>
                <w:sz w:val="18"/>
              </w:rPr>
            </w:pPr>
            <w:r>
              <w:rPr>
                <w:sz w:val="18"/>
              </w:rPr>
              <w:t>Probability</w:t>
            </w:r>
            <w:r>
              <w:rPr>
                <w:spacing w:val="-6"/>
                <w:sz w:val="18"/>
              </w:rPr>
              <w:t xml:space="preserve"> </w:t>
            </w:r>
            <w:r>
              <w:rPr>
                <w:sz w:val="18"/>
              </w:rPr>
              <w:t>of</w:t>
            </w:r>
            <w:r>
              <w:rPr>
                <w:spacing w:val="-3"/>
                <w:sz w:val="18"/>
              </w:rPr>
              <w:t xml:space="preserve"> </w:t>
            </w:r>
            <w:r>
              <w:rPr>
                <w:sz w:val="18"/>
              </w:rPr>
              <w:t>superiority</w:t>
            </w:r>
            <w:r>
              <w:rPr>
                <w:spacing w:val="-5"/>
                <w:sz w:val="18"/>
              </w:rPr>
              <w:t xml:space="preserve"> </w:t>
            </w:r>
            <w:r>
              <w:rPr>
                <w:sz w:val="18"/>
              </w:rPr>
              <w:t>to</w:t>
            </w:r>
            <w:r>
              <w:rPr>
                <w:spacing w:val="-2"/>
                <w:sz w:val="18"/>
              </w:rPr>
              <w:t xml:space="preserve"> </w:t>
            </w:r>
            <w:r>
              <w:rPr>
                <w:sz w:val="18"/>
              </w:rPr>
              <w:t>control,</w:t>
            </w:r>
            <w:r>
              <w:rPr>
                <w:spacing w:val="-3"/>
                <w:sz w:val="18"/>
              </w:rPr>
              <w:t xml:space="preserve"> </w:t>
            </w:r>
            <w:r>
              <w:rPr>
                <w:sz w:val="18"/>
              </w:rPr>
              <w:t>%</w:t>
            </w:r>
          </w:p>
        </w:tc>
        <w:tc>
          <w:tcPr>
            <w:tcW w:w="1066" w:type="pct"/>
            <w:tcBorders>
              <w:left w:val="nil"/>
              <w:right w:val="nil"/>
            </w:tcBorders>
            <w:shd w:val="clear" w:color="auto" w:fill="ECECEC"/>
          </w:tcPr>
          <w:p w14:paraId="457835DF" w14:textId="725431D9" w:rsidR="008554B0" w:rsidRPr="001E006B" w:rsidRDefault="00815E42" w:rsidP="001304D9">
            <w:pPr>
              <w:pStyle w:val="TableParagraph"/>
              <w:spacing w:before="28" w:line="240" w:lineRule="auto"/>
              <w:ind w:left="601"/>
              <w:rPr>
                <w:sz w:val="18"/>
                <w:szCs w:val="18"/>
              </w:rPr>
            </w:pPr>
            <w:r w:rsidRPr="001E006B">
              <w:rPr>
                <w:sz w:val="18"/>
                <w:szCs w:val="18"/>
              </w:rPr>
              <w:t>&gt;99.9</w:t>
            </w:r>
          </w:p>
        </w:tc>
        <w:tc>
          <w:tcPr>
            <w:tcW w:w="908" w:type="pct"/>
            <w:tcBorders>
              <w:left w:val="nil"/>
              <w:right w:val="nil"/>
            </w:tcBorders>
            <w:shd w:val="clear" w:color="auto" w:fill="ECECEC"/>
          </w:tcPr>
          <w:p w14:paraId="2FB7797D" w14:textId="6D6F2A95" w:rsidR="008554B0" w:rsidRPr="001E006B" w:rsidRDefault="00815E42" w:rsidP="001304D9">
            <w:pPr>
              <w:pStyle w:val="TableParagraph"/>
              <w:spacing w:before="28" w:line="240" w:lineRule="auto"/>
              <w:ind w:left="181"/>
              <w:rPr>
                <w:sz w:val="18"/>
                <w:szCs w:val="18"/>
              </w:rPr>
            </w:pPr>
            <w:r w:rsidRPr="001E006B">
              <w:rPr>
                <w:sz w:val="18"/>
                <w:szCs w:val="18"/>
              </w:rPr>
              <w:t>99.9</w:t>
            </w:r>
          </w:p>
        </w:tc>
        <w:tc>
          <w:tcPr>
            <w:tcW w:w="739" w:type="pct"/>
            <w:tcBorders>
              <w:left w:val="nil"/>
              <w:right w:val="nil"/>
            </w:tcBorders>
            <w:shd w:val="clear" w:color="auto" w:fill="ECECEC"/>
          </w:tcPr>
          <w:p w14:paraId="2CBC8335" w14:textId="54C20D19" w:rsidR="008554B0" w:rsidRPr="001E006B" w:rsidRDefault="00815E42" w:rsidP="001304D9">
            <w:pPr>
              <w:pStyle w:val="TableParagraph"/>
              <w:spacing w:before="28" w:line="240" w:lineRule="auto"/>
              <w:ind w:left="181"/>
              <w:rPr>
                <w:sz w:val="18"/>
                <w:szCs w:val="18"/>
              </w:rPr>
            </w:pPr>
            <w:r w:rsidRPr="001E006B">
              <w:rPr>
                <w:sz w:val="18"/>
                <w:szCs w:val="18"/>
              </w:rPr>
              <w:t>69.5</w:t>
            </w:r>
          </w:p>
        </w:tc>
        <w:tc>
          <w:tcPr>
            <w:tcW w:w="688" w:type="pct"/>
            <w:tcBorders>
              <w:left w:val="nil"/>
              <w:right w:val="nil"/>
            </w:tcBorders>
            <w:shd w:val="clear" w:color="auto" w:fill="ECECEC"/>
            <w:vAlign w:val="center"/>
          </w:tcPr>
          <w:p w14:paraId="57025714" w14:textId="77777777" w:rsidR="008554B0" w:rsidRPr="00302F3B" w:rsidRDefault="008554B0" w:rsidP="001304D9">
            <w:pPr>
              <w:pStyle w:val="TableParagraph"/>
              <w:spacing w:before="28" w:line="240" w:lineRule="auto"/>
              <w:rPr>
                <w:sz w:val="18"/>
                <w:szCs w:val="18"/>
              </w:rPr>
            </w:pPr>
            <w:r w:rsidRPr="00302F3B">
              <w:rPr>
                <w:sz w:val="18"/>
              </w:rPr>
              <w:t>-</w:t>
            </w:r>
          </w:p>
        </w:tc>
      </w:tr>
      <w:tr w:rsidR="008554B0" w14:paraId="0B6ED72F" w14:textId="77777777" w:rsidTr="00BB21F9">
        <w:trPr>
          <w:trHeight w:val="530"/>
        </w:trPr>
        <w:tc>
          <w:tcPr>
            <w:tcW w:w="1599" w:type="pct"/>
            <w:tcBorders>
              <w:right w:val="nil"/>
            </w:tcBorders>
            <w:shd w:val="clear" w:color="auto" w:fill="ECECEC"/>
          </w:tcPr>
          <w:p w14:paraId="30AFB891" w14:textId="6FE14CF7" w:rsidR="008554B0" w:rsidRDefault="008554B0" w:rsidP="008554B0">
            <w:pPr>
              <w:pStyle w:val="TableParagraph"/>
              <w:spacing w:before="30" w:line="240" w:lineRule="auto"/>
              <w:ind w:left="110"/>
              <w:jc w:val="left"/>
              <w:rPr>
                <w:b/>
                <w:sz w:val="18"/>
                <w:lang w:val="en-GB"/>
              </w:rPr>
            </w:pPr>
            <w:r>
              <w:rPr>
                <w:b/>
                <w:sz w:val="18"/>
                <w:lang w:val="en-GB"/>
              </w:rPr>
              <w:t>I</w:t>
            </w:r>
            <w:r w:rsidRPr="008554B0">
              <w:rPr>
                <w:b/>
                <w:sz w:val="18"/>
                <w:lang w:val="en-GB"/>
              </w:rPr>
              <w:t>nvasive mechanical ven</w:t>
            </w:r>
            <w:r>
              <w:rPr>
                <w:b/>
                <w:sz w:val="18"/>
                <w:lang w:val="en-GB"/>
              </w:rPr>
              <w:t>ti</w:t>
            </w:r>
            <w:r w:rsidRPr="008554B0">
              <w:rPr>
                <w:b/>
                <w:sz w:val="18"/>
                <w:lang w:val="en-GB"/>
              </w:rPr>
              <w:t>la</w:t>
            </w:r>
            <w:r>
              <w:rPr>
                <w:b/>
                <w:sz w:val="18"/>
                <w:lang w:val="en-GB"/>
              </w:rPr>
              <w:t>ti</w:t>
            </w:r>
            <w:r w:rsidRPr="008554B0">
              <w:rPr>
                <w:b/>
                <w:sz w:val="18"/>
                <w:lang w:val="en-GB"/>
              </w:rPr>
              <w:t xml:space="preserve">on at baseline </w:t>
            </w:r>
          </w:p>
          <w:p w14:paraId="7AD1D842" w14:textId="77777777" w:rsidR="008554B0" w:rsidRDefault="008554B0" w:rsidP="001304D9">
            <w:pPr>
              <w:pStyle w:val="TableParagraph"/>
              <w:spacing w:before="30" w:line="240" w:lineRule="auto"/>
              <w:ind w:left="110"/>
              <w:jc w:val="left"/>
              <w:rPr>
                <w:sz w:val="18"/>
              </w:rPr>
            </w:pPr>
            <w:r>
              <w:rPr>
                <w:sz w:val="18"/>
              </w:rPr>
              <w:t>Adjusted</w:t>
            </w:r>
            <w:r>
              <w:rPr>
                <w:spacing w:val="-3"/>
                <w:sz w:val="18"/>
              </w:rPr>
              <w:t xml:space="preserve"> </w:t>
            </w:r>
            <w:r>
              <w:rPr>
                <w:sz w:val="18"/>
              </w:rPr>
              <w:t>OR</w:t>
            </w:r>
            <w:r>
              <w:rPr>
                <w:spacing w:val="2"/>
                <w:sz w:val="18"/>
              </w:rPr>
              <w:t xml:space="preserve"> </w:t>
            </w:r>
            <w:r>
              <w:rPr>
                <w:sz w:val="18"/>
              </w:rPr>
              <w:t>-</w:t>
            </w:r>
            <w:r>
              <w:rPr>
                <w:spacing w:val="-2"/>
                <w:sz w:val="18"/>
              </w:rPr>
              <w:t xml:space="preserve"> </w:t>
            </w:r>
            <w:r>
              <w:rPr>
                <w:sz w:val="18"/>
              </w:rPr>
              <w:t>mean</w:t>
            </w:r>
            <w:r>
              <w:rPr>
                <w:spacing w:val="-3"/>
                <w:sz w:val="18"/>
              </w:rPr>
              <w:t xml:space="preserve"> </w:t>
            </w:r>
            <w:r>
              <w:rPr>
                <w:sz w:val="18"/>
              </w:rPr>
              <w:t>(SD)</w:t>
            </w:r>
          </w:p>
        </w:tc>
        <w:tc>
          <w:tcPr>
            <w:tcW w:w="1066" w:type="pct"/>
            <w:tcBorders>
              <w:left w:val="nil"/>
              <w:right w:val="nil"/>
            </w:tcBorders>
            <w:shd w:val="clear" w:color="auto" w:fill="ECECEC"/>
          </w:tcPr>
          <w:p w14:paraId="5F62610C" w14:textId="77777777" w:rsidR="008554B0" w:rsidRPr="001E006B" w:rsidRDefault="008554B0" w:rsidP="001304D9">
            <w:pPr>
              <w:pStyle w:val="TableParagraph"/>
              <w:spacing w:before="10" w:line="240" w:lineRule="auto"/>
              <w:rPr>
                <w:sz w:val="18"/>
                <w:szCs w:val="18"/>
              </w:rPr>
            </w:pPr>
          </w:p>
          <w:p w14:paraId="5C31F9FA" w14:textId="6579B22C" w:rsidR="008554B0" w:rsidRPr="001E006B" w:rsidRDefault="008554B0" w:rsidP="001304D9">
            <w:pPr>
              <w:pStyle w:val="TableParagraph"/>
              <w:spacing w:line="240" w:lineRule="auto"/>
              <w:ind w:left="601"/>
              <w:rPr>
                <w:sz w:val="18"/>
                <w:szCs w:val="18"/>
              </w:rPr>
            </w:pPr>
            <w:r w:rsidRPr="001E006B">
              <w:rPr>
                <w:sz w:val="18"/>
                <w:szCs w:val="18"/>
              </w:rPr>
              <w:t>1.</w:t>
            </w:r>
            <w:r w:rsidR="00815E42" w:rsidRPr="001E006B">
              <w:rPr>
                <w:sz w:val="18"/>
                <w:szCs w:val="18"/>
              </w:rPr>
              <w:t>22 (0.19)</w:t>
            </w:r>
          </w:p>
        </w:tc>
        <w:tc>
          <w:tcPr>
            <w:tcW w:w="908" w:type="pct"/>
            <w:tcBorders>
              <w:left w:val="nil"/>
              <w:right w:val="nil"/>
            </w:tcBorders>
            <w:shd w:val="clear" w:color="auto" w:fill="ECECEC"/>
          </w:tcPr>
          <w:p w14:paraId="044FC5E3" w14:textId="77777777" w:rsidR="008554B0" w:rsidRPr="001E006B" w:rsidRDefault="008554B0" w:rsidP="001304D9">
            <w:pPr>
              <w:pStyle w:val="TableParagraph"/>
              <w:spacing w:before="10" w:line="240" w:lineRule="auto"/>
              <w:rPr>
                <w:sz w:val="18"/>
                <w:szCs w:val="18"/>
              </w:rPr>
            </w:pPr>
          </w:p>
          <w:p w14:paraId="036755AF" w14:textId="5B45DD2D" w:rsidR="008554B0" w:rsidRPr="001E006B" w:rsidRDefault="00815E42" w:rsidP="001304D9">
            <w:pPr>
              <w:pStyle w:val="TableParagraph"/>
              <w:spacing w:before="10" w:line="240" w:lineRule="auto"/>
              <w:rPr>
                <w:sz w:val="18"/>
                <w:szCs w:val="18"/>
              </w:rPr>
            </w:pPr>
            <w:r w:rsidRPr="001E006B">
              <w:rPr>
                <w:sz w:val="18"/>
                <w:szCs w:val="18"/>
              </w:rPr>
              <w:t>1.40 (0.28)</w:t>
            </w:r>
          </w:p>
        </w:tc>
        <w:tc>
          <w:tcPr>
            <w:tcW w:w="739" w:type="pct"/>
            <w:tcBorders>
              <w:left w:val="nil"/>
              <w:right w:val="nil"/>
            </w:tcBorders>
            <w:shd w:val="clear" w:color="auto" w:fill="ECECEC"/>
          </w:tcPr>
          <w:p w14:paraId="2E4EC13D" w14:textId="77777777" w:rsidR="008554B0" w:rsidRPr="001E006B" w:rsidRDefault="008554B0" w:rsidP="001304D9">
            <w:pPr>
              <w:pStyle w:val="TableParagraph"/>
              <w:spacing w:before="10" w:line="240" w:lineRule="auto"/>
              <w:rPr>
                <w:sz w:val="18"/>
                <w:szCs w:val="18"/>
              </w:rPr>
            </w:pPr>
          </w:p>
          <w:p w14:paraId="1E581083" w14:textId="68AC7402" w:rsidR="008554B0" w:rsidRPr="001E006B" w:rsidRDefault="00815E42" w:rsidP="001304D9">
            <w:pPr>
              <w:pStyle w:val="TableParagraph"/>
              <w:spacing w:before="10" w:line="240" w:lineRule="auto"/>
              <w:rPr>
                <w:sz w:val="18"/>
                <w:szCs w:val="18"/>
              </w:rPr>
            </w:pPr>
            <w:r w:rsidRPr="001E006B">
              <w:rPr>
                <w:sz w:val="18"/>
                <w:szCs w:val="18"/>
              </w:rPr>
              <w:t>0.89 (0.19)</w:t>
            </w:r>
          </w:p>
        </w:tc>
        <w:tc>
          <w:tcPr>
            <w:tcW w:w="688" w:type="pct"/>
            <w:tcBorders>
              <w:left w:val="nil"/>
              <w:right w:val="nil"/>
            </w:tcBorders>
            <w:shd w:val="clear" w:color="auto" w:fill="ECECEC"/>
            <w:vAlign w:val="center"/>
          </w:tcPr>
          <w:p w14:paraId="337E32C7" w14:textId="77777777" w:rsidR="008554B0" w:rsidRPr="00302F3B" w:rsidRDefault="008554B0" w:rsidP="001304D9">
            <w:pPr>
              <w:pStyle w:val="TableParagraph"/>
              <w:spacing w:line="240" w:lineRule="auto"/>
              <w:rPr>
                <w:sz w:val="18"/>
                <w:szCs w:val="18"/>
              </w:rPr>
            </w:pPr>
            <w:r w:rsidRPr="00302F3B">
              <w:rPr>
                <w:sz w:val="18"/>
              </w:rPr>
              <w:t>1</w:t>
            </w:r>
          </w:p>
        </w:tc>
      </w:tr>
      <w:tr w:rsidR="008554B0" w14:paraId="6A70F3AC" w14:textId="77777777" w:rsidTr="00BB21F9">
        <w:trPr>
          <w:trHeight w:val="280"/>
        </w:trPr>
        <w:tc>
          <w:tcPr>
            <w:tcW w:w="1599" w:type="pct"/>
            <w:tcBorders>
              <w:right w:val="nil"/>
            </w:tcBorders>
            <w:shd w:val="clear" w:color="auto" w:fill="ECECEC"/>
          </w:tcPr>
          <w:p w14:paraId="3641E637" w14:textId="77777777" w:rsidR="008554B0" w:rsidRDefault="008554B0" w:rsidP="001304D9">
            <w:pPr>
              <w:pStyle w:val="TableParagraph"/>
              <w:spacing w:before="29" w:line="240" w:lineRule="auto"/>
              <w:ind w:left="150"/>
              <w:jc w:val="left"/>
              <w:rPr>
                <w:sz w:val="18"/>
              </w:rPr>
            </w:pPr>
            <w:r>
              <w:rPr>
                <w:sz w:val="18"/>
              </w:rPr>
              <w:t>-</w:t>
            </w:r>
            <w:r>
              <w:rPr>
                <w:spacing w:val="-3"/>
                <w:sz w:val="18"/>
              </w:rPr>
              <w:t xml:space="preserve"> </w:t>
            </w:r>
            <w:r>
              <w:rPr>
                <w:sz w:val="18"/>
              </w:rPr>
              <w:t>median</w:t>
            </w:r>
            <w:r>
              <w:rPr>
                <w:spacing w:val="-2"/>
                <w:sz w:val="18"/>
              </w:rPr>
              <w:t xml:space="preserve"> </w:t>
            </w:r>
            <w:r>
              <w:rPr>
                <w:sz w:val="18"/>
              </w:rPr>
              <w:t>(95%</w:t>
            </w:r>
            <w:r>
              <w:rPr>
                <w:spacing w:val="-1"/>
                <w:sz w:val="18"/>
              </w:rPr>
              <w:t xml:space="preserve"> </w:t>
            </w:r>
            <w:r>
              <w:rPr>
                <w:sz w:val="18"/>
              </w:rPr>
              <w:t>CrI)</w:t>
            </w:r>
          </w:p>
        </w:tc>
        <w:tc>
          <w:tcPr>
            <w:tcW w:w="1066" w:type="pct"/>
            <w:tcBorders>
              <w:left w:val="nil"/>
              <w:right w:val="nil"/>
            </w:tcBorders>
            <w:shd w:val="clear" w:color="auto" w:fill="ECECEC"/>
          </w:tcPr>
          <w:p w14:paraId="1929920B" w14:textId="12083267" w:rsidR="008554B0" w:rsidRPr="001E006B" w:rsidRDefault="00815E42" w:rsidP="001304D9">
            <w:pPr>
              <w:pStyle w:val="TableParagraph"/>
              <w:spacing w:before="29" w:line="240" w:lineRule="auto"/>
              <w:ind w:left="601"/>
              <w:rPr>
                <w:sz w:val="18"/>
                <w:szCs w:val="18"/>
              </w:rPr>
            </w:pPr>
            <w:r w:rsidRPr="001E006B">
              <w:rPr>
                <w:sz w:val="18"/>
                <w:szCs w:val="18"/>
              </w:rPr>
              <w:t>1.20 (0.81 to 1.64)</w:t>
            </w:r>
          </w:p>
        </w:tc>
        <w:tc>
          <w:tcPr>
            <w:tcW w:w="908" w:type="pct"/>
            <w:tcBorders>
              <w:left w:val="nil"/>
              <w:right w:val="nil"/>
            </w:tcBorders>
            <w:shd w:val="clear" w:color="auto" w:fill="ECECEC"/>
          </w:tcPr>
          <w:p w14:paraId="6AD45D1A" w14:textId="3AD6FFF7" w:rsidR="008554B0" w:rsidRPr="001E006B" w:rsidRDefault="00815E42" w:rsidP="001304D9">
            <w:pPr>
              <w:pStyle w:val="TableParagraph"/>
              <w:spacing w:before="29" w:line="240" w:lineRule="auto"/>
              <w:ind w:left="181"/>
              <w:rPr>
                <w:sz w:val="18"/>
                <w:szCs w:val="18"/>
              </w:rPr>
            </w:pPr>
            <w:r w:rsidRPr="001E006B">
              <w:rPr>
                <w:sz w:val="18"/>
                <w:szCs w:val="18"/>
              </w:rPr>
              <w:t>1.38 (0.94 to 2.02)</w:t>
            </w:r>
          </w:p>
        </w:tc>
        <w:tc>
          <w:tcPr>
            <w:tcW w:w="739" w:type="pct"/>
            <w:tcBorders>
              <w:left w:val="nil"/>
              <w:right w:val="nil"/>
            </w:tcBorders>
            <w:shd w:val="clear" w:color="auto" w:fill="ECECEC"/>
          </w:tcPr>
          <w:p w14:paraId="7004959E" w14:textId="5C22079D" w:rsidR="008554B0" w:rsidRPr="001E006B" w:rsidRDefault="00815E42" w:rsidP="001304D9">
            <w:pPr>
              <w:pStyle w:val="TableParagraph"/>
              <w:spacing w:before="29" w:line="240" w:lineRule="auto"/>
              <w:ind w:left="181"/>
              <w:rPr>
                <w:sz w:val="18"/>
                <w:szCs w:val="18"/>
              </w:rPr>
            </w:pPr>
            <w:r w:rsidRPr="001E006B">
              <w:rPr>
                <w:sz w:val="18"/>
                <w:szCs w:val="18"/>
              </w:rPr>
              <w:t>0.87 (0.57 to 1.31)</w:t>
            </w:r>
          </w:p>
        </w:tc>
        <w:tc>
          <w:tcPr>
            <w:tcW w:w="688" w:type="pct"/>
            <w:tcBorders>
              <w:left w:val="nil"/>
              <w:right w:val="nil"/>
            </w:tcBorders>
            <w:shd w:val="clear" w:color="auto" w:fill="ECECEC"/>
            <w:vAlign w:val="center"/>
          </w:tcPr>
          <w:p w14:paraId="7AECD33E" w14:textId="77777777" w:rsidR="008554B0" w:rsidRPr="00302F3B" w:rsidRDefault="008554B0" w:rsidP="001304D9">
            <w:pPr>
              <w:pStyle w:val="TableParagraph"/>
              <w:spacing w:before="29" w:line="240" w:lineRule="auto"/>
              <w:rPr>
                <w:sz w:val="18"/>
                <w:szCs w:val="18"/>
              </w:rPr>
            </w:pPr>
            <w:r w:rsidRPr="00302F3B">
              <w:rPr>
                <w:sz w:val="18"/>
              </w:rPr>
              <w:t>1</w:t>
            </w:r>
          </w:p>
        </w:tc>
      </w:tr>
      <w:tr w:rsidR="008554B0" w14:paraId="59ABF439" w14:textId="77777777" w:rsidTr="00BB21F9">
        <w:trPr>
          <w:trHeight w:val="280"/>
        </w:trPr>
        <w:tc>
          <w:tcPr>
            <w:tcW w:w="1599" w:type="pct"/>
            <w:tcBorders>
              <w:right w:val="nil"/>
            </w:tcBorders>
            <w:shd w:val="clear" w:color="auto" w:fill="ECECEC"/>
          </w:tcPr>
          <w:p w14:paraId="0A40FAF5" w14:textId="77777777" w:rsidR="008554B0" w:rsidRDefault="008554B0" w:rsidP="001304D9">
            <w:pPr>
              <w:pStyle w:val="TableParagraph"/>
              <w:spacing w:before="28" w:line="240" w:lineRule="auto"/>
              <w:ind w:left="110"/>
              <w:jc w:val="left"/>
              <w:rPr>
                <w:sz w:val="18"/>
              </w:rPr>
            </w:pPr>
            <w:r>
              <w:rPr>
                <w:sz w:val="18"/>
              </w:rPr>
              <w:t>Probability</w:t>
            </w:r>
            <w:r>
              <w:rPr>
                <w:spacing w:val="-6"/>
                <w:sz w:val="18"/>
              </w:rPr>
              <w:t xml:space="preserve"> </w:t>
            </w:r>
            <w:r>
              <w:rPr>
                <w:sz w:val="18"/>
              </w:rPr>
              <w:t>of</w:t>
            </w:r>
            <w:r>
              <w:rPr>
                <w:spacing w:val="-3"/>
                <w:sz w:val="18"/>
              </w:rPr>
              <w:t xml:space="preserve"> </w:t>
            </w:r>
            <w:r>
              <w:rPr>
                <w:sz w:val="18"/>
              </w:rPr>
              <w:t>superiority</w:t>
            </w:r>
            <w:r>
              <w:rPr>
                <w:spacing w:val="-5"/>
                <w:sz w:val="18"/>
              </w:rPr>
              <w:t xml:space="preserve"> </w:t>
            </w:r>
            <w:r>
              <w:rPr>
                <w:sz w:val="18"/>
              </w:rPr>
              <w:t>to</w:t>
            </w:r>
            <w:r>
              <w:rPr>
                <w:spacing w:val="-4"/>
                <w:sz w:val="18"/>
              </w:rPr>
              <w:t xml:space="preserve"> </w:t>
            </w:r>
            <w:r>
              <w:rPr>
                <w:sz w:val="18"/>
              </w:rPr>
              <w:t>control,</w:t>
            </w:r>
            <w:r>
              <w:rPr>
                <w:spacing w:val="-3"/>
                <w:sz w:val="18"/>
              </w:rPr>
              <w:t xml:space="preserve"> </w:t>
            </w:r>
            <w:r>
              <w:rPr>
                <w:sz w:val="18"/>
              </w:rPr>
              <w:t>%</w:t>
            </w:r>
          </w:p>
        </w:tc>
        <w:tc>
          <w:tcPr>
            <w:tcW w:w="1066" w:type="pct"/>
            <w:tcBorders>
              <w:left w:val="nil"/>
              <w:right w:val="nil"/>
            </w:tcBorders>
            <w:shd w:val="clear" w:color="auto" w:fill="ECECEC"/>
          </w:tcPr>
          <w:p w14:paraId="79E84AF0" w14:textId="39AA4CD9" w:rsidR="008554B0" w:rsidRPr="001E006B" w:rsidRDefault="00815E42" w:rsidP="001304D9">
            <w:pPr>
              <w:pStyle w:val="TableParagraph"/>
              <w:spacing w:before="28" w:line="240" w:lineRule="auto"/>
              <w:ind w:left="601"/>
              <w:rPr>
                <w:sz w:val="18"/>
                <w:szCs w:val="18"/>
              </w:rPr>
            </w:pPr>
            <w:r w:rsidRPr="001E006B">
              <w:rPr>
                <w:sz w:val="18"/>
                <w:szCs w:val="18"/>
              </w:rPr>
              <w:t>87.6</w:t>
            </w:r>
          </w:p>
        </w:tc>
        <w:tc>
          <w:tcPr>
            <w:tcW w:w="908" w:type="pct"/>
            <w:tcBorders>
              <w:left w:val="nil"/>
              <w:right w:val="nil"/>
            </w:tcBorders>
            <w:shd w:val="clear" w:color="auto" w:fill="ECECEC"/>
          </w:tcPr>
          <w:p w14:paraId="5F8FD365" w14:textId="5BA3C7A3" w:rsidR="008554B0" w:rsidRPr="001E006B" w:rsidRDefault="00815E42" w:rsidP="001304D9">
            <w:pPr>
              <w:pStyle w:val="TableParagraph"/>
              <w:spacing w:before="28" w:line="240" w:lineRule="auto"/>
              <w:ind w:left="181"/>
              <w:rPr>
                <w:sz w:val="18"/>
                <w:szCs w:val="18"/>
              </w:rPr>
            </w:pPr>
            <w:r w:rsidRPr="001E006B">
              <w:rPr>
                <w:sz w:val="18"/>
                <w:szCs w:val="18"/>
              </w:rPr>
              <w:t>94.8</w:t>
            </w:r>
          </w:p>
        </w:tc>
        <w:tc>
          <w:tcPr>
            <w:tcW w:w="739" w:type="pct"/>
            <w:tcBorders>
              <w:left w:val="nil"/>
              <w:right w:val="nil"/>
            </w:tcBorders>
            <w:shd w:val="clear" w:color="auto" w:fill="ECECEC"/>
          </w:tcPr>
          <w:p w14:paraId="2BADAD6C" w14:textId="24ABCC4C" w:rsidR="008554B0" w:rsidRPr="001E006B" w:rsidRDefault="00815E42" w:rsidP="001304D9">
            <w:pPr>
              <w:pStyle w:val="TableParagraph"/>
              <w:spacing w:before="28" w:line="240" w:lineRule="auto"/>
              <w:ind w:left="181"/>
              <w:rPr>
                <w:sz w:val="18"/>
                <w:szCs w:val="18"/>
              </w:rPr>
            </w:pPr>
            <w:r w:rsidRPr="001E006B">
              <w:rPr>
                <w:sz w:val="18"/>
                <w:szCs w:val="18"/>
              </w:rPr>
              <w:t>25.4</w:t>
            </w:r>
          </w:p>
        </w:tc>
        <w:tc>
          <w:tcPr>
            <w:tcW w:w="688" w:type="pct"/>
            <w:tcBorders>
              <w:left w:val="nil"/>
              <w:right w:val="nil"/>
            </w:tcBorders>
            <w:shd w:val="clear" w:color="auto" w:fill="ECECEC"/>
            <w:vAlign w:val="center"/>
          </w:tcPr>
          <w:p w14:paraId="40E2D902" w14:textId="77777777" w:rsidR="008554B0" w:rsidRPr="00302F3B" w:rsidRDefault="008554B0" w:rsidP="001304D9">
            <w:pPr>
              <w:pStyle w:val="TableParagraph"/>
              <w:spacing w:before="28" w:line="240" w:lineRule="auto"/>
              <w:rPr>
                <w:sz w:val="18"/>
                <w:szCs w:val="18"/>
              </w:rPr>
            </w:pPr>
            <w:r w:rsidRPr="00302F3B">
              <w:rPr>
                <w:sz w:val="18"/>
              </w:rPr>
              <w:t>-</w:t>
            </w:r>
          </w:p>
        </w:tc>
      </w:tr>
      <w:tr w:rsidR="008554B0" w14:paraId="05D19571" w14:textId="77777777" w:rsidTr="00BB21F9">
        <w:trPr>
          <w:trHeight w:val="715"/>
        </w:trPr>
        <w:tc>
          <w:tcPr>
            <w:tcW w:w="5000" w:type="pct"/>
            <w:gridSpan w:val="5"/>
            <w:tcBorders>
              <w:top w:val="dashSmallGap" w:sz="4" w:space="0" w:color="D8D8D8"/>
              <w:left w:val="dashSmallGap" w:sz="4" w:space="0" w:color="D8D8D8"/>
              <w:bottom w:val="dashSmallGap" w:sz="4" w:space="0" w:color="D8D8D8"/>
              <w:right w:val="dashSmallGap" w:sz="4" w:space="0" w:color="D8D8D8"/>
            </w:tcBorders>
            <w:shd w:val="clear" w:color="auto" w:fill="ECECEC"/>
          </w:tcPr>
          <w:p w14:paraId="34C50806" w14:textId="33CA857E" w:rsidR="008554B0" w:rsidRPr="00302F3B" w:rsidRDefault="008554B0" w:rsidP="001304D9">
            <w:pPr>
              <w:pStyle w:val="TableParagraph"/>
              <w:spacing w:before="30" w:line="237" w:lineRule="auto"/>
              <w:ind w:left="110" w:right="5276"/>
              <w:jc w:val="left"/>
              <w:rPr>
                <w:b/>
                <w:sz w:val="18"/>
                <w:szCs w:val="18"/>
              </w:rPr>
            </w:pPr>
            <w:r w:rsidRPr="00302F3B">
              <w:rPr>
                <w:b/>
                <w:sz w:val="18"/>
                <w:szCs w:val="18"/>
              </w:rPr>
              <w:t xml:space="preserve">Secondary Analysis of Hospital Survival, </w:t>
            </w:r>
            <w:r w:rsidRPr="00302F3B">
              <w:rPr>
                <w:bCs/>
                <w:sz w:val="18"/>
                <w:szCs w:val="18"/>
              </w:rPr>
              <w:t xml:space="preserve">model restricted to Immune Modulation Therapy Domain participants, according to </w:t>
            </w:r>
            <w:r w:rsidRPr="00302F3B">
              <w:rPr>
                <w:b/>
                <w:sz w:val="18"/>
              </w:rPr>
              <w:t>baseline mechanical ventilation status</w:t>
            </w:r>
          </w:p>
        </w:tc>
      </w:tr>
      <w:tr w:rsidR="008554B0" w14:paraId="5C39F1E3" w14:textId="77777777" w:rsidTr="00BB21F9">
        <w:trPr>
          <w:trHeight w:val="530"/>
        </w:trPr>
        <w:tc>
          <w:tcPr>
            <w:tcW w:w="1599" w:type="pct"/>
            <w:tcBorders>
              <w:right w:val="nil"/>
            </w:tcBorders>
            <w:shd w:val="clear" w:color="auto" w:fill="ECECEC"/>
          </w:tcPr>
          <w:p w14:paraId="0BA41469" w14:textId="77777777" w:rsidR="008554B0" w:rsidRDefault="008554B0" w:rsidP="008554B0">
            <w:pPr>
              <w:pStyle w:val="TableParagraph"/>
              <w:spacing w:before="30" w:line="240" w:lineRule="auto"/>
              <w:ind w:left="110"/>
              <w:jc w:val="left"/>
              <w:rPr>
                <w:b/>
                <w:sz w:val="18"/>
                <w:lang w:val="en-GB"/>
              </w:rPr>
            </w:pPr>
            <w:r w:rsidRPr="008554B0">
              <w:rPr>
                <w:b/>
                <w:sz w:val="18"/>
                <w:lang w:val="en-GB"/>
              </w:rPr>
              <w:t>No invasive mechanical ven</w:t>
            </w:r>
            <w:r>
              <w:rPr>
                <w:b/>
                <w:sz w:val="18"/>
                <w:lang w:val="en-GB"/>
              </w:rPr>
              <w:t>ti</w:t>
            </w:r>
            <w:r w:rsidRPr="008554B0">
              <w:rPr>
                <w:b/>
                <w:sz w:val="18"/>
                <w:lang w:val="en-GB"/>
              </w:rPr>
              <w:t>la</w:t>
            </w:r>
            <w:r>
              <w:rPr>
                <w:b/>
                <w:sz w:val="18"/>
                <w:lang w:val="en-GB"/>
              </w:rPr>
              <w:t>ti</w:t>
            </w:r>
            <w:r w:rsidRPr="008554B0">
              <w:rPr>
                <w:b/>
                <w:sz w:val="18"/>
                <w:lang w:val="en-GB"/>
              </w:rPr>
              <w:t xml:space="preserve">on at baseline </w:t>
            </w:r>
          </w:p>
          <w:p w14:paraId="27566D2F" w14:textId="77777777" w:rsidR="008554B0" w:rsidRDefault="008554B0" w:rsidP="001304D9">
            <w:pPr>
              <w:pStyle w:val="TableParagraph"/>
              <w:spacing w:before="31" w:line="240" w:lineRule="auto"/>
              <w:ind w:left="110"/>
              <w:jc w:val="left"/>
              <w:rPr>
                <w:sz w:val="18"/>
              </w:rPr>
            </w:pPr>
            <w:r>
              <w:rPr>
                <w:sz w:val="18"/>
              </w:rPr>
              <w:t>Adjusted</w:t>
            </w:r>
            <w:r>
              <w:rPr>
                <w:spacing w:val="-3"/>
                <w:sz w:val="18"/>
              </w:rPr>
              <w:t xml:space="preserve"> </w:t>
            </w:r>
            <w:r>
              <w:rPr>
                <w:sz w:val="18"/>
              </w:rPr>
              <w:t>OR</w:t>
            </w:r>
            <w:r>
              <w:rPr>
                <w:spacing w:val="2"/>
                <w:sz w:val="18"/>
              </w:rPr>
              <w:t xml:space="preserve"> </w:t>
            </w:r>
            <w:r>
              <w:rPr>
                <w:sz w:val="18"/>
              </w:rPr>
              <w:t>-</w:t>
            </w:r>
            <w:r>
              <w:rPr>
                <w:spacing w:val="-2"/>
                <w:sz w:val="18"/>
              </w:rPr>
              <w:t xml:space="preserve"> </w:t>
            </w:r>
            <w:r>
              <w:rPr>
                <w:sz w:val="18"/>
              </w:rPr>
              <w:t>mean</w:t>
            </w:r>
            <w:r>
              <w:rPr>
                <w:spacing w:val="-3"/>
                <w:sz w:val="18"/>
              </w:rPr>
              <w:t xml:space="preserve"> </w:t>
            </w:r>
            <w:r>
              <w:rPr>
                <w:sz w:val="18"/>
              </w:rPr>
              <w:t>(SD)</w:t>
            </w:r>
          </w:p>
        </w:tc>
        <w:tc>
          <w:tcPr>
            <w:tcW w:w="1066" w:type="pct"/>
            <w:tcBorders>
              <w:left w:val="nil"/>
              <w:right w:val="nil"/>
            </w:tcBorders>
            <w:shd w:val="clear" w:color="auto" w:fill="ECECEC"/>
            <w:vAlign w:val="bottom"/>
          </w:tcPr>
          <w:p w14:paraId="39A75B99" w14:textId="796EB293" w:rsidR="008554B0" w:rsidRPr="001E006B" w:rsidRDefault="00815E42" w:rsidP="001304D9">
            <w:pPr>
              <w:pStyle w:val="TableParagraph"/>
              <w:spacing w:line="240" w:lineRule="auto"/>
              <w:rPr>
                <w:sz w:val="18"/>
                <w:szCs w:val="18"/>
              </w:rPr>
            </w:pPr>
            <w:r w:rsidRPr="001E006B">
              <w:rPr>
                <w:sz w:val="18"/>
                <w:szCs w:val="18"/>
              </w:rPr>
              <w:t>1.56 (0.25)</w:t>
            </w:r>
          </w:p>
        </w:tc>
        <w:tc>
          <w:tcPr>
            <w:tcW w:w="908" w:type="pct"/>
            <w:tcBorders>
              <w:left w:val="nil"/>
              <w:right w:val="nil"/>
            </w:tcBorders>
            <w:shd w:val="clear" w:color="auto" w:fill="ECECEC"/>
            <w:vAlign w:val="bottom"/>
          </w:tcPr>
          <w:p w14:paraId="6471C6E9" w14:textId="21D794F9" w:rsidR="008554B0" w:rsidRPr="001E006B" w:rsidRDefault="001E006B" w:rsidP="001304D9">
            <w:pPr>
              <w:pStyle w:val="TableParagraph"/>
              <w:spacing w:before="10" w:line="240" w:lineRule="auto"/>
              <w:rPr>
                <w:sz w:val="18"/>
                <w:szCs w:val="18"/>
              </w:rPr>
            </w:pPr>
            <w:r w:rsidRPr="001E006B">
              <w:rPr>
                <w:sz w:val="18"/>
                <w:szCs w:val="18"/>
              </w:rPr>
              <w:t>1.51 (0.29)</w:t>
            </w:r>
          </w:p>
        </w:tc>
        <w:tc>
          <w:tcPr>
            <w:tcW w:w="739" w:type="pct"/>
            <w:tcBorders>
              <w:left w:val="nil"/>
              <w:right w:val="nil"/>
            </w:tcBorders>
            <w:shd w:val="clear" w:color="auto" w:fill="ECECEC"/>
            <w:vAlign w:val="bottom"/>
          </w:tcPr>
          <w:p w14:paraId="7BE8B9AC" w14:textId="45412591" w:rsidR="008554B0" w:rsidRPr="001E006B" w:rsidRDefault="001E006B" w:rsidP="001304D9">
            <w:pPr>
              <w:pStyle w:val="TableParagraph"/>
              <w:spacing w:before="10" w:line="240" w:lineRule="auto"/>
              <w:rPr>
                <w:sz w:val="18"/>
                <w:szCs w:val="18"/>
              </w:rPr>
            </w:pPr>
            <w:r w:rsidRPr="001E006B">
              <w:rPr>
                <w:sz w:val="18"/>
                <w:szCs w:val="18"/>
              </w:rPr>
              <w:t>1.13 (0.25)</w:t>
            </w:r>
          </w:p>
        </w:tc>
        <w:tc>
          <w:tcPr>
            <w:tcW w:w="688" w:type="pct"/>
            <w:tcBorders>
              <w:left w:val="nil"/>
              <w:right w:val="nil"/>
            </w:tcBorders>
            <w:shd w:val="clear" w:color="auto" w:fill="ECECEC"/>
            <w:vAlign w:val="bottom"/>
          </w:tcPr>
          <w:p w14:paraId="2A28044E" w14:textId="77777777" w:rsidR="008554B0" w:rsidRPr="00302F3B" w:rsidRDefault="008554B0" w:rsidP="001304D9">
            <w:pPr>
              <w:pStyle w:val="TableParagraph"/>
              <w:spacing w:line="240" w:lineRule="auto"/>
              <w:rPr>
                <w:sz w:val="18"/>
                <w:szCs w:val="18"/>
              </w:rPr>
            </w:pPr>
            <w:r w:rsidRPr="00302F3B">
              <w:rPr>
                <w:sz w:val="18"/>
              </w:rPr>
              <w:t>1</w:t>
            </w:r>
          </w:p>
        </w:tc>
      </w:tr>
      <w:tr w:rsidR="008554B0" w14:paraId="5C1A312E" w14:textId="77777777" w:rsidTr="00BB21F9">
        <w:trPr>
          <w:trHeight w:val="278"/>
        </w:trPr>
        <w:tc>
          <w:tcPr>
            <w:tcW w:w="1599" w:type="pct"/>
            <w:tcBorders>
              <w:bottom w:val="dashSmallGap" w:sz="6" w:space="0" w:color="D8D8D8"/>
              <w:right w:val="nil"/>
            </w:tcBorders>
            <w:shd w:val="clear" w:color="auto" w:fill="ECECEC"/>
          </w:tcPr>
          <w:p w14:paraId="36016B3B" w14:textId="77777777" w:rsidR="008554B0" w:rsidRDefault="008554B0" w:rsidP="001304D9">
            <w:pPr>
              <w:pStyle w:val="TableParagraph"/>
              <w:spacing w:before="29" w:line="240" w:lineRule="auto"/>
              <w:ind w:left="150"/>
              <w:jc w:val="left"/>
              <w:rPr>
                <w:sz w:val="18"/>
              </w:rPr>
            </w:pPr>
            <w:r>
              <w:rPr>
                <w:sz w:val="18"/>
              </w:rPr>
              <w:t>-</w:t>
            </w:r>
            <w:r>
              <w:rPr>
                <w:spacing w:val="-3"/>
                <w:sz w:val="18"/>
              </w:rPr>
              <w:t xml:space="preserve"> </w:t>
            </w:r>
            <w:r>
              <w:rPr>
                <w:sz w:val="18"/>
              </w:rPr>
              <w:t>median</w:t>
            </w:r>
            <w:r>
              <w:rPr>
                <w:spacing w:val="-2"/>
                <w:sz w:val="18"/>
              </w:rPr>
              <w:t xml:space="preserve"> </w:t>
            </w:r>
            <w:r>
              <w:rPr>
                <w:sz w:val="18"/>
              </w:rPr>
              <w:t>(95%</w:t>
            </w:r>
            <w:r>
              <w:rPr>
                <w:spacing w:val="-1"/>
                <w:sz w:val="18"/>
              </w:rPr>
              <w:t xml:space="preserve"> </w:t>
            </w:r>
            <w:r>
              <w:rPr>
                <w:sz w:val="18"/>
              </w:rPr>
              <w:t>CrI)</w:t>
            </w:r>
          </w:p>
        </w:tc>
        <w:tc>
          <w:tcPr>
            <w:tcW w:w="1066" w:type="pct"/>
            <w:tcBorders>
              <w:left w:val="nil"/>
              <w:bottom w:val="dashSmallGap" w:sz="6" w:space="0" w:color="D8D8D8"/>
              <w:right w:val="nil"/>
            </w:tcBorders>
            <w:shd w:val="clear" w:color="auto" w:fill="ECECEC"/>
            <w:vAlign w:val="center"/>
          </w:tcPr>
          <w:p w14:paraId="6F7B8122" w14:textId="1ACEABBB" w:rsidR="008554B0" w:rsidRPr="001E006B" w:rsidRDefault="00815E42" w:rsidP="001304D9">
            <w:pPr>
              <w:pStyle w:val="TableParagraph"/>
              <w:spacing w:before="29" w:line="240" w:lineRule="auto"/>
              <w:rPr>
                <w:sz w:val="18"/>
                <w:szCs w:val="18"/>
              </w:rPr>
            </w:pPr>
            <w:r w:rsidRPr="001E006B">
              <w:rPr>
                <w:sz w:val="18"/>
                <w:szCs w:val="18"/>
              </w:rPr>
              <w:t>1.54 (1.12 to 2.11)</w:t>
            </w:r>
          </w:p>
        </w:tc>
        <w:tc>
          <w:tcPr>
            <w:tcW w:w="908" w:type="pct"/>
            <w:tcBorders>
              <w:left w:val="nil"/>
              <w:bottom w:val="dashSmallGap" w:sz="6" w:space="0" w:color="D8D8D8"/>
              <w:right w:val="nil"/>
            </w:tcBorders>
            <w:shd w:val="clear" w:color="auto" w:fill="ECECEC"/>
            <w:vAlign w:val="center"/>
          </w:tcPr>
          <w:p w14:paraId="7015F939" w14:textId="4A970935" w:rsidR="008554B0" w:rsidRPr="001E006B" w:rsidRDefault="001E006B" w:rsidP="001304D9">
            <w:pPr>
              <w:pStyle w:val="TableParagraph"/>
              <w:spacing w:before="29" w:line="240" w:lineRule="auto"/>
              <w:rPr>
                <w:sz w:val="18"/>
                <w:szCs w:val="18"/>
              </w:rPr>
            </w:pPr>
            <w:r w:rsidRPr="001E006B">
              <w:rPr>
                <w:sz w:val="18"/>
                <w:szCs w:val="18"/>
              </w:rPr>
              <w:t>1.48 (1.02 to 2.16)</w:t>
            </w:r>
          </w:p>
        </w:tc>
        <w:tc>
          <w:tcPr>
            <w:tcW w:w="739" w:type="pct"/>
            <w:tcBorders>
              <w:left w:val="nil"/>
              <w:bottom w:val="dashSmallGap" w:sz="6" w:space="0" w:color="D8D8D8"/>
              <w:right w:val="nil"/>
            </w:tcBorders>
            <w:shd w:val="clear" w:color="auto" w:fill="ECECEC"/>
            <w:vAlign w:val="center"/>
          </w:tcPr>
          <w:p w14:paraId="1606F3EC" w14:textId="71711E74" w:rsidR="008554B0" w:rsidRPr="001E006B" w:rsidRDefault="001E006B" w:rsidP="001304D9">
            <w:pPr>
              <w:pStyle w:val="TableParagraph"/>
              <w:spacing w:before="29" w:line="240" w:lineRule="auto"/>
              <w:rPr>
                <w:sz w:val="18"/>
                <w:szCs w:val="18"/>
              </w:rPr>
            </w:pPr>
            <w:r w:rsidRPr="001E006B">
              <w:rPr>
                <w:sz w:val="18"/>
                <w:szCs w:val="18"/>
              </w:rPr>
              <w:t>1.10 (0.72 to 1.70)</w:t>
            </w:r>
          </w:p>
        </w:tc>
        <w:tc>
          <w:tcPr>
            <w:tcW w:w="688" w:type="pct"/>
            <w:tcBorders>
              <w:left w:val="nil"/>
              <w:bottom w:val="dashSmallGap" w:sz="6" w:space="0" w:color="D8D8D8"/>
              <w:right w:val="nil"/>
            </w:tcBorders>
            <w:shd w:val="clear" w:color="auto" w:fill="ECECEC"/>
            <w:vAlign w:val="center"/>
          </w:tcPr>
          <w:p w14:paraId="23C87416" w14:textId="77777777" w:rsidR="008554B0" w:rsidRPr="00A27929" w:rsidRDefault="008554B0" w:rsidP="001304D9">
            <w:pPr>
              <w:pStyle w:val="TableParagraph"/>
              <w:spacing w:before="29" w:line="240" w:lineRule="auto"/>
              <w:rPr>
                <w:sz w:val="18"/>
                <w:szCs w:val="18"/>
              </w:rPr>
            </w:pPr>
            <w:r>
              <w:rPr>
                <w:sz w:val="18"/>
              </w:rPr>
              <w:t>1</w:t>
            </w:r>
          </w:p>
        </w:tc>
      </w:tr>
      <w:tr w:rsidR="008554B0" w14:paraId="705F5B4D" w14:textId="77777777" w:rsidTr="00BB21F9">
        <w:trPr>
          <w:trHeight w:val="275"/>
        </w:trPr>
        <w:tc>
          <w:tcPr>
            <w:tcW w:w="1599" w:type="pct"/>
            <w:tcBorders>
              <w:top w:val="dashSmallGap" w:sz="6" w:space="0" w:color="D8D8D8"/>
              <w:bottom w:val="dashSmallGap" w:sz="6" w:space="0" w:color="D8D8D8"/>
              <w:right w:val="nil"/>
            </w:tcBorders>
            <w:shd w:val="clear" w:color="auto" w:fill="ECECEC"/>
          </w:tcPr>
          <w:p w14:paraId="73DD8C99" w14:textId="77777777" w:rsidR="008554B0" w:rsidRDefault="008554B0" w:rsidP="001304D9">
            <w:pPr>
              <w:pStyle w:val="TableParagraph"/>
              <w:spacing w:before="26" w:line="240" w:lineRule="auto"/>
              <w:ind w:left="110"/>
              <w:jc w:val="left"/>
              <w:rPr>
                <w:sz w:val="18"/>
              </w:rPr>
            </w:pPr>
            <w:r>
              <w:rPr>
                <w:sz w:val="18"/>
              </w:rPr>
              <w:t>Probability</w:t>
            </w:r>
            <w:r>
              <w:rPr>
                <w:spacing w:val="-6"/>
                <w:sz w:val="18"/>
              </w:rPr>
              <w:t xml:space="preserve"> </w:t>
            </w:r>
            <w:r>
              <w:rPr>
                <w:sz w:val="18"/>
              </w:rPr>
              <w:t>of</w:t>
            </w:r>
            <w:r>
              <w:rPr>
                <w:spacing w:val="-3"/>
                <w:sz w:val="18"/>
              </w:rPr>
              <w:t xml:space="preserve"> </w:t>
            </w:r>
            <w:r>
              <w:rPr>
                <w:sz w:val="18"/>
              </w:rPr>
              <w:t>superiority</w:t>
            </w:r>
            <w:r>
              <w:rPr>
                <w:spacing w:val="-5"/>
                <w:sz w:val="18"/>
              </w:rPr>
              <w:t xml:space="preserve"> </w:t>
            </w:r>
            <w:r>
              <w:rPr>
                <w:sz w:val="18"/>
              </w:rPr>
              <w:t>to</w:t>
            </w:r>
            <w:r>
              <w:rPr>
                <w:spacing w:val="-2"/>
                <w:sz w:val="18"/>
              </w:rPr>
              <w:t xml:space="preserve"> </w:t>
            </w:r>
            <w:r>
              <w:rPr>
                <w:sz w:val="18"/>
              </w:rPr>
              <w:t>control,</w:t>
            </w:r>
            <w:r>
              <w:rPr>
                <w:spacing w:val="-3"/>
                <w:sz w:val="18"/>
              </w:rPr>
              <w:t xml:space="preserve"> </w:t>
            </w:r>
            <w:r>
              <w:rPr>
                <w:sz w:val="18"/>
              </w:rPr>
              <w:t>%</w:t>
            </w:r>
          </w:p>
        </w:tc>
        <w:tc>
          <w:tcPr>
            <w:tcW w:w="1066" w:type="pct"/>
            <w:tcBorders>
              <w:top w:val="dashSmallGap" w:sz="6" w:space="0" w:color="D8D8D8"/>
              <w:left w:val="nil"/>
              <w:bottom w:val="dashSmallGap" w:sz="6" w:space="0" w:color="D8D8D8"/>
              <w:right w:val="nil"/>
            </w:tcBorders>
            <w:shd w:val="clear" w:color="auto" w:fill="ECECEC"/>
            <w:vAlign w:val="center"/>
          </w:tcPr>
          <w:p w14:paraId="1567B016" w14:textId="58C96C46" w:rsidR="008554B0" w:rsidRPr="001E006B" w:rsidRDefault="00815E42" w:rsidP="001304D9">
            <w:pPr>
              <w:pStyle w:val="TableParagraph"/>
              <w:spacing w:before="26" w:line="240" w:lineRule="auto"/>
              <w:rPr>
                <w:sz w:val="18"/>
                <w:szCs w:val="18"/>
              </w:rPr>
            </w:pPr>
            <w:r w:rsidRPr="001E006B">
              <w:rPr>
                <w:sz w:val="18"/>
                <w:szCs w:val="18"/>
              </w:rPr>
              <w:t>99.6</w:t>
            </w:r>
          </w:p>
        </w:tc>
        <w:tc>
          <w:tcPr>
            <w:tcW w:w="908" w:type="pct"/>
            <w:tcBorders>
              <w:top w:val="dashSmallGap" w:sz="6" w:space="0" w:color="D8D8D8"/>
              <w:left w:val="nil"/>
              <w:bottom w:val="dashSmallGap" w:sz="6" w:space="0" w:color="D8D8D8"/>
              <w:right w:val="nil"/>
            </w:tcBorders>
            <w:shd w:val="clear" w:color="auto" w:fill="ECECEC"/>
            <w:vAlign w:val="center"/>
          </w:tcPr>
          <w:p w14:paraId="45DB020D" w14:textId="60A2877A" w:rsidR="008554B0" w:rsidRPr="001E006B" w:rsidRDefault="001E006B" w:rsidP="001304D9">
            <w:pPr>
              <w:pStyle w:val="TableParagraph"/>
              <w:spacing w:before="26" w:line="240" w:lineRule="auto"/>
              <w:rPr>
                <w:sz w:val="18"/>
                <w:szCs w:val="18"/>
              </w:rPr>
            </w:pPr>
            <w:r w:rsidRPr="001E006B">
              <w:rPr>
                <w:sz w:val="18"/>
                <w:szCs w:val="18"/>
              </w:rPr>
              <w:t>98.0</w:t>
            </w:r>
          </w:p>
        </w:tc>
        <w:tc>
          <w:tcPr>
            <w:tcW w:w="739" w:type="pct"/>
            <w:tcBorders>
              <w:top w:val="dashSmallGap" w:sz="6" w:space="0" w:color="D8D8D8"/>
              <w:left w:val="nil"/>
              <w:bottom w:val="dashSmallGap" w:sz="6" w:space="0" w:color="D8D8D8"/>
              <w:right w:val="nil"/>
            </w:tcBorders>
            <w:shd w:val="clear" w:color="auto" w:fill="ECECEC"/>
            <w:vAlign w:val="center"/>
          </w:tcPr>
          <w:p w14:paraId="7DEA8030" w14:textId="35B2E575" w:rsidR="008554B0" w:rsidRPr="001E006B" w:rsidRDefault="001E006B" w:rsidP="001304D9">
            <w:pPr>
              <w:pStyle w:val="TableParagraph"/>
              <w:spacing w:before="26" w:line="240" w:lineRule="auto"/>
              <w:rPr>
                <w:sz w:val="18"/>
                <w:szCs w:val="18"/>
              </w:rPr>
            </w:pPr>
            <w:r w:rsidRPr="001E006B">
              <w:rPr>
                <w:sz w:val="18"/>
                <w:szCs w:val="18"/>
              </w:rPr>
              <w:t>67.8</w:t>
            </w:r>
          </w:p>
        </w:tc>
        <w:tc>
          <w:tcPr>
            <w:tcW w:w="688" w:type="pct"/>
            <w:tcBorders>
              <w:top w:val="dashSmallGap" w:sz="6" w:space="0" w:color="D8D8D8"/>
              <w:left w:val="nil"/>
              <w:bottom w:val="dashSmallGap" w:sz="6" w:space="0" w:color="D8D8D8"/>
              <w:right w:val="nil"/>
            </w:tcBorders>
            <w:shd w:val="clear" w:color="auto" w:fill="ECECEC"/>
            <w:vAlign w:val="center"/>
          </w:tcPr>
          <w:p w14:paraId="2844BEFB" w14:textId="77777777" w:rsidR="008554B0" w:rsidRPr="00A27929" w:rsidRDefault="008554B0" w:rsidP="001304D9">
            <w:pPr>
              <w:pStyle w:val="TableParagraph"/>
              <w:spacing w:before="26" w:line="240" w:lineRule="auto"/>
              <w:rPr>
                <w:sz w:val="18"/>
                <w:szCs w:val="18"/>
              </w:rPr>
            </w:pPr>
            <w:r>
              <w:rPr>
                <w:sz w:val="18"/>
              </w:rPr>
              <w:t>-</w:t>
            </w:r>
          </w:p>
        </w:tc>
      </w:tr>
      <w:tr w:rsidR="008554B0" w14:paraId="10CC5181" w14:textId="77777777" w:rsidTr="00BB21F9">
        <w:trPr>
          <w:trHeight w:val="525"/>
        </w:trPr>
        <w:tc>
          <w:tcPr>
            <w:tcW w:w="1599" w:type="pct"/>
            <w:tcBorders>
              <w:top w:val="dashSmallGap" w:sz="6" w:space="0" w:color="D8D8D8"/>
              <w:bottom w:val="dashSmallGap" w:sz="6" w:space="0" w:color="D8D8D8"/>
              <w:right w:val="nil"/>
            </w:tcBorders>
            <w:shd w:val="clear" w:color="auto" w:fill="ECECEC"/>
          </w:tcPr>
          <w:p w14:paraId="604863E5" w14:textId="4E40BDAD" w:rsidR="008554B0" w:rsidRDefault="008554B0" w:rsidP="008554B0">
            <w:pPr>
              <w:pStyle w:val="TableParagraph"/>
              <w:spacing w:before="30" w:line="240" w:lineRule="auto"/>
              <w:ind w:left="110"/>
              <w:jc w:val="left"/>
              <w:rPr>
                <w:b/>
                <w:sz w:val="18"/>
                <w:lang w:val="en-GB"/>
              </w:rPr>
            </w:pPr>
            <w:r>
              <w:rPr>
                <w:b/>
                <w:sz w:val="18"/>
                <w:lang w:val="en-GB"/>
              </w:rPr>
              <w:t>I</w:t>
            </w:r>
            <w:r w:rsidRPr="008554B0">
              <w:rPr>
                <w:b/>
                <w:sz w:val="18"/>
                <w:lang w:val="en-GB"/>
              </w:rPr>
              <w:t>nvasive mechanical ven</w:t>
            </w:r>
            <w:r>
              <w:rPr>
                <w:b/>
                <w:sz w:val="18"/>
                <w:lang w:val="en-GB"/>
              </w:rPr>
              <w:t>ti</w:t>
            </w:r>
            <w:r w:rsidRPr="008554B0">
              <w:rPr>
                <w:b/>
                <w:sz w:val="18"/>
                <w:lang w:val="en-GB"/>
              </w:rPr>
              <w:t>la</w:t>
            </w:r>
            <w:r>
              <w:rPr>
                <w:b/>
                <w:sz w:val="18"/>
                <w:lang w:val="en-GB"/>
              </w:rPr>
              <w:t>ti</w:t>
            </w:r>
            <w:r w:rsidRPr="008554B0">
              <w:rPr>
                <w:b/>
                <w:sz w:val="18"/>
                <w:lang w:val="en-GB"/>
              </w:rPr>
              <w:t xml:space="preserve">on at baseline </w:t>
            </w:r>
          </w:p>
          <w:p w14:paraId="1DCF01CA" w14:textId="77777777" w:rsidR="008554B0" w:rsidRDefault="008554B0" w:rsidP="001304D9">
            <w:pPr>
              <w:pStyle w:val="TableParagraph"/>
              <w:spacing w:before="30" w:line="240" w:lineRule="auto"/>
              <w:ind w:left="110"/>
              <w:jc w:val="left"/>
              <w:rPr>
                <w:sz w:val="18"/>
              </w:rPr>
            </w:pPr>
            <w:r>
              <w:rPr>
                <w:sz w:val="18"/>
              </w:rPr>
              <w:t>Adjusted</w:t>
            </w:r>
            <w:r>
              <w:rPr>
                <w:spacing w:val="-3"/>
                <w:sz w:val="18"/>
              </w:rPr>
              <w:t xml:space="preserve"> </w:t>
            </w:r>
            <w:r>
              <w:rPr>
                <w:sz w:val="18"/>
              </w:rPr>
              <w:t>OR</w:t>
            </w:r>
            <w:r>
              <w:rPr>
                <w:spacing w:val="2"/>
                <w:sz w:val="18"/>
              </w:rPr>
              <w:t xml:space="preserve"> </w:t>
            </w:r>
            <w:r>
              <w:rPr>
                <w:sz w:val="18"/>
              </w:rPr>
              <w:t>-</w:t>
            </w:r>
            <w:r>
              <w:rPr>
                <w:spacing w:val="-2"/>
                <w:sz w:val="18"/>
              </w:rPr>
              <w:t xml:space="preserve"> </w:t>
            </w:r>
            <w:r>
              <w:rPr>
                <w:sz w:val="18"/>
              </w:rPr>
              <w:t>mean</w:t>
            </w:r>
            <w:r>
              <w:rPr>
                <w:spacing w:val="-3"/>
                <w:sz w:val="18"/>
              </w:rPr>
              <w:t xml:space="preserve"> </w:t>
            </w:r>
            <w:r>
              <w:rPr>
                <w:sz w:val="18"/>
              </w:rPr>
              <w:t>(SD)</w:t>
            </w:r>
          </w:p>
        </w:tc>
        <w:tc>
          <w:tcPr>
            <w:tcW w:w="1066" w:type="pct"/>
            <w:tcBorders>
              <w:top w:val="dashSmallGap" w:sz="6" w:space="0" w:color="D8D8D8"/>
              <w:left w:val="nil"/>
              <w:bottom w:val="dashSmallGap" w:sz="6" w:space="0" w:color="D8D8D8"/>
              <w:right w:val="nil"/>
            </w:tcBorders>
            <w:shd w:val="clear" w:color="auto" w:fill="ECECEC"/>
            <w:vAlign w:val="bottom"/>
          </w:tcPr>
          <w:p w14:paraId="29846179" w14:textId="4A9753D6" w:rsidR="008554B0" w:rsidRPr="001E006B" w:rsidRDefault="00815E42" w:rsidP="001304D9">
            <w:pPr>
              <w:pStyle w:val="TableParagraph"/>
              <w:spacing w:line="240" w:lineRule="auto"/>
              <w:rPr>
                <w:sz w:val="18"/>
              </w:rPr>
            </w:pPr>
            <w:r w:rsidRPr="001E006B">
              <w:rPr>
                <w:sz w:val="18"/>
              </w:rPr>
              <w:t>1.18 (0.23)</w:t>
            </w:r>
          </w:p>
        </w:tc>
        <w:tc>
          <w:tcPr>
            <w:tcW w:w="908" w:type="pct"/>
            <w:tcBorders>
              <w:top w:val="dashSmallGap" w:sz="6" w:space="0" w:color="D8D8D8"/>
              <w:left w:val="nil"/>
              <w:bottom w:val="dashSmallGap" w:sz="6" w:space="0" w:color="D8D8D8"/>
              <w:right w:val="nil"/>
            </w:tcBorders>
            <w:shd w:val="clear" w:color="auto" w:fill="ECECEC"/>
            <w:vAlign w:val="bottom"/>
          </w:tcPr>
          <w:p w14:paraId="569C368C" w14:textId="4E1C6347" w:rsidR="008554B0" w:rsidRPr="001E006B" w:rsidRDefault="001E006B" w:rsidP="001304D9">
            <w:pPr>
              <w:pStyle w:val="TableParagraph"/>
              <w:spacing w:before="7" w:line="240" w:lineRule="auto"/>
            </w:pPr>
            <w:r w:rsidRPr="001E006B">
              <w:rPr>
                <w:sz w:val="18"/>
              </w:rPr>
              <w:t>1.57 (0.39)</w:t>
            </w:r>
          </w:p>
        </w:tc>
        <w:tc>
          <w:tcPr>
            <w:tcW w:w="739" w:type="pct"/>
            <w:tcBorders>
              <w:top w:val="dashSmallGap" w:sz="6" w:space="0" w:color="D8D8D8"/>
              <w:left w:val="nil"/>
              <w:bottom w:val="dashSmallGap" w:sz="6" w:space="0" w:color="D8D8D8"/>
              <w:right w:val="nil"/>
            </w:tcBorders>
            <w:shd w:val="clear" w:color="auto" w:fill="ECECEC"/>
            <w:vAlign w:val="bottom"/>
          </w:tcPr>
          <w:p w14:paraId="41E57FA9" w14:textId="79C43A5A" w:rsidR="008554B0" w:rsidRPr="001E006B" w:rsidRDefault="001E006B" w:rsidP="001304D9">
            <w:pPr>
              <w:pStyle w:val="TableParagraph"/>
              <w:spacing w:before="7" w:line="240" w:lineRule="auto"/>
            </w:pPr>
            <w:r w:rsidRPr="001E006B">
              <w:rPr>
                <w:sz w:val="18"/>
              </w:rPr>
              <w:t>0.84 (0.22)</w:t>
            </w:r>
          </w:p>
        </w:tc>
        <w:tc>
          <w:tcPr>
            <w:tcW w:w="688" w:type="pct"/>
            <w:tcBorders>
              <w:top w:val="dashSmallGap" w:sz="6" w:space="0" w:color="D8D8D8"/>
              <w:left w:val="nil"/>
              <w:bottom w:val="dashSmallGap" w:sz="6" w:space="0" w:color="D8D8D8"/>
              <w:right w:val="nil"/>
            </w:tcBorders>
            <w:shd w:val="clear" w:color="auto" w:fill="ECECEC"/>
            <w:vAlign w:val="bottom"/>
          </w:tcPr>
          <w:p w14:paraId="1C5F5854" w14:textId="77777777" w:rsidR="008554B0" w:rsidRDefault="008554B0" w:rsidP="001304D9">
            <w:pPr>
              <w:pStyle w:val="TableParagraph"/>
              <w:spacing w:line="240" w:lineRule="auto"/>
              <w:rPr>
                <w:sz w:val="18"/>
              </w:rPr>
            </w:pPr>
            <w:r>
              <w:rPr>
                <w:sz w:val="18"/>
              </w:rPr>
              <w:t>1</w:t>
            </w:r>
          </w:p>
        </w:tc>
      </w:tr>
      <w:tr w:rsidR="008554B0" w14:paraId="7C213A18" w14:textId="77777777" w:rsidTr="00BB21F9">
        <w:trPr>
          <w:trHeight w:val="274"/>
        </w:trPr>
        <w:tc>
          <w:tcPr>
            <w:tcW w:w="1599" w:type="pct"/>
            <w:tcBorders>
              <w:top w:val="dashSmallGap" w:sz="6" w:space="0" w:color="D8D8D8"/>
              <w:bottom w:val="dashSmallGap" w:sz="6" w:space="0" w:color="D8D8D8"/>
              <w:right w:val="nil"/>
            </w:tcBorders>
            <w:shd w:val="clear" w:color="auto" w:fill="ECECEC"/>
          </w:tcPr>
          <w:p w14:paraId="095F842E" w14:textId="77777777" w:rsidR="008554B0" w:rsidRDefault="008554B0" w:rsidP="001304D9">
            <w:pPr>
              <w:pStyle w:val="TableParagraph"/>
              <w:spacing w:before="26" w:line="240" w:lineRule="auto"/>
              <w:ind w:left="150"/>
              <w:jc w:val="left"/>
              <w:rPr>
                <w:sz w:val="18"/>
              </w:rPr>
            </w:pPr>
            <w:r>
              <w:rPr>
                <w:sz w:val="18"/>
              </w:rPr>
              <w:t>-</w:t>
            </w:r>
            <w:r>
              <w:rPr>
                <w:spacing w:val="-3"/>
                <w:sz w:val="18"/>
              </w:rPr>
              <w:t xml:space="preserve"> </w:t>
            </w:r>
            <w:r>
              <w:rPr>
                <w:sz w:val="18"/>
              </w:rPr>
              <w:t>median</w:t>
            </w:r>
            <w:r>
              <w:rPr>
                <w:spacing w:val="-2"/>
                <w:sz w:val="18"/>
              </w:rPr>
              <w:t xml:space="preserve"> </w:t>
            </w:r>
            <w:r>
              <w:rPr>
                <w:sz w:val="18"/>
              </w:rPr>
              <w:t>(95%</w:t>
            </w:r>
            <w:r>
              <w:rPr>
                <w:spacing w:val="-1"/>
                <w:sz w:val="18"/>
              </w:rPr>
              <w:t xml:space="preserve"> </w:t>
            </w:r>
            <w:r>
              <w:rPr>
                <w:sz w:val="18"/>
              </w:rPr>
              <w:t>CrI)</w:t>
            </w:r>
          </w:p>
        </w:tc>
        <w:tc>
          <w:tcPr>
            <w:tcW w:w="1066" w:type="pct"/>
            <w:tcBorders>
              <w:top w:val="dashSmallGap" w:sz="6" w:space="0" w:color="D8D8D8"/>
              <w:left w:val="nil"/>
              <w:bottom w:val="dashSmallGap" w:sz="6" w:space="0" w:color="D8D8D8"/>
              <w:right w:val="nil"/>
            </w:tcBorders>
            <w:shd w:val="clear" w:color="auto" w:fill="ECECEC"/>
            <w:vAlign w:val="center"/>
          </w:tcPr>
          <w:p w14:paraId="305E82AC" w14:textId="2760060D" w:rsidR="008554B0" w:rsidRPr="001E006B" w:rsidRDefault="008554B0" w:rsidP="001304D9">
            <w:pPr>
              <w:pStyle w:val="TableParagraph"/>
              <w:spacing w:before="26" w:line="240" w:lineRule="auto"/>
              <w:rPr>
                <w:sz w:val="18"/>
              </w:rPr>
            </w:pPr>
            <w:r w:rsidRPr="001E006B">
              <w:rPr>
                <w:sz w:val="18"/>
              </w:rPr>
              <w:t>1.</w:t>
            </w:r>
            <w:r w:rsidR="00815E42" w:rsidRPr="001E006B">
              <w:rPr>
                <w:sz w:val="18"/>
              </w:rPr>
              <w:t>16 (0.79 to 1.70)</w:t>
            </w:r>
          </w:p>
        </w:tc>
        <w:tc>
          <w:tcPr>
            <w:tcW w:w="908" w:type="pct"/>
            <w:tcBorders>
              <w:top w:val="dashSmallGap" w:sz="6" w:space="0" w:color="D8D8D8"/>
              <w:left w:val="nil"/>
              <w:bottom w:val="dashSmallGap" w:sz="6" w:space="0" w:color="D8D8D8"/>
              <w:right w:val="nil"/>
            </w:tcBorders>
            <w:shd w:val="clear" w:color="auto" w:fill="ECECEC"/>
            <w:vAlign w:val="center"/>
          </w:tcPr>
          <w:p w14:paraId="34C7CF89" w14:textId="311D49CB" w:rsidR="008554B0" w:rsidRPr="001E006B" w:rsidRDefault="001E006B" w:rsidP="001304D9">
            <w:pPr>
              <w:pStyle w:val="TableParagraph"/>
              <w:spacing w:before="26" w:line="240" w:lineRule="auto"/>
              <w:rPr>
                <w:sz w:val="18"/>
              </w:rPr>
            </w:pPr>
            <w:r w:rsidRPr="001E006B">
              <w:rPr>
                <w:sz w:val="18"/>
              </w:rPr>
              <w:t>1.53 (0.95 to 2.45)</w:t>
            </w:r>
          </w:p>
        </w:tc>
        <w:tc>
          <w:tcPr>
            <w:tcW w:w="739" w:type="pct"/>
            <w:tcBorders>
              <w:top w:val="dashSmallGap" w:sz="6" w:space="0" w:color="D8D8D8"/>
              <w:left w:val="nil"/>
              <w:bottom w:val="dashSmallGap" w:sz="6" w:space="0" w:color="D8D8D8"/>
              <w:right w:val="nil"/>
            </w:tcBorders>
            <w:shd w:val="clear" w:color="auto" w:fill="ECECEC"/>
            <w:vAlign w:val="center"/>
          </w:tcPr>
          <w:p w14:paraId="70718672" w14:textId="3A369C01" w:rsidR="008554B0" w:rsidRPr="001E006B" w:rsidRDefault="001E006B" w:rsidP="001304D9">
            <w:pPr>
              <w:pStyle w:val="TableParagraph"/>
              <w:spacing w:before="26" w:line="240" w:lineRule="auto"/>
              <w:rPr>
                <w:sz w:val="18"/>
              </w:rPr>
            </w:pPr>
            <w:r w:rsidRPr="001E006B">
              <w:rPr>
                <w:sz w:val="18"/>
              </w:rPr>
              <w:t>0.81 (0.50 to 1.34)</w:t>
            </w:r>
          </w:p>
        </w:tc>
        <w:tc>
          <w:tcPr>
            <w:tcW w:w="688" w:type="pct"/>
            <w:tcBorders>
              <w:top w:val="dashSmallGap" w:sz="6" w:space="0" w:color="D8D8D8"/>
              <w:left w:val="nil"/>
              <w:bottom w:val="dashSmallGap" w:sz="6" w:space="0" w:color="D8D8D8"/>
              <w:right w:val="nil"/>
            </w:tcBorders>
            <w:shd w:val="clear" w:color="auto" w:fill="ECECEC"/>
            <w:vAlign w:val="center"/>
          </w:tcPr>
          <w:p w14:paraId="4E3FAEC9" w14:textId="77777777" w:rsidR="008554B0" w:rsidRDefault="008554B0" w:rsidP="001304D9">
            <w:pPr>
              <w:pStyle w:val="TableParagraph"/>
              <w:spacing w:before="26" w:line="240" w:lineRule="auto"/>
              <w:rPr>
                <w:sz w:val="18"/>
              </w:rPr>
            </w:pPr>
            <w:r>
              <w:rPr>
                <w:sz w:val="18"/>
              </w:rPr>
              <w:t>1</w:t>
            </w:r>
          </w:p>
        </w:tc>
      </w:tr>
      <w:tr w:rsidR="008554B0" w14:paraId="0797F2E7" w14:textId="77777777" w:rsidTr="00BB21F9">
        <w:trPr>
          <w:trHeight w:val="275"/>
        </w:trPr>
        <w:tc>
          <w:tcPr>
            <w:tcW w:w="1599" w:type="pct"/>
            <w:tcBorders>
              <w:top w:val="dashSmallGap" w:sz="6" w:space="0" w:color="D8D8D8"/>
              <w:bottom w:val="dashSmallGap" w:sz="6" w:space="0" w:color="D8D8D8"/>
              <w:right w:val="nil"/>
            </w:tcBorders>
            <w:shd w:val="clear" w:color="auto" w:fill="ECECEC"/>
          </w:tcPr>
          <w:p w14:paraId="21BEAC32" w14:textId="77777777" w:rsidR="008554B0" w:rsidRDefault="008554B0" w:rsidP="001304D9">
            <w:pPr>
              <w:pStyle w:val="TableParagraph"/>
              <w:spacing w:before="26" w:line="240" w:lineRule="auto"/>
              <w:ind w:left="110"/>
              <w:jc w:val="left"/>
              <w:rPr>
                <w:sz w:val="18"/>
              </w:rPr>
            </w:pPr>
            <w:r>
              <w:rPr>
                <w:sz w:val="18"/>
              </w:rPr>
              <w:t>Probability</w:t>
            </w:r>
            <w:r>
              <w:rPr>
                <w:spacing w:val="-6"/>
                <w:sz w:val="18"/>
              </w:rPr>
              <w:t xml:space="preserve"> </w:t>
            </w:r>
            <w:r>
              <w:rPr>
                <w:sz w:val="18"/>
              </w:rPr>
              <w:t>of</w:t>
            </w:r>
            <w:r>
              <w:rPr>
                <w:spacing w:val="-3"/>
                <w:sz w:val="18"/>
              </w:rPr>
              <w:t xml:space="preserve"> </w:t>
            </w:r>
            <w:r>
              <w:rPr>
                <w:sz w:val="18"/>
              </w:rPr>
              <w:t>superiority</w:t>
            </w:r>
            <w:r>
              <w:rPr>
                <w:spacing w:val="-5"/>
                <w:sz w:val="18"/>
              </w:rPr>
              <w:t xml:space="preserve"> </w:t>
            </w:r>
            <w:r>
              <w:rPr>
                <w:sz w:val="18"/>
              </w:rPr>
              <w:t>to</w:t>
            </w:r>
            <w:r>
              <w:rPr>
                <w:spacing w:val="-4"/>
                <w:sz w:val="18"/>
              </w:rPr>
              <w:t xml:space="preserve"> </w:t>
            </w:r>
            <w:r>
              <w:rPr>
                <w:sz w:val="18"/>
              </w:rPr>
              <w:t>control,</w:t>
            </w:r>
            <w:r>
              <w:rPr>
                <w:spacing w:val="-3"/>
                <w:sz w:val="18"/>
              </w:rPr>
              <w:t xml:space="preserve"> </w:t>
            </w:r>
            <w:r>
              <w:rPr>
                <w:sz w:val="18"/>
              </w:rPr>
              <w:t>%</w:t>
            </w:r>
          </w:p>
        </w:tc>
        <w:tc>
          <w:tcPr>
            <w:tcW w:w="1066" w:type="pct"/>
            <w:tcBorders>
              <w:top w:val="dashSmallGap" w:sz="6" w:space="0" w:color="D8D8D8"/>
              <w:left w:val="nil"/>
              <w:bottom w:val="dashSmallGap" w:sz="6" w:space="0" w:color="D8D8D8"/>
              <w:right w:val="nil"/>
            </w:tcBorders>
            <w:shd w:val="clear" w:color="auto" w:fill="ECECEC"/>
            <w:vAlign w:val="center"/>
          </w:tcPr>
          <w:p w14:paraId="2AE0CF36" w14:textId="6BBB059D" w:rsidR="008554B0" w:rsidRPr="001E006B" w:rsidRDefault="00815E42" w:rsidP="001304D9">
            <w:pPr>
              <w:pStyle w:val="TableParagraph"/>
              <w:spacing w:before="26" w:line="240" w:lineRule="auto"/>
              <w:rPr>
                <w:sz w:val="18"/>
              </w:rPr>
            </w:pPr>
            <w:r w:rsidRPr="001E006B">
              <w:rPr>
                <w:sz w:val="18"/>
              </w:rPr>
              <w:t>76.8</w:t>
            </w:r>
          </w:p>
        </w:tc>
        <w:tc>
          <w:tcPr>
            <w:tcW w:w="908" w:type="pct"/>
            <w:tcBorders>
              <w:top w:val="dashSmallGap" w:sz="6" w:space="0" w:color="D8D8D8"/>
              <w:left w:val="nil"/>
              <w:bottom w:val="dashSmallGap" w:sz="6" w:space="0" w:color="D8D8D8"/>
              <w:right w:val="nil"/>
            </w:tcBorders>
            <w:shd w:val="clear" w:color="auto" w:fill="ECECEC"/>
            <w:vAlign w:val="center"/>
          </w:tcPr>
          <w:p w14:paraId="0D7A0451" w14:textId="06138690" w:rsidR="008554B0" w:rsidRPr="001E006B" w:rsidRDefault="001E006B" w:rsidP="001304D9">
            <w:pPr>
              <w:pStyle w:val="TableParagraph"/>
              <w:spacing w:before="26" w:line="240" w:lineRule="auto"/>
              <w:rPr>
                <w:sz w:val="18"/>
              </w:rPr>
            </w:pPr>
            <w:r w:rsidRPr="001E006B">
              <w:rPr>
                <w:sz w:val="18"/>
              </w:rPr>
              <w:t>95.9</w:t>
            </w:r>
          </w:p>
        </w:tc>
        <w:tc>
          <w:tcPr>
            <w:tcW w:w="739" w:type="pct"/>
            <w:tcBorders>
              <w:top w:val="dashSmallGap" w:sz="6" w:space="0" w:color="D8D8D8"/>
              <w:left w:val="nil"/>
              <w:bottom w:val="dashSmallGap" w:sz="6" w:space="0" w:color="D8D8D8"/>
              <w:right w:val="nil"/>
            </w:tcBorders>
            <w:shd w:val="clear" w:color="auto" w:fill="ECECEC"/>
            <w:vAlign w:val="center"/>
          </w:tcPr>
          <w:p w14:paraId="1D0445A9" w14:textId="64C24B1E" w:rsidR="008554B0" w:rsidRPr="001E006B" w:rsidRDefault="001E006B" w:rsidP="001304D9">
            <w:pPr>
              <w:pStyle w:val="TableParagraph"/>
              <w:spacing w:before="26" w:line="240" w:lineRule="auto"/>
              <w:rPr>
                <w:sz w:val="18"/>
              </w:rPr>
            </w:pPr>
            <w:r w:rsidRPr="001E006B">
              <w:rPr>
                <w:sz w:val="18"/>
              </w:rPr>
              <w:t>20.8</w:t>
            </w:r>
          </w:p>
        </w:tc>
        <w:tc>
          <w:tcPr>
            <w:tcW w:w="688" w:type="pct"/>
            <w:tcBorders>
              <w:top w:val="dashSmallGap" w:sz="6" w:space="0" w:color="D8D8D8"/>
              <w:left w:val="nil"/>
              <w:bottom w:val="dashSmallGap" w:sz="6" w:space="0" w:color="D8D8D8"/>
              <w:right w:val="nil"/>
            </w:tcBorders>
            <w:shd w:val="clear" w:color="auto" w:fill="ECECEC"/>
            <w:vAlign w:val="center"/>
          </w:tcPr>
          <w:p w14:paraId="47F11AA4" w14:textId="77777777" w:rsidR="008554B0" w:rsidRDefault="008554B0" w:rsidP="001304D9">
            <w:pPr>
              <w:pStyle w:val="TableParagraph"/>
              <w:spacing w:before="26" w:line="240" w:lineRule="auto"/>
              <w:rPr>
                <w:sz w:val="18"/>
              </w:rPr>
            </w:pPr>
            <w:r>
              <w:rPr>
                <w:sz w:val="18"/>
              </w:rPr>
              <w:t>-</w:t>
            </w:r>
          </w:p>
        </w:tc>
      </w:tr>
    </w:tbl>
    <w:p w14:paraId="5096AA68" w14:textId="77777777" w:rsidR="00EA7C87" w:rsidRDefault="00EA7C87" w:rsidP="009C2A20">
      <w:pPr>
        <w:spacing w:line="360" w:lineRule="auto"/>
        <w:rPr>
          <w:rFonts w:asciiTheme="majorHAnsi" w:hAnsiTheme="majorHAnsi" w:cstheme="majorHAnsi"/>
          <w:sz w:val="22"/>
          <w:szCs w:val="22"/>
          <w:lang w:val="en-US"/>
        </w:rPr>
      </w:pPr>
    </w:p>
    <w:p w14:paraId="3D33A073" w14:textId="77777777" w:rsidR="00C63F1C" w:rsidRDefault="00C63F1C" w:rsidP="00DD6D90">
      <w:pPr>
        <w:pStyle w:val="Heading3"/>
        <w:rPr>
          <w:rFonts w:asciiTheme="minorHAnsi" w:hAnsiTheme="minorHAnsi" w:cstheme="majorHAnsi"/>
          <w:highlight w:val="yellow"/>
          <w:lang w:val="en-US"/>
        </w:rPr>
      </w:pPr>
    </w:p>
    <w:p w14:paraId="12F4A41E" w14:textId="73140647" w:rsidR="007D3FE6" w:rsidRDefault="007D3FE6" w:rsidP="009C2A20">
      <w:pPr>
        <w:spacing w:line="360" w:lineRule="auto"/>
        <w:rPr>
          <w:rFonts w:asciiTheme="majorHAnsi" w:hAnsiTheme="majorHAnsi" w:cstheme="majorHAnsi"/>
          <w:color w:val="0070C0"/>
          <w:sz w:val="22"/>
          <w:szCs w:val="22"/>
          <w:lang w:val="en-US"/>
        </w:rPr>
      </w:pPr>
    </w:p>
    <w:p w14:paraId="59E6576C" w14:textId="77777777" w:rsidR="007D3FE6" w:rsidRDefault="007D3FE6">
      <w:pPr>
        <w:rPr>
          <w:rFonts w:asciiTheme="majorHAnsi" w:hAnsiTheme="majorHAnsi" w:cstheme="majorHAnsi"/>
          <w:color w:val="0070C0"/>
          <w:sz w:val="22"/>
          <w:szCs w:val="22"/>
          <w:lang w:val="en-US"/>
        </w:rPr>
      </w:pPr>
      <w:r>
        <w:rPr>
          <w:rFonts w:asciiTheme="majorHAnsi" w:hAnsiTheme="majorHAnsi" w:cstheme="majorHAnsi"/>
          <w:color w:val="0070C0"/>
          <w:sz w:val="22"/>
          <w:szCs w:val="22"/>
          <w:lang w:val="en-US"/>
        </w:rPr>
        <w:br w:type="page"/>
      </w:r>
    </w:p>
    <w:p w14:paraId="463C1D04" w14:textId="16E57CF3" w:rsidR="00DB760C" w:rsidRPr="008174EB" w:rsidRDefault="00EA31E7" w:rsidP="008174EB">
      <w:pPr>
        <w:pStyle w:val="Heading2"/>
        <w:rPr>
          <w:rFonts w:asciiTheme="minorHAnsi" w:hAnsiTheme="minorHAnsi" w:cstheme="majorHAnsi"/>
          <w:sz w:val="24"/>
          <w:szCs w:val="24"/>
          <w:lang w:val="en-US"/>
        </w:rPr>
      </w:pPr>
      <w:bookmarkStart w:id="38" w:name="_Toc74659163"/>
      <w:r w:rsidRPr="008174EB">
        <w:rPr>
          <w:rFonts w:asciiTheme="minorHAnsi" w:hAnsiTheme="minorHAnsi" w:cstheme="majorHAnsi"/>
          <w:sz w:val="24"/>
          <w:szCs w:val="24"/>
          <w:lang w:val="en-US"/>
        </w:rPr>
        <w:lastRenderedPageBreak/>
        <w:t>Figure S1. Alteration</w:t>
      </w:r>
      <w:r w:rsidR="00256229" w:rsidRPr="008174EB">
        <w:rPr>
          <w:rFonts w:asciiTheme="minorHAnsi" w:hAnsiTheme="minorHAnsi" w:cstheme="majorHAnsi"/>
          <w:sz w:val="24"/>
          <w:szCs w:val="24"/>
          <w:lang w:val="en-US"/>
        </w:rPr>
        <w:t>s</w:t>
      </w:r>
      <w:r w:rsidRPr="008174EB">
        <w:rPr>
          <w:rFonts w:asciiTheme="minorHAnsi" w:hAnsiTheme="minorHAnsi" w:cstheme="majorHAnsi"/>
          <w:sz w:val="24"/>
          <w:szCs w:val="24"/>
          <w:lang w:val="en-US"/>
        </w:rPr>
        <w:t xml:space="preserve"> to the </w:t>
      </w:r>
      <w:r w:rsidR="00256229" w:rsidRPr="008174EB">
        <w:rPr>
          <w:rFonts w:asciiTheme="minorHAnsi" w:hAnsiTheme="minorHAnsi" w:cstheme="majorHAnsi"/>
          <w:sz w:val="24"/>
          <w:szCs w:val="24"/>
          <w:lang w:val="en-US"/>
        </w:rPr>
        <w:t>I</w:t>
      </w:r>
      <w:r w:rsidRPr="008174EB">
        <w:rPr>
          <w:rFonts w:asciiTheme="minorHAnsi" w:hAnsiTheme="minorHAnsi" w:cstheme="majorHAnsi"/>
          <w:sz w:val="24"/>
          <w:szCs w:val="24"/>
          <w:lang w:val="en-US"/>
        </w:rPr>
        <w:t>mmun</w:t>
      </w:r>
      <w:r w:rsidR="00256229" w:rsidRPr="008174EB">
        <w:rPr>
          <w:rFonts w:asciiTheme="minorHAnsi" w:hAnsiTheme="minorHAnsi" w:cstheme="majorHAnsi"/>
          <w:sz w:val="24"/>
          <w:szCs w:val="24"/>
          <w:lang w:val="en-US"/>
        </w:rPr>
        <w:t>e M</w:t>
      </w:r>
      <w:r w:rsidRPr="008174EB">
        <w:rPr>
          <w:rFonts w:asciiTheme="minorHAnsi" w:hAnsiTheme="minorHAnsi" w:cstheme="majorHAnsi"/>
          <w:sz w:val="24"/>
          <w:szCs w:val="24"/>
          <w:lang w:val="en-US"/>
        </w:rPr>
        <w:t>odulat</w:t>
      </w:r>
      <w:r w:rsidR="00256229" w:rsidRPr="008174EB">
        <w:rPr>
          <w:rFonts w:asciiTheme="minorHAnsi" w:hAnsiTheme="minorHAnsi" w:cstheme="majorHAnsi"/>
          <w:sz w:val="24"/>
          <w:szCs w:val="24"/>
          <w:lang w:val="en-US"/>
        </w:rPr>
        <w:t xml:space="preserve">ion Therapy </w:t>
      </w:r>
      <w:r w:rsidRPr="008174EB">
        <w:rPr>
          <w:rFonts w:asciiTheme="minorHAnsi" w:hAnsiTheme="minorHAnsi" w:cstheme="majorHAnsi"/>
          <w:sz w:val="24"/>
          <w:szCs w:val="24"/>
          <w:lang w:val="en-US"/>
        </w:rPr>
        <w:t xml:space="preserve">domain </w:t>
      </w:r>
      <w:r w:rsidR="00256229" w:rsidRPr="008174EB">
        <w:rPr>
          <w:rFonts w:asciiTheme="minorHAnsi" w:hAnsiTheme="minorHAnsi" w:cstheme="majorHAnsi"/>
          <w:sz w:val="24"/>
          <w:szCs w:val="24"/>
          <w:lang w:val="en-US"/>
        </w:rPr>
        <w:t>of REMAP-CAP</w:t>
      </w:r>
      <w:bookmarkEnd w:id="38"/>
    </w:p>
    <w:p w14:paraId="500A5593" w14:textId="3781C8B0" w:rsidR="007D3FE6" w:rsidRDefault="007D3FE6" w:rsidP="007D3FE6">
      <w:pPr>
        <w:rPr>
          <w:lang w:val="en-US"/>
        </w:rPr>
      </w:pPr>
    </w:p>
    <w:p w14:paraId="08FCCB14" w14:textId="2FF72E3D" w:rsidR="007D3FE6" w:rsidRDefault="008174EB" w:rsidP="007D3FE6">
      <w:pPr>
        <w:rPr>
          <w:lang w:val="en-US"/>
        </w:rPr>
      </w:pPr>
      <w:r>
        <w:rPr>
          <w:noProof/>
          <w:lang w:val="en-US"/>
        </w:rPr>
        <w:drawing>
          <wp:inline distT="0" distB="0" distL="0" distR="0" wp14:anchorId="38B5A517" wp14:editId="3C91C149">
            <wp:extent cx="5727700" cy="19958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5733804" cy="1997932"/>
                    </a:xfrm>
                    <a:prstGeom prst="rect">
                      <a:avLst/>
                    </a:prstGeom>
                  </pic:spPr>
                </pic:pic>
              </a:graphicData>
            </a:graphic>
          </wp:inline>
        </w:drawing>
      </w:r>
    </w:p>
    <w:p w14:paraId="64C95FEA" w14:textId="7BC0FE22" w:rsidR="00184413" w:rsidRDefault="00184413" w:rsidP="007D3FE6">
      <w:pPr>
        <w:rPr>
          <w:lang w:val="en-US"/>
        </w:rPr>
      </w:pPr>
    </w:p>
    <w:p w14:paraId="35E26752" w14:textId="5662AC19" w:rsidR="00790F41" w:rsidRPr="00790F41" w:rsidRDefault="00790F41" w:rsidP="00790F41">
      <w:pPr>
        <w:pStyle w:val="Heading2"/>
        <w:rPr>
          <w:rFonts w:asciiTheme="minorHAnsi" w:hAnsiTheme="minorHAnsi"/>
          <w:sz w:val="24"/>
          <w:szCs w:val="24"/>
          <w:lang w:val="en-US"/>
        </w:rPr>
      </w:pPr>
    </w:p>
    <w:p w14:paraId="4A1B28FD" w14:textId="77777777" w:rsidR="007241DA" w:rsidRDefault="007241DA" w:rsidP="007241DA">
      <w:pPr>
        <w:pStyle w:val="Heading2"/>
        <w:rPr>
          <w:rFonts w:asciiTheme="minorHAnsi" w:hAnsiTheme="minorHAnsi"/>
          <w:sz w:val="24"/>
          <w:szCs w:val="24"/>
        </w:rPr>
      </w:pPr>
      <w:bookmarkStart w:id="39" w:name="_Toc74659164"/>
      <w:r w:rsidRPr="0063270B">
        <w:rPr>
          <w:rFonts w:asciiTheme="minorHAnsi" w:hAnsiTheme="minorHAnsi"/>
          <w:sz w:val="24"/>
          <w:szCs w:val="24"/>
        </w:rPr>
        <w:t>Figure S</w:t>
      </w:r>
      <w:r>
        <w:rPr>
          <w:rFonts w:asciiTheme="minorHAnsi" w:hAnsiTheme="minorHAnsi"/>
          <w:sz w:val="24"/>
          <w:szCs w:val="24"/>
        </w:rPr>
        <w:t>2</w:t>
      </w:r>
      <w:r w:rsidRPr="0063270B">
        <w:rPr>
          <w:rFonts w:asciiTheme="minorHAnsi" w:hAnsiTheme="minorHAnsi"/>
          <w:sz w:val="24"/>
          <w:szCs w:val="24"/>
        </w:rPr>
        <w:t xml:space="preserve">. Forest Plot of </w:t>
      </w:r>
      <w:r>
        <w:rPr>
          <w:rFonts w:asciiTheme="minorHAnsi" w:hAnsiTheme="minorHAnsi"/>
          <w:sz w:val="24"/>
          <w:szCs w:val="24"/>
        </w:rPr>
        <w:t>Organ Support Free days for sarilumab compared to tocilizumab</w:t>
      </w:r>
      <w:bookmarkEnd w:id="39"/>
    </w:p>
    <w:p w14:paraId="0F004D53" w14:textId="77777777" w:rsidR="007241DA" w:rsidRDefault="007241DA" w:rsidP="007241DA">
      <w:pPr>
        <w:rPr>
          <w:rFonts w:asciiTheme="minorHAnsi" w:hAnsiTheme="minorHAnsi"/>
        </w:rPr>
      </w:pPr>
      <w:r>
        <w:rPr>
          <w:rFonts w:asciiTheme="minorHAnsi" w:hAnsiTheme="minorHAnsi"/>
          <w:noProof/>
        </w:rPr>
        <w:drawing>
          <wp:inline distT="0" distB="0" distL="0" distR="0" wp14:anchorId="749FD38A" wp14:editId="328341EE">
            <wp:extent cx="5727700" cy="35801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5727700" cy="3580130"/>
                    </a:xfrm>
                    <a:prstGeom prst="rect">
                      <a:avLst/>
                    </a:prstGeom>
                  </pic:spPr>
                </pic:pic>
              </a:graphicData>
            </a:graphic>
          </wp:inline>
        </w:drawing>
      </w:r>
    </w:p>
    <w:p w14:paraId="19A333B5" w14:textId="77777777" w:rsidR="007241DA" w:rsidRDefault="007241DA" w:rsidP="007241DA">
      <w:pPr>
        <w:pStyle w:val="Heading2"/>
        <w:rPr>
          <w:rFonts w:asciiTheme="minorHAnsi" w:hAnsiTheme="minorHAnsi"/>
          <w:sz w:val="24"/>
          <w:szCs w:val="24"/>
        </w:rPr>
      </w:pPr>
    </w:p>
    <w:p w14:paraId="25037654" w14:textId="77777777" w:rsidR="007241DA" w:rsidRDefault="007241DA" w:rsidP="007241DA">
      <w:pPr>
        <w:pStyle w:val="Heading2"/>
        <w:rPr>
          <w:rFonts w:asciiTheme="minorHAnsi" w:hAnsiTheme="minorHAnsi"/>
          <w:sz w:val="24"/>
          <w:szCs w:val="24"/>
        </w:rPr>
      </w:pPr>
    </w:p>
    <w:p w14:paraId="10DF4A9D" w14:textId="77777777" w:rsidR="007241DA" w:rsidRDefault="007241DA" w:rsidP="007241DA">
      <w:pPr>
        <w:pStyle w:val="Heading2"/>
        <w:rPr>
          <w:rFonts w:asciiTheme="minorHAnsi" w:hAnsiTheme="minorHAnsi"/>
          <w:sz w:val="24"/>
          <w:szCs w:val="24"/>
        </w:rPr>
      </w:pPr>
    </w:p>
    <w:p w14:paraId="613E1132" w14:textId="77777777" w:rsidR="007241DA" w:rsidRDefault="007241DA" w:rsidP="007241DA">
      <w:pPr>
        <w:pStyle w:val="Heading2"/>
        <w:rPr>
          <w:rFonts w:asciiTheme="minorHAnsi" w:hAnsiTheme="minorHAnsi"/>
        </w:rPr>
      </w:pPr>
      <w:bookmarkStart w:id="40" w:name="_Toc74659165"/>
      <w:r w:rsidRPr="0063270B">
        <w:rPr>
          <w:rFonts w:asciiTheme="minorHAnsi" w:hAnsiTheme="minorHAnsi"/>
          <w:sz w:val="24"/>
          <w:szCs w:val="24"/>
        </w:rPr>
        <w:t>Figure S</w:t>
      </w:r>
      <w:r>
        <w:rPr>
          <w:rFonts w:asciiTheme="minorHAnsi" w:hAnsiTheme="minorHAnsi"/>
          <w:sz w:val="24"/>
          <w:szCs w:val="24"/>
        </w:rPr>
        <w:t>3</w:t>
      </w:r>
      <w:r w:rsidRPr="0063270B">
        <w:rPr>
          <w:rFonts w:asciiTheme="minorHAnsi" w:hAnsiTheme="minorHAnsi"/>
          <w:sz w:val="24"/>
          <w:szCs w:val="24"/>
        </w:rPr>
        <w:t xml:space="preserve">. Forest Plot of </w:t>
      </w:r>
      <w:r>
        <w:rPr>
          <w:rFonts w:asciiTheme="minorHAnsi" w:hAnsiTheme="minorHAnsi"/>
          <w:sz w:val="24"/>
          <w:szCs w:val="24"/>
        </w:rPr>
        <w:t>Hospital Survival for sarilumab compared to tocilizumab</w:t>
      </w:r>
      <w:bookmarkEnd w:id="40"/>
    </w:p>
    <w:p w14:paraId="252692CB" w14:textId="77777777" w:rsidR="007241DA" w:rsidRPr="0063270B" w:rsidRDefault="007241DA" w:rsidP="007241DA">
      <w:pPr>
        <w:rPr>
          <w:rFonts w:asciiTheme="minorHAnsi" w:hAnsiTheme="minorHAnsi"/>
        </w:rPr>
      </w:pPr>
      <w:r>
        <w:rPr>
          <w:rFonts w:asciiTheme="minorHAnsi" w:hAnsiTheme="minorHAnsi"/>
          <w:noProof/>
        </w:rPr>
        <w:drawing>
          <wp:inline distT="0" distB="0" distL="0" distR="0" wp14:anchorId="70851768" wp14:editId="3CDFE9B7">
            <wp:extent cx="5727700" cy="35801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28A0092B-C50C-407E-A947-70E740481C1C}">
                          <a14:useLocalDpi xmlns:a14="http://schemas.microsoft.com/office/drawing/2010/main" val="0"/>
                        </a:ext>
                      </a:extLst>
                    </a:blip>
                    <a:stretch>
                      <a:fillRect/>
                    </a:stretch>
                  </pic:blipFill>
                  <pic:spPr>
                    <a:xfrm>
                      <a:off x="0" y="0"/>
                      <a:ext cx="5727700" cy="3580130"/>
                    </a:xfrm>
                    <a:prstGeom prst="rect">
                      <a:avLst/>
                    </a:prstGeom>
                  </pic:spPr>
                </pic:pic>
              </a:graphicData>
            </a:graphic>
          </wp:inline>
        </w:drawing>
      </w:r>
    </w:p>
    <w:p w14:paraId="53DA313D" w14:textId="77777777" w:rsidR="007241DA" w:rsidRPr="0063270B" w:rsidRDefault="007241DA" w:rsidP="007241DA">
      <w:pPr>
        <w:pStyle w:val="Heading2"/>
        <w:rPr>
          <w:rFonts w:asciiTheme="minorHAnsi" w:hAnsiTheme="minorHAnsi"/>
          <w:sz w:val="24"/>
          <w:szCs w:val="24"/>
        </w:rPr>
      </w:pPr>
    </w:p>
    <w:p w14:paraId="20B7E6BA" w14:textId="77777777" w:rsidR="007241DA" w:rsidRDefault="007241DA" w:rsidP="00790F41">
      <w:pPr>
        <w:pStyle w:val="Heading2"/>
        <w:rPr>
          <w:rFonts w:asciiTheme="minorHAnsi" w:hAnsiTheme="minorHAnsi"/>
          <w:sz w:val="24"/>
          <w:szCs w:val="24"/>
        </w:rPr>
      </w:pPr>
    </w:p>
    <w:p w14:paraId="66A13A63" w14:textId="65EE6F14" w:rsidR="00790F41" w:rsidRDefault="00790F41" w:rsidP="00790F41">
      <w:pPr>
        <w:pStyle w:val="Heading2"/>
        <w:rPr>
          <w:rFonts w:asciiTheme="minorHAnsi" w:eastAsiaTheme="minorHAnsi" w:hAnsiTheme="minorHAnsi" w:cs="P&gt;p¶'3"/>
          <w:sz w:val="24"/>
          <w:szCs w:val="24"/>
          <w:lang w:val="en-US" w:eastAsia="en-US"/>
        </w:rPr>
      </w:pPr>
      <w:bookmarkStart w:id="41" w:name="_Toc74659166"/>
      <w:r w:rsidRPr="00790F41">
        <w:rPr>
          <w:rFonts w:asciiTheme="minorHAnsi" w:hAnsiTheme="minorHAnsi"/>
          <w:sz w:val="24"/>
          <w:szCs w:val="24"/>
        </w:rPr>
        <w:t>Figure S</w:t>
      </w:r>
      <w:r w:rsidR="007241DA">
        <w:rPr>
          <w:rFonts w:asciiTheme="minorHAnsi" w:hAnsiTheme="minorHAnsi"/>
          <w:sz w:val="24"/>
          <w:szCs w:val="24"/>
        </w:rPr>
        <w:t>4</w:t>
      </w:r>
      <w:r w:rsidRPr="00790F41">
        <w:rPr>
          <w:rFonts w:asciiTheme="minorHAnsi" w:hAnsiTheme="minorHAnsi"/>
          <w:sz w:val="24"/>
          <w:szCs w:val="24"/>
        </w:rPr>
        <w:t xml:space="preserve">. </w:t>
      </w:r>
      <w:r w:rsidRPr="00790F41">
        <w:rPr>
          <w:rFonts w:asciiTheme="minorHAnsi" w:eastAsiaTheme="minorHAnsi" w:hAnsiTheme="minorHAnsi" w:cs="P&gt;p¶'3"/>
          <w:sz w:val="24"/>
          <w:szCs w:val="24"/>
          <w:lang w:val="en-US" w:eastAsia="en-US"/>
        </w:rPr>
        <w:t>O</w:t>
      </w:r>
      <w:r>
        <w:rPr>
          <w:rFonts w:asciiTheme="minorHAnsi" w:eastAsiaTheme="minorHAnsi" w:hAnsiTheme="minorHAnsi" w:cs="P&gt;p¶'3"/>
          <w:sz w:val="24"/>
          <w:szCs w:val="24"/>
          <w:lang w:val="en-US" w:eastAsia="en-US"/>
        </w:rPr>
        <w:t xml:space="preserve">rgan </w:t>
      </w:r>
      <w:r w:rsidRPr="00790F41">
        <w:rPr>
          <w:rFonts w:asciiTheme="minorHAnsi" w:eastAsiaTheme="minorHAnsi" w:hAnsiTheme="minorHAnsi" w:cs="P&gt;p¶'3"/>
          <w:sz w:val="24"/>
          <w:szCs w:val="24"/>
          <w:lang w:val="en-US" w:eastAsia="en-US"/>
        </w:rPr>
        <w:t>S</w:t>
      </w:r>
      <w:r>
        <w:rPr>
          <w:rFonts w:asciiTheme="minorHAnsi" w:eastAsiaTheme="minorHAnsi" w:hAnsiTheme="minorHAnsi" w:cs="P&gt;p¶'3"/>
          <w:sz w:val="24"/>
          <w:szCs w:val="24"/>
          <w:lang w:val="en-US" w:eastAsia="en-US"/>
        </w:rPr>
        <w:t xml:space="preserve">upport </w:t>
      </w:r>
      <w:r w:rsidRPr="00790F41">
        <w:rPr>
          <w:rFonts w:asciiTheme="minorHAnsi" w:eastAsiaTheme="minorHAnsi" w:hAnsiTheme="minorHAnsi" w:cs="P&gt;p¶'3"/>
          <w:sz w:val="24"/>
          <w:szCs w:val="24"/>
          <w:lang w:val="en-US" w:eastAsia="en-US"/>
        </w:rPr>
        <w:t>F</w:t>
      </w:r>
      <w:r>
        <w:rPr>
          <w:rFonts w:asciiTheme="minorHAnsi" w:eastAsiaTheme="minorHAnsi" w:hAnsiTheme="minorHAnsi" w:cs="P&gt;p¶'3"/>
          <w:sz w:val="24"/>
          <w:szCs w:val="24"/>
          <w:lang w:val="en-US" w:eastAsia="en-US"/>
        </w:rPr>
        <w:t xml:space="preserve">ree </w:t>
      </w:r>
      <w:r w:rsidRPr="00790F41">
        <w:rPr>
          <w:rFonts w:asciiTheme="minorHAnsi" w:eastAsiaTheme="minorHAnsi" w:hAnsiTheme="minorHAnsi" w:cs="P&gt;p¶'3"/>
          <w:sz w:val="24"/>
          <w:szCs w:val="24"/>
          <w:lang w:val="en-US" w:eastAsia="en-US"/>
        </w:rPr>
        <w:t>D</w:t>
      </w:r>
      <w:r>
        <w:rPr>
          <w:rFonts w:asciiTheme="minorHAnsi" w:eastAsiaTheme="minorHAnsi" w:hAnsiTheme="minorHAnsi" w:cs="P&gt;p¶'3"/>
          <w:sz w:val="24"/>
          <w:szCs w:val="24"/>
          <w:lang w:val="en-US" w:eastAsia="en-US"/>
        </w:rPr>
        <w:t>ays</w:t>
      </w:r>
      <w:r w:rsidRPr="00790F41">
        <w:rPr>
          <w:rFonts w:asciiTheme="minorHAnsi" w:eastAsiaTheme="minorHAnsi" w:hAnsiTheme="minorHAnsi" w:cs="P&gt;p¶'3"/>
          <w:sz w:val="24"/>
          <w:szCs w:val="24"/>
          <w:lang w:val="en-US" w:eastAsia="en-US"/>
        </w:rPr>
        <w:t xml:space="preserve"> </w:t>
      </w:r>
      <w:r w:rsidR="00171CD5">
        <w:rPr>
          <w:rFonts w:asciiTheme="minorHAnsi" w:eastAsiaTheme="minorHAnsi" w:hAnsiTheme="minorHAnsi" w:cs="P&gt;p¶'3"/>
          <w:sz w:val="24"/>
          <w:szCs w:val="24"/>
          <w:lang w:val="en-US" w:eastAsia="en-US"/>
        </w:rPr>
        <w:t xml:space="preserve">- </w:t>
      </w:r>
      <w:r w:rsidRPr="00790F41">
        <w:rPr>
          <w:rFonts w:asciiTheme="minorHAnsi" w:eastAsiaTheme="minorHAnsi" w:hAnsiTheme="minorHAnsi" w:cs="P&gt;p¶'3"/>
          <w:sz w:val="24"/>
          <w:szCs w:val="24"/>
          <w:lang w:val="en-US" w:eastAsia="en-US"/>
        </w:rPr>
        <w:t xml:space="preserve">odds ratios </w:t>
      </w:r>
      <w:r w:rsidR="00171CD5">
        <w:rPr>
          <w:rFonts w:asciiTheme="minorHAnsi" w:eastAsiaTheme="minorHAnsi" w:hAnsiTheme="minorHAnsi" w:cs="P&gt;p¶'3"/>
          <w:sz w:val="24"/>
          <w:szCs w:val="24"/>
          <w:lang w:val="en-US" w:eastAsia="en-US"/>
        </w:rPr>
        <w:t xml:space="preserve">and 95% CrI </w:t>
      </w:r>
      <w:r w:rsidRPr="00790F41">
        <w:rPr>
          <w:rFonts w:asciiTheme="minorHAnsi" w:eastAsiaTheme="minorHAnsi" w:hAnsiTheme="minorHAnsi" w:cs="P&gt;p¶'3"/>
          <w:sz w:val="24"/>
          <w:szCs w:val="24"/>
          <w:lang w:val="en-US" w:eastAsia="en-US"/>
        </w:rPr>
        <w:t>for tocilizumab, sarilumab, and pooled IL-6ra in models with nested, independent, and pooled treatment effects</w:t>
      </w:r>
      <w:bookmarkEnd w:id="41"/>
    </w:p>
    <w:p w14:paraId="7A0F0C89" w14:textId="2E60D390" w:rsidR="00790F41" w:rsidRDefault="00790F41" w:rsidP="00790F41">
      <w:pPr>
        <w:rPr>
          <w:lang w:val="en-US" w:eastAsia="en-US"/>
        </w:rPr>
      </w:pPr>
    </w:p>
    <w:p w14:paraId="53A11573" w14:textId="301E9B0F" w:rsidR="00790F41" w:rsidRPr="00790F41" w:rsidRDefault="00790F41" w:rsidP="00790F41">
      <w:pPr>
        <w:rPr>
          <w:lang w:val="en-US" w:eastAsia="en-US"/>
        </w:rPr>
      </w:pPr>
      <w:r>
        <w:rPr>
          <w:noProof/>
          <w:lang w:val="en-US" w:eastAsia="en-US"/>
        </w:rPr>
        <w:drawing>
          <wp:inline distT="0" distB="0" distL="0" distR="0" wp14:anchorId="212F5E2D" wp14:editId="77FC8900">
            <wp:extent cx="5241851" cy="201117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5">
                      <a:extLst>
                        <a:ext uri="{28A0092B-C50C-407E-A947-70E740481C1C}">
                          <a14:useLocalDpi xmlns:a14="http://schemas.microsoft.com/office/drawing/2010/main" val="0"/>
                        </a:ext>
                      </a:extLst>
                    </a:blip>
                    <a:srcRect l="25312" t="42659" r="27311" b="28259"/>
                    <a:stretch/>
                  </pic:blipFill>
                  <pic:spPr bwMode="auto">
                    <a:xfrm>
                      <a:off x="0" y="0"/>
                      <a:ext cx="5316753" cy="2039908"/>
                    </a:xfrm>
                    <a:prstGeom prst="rect">
                      <a:avLst/>
                    </a:prstGeom>
                    <a:ln>
                      <a:noFill/>
                    </a:ln>
                    <a:extLst>
                      <a:ext uri="{53640926-AAD7-44D8-BBD7-CCE9431645EC}">
                        <a14:shadowObscured xmlns:a14="http://schemas.microsoft.com/office/drawing/2010/main"/>
                      </a:ext>
                    </a:extLst>
                  </pic:spPr>
                </pic:pic>
              </a:graphicData>
            </a:graphic>
          </wp:inline>
        </w:drawing>
      </w:r>
    </w:p>
    <w:p w14:paraId="114A8D51" w14:textId="77777777" w:rsidR="0063270B" w:rsidRDefault="0063270B">
      <w:pPr>
        <w:rPr>
          <w:rFonts w:asciiTheme="minorHAnsi" w:eastAsiaTheme="majorEastAsia" w:hAnsiTheme="minorHAnsi" w:cstheme="majorBidi"/>
          <w:b/>
          <w:color w:val="000000" w:themeColor="text1"/>
        </w:rPr>
      </w:pPr>
      <w:r>
        <w:rPr>
          <w:rFonts w:asciiTheme="minorHAnsi" w:hAnsiTheme="minorHAnsi"/>
        </w:rPr>
        <w:br w:type="page"/>
      </w:r>
    </w:p>
    <w:p w14:paraId="27F6B69A" w14:textId="2E4A35CA" w:rsidR="0022427B" w:rsidRPr="0063270B" w:rsidRDefault="0022427B" w:rsidP="0063270B">
      <w:pPr>
        <w:pStyle w:val="Heading2"/>
        <w:rPr>
          <w:rFonts w:asciiTheme="minorHAnsi" w:hAnsiTheme="minorHAnsi"/>
          <w:sz w:val="24"/>
          <w:szCs w:val="24"/>
        </w:rPr>
      </w:pPr>
      <w:bookmarkStart w:id="42" w:name="_Toc74659167"/>
      <w:r w:rsidRPr="0063270B">
        <w:rPr>
          <w:rFonts w:asciiTheme="minorHAnsi" w:hAnsiTheme="minorHAnsi"/>
          <w:sz w:val="24"/>
          <w:szCs w:val="24"/>
        </w:rPr>
        <w:lastRenderedPageBreak/>
        <w:t>Figure S</w:t>
      </w:r>
      <w:r w:rsidR="007241DA">
        <w:rPr>
          <w:rFonts w:asciiTheme="minorHAnsi" w:hAnsiTheme="minorHAnsi"/>
          <w:sz w:val="24"/>
          <w:szCs w:val="24"/>
        </w:rPr>
        <w:t>5</w:t>
      </w:r>
      <w:r w:rsidRPr="0063270B">
        <w:rPr>
          <w:rFonts w:asciiTheme="minorHAnsi" w:hAnsiTheme="minorHAnsi"/>
          <w:sz w:val="24"/>
          <w:szCs w:val="24"/>
        </w:rPr>
        <w:t>. Forest Plot of Organ Support Free Days by subgroup</w:t>
      </w:r>
      <w:bookmarkEnd w:id="42"/>
    </w:p>
    <w:p w14:paraId="61CAB4E7" w14:textId="388ADA69" w:rsidR="0022427B" w:rsidRDefault="0022427B" w:rsidP="0022427B">
      <w:pPr>
        <w:rPr>
          <w:rFonts w:asciiTheme="minorHAnsi" w:hAnsiTheme="minorHAnsi"/>
          <w:b/>
          <w:bCs/>
        </w:rPr>
      </w:pPr>
    </w:p>
    <w:p w14:paraId="41E9B57A" w14:textId="6A1B72BD" w:rsidR="0022427B" w:rsidRPr="0022427B" w:rsidRDefault="0022427B" w:rsidP="0022427B">
      <w:pPr>
        <w:rPr>
          <w:rFonts w:asciiTheme="minorHAnsi" w:hAnsiTheme="minorHAnsi"/>
          <w:b/>
          <w:bCs/>
        </w:rPr>
      </w:pPr>
      <w:r>
        <w:rPr>
          <w:rFonts w:asciiTheme="minorHAnsi" w:hAnsiTheme="minorHAnsi"/>
          <w:b/>
          <w:bCs/>
          <w:noProof/>
        </w:rPr>
        <w:drawing>
          <wp:inline distT="0" distB="0" distL="0" distR="0" wp14:anchorId="3A0DA170" wp14:editId="030AE9B5">
            <wp:extent cx="5727700" cy="6443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5727700" cy="6443980"/>
                    </a:xfrm>
                    <a:prstGeom prst="rect">
                      <a:avLst/>
                    </a:prstGeom>
                  </pic:spPr>
                </pic:pic>
              </a:graphicData>
            </a:graphic>
          </wp:inline>
        </w:drawing>
      </w:r>
    </w:p>
    <w:p w14:paraId="227110E1" w14:textId="67813A76" w:rsidR="00790F41" w:rsidRDefault="00790F41" w:rsidP="007D3FE6"/>
    <w:p w14:paraId="776C369E" w14:textId="77777777" w:rsidR="0063270B" w:rsidRDefault="0063270B">
      <w:pPr>
        <w:rPr>
          <w:rFonts w:asciiTheme="minorHAnsi" w:hAnsiTheme="minorHAnsi"/>
          <w:b/>
          <w:bCs/>
        </w:rPr>
      </w:pPr>
      <w:r>
        <w:rPr>
          <w:rFonts w:asciiTheme="minorHAnsi" w:hAnsiTheme="minorHAnsi"/>
          <w:b/>
          <w:bCs/>
        </w:rPr>
        <w:br w:type="page"/>
      </w:r>
    </w:p>
    <w:p w14:paraId="63ACA8A4" w14:textId="08F2A818" w:rsidR="0022427B" w:rsidRPr="0063270B" w:rsidRDefault="0022427B" w:rsidP="0063270B">
      <w:pPr>
        <w:pStyle w:val="Heading2"/>
        <w:rPr>
          <w:rFonts w:asciiTheme="minorHAnsi" w:hAnsiTheme="minorHAnsi"/>
          <w:sz w:val="24"/>
          <w:szCs w:val="24"/>
        </w:rPr>
      </w:pPr>
      <w:bookmarkStart w:id="43" w:name="_Toc74659168"/>
      <w:r w:rsidRPr="0063270B">
        <w:rPr>
          <w:rFonts w:asciiTheme="minorHAnsi" w:hAnsiTheme="minorHAnsi"/>
          <w:sz w:val="24"/>
          <w:szCs w:val="24"/>
        </w:rPr>
        <w:lastRenderedPageBreak/>
        <w:t>Figure S</w:t>
      </w:r>
      <w:r w:rsidR="007241DA">
        <w:rPr>
          <w:rFonts w:asciiTheme="minorHAnsi" w:hAnsiTheme="minorHAnsi"/>
          <w:sz w:val="24"/>
          <w:szCs w:val="24"/>
        </w:rPr>
        <w:t>6</w:t>
      </w:r>
      <w:r w:rsidRPr="0063270B">
        <w:rPr>
          <w:rFonts w:asciiTheme="minorHAnsi" w:hAnsiTheme="minorHAnsi"/>
          <w:sz w:val="24"/>
          <w:szCs w:val="24"/>
        </w:rPr>
        <w:t>. Forest Plot of Hospital Survival by subgroup</w:t>
      </w:r>
      <w:bookmarkEnd w:id="43"/>
    </w:p>
    <w:p w14:paraId="5DBA1653" w14:textId="46F7448B" w:rsidR="0022427B" w:rsidRDefault="0022427B" w:rsidP="007D3FE6">
      <w:pPr>
        <w:rPr>
          <w:rFonts w:asciiTheme="minorHAnsi" w:hAnsiTheme="minorHAnsi"/>
          <w:b/>
          <w:bCs/>
        </w:rPr>
      </w:pPr>
    </w:p>
    <w:p w14:paraId="170D72E6" w14:textId="648D1E6F" w:rsidR="002D4F65" w:rsidRDefault="0022427B" w:rsidP="007D3FE6">
      <w:pPr>
        <w:rPr>
          <w:rFonts w:asciiTheme="minorHAnsi" w:hAnsiTheme="minorHAnsi"/>
          <w:b/>
          <w:bCs/>
        </w:rPr>
      </w:pPr>
      <w:r>
        <w:rPr>
          <w:rFonts w:asciiTheme="minorHAnsi" w:hAnsiTheme="minorHAnsi"/>
          <w:b/>
          <w:bCs/>
          <w:noProof/>
        </w:rPr>
        <w:drawing>
          <wp:inline distT="0" distB="0" distL="0" distR="0" wp14:anchorId="2C06943E" wp14:editId="32380530">
            <wp:extent cx="5727700" cy="572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3B311D09" w14:textId="0FC35C6E" w:rsidR="00790F41" w:rsidRDefault="00790F41" w:rsidP="00750B90">
      <w:pPr>
        <w:rPr>
          <w:rFonts w:asciiTheme="minorHAnsi" w:hAnsiTheme="minorHAnsi"/>
          <w:b/>
          <w:bCs/>
        </w:rPr>
      </w:pPr>
    </w:p>
    <w:p w14:paraId="54BDADB8" w14:textId="77777777" w:rsidR="00750B90" w:rsidRPr="00750B90" w:rsidRDefault="00750B90" w:rsidP="00750B90">
      <w:pPr>
        <w:rPr>
          <w:rFonts w:asciiTheme="minorHAnsi" w:hAnsiTheme="minorHAnsi"/>
          <w:b/>
          <w:bCs/>
        </w:rPr>
      </w:pPr>
    </w:p>
    <w:p w14:paraId="36EB053C" w14:textId="76DB51C8" w:rsidR="00184413" w:rsidRPr="00386354" w:rsidRDefault="00184413" w:rsidP="00F273DC">
      <w:pPr>
        <w:pStyle w:val="Heading2"/>
        <w:spacing w:line="360" w:lineRule="auto"/>
        <w:rPr>
          <w:rFonts w:asciiTheme="minorHAnsi" w:hAnsiTheme="minorHAnsi"/>
          <w:sz w:val="24"/>
          <w:szCs w:val="24"/>
          <w:lang w:val="en-US"/>
        </w:rPr>
      </w:pPr>
      <w:bookmarkStart w:id="44" w:name="_Toc74659169"/>
      <w:r w:rsidRPr="00386354">
        <w:rPr>
          <w:rFonts w:asciiTheme="minorHAnsi" w:hAnsiTheme="minorHAnsi"/>
          <w:sz w:val="24"/>
          <w:szCs w:val="24"/>
          <w:lang w:val="en-US"/>
        </w:rPr>
        <w:t>Appendix 1: Statistical Analysis Plan</w:t>
      </w:r>
      <w:bookmarkEnd w:id="44"/>
    </w:p>
    <w:p w14:paraId="56DD53CD" w14:textId="5ECFD34E" w:rsidR="00F15A35" w:rsidRPr="00386354" w:rsidRDefault="00F15A35" w:rsidP="00F273DC">
      <w:pPr>
        <w:pStyle w:val="Heading2"/>
        <w:spacing w:line="360" w:lineRule="auto"/>
        <w:rPr>
          <w:rFonts w:asciiTheme="minorHAnsi" w:hAnsiTheme="minorHAnsi"/>
          <w:sz w:val="24"/>
          <w:szCs w:val="24"/>
          <w:lang w:val="en-US"/>
        </w:rPr>
      </w:pPr>
      <w:bookmarkStart w:id="45" w:name="_Toc74659170"/>
      <w:r w:rsidRPr="00386354">
        <w:rPr>
          <w:rFonts w:asciiTheme="minorHAnsi" w:hAnsiTheme="minorHAnsi"/>
          <w:sz w:val="24"/>
          <w:szCs w:val="24"/>
          <w:lang w:val="en-US"/>
        </w:rPr>
        <w:t xml:space="preserve">Appendix 2: </w:t>
      </w:r>
      <w:r w:rsidR="00386354" w:rsidRPr="00386354">
        <w:rPr>
          <w:rFonts w:asciiTheme="minorHAnsi" w:hAnsiTheme="minorHAnsi"/>
          <w:sz w:val="24"/>
          <w:szCs w:val="24"/>
          <w:lang w:val="en-US"/>
        </w:rPr>
        <w:t>Statistical Analysis Committee</w:t>
      </w:r>
      <w:r w:rsidR="00837301">
        <w:rPr>
          <w:rFonts w:asciiTheme="minorHAnsi" w:hAnsiTheme="minorHAnsi"/>
          <w:sz w:val="24"/>
          <w:szCs w:val="24"/>
          <w:lang w:val="en-US"/>
        </w:rPr>
        <w:t xml:space="preserve"> Primary</w:t>
      </w:r>
      <w:r w:rsidR="00386354" w:rsidRPr="00386354">
        <w:rPr>
          <w:rFonts w:asciiTheme="minorHAnsi" w:hAnsiTheme="minorHAnsi"/>
          <w:sz w:val="24"/>
          <w:szCs w:val="24"/>
          <w:lang w:val="en-US"/>
        </w:rPr>
        <w:t xml:space="preserve"> Analysis </w:t>
      </w:r>
      <w:r w:rsidR="00837301">
        <w:rPr>
          <w:rFonts w:asciiTheme="minorHAnsi" w:hAnsiTheme="minorHAnsi"/>
          <w:sz w:val="24"/>
          <w:szCs w:val="24"/>
          <w:lang w:val="en-US"/>
        </w:rPr>
        <w:t>Report for the</w:t>
      </w:r>
      <w:r w:rsidR="00386354" w:rsidRPr="00386354">
        <w:rPr>
          <w:rFonts w:asciiTheme="minorHAnsi" w:hAnsiTheme="minorHAnsi"/>
          <w:sz w:val="24"/>
          <w:szCs w:val="24"/>
          <w:lang w:val="en-US"/>
        </w:rPr>
        <w:t xml:space="preserve"> Immune Modulation </w:t>
      </w:r>
      <w:r w:rsidR="009964F6">
        <w:rPr>
          <w:rFonts w:asciiTheme="minorHAnsi" w:hAnsiTheme="minorHAnsi"/>
          <w:sz w:val="24"/>
          <w:szCs w:val="24"/>
          <w:lang w:val="en-US"/>
        </w:rPr>
        <w:t xml:space="preserve">Therapy </w:t>
      </w:r>
      <w:r w:rsidR="00386354" w:rsidRPr="00386354">
        <w:rPr>
          <w:rFonts w:asciiTheme="minorHAnsi" w:hAnsiTheme="minorHAnsi"/>
          <w:sz w:val="24"/>
          <w:szCs w:val="24"/>
          <w:lang w:val="en-US"/>
        </w:rPr>
        <w:t>Domain</w:t>
      </w:r>
      <w:bookmarkEnd w:id="45"/>
    </w:p>
    <w:p w14:paraId="43D05E0D" w14:textId="09E0E3A4" w:rsidR="00386354" w:rsidRPr="00386354" w:rsidRDefault="00386354" w:rsidP="00F273DC">
      <w:pPr>
        <w:pStyle w:val="Heading2"/>
        <w:spacing w:line="360" w:lineRule="auto"/>
        <w:rPr>
          <w:rFonts w:asciiTheme="minorHAnsi" w:hAnsiTheme="minorHAnsi"/>
          <w:sz w:val="24"/>
          <w:szCs w:val="24"/>
          <w:lang w:val="en-US"/>
        </w:rPr>
      </w:pPr>
      <w:bookmarkStart w:id="46" w:name="_Toc74659171"/>
      <w:r w:rsidRPr="00386354">
        <w:rPr>
          <w:rFonts w:asciiTheme="minorHAnsi" w:hAnsiTheme="minorHAnsi"/>
          <w:sz w:val="24"/>
          <w:szCs w:val="24"/>
          <w:lang w:val="en-US"/>
        </w:rPr>
        <w:t xml:space="preserve">Appendix 3: </w:t>
      </w:r>
      <w:r w:rsidR="00B87DA2">
        <w:rPr>
          <w:rFonts w:asciiTheme="minorHAnsi" w:hAnsiTheme="minorHAnsi"/>
          <w:sz w:val="24"/>
          <w:szCs w:val="24"/>
          <w:lang w:val="en-US"/>
        </w:rPr>
        <w:t>ITSC</w:t>
      </w:r>
      <w:r w:rsidRPr="00386354">
        <w:rPr>
          <w:rFonts w:asciiTheme="minorHAnsi" w:hAnsiTheme="minorHAnsi"/>
          <w:sz w:val="24"/>
          <w:szCs w:val="24"/>
          <w:lang w:val="en-US"/>
        </w:rPr>
        <w:t xml:space="preserve"> Secondary Analysis Report for the Immune</w:t>
      </w:r>
      <w:r>
        <w:rPr>
          <w:rFonts w:asciiTheme="minorHAnsi" w:hAnsiTheme="minorHAnsi"/>
          <w:sz w:val="24"/>
          <w:szCs w:val="24"/>
          <w:lang w:val="en-US"/>
        </w:rPr>
        <w:t xml:space="preserve"> </w:t>
      </w:r>
      <w:r w:rsidRPr="00386354">
        <w:rPr>
          <w:rFonts w:asciiTheme="minorHAnsi" w:hAnsiTheme="minorHAnsi"/>
          <w:sz w:val="24"/>
          <w:szCs w:val="24"/>
          <w:lang w:val="en-US"/>
        </w:rPr>
        <w:t>Modula</w:t>
      </w:r>
      <w:r w:rsidR="00884A42">
        <w:rPr>
          <w:rFonts w:asciiTheme="minorHAnsi" w:hAnsiTheme="minorHAnsi" w:hint="eastAsia"/>
          <w:sz w:val="24"/>
          <w:szCs w:val="24"/>
          <w:lang w:val="en-US"/>
        </w:rPr>
        <w:t>ti</w:t>
      </w:r>
      <w:r w:rsidRPr="00386354">
        <w:rPr>
          <w:rFonts w:asciiTheme="minorHAnsi" w:hAnsiTheme="minorHAnsi"/>
          <w:sz w:val="24"/>
          <w:szCs w:val="24"/>
          <w:lang w:val="en-US"/>
        </w:rPr>
        <w:t xml:space="preserve">on </w:t>
      </w:r>
      <w:r w:rsidR="009964F6">
        <w:rPr>
          <w:rFonts w:asciiTheme="minorHAnsi" w:hAnsiTheme="minorHAnsi"/>
          <w:sz w:val="24"/>
          <w:szCs w:val="24"/>
          <w:lang w:val="en-US"/>
        </w:rPr>
        <w:t xml:space="preserve">Therapy </w:t>
      </w:r>
      <w:r w:rsidRPr="00386354">
        <w:rPr>
          <w:rFonts w:asciiTheme="minorHAnsi" w:hAnsiTheme="minorHAnsi"/>
          <w:sz w:val="24"/>
          <w:szCs w:val="24"/>
          <w:lang w:val="en-US"/>
        </w:rPr>
        <w:t>Domain</w:t>
      </w:r>
      <w:bookmarkEnd w:id="46"/>
    </w:p>
    <w:sectPr w:rsidR="00386354" w:rsidRPr="00386354" w:rsidSect="000466B7">
      <w:headerReference w:type="even" r:id="rId18"/>
      <w:headerReference w:type="default" r:id="rId19"/>
      <w:footerReference w:type="even" r:id="rId20"/>
      <w:footerReference w:type="default" r:id="rId21"/>
      <w:headerReference w:type="first" r:id="rId22"/>
      <w:footerReference w:type="first" r:id="rId2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BA2DC2" w14:textId="77777777" w:rsidR="00493306" w:rsidRDefault="00493306" w:rsidP="002126B7">
      <w:r>
        <w:separator/>
      </w:r>
    </w:p>
  </w:endnote>
  <w:endnote w:type="continuationSeparator" w:id="0">
    <w:p w14:paraId="41AD0D74" w14:textId="77777777" w:rsidR="00493306" w:rsidRDefault="00493306" w:rsidP="00212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altName w:val="Calibri"/>
    <w:panose1 w:val="020F0502020204030204"/>
    <w:charset w:val="00"/>
    <w:family w:val="swiss"/>
    <w:pitch w:val="variable"/>
    <w:sig w:usb0="A00002EF" w:usb1="4000207B" w:usb2="00000000" w:usb3="00000000" w:csb0="0000009F" w:csb1="00000000"/>
  </w:font>
  <w:font w:name="Calibri Light">
    <w:altName w:val="Calibri"/>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gt;p¶'3">
    <w:altName w:val="Calibri"/>
    <w:panose1 w:val="020B0604020202020204"/>
    <w:charset w:val="4D"/>
    <w:family w:val="auto"/>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12286510"/>
      <w:docPartObj>
        <w:docPartGallery w:val="Page Numbers (Bottom of Page)"/>
        <w:docPartUnique/>
      </w:docPartObj>
    </w:sdtPr>
    <w:sdtEndPr>
      <w:rPr>
        <w:rStyle w:val="PageNumber"/>
      </w:rPr>
    </w:sdtEndPr>
    <w:sdtContent>
      <w:p w14:paraId="1D33C8D1" w14:textId="669A9262" w:rsidR="00507544" w:rsidRDefault="00507544" w:rsidP="00F42F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B5D749" w14:textId="77777777" w:rsidR="00507544" w:rsidRDefault="00507544" w:rsidP="002126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07713409"/>
      <w:docPartObj>
        <w:docPartGallery w:val="Page Numbers (Bottom of Page)"/>
        <w:docPartUnique/>
      </w:docPartObj>
    </w:sdtPr>
    <w:sdtEndPr>
      <w:rPr>
        <w:rStyle w:val="PageNumber"/>
      </w:rPr>
    </w:sdtEndPr>
    <w:sdtContent>
      <w:p w14:paraId="00839713" w14:textId="37A04CCC" w:rsidR="00507544" w:rsidRDefault="00507544" w:rsidP="00F42F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C4CD3">
          <w:rPr>
            <w:rStyle w:val="PageNumber"/>
            <w:noProof/>
          </w:rPr>
          <w:t>45</w:t>
        </w:r>
        <w:r>
          <w:rPr>
            <w:rStyle w:val="PageNumber"/>
          </w:rPr>
          <w:fldChar w:fldCharType="end"/>
        </w:r>
      </w:p>
    </w:sdtContent>
  </w:sdt>
  <w:p w14:paraId="26A0BE97" w14:textId="77777777" w:rsidR="00507544" w:rsidRDefault="00507544" w:rsidP="002126B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093CE" w14:textId="77777777" w:rsidR="00507544" w:rsidRDefault="005075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FBFA2A" w14:textId="77777777" w:rsidR="00493306" w:rsidRDefault="00493306" w:rsidP="002126B7">
      <w:r>
        <w:separator/>
      </w:r>
    </w:p>
  </w:footnote>
  <w:footnote w:type="continuationSeparator" w:id="0">
    <w:p w14:paraId="4C6811B4" w14:textId="77777777" w:rsidR="00493306" w:rsidRDefault="00493306" w:rsidP="002126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5A190" w14:textId="08270A73" w:rsidR="00507544" w:rsidRDefault="005075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E7FFE" w14:textId="5CC88603" w:rsidR="00507544" w:rsidRDefault="005075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316F1" w14:textId="5D89BD11" w:rsidR="00507544" w:rsidRDefault="005075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06717"/>
    <w:multiLevelType w:val="hybridMultilevel"/>
    <w:tmpl w:val="E3EEB5F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135539"/>
    <w:multiLevelType w:val="multilevel"/>
    <w:tmpl w:val="999A30BA"/>
    <w:lvl w:ilvl="0">
      <w:start w:val="1"/>
      <w:numFmt w:val="decimal"/>
      <w:pStyle w:val="Heading1"/>
      <w:lvlText w:val="%1."/>
      <w:lvlJc w:val="left"/>
      <w:pPr>
        <w:ind w:left="354"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6" w:hanging="720"/>
      </w:pPr>
      <w:rPr>
        <w:rFonts w:hint="default"/>
      </w:rPr>
    </w:lvl>
    <w:lvl w:ilvl="3">
      <w:start w:val="1"/>
      <w:numFmt w:val="decimal"/>
      <w:isLgl/>
      <w:lvlText w:val="%1.%2.%3.%4"/>
      <w:lvlJc w:val="left"/>
      <w:pPr>
        <w:ind w:left="732" w:hanging="720"/>
      </w:pPr>
      <w:rPr>
        <w:rFonts w:hint="default"/>
      </w:rPr>
    </w:lvl>
    <w:lvl w:ilvl="4">
      <w:start w:val="1"/>
      <w:numFmt w:val="decimal"/>
      <w:isLgl/>
      <w:lvlText w:val="%1.%2.%3.%4.%5"/>
      <w:lvlJc w:val="left"/>
      <w:pPr>
        <w:ind w:left="1098" w:hanging="1080"/>
      </w:pPr>
      <w:rPr>
        <w:rFonts w:hint="default"/>
      </w:rPr>
    </w:lvl>
    <w:lvl w:ilvl="5">
      <w:start w:val="1"/>
      <w:numFmt w:val="decimal"/>
      <w:isLgl/>
      <w:lvlText w:val="%1.%2.%3.%4.%5.%6"/>
      <w:lvlJc w:val="left"/>
      <w:pPr>
        <w:ind w:left="1104" w:hanging="1080"/>
      </w:pPr>
      <w:rPr>
        <w:rFonts w:hint="default"/>
      </w:rPr>
    </w:lvl>
    <w:lvl w:ilvl="6">
      <w:start w:val="1"/>
      <w:numFmt w:val="decimal"/>
      <w:isLgl/>
      <w:lvlText w:val="%1.%2.%3.%4.%5.%6.%7"/>
      <w:lvlJc w:val="left"/>
      <w:pPr>
        <w:ind w:left="1470" w:hanging="1440"/>
      </w:pPr>
      <w:rPr>
        <w:rFonts w:hint="default"/>
      </w:rPr>
    </w:lvl>
    <w:lvl w:ilvl="7">
      <w:start w:val="1"/>
      <w:numFmt w:val="decimal"/>
      <w:isLgl/>
      <w:lvlText w:val="%1.%2.%3.%4.%5.%6.%7.%8"/>
      <w:lvlJc w:val="left"/>
      <w:pPr>
        <w:ind w:left="1476" w:hanging="1440"/>
      </w:pPr>
      <w:rPr>
        <w:rFonts w:hint="default"/>
      </w:rPr>
    </w:lvl>
    <w:lvl w:ilvl="8">
      <w:start w:val="1"/>
      <w:numFmt w:val="decimal"/>
      <w:isLgl/>
      <w:lvlText w:val="%1.%2.%3.%4.%5.%6.%7.%8.%9"/>
      <w:lvlJc w:val="left"/>
      <w:pPr>
        <w:ind w:left="1842" w:hanging="1800"/>
      </w:pPr>
      <w:rPr>
        <w:rFonts w:hint="default"/>
      </w:rPr>
    </w:lvl>
  </w:abstractNum>
  <w:abstractNum w:abstractNumId="2" w15:restartNumberingAfterBreak="0">
    <w:nsid w:val="0D604AED"/>
    <w:multiLevelType w:val="hybridMultilevel"/>
    <w:tmpl w:val="340E5B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83719F"/>
    <w:multiLevelType w:val="hybridMultilevel"/>
    <w:tmpl w:val="7F0A1484"/>
    <w:lvl w:ilvl="0" w:tplc="0809000F">
      <w:start w:val="1"/>
      <w:numFmt w:val="decimal"/>
      <w:lvlText w:val="%1."/>
      <w:lvlJc w:val="left"/>
      <w:pPr>
        <w:ind w:left="717" w:hanging="360"/>
      </w:pPr>
      <w:rPr>
        <w:rFonts w:hint="default"/>
      </w:rPr>
    </w:lvl>
    <w:lvl w:ilvl="1" w:tplc="08090001">
      <w:start w:val="1"/>
      <w:numFmt w:val="bullet"/>
      <w:lvlText w:val=""/>
      <w:lvlJc w:val="left"/>
      <w:pPr>
        <w:ind w:left="714" w:hanging="360"/>
      </w:pPr>
      <w:rPr>
        <w:rFonts w:ascii="Symbol" w:hAnsi="Symbol" w:hint="default"/>
      </w:rPr>
    </w:lvl>
    <w:lvl w:ilvl="2" w:tplc="08090005">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4" w15:restartNumberingAfterBreak="0">
    <w:nsid w:val="236754BA"/>
    <w:multiLevelType w:val="hybridMultilevel"/>
    <w:tmpl w:val="6AD299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35F7EC0"/>
    <w:multiLevelType w:val="hybridMultilevel"/>
    <w:tmpl w:val="E618B1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3852598"/>
    <w:multiLevelType w:val="hybridMultilevel"/>
    <w:tmpl w:val="F8021EE6"/>
    <w:lvl w:ilvl="0" w:tplc="08090003">
      <w:start w:val="1"/>
      <w:numFmt w:val="bullet"/>
      <w:lvlText w:val="o"/>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F42153D"/>
    <w:multiLevelType w:val="hybridMultilevel"/>
    <w:tmpl w:val="ED544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E70250"/>
    <w:multiLevelType w:val="multilevel"/>
    <w:tmpl w:val="E8FE1B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AA01D39"/>
    <w:multiLevelType w:val="hybridMultilevel"/>
    <w:tmpl w:val="9B06BAA8"/>
    <w:lvl w:ilvl="0" w:tplc="08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E696A74"/>
    <w:multiLevelType w:val="hybridMultilevel"/>
    <w:tmpl w:val="82CE97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DF42180"/>
    <w:multiLevelType w:val="hybridMultilevel"/>
    <w:tmpl w:val="D2C6B472"/>
    <w:lvl w:ilvl="0" w:tplc="08090001">
      <w:start w:val="1"/>
      <w:numFmt w:val="bullet"/>
      <w:lvlText w:val=""/>
      <w:lvlJc w:val="left"/>
      <w:pPr>
        <w:ind w:left="360" w:hanging="360"/>
      </w:pPr>
      <w:rPr>
        <w:rFonts w:ascii="Symbol" w:hAnsi="Symbol" w:hint="default"/>
      </w:rPr>
    </w:lvl>
    <w:lvl w:ilvl="1" w:tplc="121C3692">
      <w:start w:val="1"/>
      <w:numFmt w:val="lowerLetter"/>
      <w:lvlText w:val="%2."/>
      <w:lvlJc w:val="left"/>
      <w:pPr>
        <w:ind w:left="1080" w:hanging="360"/>
      </w:pPr>
    </w:lvl>
    <w:lvl w:ilvl="2" w:tplc="DEDE6F3C" w:tentative="1">
      <w:start w:val="1"/>
      <w:numFmt w:val="lowerRoman"/>
      <w:lvlText w:val="%3."/>
      <w:lvlJc w:val="right"/>
      <w:pPr>
        <w:ind w:left="1800" w:hanging="180"/>
      </w:pPr>
    </w:lvl>
    <w:lvl w:ilvl="3" w:tplc="CE565B4A" w:tentative="1">
      <w:start w:val="1"/>
      <w:numFmt w:val="decimal"/>
      <w:lvlText w:val="%4."/>
      <w:lvlJc w:val="left"/>
      <w:pPr>
        <w:ind w:left="2520" w:hanging="360"/>
      </w:pPr>
    </w:lvl>
    <w:lvl w:ilvl="4" w:tplc="A39624F4" w:tentative="1">
      <w:start w:val="1"/>
      <w:numFmt w:val="lowerLetter"/>
      <w:lvlText w:val="%5."/>
      <w:lvlJc w:val="left"/>
      <w:pPr>
        <w:ind w:left="3240" w:hanging="360"/>
      </w:pPr>
    </w:lvl>
    <w:lvl w:ilvl="5" w:tplc="FFFABDDA" w:tentative="1">
      <w:start w:val="1"/>
      <w:numFmt w:val="lowerRoman"/>
      <w:lvlText w:val="%6."/>
      <w:lvlJc w:val="right"/>
      <w:pPr>
        <w:ind w:left="3960" w:hanging="180"/>
      </w:pPr>
    </w:lvl>
    <w:lvl w:ilvl="6" w:tplc="C7603AF4" w:tentative="1">
      <w:start w:val="1"/>
      <w:numFmt w:val="decimal"/>
      <w:lvlText w:val="%7."/>
      <w:lvlJc w:val="left"/>
      <w:pPr>
        <w:ind w:left="4680" w:hanging="360"/>
      </w:pPr>
    </w:lvl>
    <w:lvl w:ilvl="7" w:tplc="F1A8705C" w:tentative="1">
      <w:start w:val="1"/>
      <w:numFmt w:val="lowerLetter"/>
      <w:lvlText w:val="%8."/>
      <w:lvlJc w:val="left"/>
      <w:pPr>
        <w:ind w:left="5400" w:hanging="360"/>
      </w:pPr>
    </w:lvl>
    <w:lvl w:ilvl="8" w:tplc="EB4C62BC" w:tentative="1">
      <w:start w:val="1"/>
      <w:numFmt w:val="lowerRoman"/>
      <w:lvlText w:val="%9."/>
      <w:lvlJc w:val="right"/>
      <w:pPr>
        <w:ind w:left="6120" w:hanging="180"/>
      </w:pPr>
    </w:lvl>
  </w:abstractNum>
  <w:abstractNum w:abstractNumId="12" w15:restartNumberingAfterBreak="0">
    <w:nsid w:val="6F5D12C5"/>
    <w:multiLevelType w:val="hybridMultilevel"/>
    <w:tmpl w:val="BC50BC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6F03A9"/>
    <w:multiLevelType w:val="hybridMultilevel"/>
    <w:tmpl w:val="39C994E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9"/>
  </w:num>
  <w:num w:numId="3">
    <w:abstractNumId w:val="11"/>
  </w:num>
  <w:num w:numId="4">
    <w:abstractNumId w:val="5"/>
  </w:num>
  <w:num w:numId="5">
    <w:abstractNumId w:val="7"/>
  </w:num>
  <w:num w:numId="6">
    <w:abstractNumId w:val="1"/>
  </w:num>
  <w:num w:numId="7">
    <w:abstractNumId w:val="10"/>
  </w:num>
  <w:num w:numId="8">
    <w:abstractNumId w:val="12"/>
  </w:num>
  <w:num w:numId="9">
    <w:abstractNumId w:val="8"/>
  </w:num>
  <w:num w:numId="10">
    <w:abstractNumId w:val="0"/>
  </w:num>
  <w:num w:numId="11">
    <w:abstractNumId w:val="6"/>
  </w:num>
  <w:num w:numId="12">
    <w:abstractNumId w:val="13"/>
  </w:num>
  <w:num w:numId="13">
    <w:abstractNumId w:val="2"/>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fr-FR" w:vendorID="64" w:dllVersion="4096"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nl-NL" w:vendorID="64" w:dllVersion="4096" w:nlCheck="1" w:checkStyle="0"/>
  <w:activeWritingStyle w:appName="MSWord" w:lang="fr-CA" w:vendorID="64" w:dllVersion="4096" w:nlCheck="1" w:checkStyle="0"/>
  <w:activeWritingStyle w:appName="MSWord" w:lang="de-DE"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de-DE" w:vendorID="64" w:dllVersion="0" w:nlCheck="1" w:checkStyle="0"/>
  <w:activeWritingStyle w:appName="MSWord" w:lang="en-AU" w:vendorID="64" w:dllVersion="0"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New England J Medicin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xeea9zv5d9dabepvr7pt2abwttzrepessrz&quot;&gt;Toci refs&lt;record-ids&gt;&lt;item&gt;35&lt;/item&gt;&lt;/record-ids&gt;&lt;/item&gt;&lt;/Libraries&gt;"/>
  </w:docVars>
  <w:rsids>
    <w:rsidRoot w:val="00F46A86"/>
    <w:rsid w:val="0000251C"/>
    <w:rsid w:val="000059A2"/>
    <w:rsid w:val="00007908"/>
    <w:rsid w:val="00011A25"/>
    <w:rsid w:val="0002257C"/>
    <w:rsid w:val="00023EEC"/>
    <w:rsid w:val="00023F83"/>
    <w:rsid w:val="00024485"/>
    <w:rsid w:val="00025183"/>
    <w:rsid w:val="00025A66"/>
    <w:rsid w:val="00026C31"/>
    <w:rsid w:val="00033773"/>
    <w:rsid w:val="000466B7"/>
    <w:rsid w:val="000468DD"/>
    <w:rsid w:val="00050F4D"/>
    <w:rsid w:val="00053E39"/>
    <w:rsid w:val="000650BA"/>
    <w:rsid w:val="00066F39"/>
    <w:rsid w:val="00072065"/>
    <w:rsid w:val="000764FF"/>
    <w:rsid w:val="000773F7"/>
    <w:rsid w:val="000774F8"/>
    <w:rsid w:val="00080478"/>
    <w:rsid w:val="000833BA"/>
    <w:rsid w:val="00085EB4"/>
    <w:rsid w:val="000867B6"/>
    <w:rsid w:val="00090F86"/>
    <w:rsid w:val="00092BD8"/>
    <w:rsid w:val="000954C5"/>
    <w:rsid w:val="000962C1"/>
    <w:rsid w:val="00097972"/>
    <w:rsid w:val="000A01DA"/>
    <w:rsid w:val="000A709C"/>
    <w:rsid w:val="000B2006"/>
    <w:rsid w:val="000C10C5"/>
    <w:rsid w:val="000C48CF"/>
    <w:rsid w:val="000D1204"/>
    <w:rsid w:val="000E3551"/>
    <w:rsid w:val="000E5B64"/>
    <w:rsid w:val="000E683C"/>
    <w:rsid w:val="000F0C1B"/>
    <w:rsid w:val="000F1469"/>
    <w:rsid w:val="00102665"/>
    <w:rsid w:val="001129FE"/>
    <w:rsid w:val="00124213"/>
    <w:rsid w:val="00131A70"/>
    <w:rsid w:val="0013269E"/>
    <w:rsid w:val="00137800"/>
    <w:rsid w:val="0013788A"/>
    <w:rsid w:val="00142D70"/>
    <w:rsid w:val="00144BD3"/>
    <w:rsid w:val="0014661E"/>
    <w:rsid w:val="00166BFC"/>
    <w:rsid w:val="00167786"/>
    <w:rsid w:val="00171CD5"/>
    <w:rsid w:val="0017501A"/>
    <w:rsid w:val="00177317"/>
    <w:rsid w:val="00177D86"/>
    <w:rsid w:val="00180936"/>
    <w:rsid w:val="00181075"/>
    <w:rsid w:val="00181935"/>
    <w:rsid w:val="001832B4"/>
    <w:rsid w:val="00184413"/>
    <w:rsid w:val="00187431"/>
    <w:rsid w:val="0019049C"/>
    <w:rsid w:val="00190937"/>
    <w:rsid w:val="001911AF"/>
    <w:rsid w:val="001921FA"/>
    <w:rsid w:val="001A1892"/>
    <w:rsid w:val="001B00C6"/>
    <w:rsid w:val="001B1028"/>
    <w:rsid w:val="001B118C"/>
    <w:rsid w:val="001B1C41"/>
    <w:rsid w:val="001B6BFF"/>
    <w:rsid w:val="001B7AD6"/>
    <w:rsid w:val="001C11AB"/>
    <w:rsid w:val="001D684A"/>
    <w:rsid w:val="001D725C"/>
    <w:rsid w:val="001E006B"/>
    <w:rsid w:val="001E0A67"/>
    <w:rsid w:val="001E6206"/>
    <w:rsid w:val="001E6EE1"/>
    <w:rsid w:val="001E6F1D"/>
    <w:rsid w:val="001E7156"/>
    <w:rsid w:val="001F0997"/>
    <w:rsid w:val="001F0DEE"/>
    <w:rsid w:val="001F1948"/>
    <w:rsid w:val="001F19D4"/>
    <w:rsid w:val="001F2D3E"/>
    <w:rsid w:val="00206C13"/>
    <w:rsid w:val="00207938"/>
    <w:rsid w:val="002126B7"/>
    <w:rsid w:val="002129B2"/>
    <w:rsid w:val="0022427B"/>
    <w:rsid w:val="00235E45"/>
    <w:rsid w:val="00236B40"/>
    <w:rsid w:val="002445D7"/>
    <w:rsid w:val="00251540"/>
    <w:rsid w:val="00252CAB"/>
    <w:rsid w:val="00254341"/>
    <w:rsid w:val="00256229"/>
    <w:rsid w:val="00261778"/>
    <w:rsid w:val="00261BB6"/>
    <w:rsid w:val="00274DF5"/>
    <w:rsid w:val="002759E3"/>
    <w:rsid w:val="002829FF"/>
    <w:rsid w:val="00283B35"/>
    <w:rsid w:val="00284013"/>
    <w:rsid w:val="002849B4"/>
    <w:rsid w:val="002858A9"/>
    <w:rsid w:val="00285D40"/>
    <w:rsid w:val="002A0BF1"/>
    <w:rsid w:val="002B0DEA"/>
    <w:rsid w:val="002B1641"/>
    <w:rsid w:val="002C0650"/>
    <w:rsid w:val="002C47F5"/>
    <w:rsid w:val="002C4DB0"/>
    <w:rsid w:val="002C5769"/>
    <w:rsid w:val="002C653D"/>
    <w:rsid w:val="002D2B4D"/>
    <w:rsid w:val="002D2D70"/>
    <w:rsid w:val="002D4F65"/>
    <w:rsid w:val="002D7D6F"/>
    <w:rsid w:val="002E372F"/>
    <w:rsid w:val="002E4997"/>
    <w:rsid w:val="002E4F84"/>
    <w:rsid w:val="002E6C5B"/>
    <w:rsid w:val="002E75ED"/>
    <w:rsid w:val="002F06DD"/>
    <w:rsid w:val="002F1584"/>
    <w:rsid w:val="002F3A92"/>
    <w:rsid w:val="00302F3B"/>
    <w:rsid w:val="00307DC3"/>
    <w:rsid w:val="003257C5"/>
    <w:rsid w:val="00326179"/>
    <w:rsid w:val="00330AA0"/>
    <w:rsid w:val="003343B3"/>
    <w:rsid w:val="00342A17"/>
    <w:rsid w:val="00346FD6"/>
    <w:rsid w:val="00347163"/>
    <w:rsid w:val="00352180"/>
    <w:rsid w:val="00353946"/>
    <w:rsid w:val="0036013E"/>
    <w:rsid w:val="00371D2F"/>
    <w:rsid w:val="0037281B"/>
    <w:rsid w:val="00372DC9"/>
    <w:rsid w:val="00381127"/>
    <w:rsid w:val="003826AA"/>
    <w:rsid w:val="003829DF"/>
    <w:rsid w:val="00382E9F"/>
    <w:rsid w:val="00386354"/>
    <w:rsid w:val="003874C5"/>
    <w:rsid w:val="00396F55"/>
    <w:rsid w:val="003974A3"/>
    <w:rsid w:val="003A7E3F"/>
    <w:rsid w:val="003B335D"/>
    <w:rsid w:val="003B5324"/>
    <w:rsid w:val="003B5D01"/>
    <w:rsid w:val="003C2D59"/>
    <w:rsid w:val="003C3A21"/>
    <w:rsid w:val="003C40E0"/>
    <w:rsid w:val="003D115F"/>
    <w:rsid w:val="003D1CD5"/>
    <w:rsid w:val="003D60FB"/>
    <w:rsid w:val="003D65B6"/>
    <w:rsid w:val="003E038E"/>
    <w:rsid w:val="003E57B8"/>
    <w:rsid w:val="003E5AA8"/>
    <w:rsid w:val="003E77B0"/>
    <w:rsid w:val="003F1786"/>
    <w:rsid w:val="003F2582"/>
    <w:rsid w:val="003F296F"/>
    <w:rsid w:val="003F4390"/>
    <w:rsid w:val="004009D0"/>
    <w:rsid w:val="00402A2A"/>
    <w:rsid w:val="00402EB5"/>
    <w:rsid w:val="00412D5F"/>
    <w:rsid w:val="00414905"/>
    <w:rsid w:val="0042141A"/>
    <w:rsid w:val="00434B67"/>
    <w:rsid w:val="004362DA"/>
    <w:rsid w:val="004408B5"/>
    <w:rsid w:val="00444428"/>
    <w:rsid w:val="00445857"/>
    <w:rsid w:val="004465FD"/>
    <w:rsid w:val="00454B72"/>
    <w:rsid w:val="004551DE"/>
    <w:rsid w:val="00460F82"/>
    <w:rsid w:val="00462773"/>
    <w:rsid w:val="00467543"/>
    <w:rsid w:val="00483F1D"/>
    <w:rsid w:val="0048496E"/>
    <w:rsid w:val="00487EDC"/>
    <w:rsid w:val="00490C5F"/>
    <w:rsid w:val="00493306"/>
    <w:rsid w:val="00496514"/>
    <w:rsid w:val="00496DBA"/>
    <w:rsid w:val="004A5B01"/>
    <w:rsid w:val="004B32F2"/>
    <w:rsid w:val="004C19D9"/>
    <w:rsid w:val="004C438A"/>
    <w:rsid w:val="004D4DB8"/>
    <w:rsid w:val="004D633F"/>
    <w:rsid w:val="004D63FB"/>
    <w:rsid w:val="004D79A5"/>
    <w:rsid w:val="004E2C0F"/>
    <w:rsid w:val="004F512C"/>
    <w:rsid w:val="004F618F"/>
    <w:rsid w:val="004F7986"/>
    <w:rsid w:val="005007C9"/>
    <w:rsid w:val="005019CF"/>
    <w:rsid w:val="005041C8"/>
    <w:rsid w:val="00504CA8"/>
    <w:rsid w:val="0050588F"/>
    <w:rsid w:val="00506029"/>
    <w:rsid w:val="005064CC"/>
    <w:rsid w:val="00507544"/>
    <w:rsid w:val="00512ECB"/>
    <w:rsid w:val="0051384A"/>
    <w:rsid w:val="00513AA3"/>
    <w:rsid w:val="005142B1"/>
    <w:rsid w:val="005153A6"/>
    <w:rsid w:val="00515F9F"/>
    <w:rsid w:val="0051635D"/>
    <w:rsid w:val="005168D0"/>
    <w:rsid w:val="005178CE"/>
    <w:rsid w:val="00521C9D"/>
    <w:rsid w:val="00522F48"/>
    <w:rsid w:val="0052320F"/>
    <w:rsid w:val="005240B6"/>
    <w:rsid w:val="00526471"/>
    <w:rsid w:val="00526E62"/>
    <w:rsid w:val="00527118"/>
    <w:rsid w:val="00527235"/>
    <w:rsid w:val="00533507"/>
    <w:rsid w:val="00534797"/>
    <w:rsid w:val="00534DD6"/>
    <w:rsid w:val="00536154"/>
    <w:rsid w:val="0054168A"/>
    <w:rsid w:val="00541A19"/>
    <w:rsid w:val="00542B21"/>
    <w:rsid w:val="0055286F"/>
    <w:rsid w:val="00556ED3"/>
    <w:rsid w:val="00557FD3"/>
    <w:rsid w:val="00565CA7"/>
    <w:rsid w:val="005663B4"/>
    <w:rsid w:val="00567584"/>
    <w:rsid w:val="00571179"/>
    <w:rsid w:val="005744B3"/>
    <w:rsid w:val="005810FB"/>
    <w:rsid w:val="00581FB0"/>
    <w:rsid w:val="00582467"/>
    <w:rsid w:val="0058643B"/>
    <w:rsid w:val="00586EDE"/>
    <w:rsid w:val="00591F54"/>
    <w:rsid w:val="005A5E4B"/>
    <w:rsid w:val="005A7418"/>
    <w:rsid w:val="005B4563"/>
    <w:rsid w:val="005B68F7"/>
    <w:rsid w:val="005B7295"/>
    <w:rsid w:val="005B7C8D"/>
    <w:rsid w:val="005C318F"/>
    <w:rsid w:val="005C798D"/>
    <w:rsid w:val="005D02DB"/>
    <w:rsid w:val="005D0318"/>
    <w:rsid w:val="005D0F15"/>
    <w:rsid w:val="005D1CBA"/>
    <w:rsid w:val="005D32DD"/>
    <w:rsid w:val="005D5622"/>
    <w:rsid w:val="005E2640"/>
    <w:rsid w:val="005E327C"/>
    <w:rsid w:val="005E3CC3"/>
    <w:rsid w:val="005F2A13"/>
    <w:rsid w:val="005F4A5F"/>
    <w:rsid w:val="006055AF"/>
    <w:rsid w:val="00621900"/>
    <w:rsid w:val="0062196E"/>
    <w:rsid w:val="0063040A"/>
    <w:rsid w:val="00631027"/>
    <w:rsid w:val="006311C5"/>
    <w:rsid w:val="006320B4"/>
    <w:rsid w:val="0063270B"/>
    <w:rsid w:val="006407DD"/>
    <w:rsid w:val="006413DC"/>
    <w:rsid w:val="006420BB"/>
    <w:rsid w:val="006438E4"/>
    <w:rsid w:val="00646C2A"/>
    <w:rsid w:val="00647E4A"/>
    <w:rsid w:val="00651607"/>
    <w:rsid w:val="006568A6"/>
    <w:rsid w:val="00661EDE"/>
    <w:rsid w:val="006679D9"/>
    <w:rsid w:val="006737C0"/>
    <w:rsid w:val="00674D7D"/>
    <w:rsid w:val="006777E2"/>
    <w:rsid w:val="00677C5F"/>
    <w:rsid w:val="00681CC8"/>
    <w:rsid w:val="0068422F"/>
    <w:rsid w:val="006A0C48"/>
    <w:rsid w:val="006A564D"/>
    <w:rsid w:val="006B083A"/>
    <w:rsid w:val="006B32B2"/>
    <w:rsid w:val="006B536E"/>
    <w:rsid w:val="006C2733"/>
    <w:rsid w:val="006C74F2"/>
    <w:rsid w:val="006D07BB"/>
    <w:rsid w:val="006E1AD8"/>
    <w:rsid w:val="006E78D9"/>
    <w:rsid w:val="006F2409"/>
    <w:rsid w:val="006F2FD5"/>
    <w:rsid w:val="006F34F8"/>
    <w:rsid w:val="006F505F"/>
    <w:rsid w:val="006F5BAB"/>
    <w:rsid w:val="00700428"/>
    <w:rsid w:val="00701FAC"/>
    <w:rsid w:val="00702257"/>
    <w:rsid w:val="00712369"/>
    <w:rsid w:val="007159B1"/>
    <w:rsid w:val="00715A45"/>
    <w:rsid w:val="0071623C"/>
    <w:rsid w:val="00720C58"/>
    <w:rsid w:val="007220DE"/>
    <w:rsid w:val="007241DA"/>
    <w:rsid w:val="0073087E"/>
    <w:rsid w:val="00732191"/>
    <w:rsid w:val="00733955"/>
    <w:rsid w:val="00734D01"/>
    <w:rsid w:val="00734E57"/>
    <w:rsid w:val="00736A8F"/>
    <w:rsid w:val="0074096D"/>
    <w:rsid w:val="0074329D"/>
    <w:rsid w:val="00746233"/>
    <w:rsid w:val="007463A1"/>
    <w:rsid w:val="00750B90"/>
    <w:rsid w:val="00751165"/>
    <w:rsid w:val="00752ADC"/>
    <w:rsid w:val="00760799"/>
    <w:rsid w:val="007617B5"/>
    <w:rsid w:val="007619F6"/>
    <w:rsid w:val="00763E3B"/>
    <w:rsid w:val="00767260"/>
    <w:rsid w:val="00767CCB"/>
    <w:rsid w:val="007727EB"/>
    <w:rsid w:val="0077383B"/>
    <w:rsid w:val="00780231"/>
    <w:rsid w:val="00781453"/>
    <w:rsid w:val="00786F4A"/>
    <w:rsid w:val="00787A80"/>
    <w:rsid w:val="00790F41"/>
    <w:rsid w:val="007925BB"/>
    <w:rsid w:val="00794AFB"/>
    <w:rsid w:val="00796451"/>
    <w:rsid w:val="00797BBF"/>
    <w:rsid w:val="007A0E6B"/>
    <w:rsid w:val="007A356F"/>
    <w:rsid w:val="007A58CA"/>
    <w:rsid w:val="007B5008"/>
    <w:rsid w:val="007B7956"/>
    <w:rsid w:val="007C1CA0"/>
    <w:rsid w:val="007C4062"/>
    <w:rsid w:val="007C5FC0"/>
    <w:rsid w:val="007D2DDC"/>
    <w:rsid w:val="007D3FE6"/>
    <w:rsid w:val="007D6548"/>
    <w:rsid w:val="007E750E"/>
    <w:rsid w:val="007F2B15"/>
    <w:rsid w:val="007F6DBD"/>
    <w:rsid w:val="00803E87"/>
    <w:rsid w:val="008122B2"/>
    <w:rsid w:val="00815E42"/>
    <w:rsid w:val="008174EB"/>
    <w:rsid w:val="008221AC"/>
    <w:rsid w:val="00825863"/>
    <w:rsid w:val="00837301"/>
    <w:rsid w:val="008429AD"/>
    <w:rsid w:val="00843156"/>
    <w:rsid w:val="00851811"/>
    <w:rsid w:val="00852FAF"/>
    <w:rsid w:val="008554B0"/>
    <w:rsid w:val="00856B09"/>
    <w:rsid w:val="0087100E"/>
    <w:rsid w:val="008745D3"/>
    <w:rsid w:val="00874CEA"/>
    <w:rsid w:val="00884A42"/>
    <w:rsid w:val="008926B6"/>
    <w:rsid w:val="00895406"/>
    <w:rsid w:val="008965FA"/>
    <w:rsid w:val="008974F1"/>
    <w:rsid w:val="00897D66"/>
    <w:rsid w:val="008A20B6"/>
    <w:rsid w:val="008B3F96"/>
    <w:rsid w:val="008B5C5D"/>
    <w:rsid w:val="008C0D8B"/>
    <w:rsid w:val="008C5251"/>
    <w:rsid w:val="008C5735"/>
    <w:rsid w:val="008C5CF8"/>
    <w:rsid w:val="008C69A1"/>
    <w:rsid w:val="008D07D2"/>
    <w:rsid w:val="008D13CE"/>
    <w:rsid w:val="008E34BB"/>
    <w:rsid w:val="008E3FC3"/>
    <w:rsid w:val="008E5DB6"/>
    <w:rsid w:val="008F192E"/>
    <w:rsid w:val="00902FF7"/>
    <w:rsid w:val="00915A22"/>
    <w:rsid w:val="009174AC"/>
    <w:rsid w:val="00924511"/>
    <w:rsid w:val="009270F6"/>
    <w:rsid w:val="00935F34"/>
    <w:rsid w:val="00936FC8"/>
    <w:rsid w:val="00942412"/>
    <w:rsid w:val="009444C3"/>
    <w:rsid w:val="009449C0"/>
    <w:rsid w:val="00946D7C"/>
    <w:rsid w:val="00947F01"/>
    <w:rsid w:val="009518FB"/>
    <w:rsid w:val="00951BE6"/>
    <w:rsid w:val="009528CF"/>
    <w:rsid w:val="00954560"/>
    <w:rsid w:val="00957C21"/>
    <w:rsid w:val="00960B88"/>
    <w:rsid w:val="00964900"/>
    <w:rsid w:val="009669C9"/>
    <w:rsid w:val="009677C3"/>
    <w:rsid w:val="00967C56"/>
    <w:rsid w:val="009702A4"/>
    <w:rsid w:val="00973348"/>
    <w:rsid w:val="009755CB"/>
    <w:rsid w:val="00983E27"/>
    <w:rsid w:val="009853E2"/>
    <w:rsid w:val="009904AA"/>
    <w:rsid w:val="009964F6"/>
    <w:rsid w:val="009A0238"/>
    <w:rsid w:val="009A17F7"/>
    <w:rsid w:val="009A58F8"/>
    <w:rsid w:val="009A65D3"/>
    <w:rsid w:val="009A7AE2"/>
    <w:rsid w:val="009B5D61"/>
    <w:rsid w:val="009C0824"/>
    <w:rsid w:val="009C2A20"/>
    <w:rsid w:val="009C3998"/>
    <w:rsid w:val="009C5421"/>
    <w:rsid w:val="009C552B"/>
    <w:rsid w:val="009C6BC2"/>
    <w:rsid w:val="009D6732"/>
    <w:rsid w:val="009E00C4"/>
    <w:rsid w:val="009F07E7"/>
    <w:rsid w:val="009F5730"/>
    <w:rsid w:val="009F73E7"/>
    <w:rsid w:val="009F7F1A"/>
    <w:rsid w:val="00A027EE"/>
    <w:rsid w:val="00A046A9"/>
    <w:rsid w:val="00A155FF"/>
    <w:rsid w:val="00A1711A"/>
    <w:rsid w:val="00A1725F"/>
    <w:rsid w:val="00A26B2D"/>
    <w:rsid w:val="00A27929"/>
    <w:rsid w:val="00A3756A"/>
    <w:rsid w:val="00A42320"/>
    <w:rsid w:val="00A441DD"/>
    <w:rsid w:val="00A45B49"/>
    <w:rsid w:val="00A50F63"/>
    <w:rsid w:val="00A53FE9"/>
    <w:rsid w:val="00A551E3"/>
    <w:rsid w:val="00A55236"/>
    <w:rsid w:val="00A57332"/>
    <w:rsid w:val="00A652D7"/>
    <w:rsid w:val="00A76818"/>
    <w:rsid w:val="00A8302C"/>
    <w:rsid w:val="00A87B55"/>
    <w:rsid w:val="00A905D0"/>
    <w:rsid w:val="00A91F43"/>
    <w:rsid w:val="00A92D84"/>
    <w:rsid w:val="00A96F9B"/>
    <w:rsid w:val="00AA4597"/>
    <w:rsid w:val="00AB1E15"/>
    <w:rsid w:val="00AB2AA3"/>
    <w:rsid w:val="00AB3E85"/>
    <w:rsid w:val="00AC4F1C"/>
    <w:rsid w:val="00AD1B33"/>
    <w:rsid w:val="00AD23CF"/>
    <w:rsid w:val="00AD5428"/>
    <w:rsid w:val="00AD62C1"/>
    <w:rsid w:val="00AD7602"/>
    <w:rsid w:val="00AE18BC"/>
    <w:rsid w:val="00AE2094"/>
    <w:rsid w:val="00AE4CE0"/>
    <w:rsid w:val="00AE619D"/>
    <w:rsid w:val="00AE6536"/>
    <w:rsid w:val="00AE658D"/>
    <w:rsid w:val="00AF0BC4"/>
    <w:rsid w:val="00AF13E6"/>
    <w:rsid w:val="00AF726C"/>
    <w:rsid w:val="00AF74EC"/>
    <w:rsid w:val="00B01075"/>
    <w:rsid w:val="00B012E7"/>
    <w:rsid w:val="00B038B9"/>
    <w:rsid w:val="00B05DB6"/>
    <w:rsid w:val="00B11743"/>
    <w:rsid w:val="00B22696"/>
    <w:rsid w:val="00B22AC6"/>
    <w:rsid w:val="00B24FC3"/>
    <w:rsid w:val="00B34B9F"/>
    <w:rsid w:val="00B3533F"/>
    <w:rsid w:val="00B37FBB"/>
    <w:rsid w:val="00B4448C"/>
    <w:rsid w:val="00B45DB5"/>
    <w:rsid w:val="00B47307"/>
    <w:rsid w:val="00B47AE7"/>
    <w:rsid w:val="00B50188"/>
    <w:rsid w:val="00B50817"/>
    <w:rsid w:val="00B52053"/>
    <w:rsid w:val="00B527F1"/>
    <w:rsid w:val="00B62675"/>
    <w:rsid w:val="00B66FA3"/>
    <w:rsid w:val="00B67E0B"/>
    <w:rsid w:val="00B75B7C"/>
    <w:rsid w:val="00B7796F"/>
    <w:rsid w:val="00B83042"/>
    <w:rsid w:val="00B84795"/>
    <w:rsid w:val="00B85B38"/>
    <w:rsid w:val="00B87DA2"/>
    <w:rsid w:val="00B907F3"/>
    <w:rsid w:val="00B92F55"/>
    <w:rsid w:val="00B95A05"/>
    <w:rsid w:val="00BA3A6D"/>
    <w:rsid w:val="00BA538B"/>
    <w:rsid w:val="00BA7053"/>
    <w:rsid w:val="00BB21F9"/>
    <w:rsid w:val="00BB3102"/>
    <w:rsid w:val="00BB600C"/>
    <w:rsid w:val="00BC2C91"/>
    <w:rsid w:val="00BC3D8D"/>
    <w:rsid w:val="00BD0B2F"/>
    <w:rsid w:val="00BD0D49"/>
    <w:rsid w:val="00BD1D43"/>
    <w:rsid w:val="00BE0F09"/>
    <w:rsid w:val="00BE1EDD"/>
    <w:rsid w:val="00BE6FA4"/>
    <w:rsid w:val="00BF1BD1"/>
    <w:rsid w:val="00BF46D6"/>
    <w:rsid w:val="00BF7613"/>
    <w:rsid w:val="00C02122"/>
    <w:rsid w:val="00C02E11"/>
    <w:rsid w:val="00C03677"/>
    <w:rsid w:val="00C1129A"/>
    <w:rsid w:val="00C121DC"/>
    <w:rsid w:val="00C151C0"/>
    <w:rsid w:val="00C16607"/>
    <w:rsid w:val="00C20C8D"/>
    <w:rsid w:val="00C311F9"/>
    <w:rsid w:val="00C342A6"/>
    <w:rsid w:val="00C34C52"/>
    <w:rsid w:val="00C37A1F"/>
    <w:rsid w:val="00C41BA7"/>
    <w:rsid w:val="00C473B7"/>
    <w:rsid w:val="00C575D2"/>
    <w:rsid w:val="00C606F2"/>
    <w:rsid w:val="00C61C51"/>
    <w:rsid w:val="00C61E6A"/>
    <w:rsid w:val="00C62E6F"/>
    <w:rsid w:val="00C63F1C"/>
    <w:rsid w:val="00C66A5D"/>
    <w:rsid w:val="00C67C6E"/>
    <w:rsid w:val="00C76D75"/>
    <w:rsid w:val="00C80338"/>
    <w:rsid w:val="00C855A2"/>
    <w:rsid w:val="00C8576A"/>
    <w:rsid w:val="00C85CB9"/>
    <w:rsid w:val="00C914B4"/>
    <w:rsid w:val="00C936EF"/>
    <w:rsid w:val="00C963A6"/>
    <w:rsid w:val="00CA20E0"/>
    <w:rsid w:val="00CA57D6"/>
    <w:rsid w:val="00CB037E"/>
    <w:rsid w:val="00CB494E"/>
    <w:rsid w:val="00CB5289"/>
    <w:rsid w:val="00CB77BE"/>
    <w:rsid w:val="00CC20EC"/>
    <w:rsid w:val="00CC2AB5"/>
    <w:rsid w:val="00CC4795"/>
    <w:rsid w:val="00CC4CD3"/>
    <w:rsid w:val="00CC588C"/>
    <w:rsid w:val="00CC768E"/>
    <w:rsid w:val="00CD4B49"/>
    <w:rsid w:val="00CD4E4F"/>
    <w:rsid w:val="00CD62D3"/>
    <w:rsid w:val="00CD75B1"/>
    <w:rsid w:val="00CD7724"/>
    <w:rsid w:val="00CE5CA1"/>
    <w:rsid w:val="00CF178C"/>
    <w:rsid w:val="00CF6192"/>
    <w:rsid w:val="00CF6333"/>
    <w:rsid w:val="00D052A7"/>
    <w:rsid w:val="00D140E5"/>
    <w:rsid w:val="00D16D84"/>
    <w:rsid w:val="00D20317"/>
    <w:rsid w:val="00D2050A"/>
    <w:rsid w:val="00D31EEA"/>
    <w:rsid w:val="00D3298A"/>
    <w:rsid w:val="00D336E1"/>
    <w:rsid w:val="00D352FA"/>
    <w:rsid w:val="00D3687B"/>
    <w:rsid w:val="00D4456D"/>
    <w:rsid w:val="00D450BE"/>
    <w:rsid w:val="00D45405"/>
    <w:rsid w:val="00D543CE"/>
    <w:rsid w:val="00D717C8"/>
    <w:rsid w:val="00D71D40"/>
    <w:rsid w:val="00D74C7C"/>
    <w:rsid w:val="00D75137"/>
    <w:rsid w:val="00D77E51"/>
    <w:rsid w:val="00D809D0"/>
    <w:rsid w:val="00D82310"/>
    <w:rsid w:val="00D94890"/>
    <w:rsid w:val="00D95C9A"/>
    <w:rsid w:val="00DA0F4E"/>
    <w:rsid w:val="00DA579B"/>
    <w:rsid w:val="00DA6BD2"/>
    <w:rsid w:val="00DA6C19"/>
    <w:rsid w:val="00DB0717"/>
    <w:rsid w:val="00DB760C"/>
    <w:rsid w:val="00DC0291"/>
    <w:rsid w:val="00DC421F"/>
    <w:rsid w:val="00DC45E9"/>
    <w:rsid w:val="00DC635E"/>
    <w:rsid w:val="00DC641D"/>
    <w:rsid w:val="00DD404C"/>
    <w:rsid w:val="00DD4DF9"/>
    <w:rsid w:val="00DD68B7"/>
    <w:rsid w:val="00DD6D90"/>
    <w:rsid w:val="00DD6DFB"/>
    <w:rsid w:val="00DE64DA"/>
    <w:rsid w:val="00DF06D2"/>
    <w:rsid w:val="00DF42B4"/>
    <w:rsid w:val="00DF42E0"/>
    <w:rsid w:val="00DF43D1"/>
    <w:rsid w:val="00E0133A"/>
    <w:rsid w:val="00E02690"/>
    <w:rsid w:val="00E0447B"/>
    <w:rsid w:val="00E05995"/>
    <w:rsid w:val="00E05A19"/>
    <w:rsid w:val="00E06369"/>
    <w:rsid w:val="00E079BA"/>
    <w:rsid w:val="00E1373B"/>
    <w:rsid w:val="00E16A4F"/>
    <w:rsid w:val="00E30D9E"/>
    <w:rsid w:val="00E333F0"/>
    <w:rsid w:val="00E51ED8"/>
    <w:rsid w:val="00E61210"/>
    <w:rsid w:val="00E62AFB"/>
    <w:rsid w:val="00E64609"/>
    <w:rsid w:val="00E64670"/>
    <w:rsid w:val="00E7082B"/>
    <w:rsid w:val="00E744C6"/>
    <w:rsid w:val="00E7470B"/>
    <w:rsid w:val="00E76684"/>
    <w:rsid w:val="00E80D9F"/>
    <w:rsid w:val="00E84889"/>
    <w:rsid w:val="00E86E24"/>
    <w:rsid w:val="00E9121F"/>
    <w:rsid w:val="00E92230"/>
    <w:rsid w:val="00E97C74"/>
    <w:rsid w:val="00EA0728"/>
    <w:rsid w:val="00EA31E7"/>
    <w:rsid w:val="00EA7C87"/>
    <w:rsid w:val="00EB18EE"/>
    <w:rsid w:val="00EB6DAC"/>
    <w:rsid w:val="00EC16C3"/>
    <w:rsid w:val="00EC3CF5"/>
    <w:rsid w:val="00ED1698"/>
    <w:rsid w:val="00ED5835"/>
    <w:rsid w:val="00EE61FB"/>
    <w:rsid w:val="00EE6C07"/>
    <w:rsid w:val="00EF25CC"/>
    <w:rsid w:val="00EF30DE"/>
    <w:rsid w:val="00EF6CB8"/>
    <w:rsid w:val="00EF754E"/>
    <w:rsid w:val="00EF7FFD"/>
    <w:rsid w:val="00F01B65"/>
    <w:rsid w:val="00F039E7"/>
    <w:rsid w:val="00F03F76"/>
    <w:rsid w:val="00F05C96"/>
    <w:rsid w:val="00F06ECA"/>
    <w:rsid w:val="00F122B8"/>
    <w:rsid w:val="00F15A35"/>
    <w:rsid w:val="00F273DC"/>
    <w:rsid w:val="00F30B6B"/>
    <w:rsid w:val="00F32575"/>
    <w:rsid w:val="00F37253"/>
    <w:rsid w:val="00F37D2A"/>
    <w:rsid w:val="00F40632"/>
    <w:rsid w:val="00F40F22"/>
    <w:rsid w:val="00F41CFC"/>
    <w:rsid w:val="00F42C5B"/>
    <w:rsid w:val="00F42F00"/>
    <w:rsid w:val="00F46A86"/>
    <w:rsid w:val="00F528EB"/>
    <w:rsid w:val="00F559D6"/>
    <w:rsid w:val="00F6397A"/>
    <w:rsid w:val="00F80FDA"/>
    <w:rsid w:val="00F82E1C"/>
    <w:rsid w:val="00F84498"/>
    <w:rsid w:val="00F85289"/>
    <w:rsid w:val="00F91B31"/>
    <w:rsid w:val="00F951C1"/>
    <w:rsid w:val="00FA0D0C"/>
    <w:rsid w:val="00FA6FC5"/>
    <w:rsid w:val="00FC0E00"/>
    <w:rsid w:val="00FC6897"/>
    <w:rsid w:val="00FD0EDA"/>
    <w:rsid w:val="00FD3616"/>
    <w:rsid w:val="00FE0D64"/>
    <w:rsid w:val="00FE56AB"/>
    <w:rsid w:val="00FE7214"/>
    <w:rsid w:val="00FE7585"/>
    <w:rsid w:val="00FE7F7F"/>
    <w:rsid w:val="00FF22D9"/>
    <w:rsid w:val="00FF63F7"/>
    <w:rsid w:val="00FF6C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F9DF72"/>
  <w14:defaultImageDpi w14:val="32767"/>
  <w15:chartTrackingRefBased/>
  <w15:docId w15:val="{840268FB-2512-754D-8D7D-08713E0E5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7EB"/>
    <w:rPr>
      <w:rFonts w:ascii="Times New Roman" w:eastAsia="Times New Roman" w:hAnsi="Times New Roman" w:cs="Times New Roman"/>
      <w:lang w:eastAsia="en-GB"/>
    </w:rPr>
  </w:style>
  <w:style w:type="paragraph" w:styleId="Heading1">
    <w:name w:val="heading 1"/>
    <w:basedOn w:val="ADSCAP"/>
    <w:next w:val="Normal"/>
    <w:link w:val="Heading1Char"/>
    <w:uiPriority w:val="9"/>
    <w:qFormat/>
    <w:rsid w:val="00B50817"/>
    <w:pPr>
      <w:numPr>
        <w:ilvl w:val="0"/>
        <w:numId w:val="6"/>
      </w:numPr>
      <w:outlineLvl w:val="0"/>
    </w:pPr>
    <w:rPr>
      <w:i w:val="0"/>
      <w:iCs/>
      <w:sz w:val="28"/>
      <w:szCs w:val="28"/>
    </w:rPr>
  </w:style>
  <w:style w:type="paragraph" w:styleId="Heading2">
    <w:name w:val="heading 2"/>
    <w:basedOn w:val="Normal"/>
    <w:next w:val="Normal"/>
    <w:link w:val="Heading2Char"/>
    <w:uiPriority w:val="9"/>
    <w:unhideWhenUsed/>
    <w:qFormat/>
    <w:rsid w:val="00A45B49"/>
    <w:pPr>
      <w:keepNext/>
      <w:keepLines/>
      <w:spacing w:before="40"/>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uiPriority w:val="9"/>
    <w:unhideWhenUsed/>
    <w:qFormat/>
    <w:rsid w:val="002D2B4D"/>
    <w:pPr>
      <w:keepNext/>
      <w:keepLines/>
      <w:spacing w:before="40"/>
      <w:outlineLvl w:val="2"/>
    </w:pPr>
    <w:rPr>
      <w:rFonts w:eastAsiaTheme="majorEastAsia" w:cstheme="minorHAnsi"/>
      <w:b/>
      <w:bCs/>
    </w:rPr>
  </w:style>
  <w:style w:type="paragraph" w:styleId="Heading4">
    <w:name w:val="heading 4"/>
    <w:basedOn w:val="Normal"/>
    <w:next w:val="Normal"/>
    <w:link w:val="Heading4Char"/>
    <w:uiPriority w:val="9"/>
    <w:unhideWhenUsed/>
    <w:qFormat/>
    <w:rsid w:val="00B50817"/>
    <w:pPr>
      <w:keepNext/>
      <w:keepLines/>
      <w:spacing w:before="40" w:line="360" w:lineRule="auto"/>
      <w:outlineLvl w:val="3"/>
    </w:pPr>
    <w:rPr>
      <w:rFonts w:asciiTheme="minorHAnsi" w:eastAsiaTheme="majorEastAsia" w:hAnsiTheme="minorHAnsi" w:cstheme="minorHAns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commendation,standard lewis,List Paragraph1"/>
    <w:basedOn w:val="Normal"/>
    <w:link w:val="ListParagraphChar"/>
    <w:uiPriority w:val="34"/>
    <w:qFormat/>
    <w:rsid w:val="00F46A86"/>
    <w:pPr>
      <w:spacing w:before="120" w:after="240" w:line="360" w:lineRule="auto"/>
      <w:ind w:left="720"/>
      <w:contextualSpacing/>
    </w:pPr>
    <w:rPr>
      <w:rFonts w:ascii="Calibri" w:hAnsi="Calibri" w:cstheme="majorBidi"/>
      <w:sz w:val="22"/>
      <w:szCs w:val="20"/>
      <w:lang w:val="en-US"/>
    </w:rPr>
  </w:style>
  <w:style w:type="paragraph" w:styleId="BalloonText">
    <w:name w:val="Balloon Text"/>
    <w:basedOn w:val="Normal"/>
    <w:link w:val="BalloonTextChar"/>
    <w:uiPriority w:val="99"/>
    <w:semiHidden/>
    <w:unhideWhenUsed/>
    <w:rsid w:val="00F46A86"/>
    <w:rPr>
      <w:sz w:val="18"/>
      <w:szCs w:val="18"/>
    </w:rPr>
  </w:style>
  <w:style w:type="character" w:customStyle="1" w:styleId="BalloonTextChar">
    <w:name w:val="Balloon Text Char"/>
    <w:basedOn w:val="DefaultParagraphFont"/>
    <w:link w:val="BalloonText"/>
    <w:uiPriority w:val="99"/>
    <w:semiHidden/>
    <w:rsid w:val="00F46A86"/>
    <w:rPr>
      <w:rFonts w:ascii="Times New Roman" w:hAnsi="Times New Roman" w:cs="Times New Roman"/>
      <w:sz w:val="18"/>
      <w:szCs w:val="18"/>
    </w:rPr>
  </w:style>
  <w:style w:type="character" w:customStyle="1" w:styleId="ListParagraphChar">
    <w:name w:val="List Paragraph Char"/>
    <w:aliases w:val="Recommendation Char,standard lewis Char,List Paragraph1 Char"/>
    <w:link w:val="ListParagraph"/>
    <w:uiPriority w:val="34"/>
    <w:rsid w:val="00490C5F"/>
    <w:rPr>
      <w:rFonts w:ascii="Calibri" w:hAnsi="Calibri" w:cstheme="majorBidi"/>
      <w:sz w:val="22"/>
      <w:szCs w:val="20"/>
      <w:lang w:val="en-US"/>
    </w:rPr>
  </w:style>
  <w:style w:type="character" w:customStyle="1" w:styleId="Heading1Char">
    <w:name w:val="Heading 1 Char"/>
    <w:basedOn w:val="DefaultParagraphFont"/>
    <w:link w:val="Heading1"/>
    <w:uiPriority w:val="9"/>
    <w:rsid w:val="00B50817"/>
    <w:rPr>
      <w:rFonts w:ascii="Calibri" w:eastAsiaTheme="majorEastAsia" w:hAnsi="Calibri" w:cstheme="majorBidi"/>
      <w:b/>
      <w:bCs/>
      <w:iCs/>
      <w:color w:val="FF0000"/>
      <w:sz w:val="28"/>
      <w:szCs w:val="28"/>
      <w:lang w:val="en-US" w:eastAsia="en-GB"/>
    </w:rPr>
  </w:style>
  <w:style w:type="character" w:customStyle="1" w:styleId="Heading2Char">
    <w:name w:val="Heading 2 Char"/>
    <w:basedOn w:val="DefaultParagraphFont"/>
    <w:link w:val="Heading2"/>
    <w:uiPriority w:val="9"/>
    <w:rsid w:val="00A45B49"/>
    <w:rPr>
      <w:rFonts w:asciiTheme="majorHAnsi" w:eastAsiaTheme="majorEastAsia" w:hAnsiTheme="majorHAnsi" w:cstheme="majorBidi"/>
      <w:b/>
      <w:color w:val="000000" w:themeColor="text1"/>
      <w:sz w:val="28"/>
      <w:szCs w:val="26"/>
    </w:rPr>
  </w:style>
  <w:style w:type="paragraph" w:styleId="NormalWeb">
    <w:name w:val="Normal (Web)"/>
    <w:basedOn w:val="Normal"/>
    <w:uiPriority w:val="99"/>
    <w:unhideWhenUsed/>
    <w:rsid w:val="0087100E"/>
    <w:pPr>
      <w:spacing w:before="100" w:beforeAutospacing="1" w:after="100" w:afterAutospacing="1"/>
    </w:pPr>
  </w:style>
  <w:style w:type="paragraph" w:styleId="NoSpacing">
    <w:name w:val="No Spacing"/>
    <w:uiPriority w:val="1"/>
    <w:qFormat/>
    <w:rsid w:val="0087100E"/>
    <w:pPr>
      <w:spacing w:after="120" w:line="264" w:lineRule="auto"/>
    </w:pPr>
    <w:rPr>
      <w:rFonts w:ascii="Calibri" w:hAnsi="Calibri" w:cstheme="majorBidi"/>
      <w:sz w:val="22"/>
      <w:szCs w:val="20"/>
      <w:lang w:val="en-US"/>
    </w:rPr>
  </w:style>
  <w:style w:type="character" w:customStyle="1" w:styleId="xapple-converted-space">
    <w:name w:val="x_apple-converted-space"/>
    <w:basedOn w:val="DefaultParagraphFont"/>
    <w:rsid w:val="00D809D0"/>
  </w:style>
  <w:style w:type="paragraph" w:customStyle="1" w:styleId="paragraph">
    <w:name w:val="paragraph"/>
    <w:basedOn w:val="Normal"/>
    <w:rsid w:val="003E5AA8"/>
    <w:pPr>
      <w:spacing w:before="100" w:beforeAutospacing="1" w:after="100" w:afterAutospacing="1"/>
    </w:pPr>
  </w:style>
  <w:style w:type="character" w:customStyle="1" w:styleId="normaltextrun">
    <w:name w:val="normaltextrun"/>
    <w:basedOn w:val="DefaultParagraphFont"/>
    <w:rsid w:val="003E5AA8"/>
  </w:style>
  <w:style w:type="character" w:customStyle="1" w:styleId="eop">
    <w:name w:val="eop"/>
    <w:basedOn w:val="DefaultParagraphFont"/>
    <w:rsid w:val="003E5AA8"/>
  </w:style>
  <w:style w:type="character" w:customStyle="1" w:styleId="scxw168765549">
    <w:name w:val="scxw168765549"/>
    <w:basedOn w:val="DefaultParagraphFont"/>
    <w:rsid w:val="003E5AA8"/>
  </w:style>
  <w:style w:type="character" w:customStyle="1" w:styleId="Heading3Char">
    <w:name w:val="Heading 3 Char"/>
    <w:basedOn w:val="DefaultParagraphFont"/>
    <w:link w:val="Heading3"/>
    <w:uiPriority w:val="9"/>
    <w:rsid w:val="002D2B4D"/>
    <w:rPr>
      <w:rFonts w:eastAsiaTheme="majorEastAsia" w:cstheme="minorHAnsi"/>
      <w:b/>
      <w:bCs/>
    </w:rPr>
  </w:style>
  <w:style w:type="paragraph" w:styleId="Title">
    <w:name w:val="Title"/>
    <w:basedOn w:val="Normal"/>
    <w:next w:val="Normal"/>
    <w:link w:val="TitleChar"/>
    <w:uiPriority w:val="10"/>
    <w:qFormat/>
    <w:rsid w:val="003E5AA8"/>
    <w:pPr>
      <w:contextualSpacing/>
    </w:pPr>
    <w:rPr>
      <w:rFonts w:asciiTheme="majorHAnsi" w:eastAsiaTheme="majorEastAsia" w:hAnsiTheme="majorHAnsi" w:cstheme="majorBidi"/>
      <w:b/>
      <w:color w:val="000000"/>
      <w:spacing w:val="-10"/>
      <w:kern w:val="28"/>
      <w:sz w:val="48"/>
      <w:szCs w:val="48"/>
      <w:lang w:val="en-US"/>
    </w:rPr>
  </w:style>
  <w:style w:type="character" w:customStyle="1" w:styleId="TitleChar">
    <w:name w:val="Title Char"/>
    <w:basedOn w:val="DefaultParagraphFont"/>
    <w:link w:val="Title"/>
    <w:uiPriority w:val="10"/>
    <w:rsid w:val="003E5AA8"/>
    <w:rPr>
      <w:rFonts w:asciiTheme="majorHAnsi" w:eastAsiaTheme="majorEastAsia" w:hAnsiTheme="majorHAnsi" w:cstheme="majorBidi"/>
      <w:b/>
      <w:color w:val="000000"/>
      <w:spacing w:val="-10"/>
      <w:kern w:val="28"/>
      <w:sz w:val="48"/>
      <w:szCs w:val="48"/>
      <w:lang w:val="en-US"/>
    </w:rPr>
  </w:style>
  <w:style w:type="paragraph" w:customStyle="1" w:styleId="ADSCAP">
    <w:name w:val="ADSCAP"/>
    <w:basedOn w:val="Normal"/>
    <w:qFormat/>
    <w:rsid w:val="003826AA"/>
    <w:pPr>
      <w:keepNext/>
      <w:keepLines/>
      <w:numPr>
        <w:ilvl w:val="1"/>
      </w:numPr>
      <w:spacing w:before="120" w:after="240" w:line="360" w:lineRule="auto"/>
      <w:ind w:left="792" w:hanging="432"/>
      <w:outlineLvl w:val="1"/>
    </w:pPr>
    <w:rPr>
      <w:rFonts w:ascii="Calibri" w:eastAsiaTheme="majorEastAsia" w:hAnsi="Calibri" w:cstheme="majorBidi"/>
      <w:b/>
      <w:bCs/>
      <w:i/>
      <w:color w:val="FF0000"/>
      <w:sz w:val="26"/>
      <w:szCs w:val="26"/>
      <w:lang w:val="en-US"/>
    </w:rPr>
  </w:style>
  <w:style w:type="character" w:styleId="CommentReference">
    <w:name w:val="annotation reference"/>
    <w:basedOn w:val="DefaultParagraphFont"/>
    <w:uiPriority w:val="99"/>
    <w:unhideWhenUsed/>
    <w:rsid w:val="002D2B4D"/>
    <w:rPr>
      <w:sz w:val="16"/>
      <w:szCs w:val="16"/>
    </w:rPr>
  </w:style>
  <w:style w:type="paragraph" w:styleId="CommentText">
    <w:name w:val="annotation text"/>
    <w:basedOn w:val="Normal"/>
    <w:link w:val="CommentTextChar"/>
    <w:uiPriority w:val="99"/>
    <w:unhideWhenUsed/>
    <w:rsid w:val="002D2B4D"/>
    <w:rPr>
      <w:sz w:val="20"/>
      <w:szCs w:val="20"/>
    </w:rPr>
  </w:style>
  <w:style w:type="character" w:customStyle="1" w:styleId="CommentTextChar">
    <w:name w:val="Comment Text Char"/>
    <w:basedOn w:val="DefaultParagraphFont"/>
    <w:link w:val="CommentText"/>
    <w:uiPriority w:val="99"/>
    <w:rsid w:val="002D2B4D"/>
    <w:rPr>
      <w:sz w:val="20"/>
      <w:szCs w:val="20"/>
    </w:rPr>
  </w:style>
  <w:style w:type="paragraph" w:styleId="TOC2">
    <w:name w:val="toc 2"/>
    <w:basedOn w:val="Normal"/>
    <w:next w:val="Normal"/>
    <w:autoRedefine/>
    <w:uiPriority w:val="39"/>
    <w:unhideWhenUsed/>
    <w:rsid w:val="00B84795"/>
    <w:pPr>
      <w:spacing w:before="240"/>
    </w:pPr>
    <w:rPr>
      <w:rFonts w:asciiTheme="minorHAnsi" w:hAnsiTheme="minorHAnsi"/>
      <w:b/>
      <w:bCs/>
      <w:sz w:val="20"/>
      <w:szCs w:val="20"/>
    </w:rPr>
  </w:style>
  <w:style w:type="paragraph" w:styleId="TOC1">
    <w:name w:val="toc 1"/>
    <w:basedOn w:val="Normal"/>
    <w:next w:val="Normal"/>
    <w:autoRedefine/>
    <w:uiPriority w:val="39"/>
    <w:unhideWhenUsed/>
    <w:rsid w:val="00B84795"/>
    <w:pPr>
      <w:spacing w:before="360"/>
    </w:pPr>
    <w:rPr>
      <w:rFonts w:asciiTheme="majorHAnsi" w:hAnsiTheme="majorHAnsi" w:cstheme="majorHAnsi"/>
      <w:b/>
      <w:bCs/>
      <w:caps/>
    </w:rPr>
  </w:style>
  <w:style w:type="paragraph" w:styleId="TOC3">
    <w:name w:val="toc 3"/>
    <w:basedOn w:val="Normal"/>
    <w:next w:val="Normal"/>
    <w:autoRedefine/>
    <w:uiPriority w:val="39"/>
    <w:unhideWhenUsed/>
    <w:rsid w:val="00B84795"/>
    <w:pPr>
      <w:ind w:left="240"/>
    </w:pPr>
    <w:rPr>
      <w:rFonts w:asciiTheme="minorHAnsi" w:hAnsiTheme="minorHAnsi"/>
      <w:sz w:val="20"/>
      <w:szCs w:val="20"/>
    </w:rPr>
  </w:style>
  <w:style w:type="character" w:styleId="Hyperlink">
    <w:name w:val="Hyperlink"/>
    <w:basedOn w:val="DefaultParagraphFont"/>
    <w:uiPriority w:val="99"/>
    <w:unhideWhenUsed/>
    <w:rsid w:val="00B84795"/>
    <w:rPr>
      <w:color w:val="0563C1" w:themeColor="hyperlink"/>
      <w:u w:val="single"/>
    </w:rPr>
  </w:style>
  <w:style w:type="table" w:customStyle="1" w:styleId="Almindeligtabel41">
    <w:name w:val="Almindelig tabel 41"/>
    <w:basedOn w:val="TableNormal"/>
    <w:uiPriority w:val="44"/>
    <w:rsid w:val="00A8302C"/>
    <w:rPr>
      <w:rFonts w:ascii="Arial" w:eastAsia="Times New Roman" w:hAnsi="Arial" w:cs="Times New Roman"/>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
    <w:name w:val="Table"/>
    <w:basedOn w:val="Normal"/>
    <w:qFormat/>
    <w:rsid w:val="00072065"/>
    <w:pPr>
      <w:adjustRightInd w:val="0"/>
      <w:spacing w:before="40" w:after="40"/>
    </w:pPr>
    <w:rPr>
      <w:rFonts w:ascii="Arial" w:hAnsi="Arial" w:cs="Arial"/>
      <w:b/>
      <w:bCs/>
      <w:color w:val="000000" w:themeColor="text1"/>
      <w:lang w:val="en-US" w:eastAsia="da-DK"/>
    </w:rPr>
  </w:style>
  <w:style w:type="paragraph" w:styleId="TableofFigures">
    <w:name w:val="table of figures"/>
    <w:basedOn w:val="Normal"/>
    <w:next w:val="Normal"/>
    <w:uiPriority w:val="99"/>
    <w:unhideWhenUsed/>
    <w:rsid w:val="00072065"/>
  </w:style>
  <w:style w:type="paragraph" w:styleId="Header">
    <w:name w:val="header"/>
    <w:basedOn w:val="Normal"/>
    <w:link w:val="HeaderChar"/>
    <w:uiPriority w:val="99"/>
    <w:unhideWhenUsed/>
    <w:rsid w:val="002126B7"/>
    <w:pPr>
      <w:tabs>
        <w:tab w:val="center" w:pos="4513"/>
        <w:tab w:val="right" w:pos="9026"/>
      </w:tabs>
    </w:pPr>
  </w:style>
  <w:style w:type="character" w:customStyle="1" w:styleId="HeaderChar">
    <w:name w:val="Header Char"/>
    <w:basedOn w:val="DefaultParagraphFont"/>
    <w:link w:val="Header"/>
    <w:uiPriority w:val="99"/>
    <w:rsid w:val="002126B7"/>
  </w:style>
  <w:style w:type="paragraph" w:styleId="Footer">
    <w:name w:val="footer"/>
    <w:basedOn w:val="Normal"/>
    <w:link w:val="FooterChar"/>
    <w:uiPriority w:val="99"/>
    <w:unhideWhenUsed/>
    <w:rsid w:val="002126B7"/>
    <w:pPr>
      <w:tabs>
        <w:tab w:val="center" w:pos="4513"/>
        <w:tab w:val="right" w:pos="9026"/>
      </w:tabs>
    </w:pPr>
  </w:style>
  <w:style w:type="character" w:customStyle="1" w:styleId="FooterChar">
    <w:name w:val="Footer Char"/>
    <w:basedOn w:val="DefaultParagraphFont"/>
    <w:link w:val="Footer"/>
    <w:uiPriority w:val="99"/>
    <w:rsid w:val="002126B7"/>
  </w:style>
  <w:style w:type="character" w:styleId="PageNumber">
    <w:name w:val="page number"/>
    <w:basedOn w:val="DefaultParagraphFont"/>
    <w:uiPriority w:val="99"/>
    <w:semiHidden/>
    <w:unhideWhenUsed/>
    <w:rsid w:val="002126B7"/>
  </w:style>
  <w:style w:type="paragraph" w:customStyle="1" w:styleId="EndNoteBibliographyTitle">
    <w:name w:val="EndNote Bibliography Title"/>
    <w:basedOn w:val="Normal"/>
    <w:link w:val="EndNoteBibliographyTitleChar"/>
    <w:rsid w:val="007727EB"/>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7727EB"/>
    <w:rPr>
      <w:rFonts w:ascii="Calibri" w:hAnsi="Calibri" w:cs="Calibri"/>
      <w:lang w:val="en-US"/>
    </w:rPr>
  </w:style>
  <w:style w:type="paragraph" w:customStyle="1" w:styleId="EndNoteBibliography">
    <w:name w:val="EndNote Bibliography"/>
    <w:basedOn w:val="Normal"/>
    <w:link w:val="EndNoteBibliographyChar"/>
    <w:rsid w:val="007727EB"/>
    <w:rPr>
      <w:rFonts w:ascii="Calibri" w:hAnsi="Calibri" w:cs="Calibri"/>
      <w:lang w:val="en-US"/>
    </w:rPr>
  </w:style>
  <w:style w:type="character" w:customStyle="1" w:styleId="EndNoteBibliographyChar">
    <w:name w:val="EndNote Bibliography Char"/>
    <w:basedOn w:val="DefaultParagraphFont"/>
    <w:link w:val="EndNoteBibliography"/>
    <w:rsid w:val="007727EB"/>
    <w:rPr>
      <w:rFonts w:ascii="Calibri" w:hAnsi="Calibri" w:cs="Calibri"/>
      <w:lang w:val="en-US"/>
    </w:rPr>
  </w:style>
  <w:style w:type="paragraph" w:customStyle="1" w:styleId="loaitem">
    <w:name w:val="loa__item"/>
    <w:basedOn w:val="Normal"/>
    <w:rsid w:val="007727EB"/>
    <w:pPr>
      <w:spacing w:before="100" w:beforeAutospacing="1" w:after="100" w:afterAutospacing="1"/>
    </w:pPr>
  </w:style>
  <w:style w:type="character" w:customStyle="1" w:styleId="show">
    <w:name w:val="show"/>
    <w:basedOn w:val="DefaultParagraphFont"/>
    <w:rsid w:val="007727EB"/>
  </w:style>
  <w:style w:type="character" w:customStyle="1" w:styleId="article-headerpublish-datelabel">
    <w:name w:val="article-header__publish-date__label"/>
    <w:basedOn w:val="DefaultParagraphFont"/>
    <w:rsid w:val="007727EB"/>
  </w:style>
  <w:style w:type="character" w:customStyle="1" w:styleId="article-headerpublish-datevalue">
    <w:name w:val="article-header__publish-date__value"/>
    <w:basedOn w:val="DefaultParagraphFont"/>
    <w:rsid w:val="007727EB"/>
  </w:style>
  <w:style w:type="character" w:customStyle="1" w:styleId="article-headerdoi">
    <w:name w:val="article-header__doi"/>
    <w:basedOn w:val="DefaultParagraphFont"/>
    <w:rsid w:val="007727EB"/>
  </w:style>
  <w:style w:type="character" w:customStyle="1" w:styleId="article-headerdoilabel">
    <w:name w:val="article-header__doi__label"/>
    <w:basedOn w:val="DefaultParagraphFont"/>
    <w:rsid w:val="007727EB"/>
  </w:style>
  <w:style w:type="character" w:customStyle="1" w:styleId="article-headermark">
    <w:name w:val="article-header__mark"/>
    <w:basedOn w:val="DefaultParagraphFont"/>
    <w:rsid w:val="007727EB"/>
  </w:style>
  <w:style w:type="character" w:customStyle="1" w:styleId="content-navigationbodytop">
    <w:name w:val="content-navigation__body__top"/>
    <w:basedOn w:val="DefaultParagraphFont"/>
    <w:rsid w:val="007727EB"/>
  </w:style>
  <w:style w:type="character" w:customStyle="1" w:styleId="content-navigationbodytitle">
    <w:name w:val="content-navigation__body__title"/>
    <w:basedOn w:val="DefaultParagraphFont"/>
    <w:rsid w:val="007727EB"/>
  </w:style>
  <w:style w:type="character" w:customStyle="1" w:styleId="ellipsis">
    <w:name w:val="ellipsis"/>
    <w:basedOn w:val="DefaultParagraphFont"/>
    <w:rsid w:val="007727EB"/>
  </w:style>
  <w:style w:type="character" w:customStyle="1" w:styleId="Heading4Char">
    <w:name w:val="Heading 4 Char"/>
    <w:basedOn w:val="DefaultParagraphFont"/>
    <w:link w:val="Heading4"/>
    <w:uiPriority w:val="9"/>
    <w:rsid w:val="00B50817"/>
    <w:rPr>
      <w:rFonts w:eastAsiaTheme="majorEastAsia" w:cstheme="minorHAnsi"/>
      <w:i/>
      <w:iCs/>
      <w:color w:val="2F5496" w:themeColor="accent1" w:themeShade="BF"/>
      <w:lang w:eastAsia="en-GB"/>
    </w:rPr>
  </w:style>
  <w:style w:type="paragraph" w:styleId="TOC4">
    <w:name w:val="toc 4"/>
    <w:basedOn w:val="Normal"/>
    <w:next w:val="Normal"/>
    <w:autoRedefine/>
    <w:uiPriority w:val="39"/>
    <w:unhideWhenUsed/>
    <w:rsid w:val="00AD7602"/>
    <w:pPr>
      <w:ind w:left="480"/>
    </w:pPr>
    <w:rPr>
      <w:rFonts w:asciiTheme="minorHAnsi" w:hAnsiTheme="minorHAnsi"/>
      <w:sz w:val="20"/>
      <w:szCs w:val="20"/>
    </w:rPr>
  </w:style>
  <w:style w:type="table" w:styleId="TableGrid">
    <w:name w:val="Table Grid"/>
    <w:basedOn w:val="TableNormal"/>
    <w:uiPriority w:val="59"/>
    <w:rsid w:val="005B7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755CB"/>
  </w:style>
  <w:style w:type="paragraph" w:styleId="CommentSubject">
    <w:name w:val="annotation subject"/>
    <w:basedOn w:val="CommentText"/>
    <w:next w:val="CommentText"/>
    <w:link w:val="CommentSubjectChar"/>
    <w:uiPriority w:val="99"/>
    <w:semiHidden/>
    <w:unhideWhenUsed/>
    <w:rsid w:val="009755CB"/>
    <w:rPr>
      <w:rFonts w:ascii="Calibri" w:eastAsia="Calibri" w:hAnsi="Calibri"/>
      <w:b/>
      <w:bCs/>
      <w:lang w:val="en-AU" w:eastAsia="en-US"/>
    </w:rPr>
  </w:style>
  <w:style w:type="character" w:customStyle="1" w:styleId="CommentSubjectChar">
    <w:name w:val="Comment Subject Char"/>
    <w:basedOn w:val="CommentTextChar"/>
    <w:link w:val="CommentSubject"/>
    <w:uiPriority w:val="99"/>
    <w:semiHidden/>
    <w:rsid w:val="009755CB"/>
    <w:rPr>
      <w:rFonts w:ascii="Calibri" w:eastAsia="Calibri" w:hAnsi="Calibri" w:cs="Times New Roman"/>
      <w:b/>
      <w:bCs/>
      <w:sz w:val="20"/>
      <w:szCs w:val="20"/>
      <w:lang w:val="en-AU"/>
    </w:rPr>
  </w:style>
  <w:style w:type="paragraph" w:styleId="Revision">
    <w:name w:val="Revision"/>
    <w:hidden/>
    <w:uiPriority w:val="99"/>
    <w:semiHidden/>
    <w:rsid w:val="009755CB"/>
    <w:rPr>
      <w:sz w:val="22"/>
      <w:szCs w:val="22"/>
      <w:lang w:val="en-AU"/>
    </w:rPr>
  </w:style>
  <w:style w:type="character" w:customStyle="1" w:styleId="apple-converted-space">
    <w:name w:val="apple-converted-space"/>
    <w:basedOn w:val="DefaultParagraphFont"/>
    <w:rsid w:val="009755CB"/>
  </w:style>
  <w:style w:type="character" w:customStyle="1" w:styleId="Forte1">
    <w:name w:val="Forte1"/>
    <w:basedOn w:val="DefaultParagraphFont"/>
    <w:uiPriority w:val="1"/>
    <w:qFormat/>
    <w:rsid w:val="00BA538B"/>
    <w:rPr>
      <w:b/>
    </w:rPr>
  </w:style>
  <w:style w:type="paragraph" w:customStyle="1" w:styleId="centered">
    <w:name w:val="centered"/>
    <w:basedOn w:val="Normal"/>
    <w:qFormat/>
    <w:rsid w:val="00BA538B"/>
    <w:pPr>
      <w:jc w:val="center"/>
    </w:pPr>
    <w:rPr>
      <w:rFonts w:asciiTheme="minorHAnsi" w:eastAsiaTheme="minorEastAsia" w:hAnsiTheme="minorHAnsi" w:cstheme="minorBidi"/>
      <w:lang w:val="en-US" w:eastAsia="en-US"/>
    </w:rPr>
  </w:style>
  <w:style w:type="table" w:customStyle="1" w:styleId="tabletemplate">
    <w:name w:val="table_template"/>
    <w:basedOn w:val="TableNormal"/>
    <w:uiPriority w:val="59"/>
    <w:rsid w:val="00BA538B"/>
    <w:pPr>
      <w:jc w:val="right"/>
    </w:pPr>
    <w:rPr>
      <w:rFonts w:eastAsiaTheme="minorEastAsia"/>
      <w:lang w:val="en-US"/>
    </w:rPr>
    <w:tblPr>
      <w:jc w:val="center"/>
      <w:tblBorders>
        <w:top w:val="single" w:sz="8" w:space="0" w:color="auto"/>
        <w:bottom w:val="single" w:sz="8" w:space="0" w:color="auto"/>
        <w:insideH w:val="single" w:sz="8" w:space="0" w:color="auto"/>
      </w:tblBorders>
    </w:tblPr>
    <w:trPr>
      <w:jc w:val="center"/>
    </w:trPr>
    <w:tblStylePr w:type="firstRow">
      <w:rPr>
        <w:b/>
      </w:rPr>
      <w:tblPr/>
      <w:tcPr>
        <w:tcBorders>
          <w:top w:val="nil"/>
          <w:left w:val="nil"/>
          <w:bottom w:val="single" w:sz="18" w:space="0" w:color="auto"/>
          <w:right w:val="nil"/>
          <w:insideH w:val="nil"/>
          <w:insideV w:val="nil"/>
          <w:tl2br w:val="nil"/>
          <w:tr2bl w:val="nil"/>
        </w:tcBorders>
      </w:tcPr>
    </w:tblStylePr>
  </w:style>
  <w:style w:type="table" w:styleId="LightList-Accent2">
    <w:name w:val="Light List Accent 2"/>
    <w:basedOn w:val="TableNormal"/>
    <w:uiPriority w:val="61"/>
    <w:rsid w:val="00BA538B"/>
    <w:rPr>
      <w:rFonts w:eastAsiaTheme="minorEastAsia"/>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customStyle="1" w:styleId="ImageCaption">
    <w:name w:val="Image Caption"/>
    <w:basedOn w:val="Normal"/>
    <w:qFormat/>
    <w:rsid w:val="00BA538B"/>
    <w:pPr>
      <w:jc w:val="center"/>
    </w:pPr>
    <w:rPr>
      <w:rFonts w:asciiTheme="minorHAnsi" w:eastAsiaTheme="minorEastAsia" w:hAnsiTheme="minorHAnsi" w:cstheme="minorBidi"/>
      <w:b/>
      <w:i/>
      <w:lang w:val="en-US" w:eastAsia="en-US"/>
    </w:rPr>
  </w:style>
  <w:style w:type="paragraph" w:customStyle="1" w:styleId="TableCaption">
    <w:name w:val="Table Caption"/>
    <w:basedOn w:val="ImageCaption"/>
    <w:qFormat/>
    <w:rsid w:val="00BA538B"/>
  </w:style>
  <w:style w:type="table" w:styleId="TableProfessional">
    <w:name w:val="Table Professional"/>
    <w:basedOn w:val="TableNormal"/>
    <w:uiPriority w:val="99"/>
    <w:semiHidden/>
    <w:unhideWhenUsed/>
    <w:rsid w:val="00BA538B"/>
    <w:rPr>
      <w:rFonts w:eastAsiaTheme="minorEastAsia"/>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character" w:customStyle="1" w:styleId="referenceid">
    <w:name w:val="reference_id"/>
    <w:basedOn w:val="DefaultParagraphFont"/>
    <w:uiPriority w:val="1"/>
    <w:rsid w:val="00BA538B"/>
    <w:rPr>
      <w:vertAlign w:val="superscript"/>
    </w:rPr>
  </w:style>
  <w:style w:type="paragraph" w:customStyle="1" w:styleId="graphictitle">
    <w:name w:val="graphic title"/>
    <w:basedOn w:val="ImageCaption"/>
    <w:next w:val="Normal"/>
    <w:rsid w:val="00BA538B"/>
  </w:style>
  <w:style w:type="paragraph" w:customStyle="1" w:styleId="tabletitle">
    <w:name w:val="table title"/>
    <w:basedOn w:val="TableCaption"/>
    <w:next w:val="Normal"/>
    <w:rsid w:val="00BA538B"/>
  </w:style>
  <w:style w:type="character" w:customStyle="1" w:styleId="HeaderChar1">
    <w:name w:val="Header Char1"/>
    <w:basedOn w:val="DefaultParagraphFont"/>
    <w:uiPriority w:val="99"/>
    <w:semiHidden/>
    <w:rsid w:val="00252CAB"/>
    <w:rPr>
      <w:rFonts w:ascii="Times New Roman" w:eastAsia="Times New Roman" w:hAnsi="Times New Roman" w:cs="Times New Roman"/>
      <w:lang w:eastAsia="en-GB"/>
    </w:rPr>
  </w:style>
  <w:style w:type="character" w:customStyle="1" w:styleId="FooterChar1">
    <w:name w:val="Footer Char1"/>
    <w:basedOn w:val="DefaultParagraphFont"/>
    <w:uiPriority w:val="99"/>
    <w:semiHidden/>
    <w:rsid w:val="00252CAB"/>
    <w:rPr>
      <w:rFonts w:ascii="Times New Roman" w:eastAsia="Times New Roman" w:hAnsi="Times New Roman" w:cs="Times New Roman"/>
      <w:lang w:eastAsia="en-GB"/>
    </w:rPr>
  </w:style>
  <w:style w:type="paragraph" w:customStyle="1" w:styleId="msonormal0">
    <w:name w:val="msonormal"/>
    <w:basedOn w:val="Normal"/>
    <w:rsid w:val="00252CAB"/>
    <w:pPr>
      <w:spacing w:before="100" w:beforeAutospacing="1" w:after="100" w:afterAutospacing="1"/>
    </w:pPr>
  </w:style>
  <w:style w:type="character" w:customStyle="1" w:styleId="textrun">
    <w:name w:val="textrun"/>
    <w:basedOn w:val="DefaultParagraphFont"/>
    <w:rsid w:val="00252CAB"/>
  </w:style>
  <w:style w:type="paragraph" w:styleId="TOCHeading">
    <w:name w:val="TOC Heading"/>
    <w:basedOn w:val="Heading1"/>
    <w:next w:val="Normal"/>
    <w:uiPriority w:val="39"/>
    <w:unhideWhenUsed/>
    <w:qFormat/>
    <w:rsid w:val="00252CAB"/>
    <w:pPr>
      <w:numPr>
        <w:numId w:val="0"/>
      </w:numPr>
      <w:spacing w:before="480" w:after="0" w:line="276" w:lineRule="auto"/>
      <w:outlineLvl w:val="9"/>
    </w:pPr>
    <w:rPr>
      <w:rFonts w:asciiTheme="majorHAnsi" w:hAnsiTheme="majorHAnsi"/>
      <w:iCs w:val="0"/>
      <w:color w:val="2F5496" w:themeColor="accent1" w:themeShade="BF"/>
      <w:sz w:val="32"/>
      <w:lang w:eastAsia="en-US"/>
    </w:rPr>
  </w:style>
  <w:style w:type="paragraph" w:styleId="TOC5">
    <w:name w:val="toc 5"/>
    <w:basedOn w:val="Normal"/>
    <w:next w:val="Normal"/>
    <w:autoRedefine/>
    <w:uiPriority w:val="39"/>
    <w:unhideWhenUsed/>
    <w:rsid w:val="00252CAB"/>
    <w:pPr>
      <w:ind w:left="720"/>
    </w:pPr>
    <w:rPr>
      <w:rFonts w:asciiTheme="minorHAnsi" w:hAnsiTheme="minorHAnsi"/>
      <w:sz w:val="20"/>
      <w:szCs w:val="20"/>
    </w:rPr>
  </w:style>
  <w:style w:type="paragraph" w:styleId="TOC6">
    <w:name w:val="toc 6"/>
    <w:basedOn w:val="Normal"/>
    <w:next w:val="Normal"/>
    <w:autoRedefine/>
    <w:uiPriority w:val="39"/>
    <w:unhideWhenUsed/>
    <w:rsid w:val="00252CAB"/>
    <w:pPr>
      <w:ind w:left="960"/>
    </w:pPr>
    <w:rPr>
      <w:rFonts w:asciiTheme="minorHAnsi" w:hAnsiTheme="minorHAnsi"/>
      <w:sz w:val="20"/>
      <w:szCs w:val="20"/>
    </w:rPr>
  </w:style>
  <w:style w:type="paragraph" w:styleId="TOC7">
    <w:name w:val="toc 7"/>
    <w:basedOn w:val="Normal"/>
    <w:next w:val="Normal"/>
    <w:autoRedefine/>
    <w:uiPriority w:val="39"/>
    <w:unhideWhenUsed/>
    <w:rsid w:val="00252CAB"/>
    <w:pPr>
      <w:ind w:left="1200"/>
    </w:pPr>
    <w:rPr>
      <w:rFonts w:asciiTheme="minorHAnsi" w:hAnsiTheme="minorHAnsi"/>
      <w:sz w:val="20"/>
      <w:szCs w:val="20"/>
    </w:rPr>
  </w:style>
  <w:style w:type="paragraph" w:styleId="TOC8">
    <w:name w:val="toc 8"/>
    <w:basedOn w:val="Normal"/>
    <w:next w:val="Normal"/>
    <w:autoRedefine/>
    <w:uiPriority w:val="39"/>
    <w:unhideWhenUsed/>
    <w:rsid w:val="00252CAB"/>
    <w:pPr>
      <w:ind w:left="1440"/>
    </w:pPr>
    <w:rPr>
      <w:rFonts w:asciiTheme="minorHAnsi" w:hAnsiTheme="minorHAnsi"/>
      <w:sz w:val="20"/>
      <w:szCs w:val="20"/>
    </w:rPr>
  </w:style>
  <w:style w:type="paragraph" w:styleId="TOC9">
    <w:name w:val="toc 9"/>
    <w:basedOn w:val="Normal"/>
    <w:next w:val="Normal"/>
    <w:autoRedefine/>
    <w:uiPriority w:val="39"/>
    <w:unhideWhenUsed/>
    <w:rsid w:val="00252CAB"/>
    <w:pPr>
      <w:ind w:left="1680"/>
    </w:pPr>
    <w:rPr>
      <w:rFonts w:asciiTheme="minorHAnsi" w:hAnsiTheme="minorHAnsi"/>
      <w:sz w:val="20"/>
      <w:szCs w:val="20"/>
    </w:rPr>
  </w:style>
  <w:style w:type="character" w:customStyle="1" w:styleId="spellingerrorsuperscript">
    <w:name w:val="spellingerrorsuperscript"/>
    <w:basedOn w:val="DefaultParagraphFont"/>
    <w:rsid w:val="00252CAB"/>
  </w:style>
  <w:style w:type="character" w:styleId="FollowedHyperlink">
    <w:name w:val="FollowedHyperlink"/>
    <w:basedOn w:val="DefaultParagraphFont"/>
    <w:uiPriority w:val="99"/>
    <w:semiHidden/>
    <w:unhideWhenUsed/>
    <w:rsid w:val="00252CAB"/>
    <w:rPr>
      <w:color w:val="954F72" w:themeColor="followedHyperlink"/>
      <w:u w:val="single"/>
    </w:rPr>
  </w:style>
  <w:style w:type="character" w:customStyle="1" w:styleId="UnresolvedMention1">
    <w:name w:val="Unresolved Mention1"/>
    <w:basedOn w:val="DefaultParagraphFont"/>
    <w:uiPriority w:val="99"/>
    <w:rsid w:val="00252CAB"/>
    <w:rPr>
      <w:color w:val="605E5C"/>
      <w:shd w:val="clear" w:color="auto" w:fill="E1DFDD"/>
    </w:rPr>
  </w:style>
  <w:style w:type="paragraph" w:styleId="Subtitle">
    <w:name w:val="Subtitle"/>
    <w:basedOn w:val="Normal"/>
    <w:next w:val="Normal"/>
    <w:link w:val="SubtitleChar"/>
    <w:uiPriority w:val="11"/>
    <w:qFormat/>
    <w:rsid w:val="00252CA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52CAB"/>
    <w:rPr>
      <w:rFonts w:eastAsiaTheme="minorEastAsia"/>
      <w:color w:val="5A5A5A" w:themeColor="text1" w:themeTint="A5"/>
      <w:spacing w:val="15"/>
      <w:sz w:val="22"/>
      <w:szCs w:val="22"/>
      <w:lang w:eastAsia="en-GB"/>
    </w:rPr>
  </w:style>
  <w:style w:type="character" w:customStyle="1" w:styleId="UnresolvedMention2">
    <w:name w:val="Unresolved Mention2"/>
    <w:basedOn w:val="DefaultParagraphFont"/>
    <w:uiPriority w:val="99"/>
    <w:rsid w:val="00252CAB"/>
    <w:rPr>
      <w:color w:val="605E5C"/>
      <w:shd w:val="clear" w:color="auto" w:fill="E1DFDD"/>
    </w:rPr>
  </w:style>
  <w:style w:type="paragraph" w:customStyle="1" w:styleId="TableParagraph">
    <w:name w:val="Table Paragraph"/>
    <w:basedOn w:val="Normal"/>
    <w:uiPriority w:val="1"/>
    <w:qFormat/>
    <w:rsid w:val="00767260"/>
    <w:pPr>
      <w:widowControl w:val="0"/>
      <w:autoSpaceDE w:val="0"/>
      <w:autoSpaceDN w:val="0"/>
      <w:spacing w:line="242" w:lineRule="exact"/>
      <w:jc w:val="center"/>
    </w:pPr>
    <w:rPr>
      <w:rFonts w:ascii="Calibri" w:eastAsia="Calibri" w:hAnsi="Calibri" w:cs="Calibri"/>
      <w:sz w:val="22"/>
      <w:szCs w:val="22"/>
      <w:lang w:val="en-US" w:eastAsia="en-US"/>
    </w:rPr>
  </w:style>
  <w:style w:type="paragraph" w:customStyle="1" w:styleId="Default">
    <w:name w:val="Default"/>
    <w:rsid w:val="00C61C51"/>
    <w:pPr>
      <w:autoSpaceDE w:val="0"/>
      <w:autoSpaceDN w:val="0"/>
      <w:adjustRightInd w:val="0"/>
    </w:pPr>
    <w:rPr>
      <w:rFonts w:ascii="Calibri" w:hAnsi="Calibri" w:cs="Calibri"/>
      <w:color w:val="000000"/>
      <w:lang w:val="en-US"/>
    </w:rPr>
  </w:style>
  <w:style w:type="character" w:styleId="UnresolvedMention">
    <w:name w:val="Unresolved Mention"/>
    <w:basedOn w:val="DefaultParagraphFont"/>
    <w:uiPriority w:val="99"/>
    <w:semiHidden/>
    <w:unhideWhenUsed/>
    <w:rsid w:val="005416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213419">
      <w:bodyDiv w:val="1"/>
      <w:marLeft w:val="0"/>
      <w:marRight w:val="0"/>
      <w:marTop w:val="0"/>
      <w:marBottom w:val="0"/>
      <w:divBdr>
        <w:top w:val="none" w:sz="0" w:space="0" w:color="auto"/>
        <w:left w:val="none" w:sz="0" w:space="0" w:color="auto"/>
        <w:bottom w:val="none" w:sz="0" w:space="0" w:color="auto"/>
        <w:right w:val="none" w:sz="0" w:space="0" w:color="auto"/>
      </w:divBdr>
    </w:div>
    <w:div w:id="89013618">
      <w:bodyDiv w:val="1"/>
      <w:marLeft w:val="0"/>
      <w:marRight w:val="0"/>
      <w:marTop w:val="0"/>
      <w:marBottom w:val="0"/>
      <w:divBdr>
        <w:top w:val="none" w:sz="0" w:space="0" w:color="auto"/>
        <w:left w:val="none" w:sz="0" w:space="0" w:color="auto"/>
        <w:bottom w:val="none" w:sz="0" w:space="0" w:color="auto"/>
        <w:right w:val="none" w:sz="0" w:space="0" w:color="auto"/>
      </w:divBdr>
    </w:div>
    <w:div w:id="96341119">
      <w:bodyDiv w:val="1"/>
      <w:marLeft w:val="0"/>
      <w:marRight w:val="0"/>
      <w:marTop w:val="0"/>
      <w:marBottom w:val="0"/>
      <w:divBdr>
        <w:top w:val="none" w:sz="0" w:space="0" w:color="auto"/>
        <w:left w:val="none" w:sz="0" w:space="0" w:color="auto"/>
        <w:bottom w:val="none" w:sz="0" w:space="0" w:color="auto"/>
        <w:right w:val="none" w:sz="0" w:space="0" w:color="auto"/>
      </w:divBdr>
    </w:div>
    <w:div w:id="255334575">
      <w:bodyDiv w:val="1"/>
      <w:marLeft w:val="0"/>
      <w:marRight w:val="0"/>
      <w:marTop w:val="0"/>
      <w:marBottom w:val="0"/>
      <w:divBdr>
        <w:top w:val="none" w:sz="0" w:space="0" w:color="auto"/>
        <w:left w:val="none" w:sz="0" w:space="0" w:color="auto"/>
        <w:bottom w:val="none" w:sz="0" w:space="0" w:color="auto"/>
        <w:right w:val="none" w:sz="0" w:space="0" w:color="auto"/>
      </w:divBdr>
      <w:divsChild>
        <w:div w:id="1838575936">
          <w:marLeft w:val="0"/>
          <w:marRight w:val="0"/>
          <w:marTop w:val="0"/>
          <w:marBottom w:val="0"/>
          <w:divBdr>
            <w:top w:val="none" w:sz="0" w:space="0" w:color="auto"/>
            <w:left w:val="none" w:sz="0" w:space="0" w:color="auto"/>
            <w:bottom w:val="none" w:sz="0" w:space="0" w:color="auto"/>
            <w:right w:val="none" w:sz="0" w:space="0" w:color="auto"/>
          </w:divBdr>
          <w:divsChild>
            <w:div w:id="1345742158">
              <w:marLeft w:val="0"/>
              <w:marRight w:val="0"/>
              <w:marTop w:val="0"/>
              <w:marBottom w:val="0"/>
              <w:divBdr>
                <w:top w:val="none" w:sz="0" w:space="0" w:color="auto"/>
                <w:left w:val="none" w:sz="0" w:space="0" w:color="auto"/>
                <w:bottom w:val="none" w:sz="0" w:space="0" w:color="auto"/>
                <w:right w:val="none" w:sz="0" w:space="0" w:color="auto"/>
              </w:divBdr>
              <w:divsChild>
                <w:div w:id="968975509">
                  <w:marLeft w:val="0"/>
                  <w:marRight w:val="0"/>
                  <w:marTop w:val="0"/>
                  <w:marBottom w:val="0"/>
                  <w:divBdr>
                    <w:top w:val="none" w:sz="0" w:space="0" w:color="auto"/>
                    <w:left w:val="none" w:sz="0" w:space="0" w:color="auto"/>
                    <w:bottom w:val="none" w:sz="0" w:space="0" w:color="auto"/>
                    <w:right w:val="none" w:sz="0" w:space="0" w:color="auto"/>
                  </w:divBdr>
                </w:div>
              </w:divsChild>
            </w:div>
            <w:div w:id="635834435">
              <w:marLeft w:val="0"/>
              <w:marRight w:val="0"/>
              <w:marTop w:val="0"/>
              <w:marBottom w:val="0"/>
              <w:divBdr>
                <w:top w:val="none" w:sz="0" w:space="0" w:color="auto"/>
                <w:left w:val="none" w:sz="0" w:space="0" w:color="auto"/>
                <w:bottom w:val="none" w:sz="0" w:space="0" w:color="auto"/>
                <w:right w:val="none" w:sz="0" w:space="0" w:color="auto"/>
              </w:divBdr>
              <w:divsChild>
                <w:div w:id="26700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998992">
          <w:marLeft w:val="0"/>
          <w:marRight w:val="0"/>
          <w:marTop w:val="0"/>
          <w:marBottom w:val="0"/>
          <w:divBdr>
            <w:top w:val="none" w:sz="0" w:space="0" w:color="auto"/>
            <w:left w:val="none" w:sz="0" w:space="0" w:color="auto"/>
            <w:bottom w:val="none" w:sz="0" w:space="0" w:color="auto"/>
            <w:right w:val="none" w:sz="0" w:space="0" w:color="auto"/>
          </w:divBdr>
          <w:divsChild>
            <w:div w:id="1441799750">
              <w:marLeft w:val="0"/>
              <w:marRight w:val="0"/>
              <w:marTop w:val="0"/>
              <w:marBottom w:val="0"/>
              <w:divBdr>
                <w:top w:val="none" w:sz="0" w:space="0" w:color="auto"/>
                <w:left w:val="none" w:sz="0" w:space="0" w:color="auto"/>
                <w:bottom w:val="none" w:sz="0" w:space="0" w:color="auto"/>
                <w:right w:val="none" w:sz="0" w:space="0" w:color="auto"/>
              </w:divBdr>
              <w:divsChild>
                <w:div w:id="1560898426">
                  <w:marLeft w:val="0"/>
                  <w:marRight w:val="0"/>
                  <w:marTop w:val="0"/>
                  <w:marBottom w:val="0"/>
                  <w:divBdr>
                    <w:top w:val="none" w:sz="0" w:space="0" w:color="auto"/>
                    <w:left w:val="none" w:sz="0" w:space="0" w:color="auto"/>
                    <w:bottom w:val="none" w:sz="0" w:space="0" w:color="auto"/>
                    <w:right w:val="none" w:sz="0" w:space="0" w:color="auto"/>
                  </w:divBdr>
                </w:div>
              </w:divsChild>
            </w:div>
            <w:div w:id="2081632961">
              <w:marLeft w:val="0"/>
              <w:marRight w:val="0"/>
              <w:marTop w:val="0"/>
              <w:marBottom w:val="0"/>
              <w:divBdr>
                <w:top w:val="none" w:sz="0" w:space="0" w:color="auto"/>
                <w:left w:val="none" w:sz="0" w:space="0" w:color="auto"/>
                <w:bottom w:val="none" w:sz="0" w:space="0" w:color="auto"/>
                <w:right w:val="none" w:sz="0" w:space="0" w:color="auto"/>
              </w:divBdr>
              <w:divsChild>
                <w:div w:id="1826629211">
                  <w:marLeft w:val="0"/>
                  <w:marRight w:val="0"/>
                  <w:marTop w:val="0"/>
                  <w:marBottom w:val="0"/>
                  <w:divBdr>
                    <w:top w:val="none" w:sz="0" w:space="0" w:color="auto"/>
                    <w:left w:val="none" w:sz="0" w:space="0" w:color="auto"/>
                    <w:bottom w:val="none" w:sz="0" w:space="0" w:color="auto"/>
                    <w:right w:val="none" w:sz="0" w:space="0" w:color="auto"/>
                  </w:divBdr>
                </w:div>
                <w:div w:id="2111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169640">
      <w:bodyDiv w:val="1"/>
      <w:marLeft w:val="0"/>
      <w:marRight w:val="0"/>
      <w:marTop w:val="0"/>
      <w:marBottom w:val="0"/>
      <w:divBdr>
        <w:top w:val="none" w:sz="0" w:space="0" w:color="auto"/>
        <w:left w:val="none" w:sz="0" w:space="0" w:color="auto"/>
        <w:bottom w:val="none" w:sz="0" w:space="0" w:color="auto"/>
        <w:right w:val="none" w:sz="0" w:space="0" w:color="auto"/>
      </w:divBdr>
    </w:div>
    <w:div w:id="363139464">
      <w:bodyDiv w:val="1"/>
      <w:marLeft w:val="0"/>
      <w:marRight w:val="0"/>
      <w:marTop w:val="0"/>
      <w:marBottom w:val="0"/>
      <w:divBdr>
        <w:top w:val="none" w:sz="0" w:space="0" w:color="auto"/>
        <w:left w:val="none" w:sz="0" w:space="0" w:color="auto"/>
        <w:bottom w:val="none" w:sz="0" w:space="0" w:color="auto"/>
        <w:right w:val="none" w:sz="0" w:space="0" w:color="auto"/>
      </w:divBdr>
    </w:div>
    <w:div w:id="387724210">
      <w:bodyDiv w:val="1"/>
      <w:marLeft w:val="0"/>
      <w:marRight w:val="0"/>
      <w:marTop w:val="0"/>
      <w:marBottom w:val="0"/>
      <w:divBdr>
        <w:top w:val="none" w:sz="0" w:space="0" w:color="auto"/>
        <w:left w:val="none" w:sz="0" w:space="0" w:color="auto"/>
        <w:bottom w:val="none" w:sz="0" w:space="0" w:color="auto"/>
        <w:right w:val="none" w:sz="0" w:space="0" w:color="auto"/>
      </w:divBdr>
    </w:div>
    <w:div w:id="501699781">
      <w:bodyDiv w:val="1"/>
      <w:marLeft w:val="0"/>
      <w:marRight w:val="0"/>
      <w:marTop w:val="0"/>
      <w:marBottom w:val="0"/>
      <w:divBdr>
        <w:top w:val="none" w:sz="0" w:space="0" w:color="auto"/>
        <w:left w:val="none" w:sz="0" w:space="0" w:color="auto"/>
        <w:bottom w:val="none" w:sz="0" w:space="0" w:color="auto"/>
        <w:right w:val="none" w:sz="0" w:space="0" w:color="auto"/>
      </w:divBdr>
      <w:divsChild>
        <w:div w:id="1582447459">
          <w:marLeft w:val="0"/>
          <w:marRight w:val="0"/>
          <w:marTop w:val="0"/>
          <w:marBottom w:val="0"/>
          <w:divBdr>
            <w:top w:val="none" w:sz="0" w:space="0" w:color="auto"/>
            <w:left w:val="none" w:sz="0" w:space="0" w:color="auto"/>
            <w:bottom w:val="none" w:sz="0" w:space="0" w:color="auto"/>
            <w:right w:val="none" w:sz="0" w:space="0" w:color="auto"/>
          </w:divBdr>
        </w:div>
        <w:div w:id="1790975898">
          <w:marLeft w:val="0"/>
          <w:marRight w:val="0"/>
          <w:marTop w:val="0"/>
          <w:marBottom w:val="0"/>
          <w:divBdr>
            <w:top w:val="none" w:sz="0" w:space="0" w:color="auto"/>
            <w:left w:val="none" w:sz="0" w:space="0" w:color="auto"/>
            <w:bottom w:val="none" w:sz="0" w:space="0" w:color="auto"/>
            <w:right w:val="none" w:sz="0" w:space="0" w:color="auto"/>
          </w:divBdr>
        </w:div>
        <w:div w:id="1971858416">
          <w:marLeft w:val="0"/>
          <w:marRight w:val="0"/>
          <w:marTop w:val="0"/>
          <w:marBottom w:val="0"/>
          <w:divBdr>
            <w:top w:val="none" w:sz="0" w:space="0" w:color="auto"/>
            <w:left w:val="none" w:sz="0" w:space="0" w:color="auto"/>
            <w:bottom w:val="none" w:sz="0" w:space="0" w:color="auto"/>
            <w:right w:val="none" w:sz="0" w:space="0" w:color="auto"/>
          </w:divBdr>
        </w:div>
      </w:divsChild>
    </w:div>
    <w:div w:id="514198893">
      <w:bodyDiv w:val="1"/>
      <w:marLeft w:val="0"/>
      <w:marRight w:val="0"/>
      <w:marTop w:val="0"/>
      <w:marBottom w:val="0"/>
      <w:divBdr>
        <w:top w:val="none" w:sz="0" w:space="0" w:color="auto"/>
        <w:left w:val="none" w:sz="0" w:space="0" w:color="auto"/>
        <w:bottom w:val="none" w:sz="0" w:space="0" w:color="auto"/>
        <w:right w:val="none" w:sz="0" w:space="0" w:color="auto"/>
      </w:divBdr>
    </w:div>
    <w:div w:id="558396034">
      <w:bodyDiv w:val="1"/>
      <w:marLeft w:val="0"/>
      <w:marRight w:val="0"/>
      <w:marTop w:val="0"/>
      <w:marBottom w:val="0"/>
      <w:divBdr>
        <w:top w:val="none" w:sz="0" w:space="0" w:color="auto"/>
        <w:left w:val="none" w:sz="0" w:space="0" w:color="auto"/>
        <w:bottom w:val="none" w:sz="0" w:space="0" w:color="auto"/>
        <w:right w:val="none" w:sz="0" w:space="0" w:color="auto"/>
      </w:divBdr>
    </w:div>
    <w:div w:id="573900104">
      <w:bodyDiv w:val="1"/>
      <w:marLeft w:val="0"/>
      <w:marRight w:val="0"/>
      <w:marTop w:val="0"/>
      <w:marBottom w:val="0"/>
      <w:divBdr>
        <w:top w:val="none" w:sz="0" w:space="0" w:color="auto"/>
        <w:left w:val="none" w:sz="0" w:space="0" w:color="auto"/>
        <w:bottom w:val="none" w:sz="0" w:space="0" w:color="auto"/>
        <w:right w:val="none" w:sz="0" w:space="0" w:color="auto"/>
      </w:divBdr>
      <w:divsChild>
        <w:div w:id="469397025">
          <w:marLeft w:val="0"/>
          <w:marRight w:val="0"/>
          <w:marTop w:val="0"/>
          <w:marBottom w:val="0"/>
          <w:divBdr>
            <w:top w:val="none" w:sz="0" w:space="0" w:color="auto"/>
            <w:left w:val="none" w:sz="0" w:space="0" w:color="auto"/>
            <w:bottom w:val="none" w:sz="0" w:space="0" w:color="auto"/>
            <w:right w:val="none" w:sz="0" w:space="0" w:color="auto"/>
          </w:divBdr>
          <w:divsChild>
            <w:div w:id="1598515034">
              <w:marLeft w:val="0"/>
              <w:marRight w:val="0"/>
              <w:marTop w:val="0"/>
              <w:marBottom w:val="0"/>
              <w:divBdr>
                <w:top w:val="none" w:sz="0" w:space="0" w:color="auto"/>
                <w:left w:val="none" w:sz="0" w:space="0" w:color="auto"/>
                <w:bottom w:val="none" w:sz="0" w:space="0" w:color="auto"/>
                <w:right w:val="none" w:sz="0" w:space="0" w:color="auto"/>
              </w:divBdr>
              <w:divsChild>
                <w:div w:id="66054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15379">
      <w:bodyDiv w:val="1"/>
      <w:marLeft w:val="0"/>
      <w:marRight w:val="0"/>
      <w:marTop w:val="0"/>
      <w:marBottom w:val="0"/>
      <w:divBdr>
        <w:top w:val="none" w:sz="0" w:space="0" w:color="auto"/>
        <w:left w:val="none" w:sz="0" w:space="0" w:color="auto"/>
        <w:bottom w:val="none" w:sz="0" w:space="0" w:color="auto"/>
        <w:right w:val="none" w:sz="0" w:space="0" w:color="auto"/>
      </w:divBdr>
    </w:div>
    <w:div w:id="726151965">
      <w:bodyDiv w:val="1"/>
      <w:marLeft w:val="0"/>
      <w:marRight w:val="0"/>
      <w:marTop w:val="0"/>
      <w:marBottom w:val="0"/>
      <w:divBdr>
        <w:top w:val="none" w:sz="0" w:space="0" w:color="auto"/>
        <w:left w:val="none" w:sz="0" w:space="0" w:color="auto"/>
        <w:bottom w:val="none" w:sz="0" w:space="0" w:color="auto"/>
        <w:right w:val="none" w:sz="0" w:space="0" w:color="auto"/>
      </w:divBdr>
    </w:div>
    <w:div w:id="753354836">
      <w:bodyDiv w:val="1"/>
      <w:marLeft w:val="0"/>
      <w:marRight w:val="0"/>
      <w:marTop w:val="0"/>
      <w:marBottom w:val="0"/>
      <w:divBdr>
        <w:top w:val="none" w:sz="0" w:space="0" w:color="auto"/>
        <w:left w:val="none" w:sz="0" w:space="0" w:color="auto"/>
        <w:bottom w:val="none" w:sz="0" w:space="0" w:color="auto"/>
        <w:right w:val="none" w:sz="0" w:space="0" w:color="auto"/>
      </w:divBdr>
      <w:divsChild>
        <w:div w:id="1122963815">
          <w:marLeft w:val="0"/>
          <w:marRight w:val="0"/>
          <w:marTop w:val="0"/>
          <w:marBottom w:val="0"/>
          <w:divBdr>
            <w:top w:val="none" w:sz="0" w:space="0" w:color="auto"/>
            <w:left w:val="none" w:sz="0" w:space="0" w:color="auto"/>
            <w:bottom w:val="none" w:sz="0" w:space="0" w:color="auto"/>
            <w:right w:val="none" w:sz="0" w:space="0" w:color="auto"/>
          </w:divBdr>
        </w:div>
        <w:div w:id="2037005638">
          <w:marLeft w:val="0"/>
          <w:marRight w:val="0"/>
          <w:marTop w:val="0"/>
          <w:marBottom w:val="0"/>
          <w:divBdr>
            <w:top w:val="none" w:sz="0" w:space="0" w:color="auto"/>
            <w:left w:val="none" w:sz="0" w:space="0" w:color="auto"/>
            <w:bottom w:val="none" w:sz="0" w:space="0" w:color="auto"/>
            <w:right w:val="none" w:sz="0" w:space="0" w:color="auto"/>
          </w:divBdr>
          <w:divsChild>
            <w:div w:id="397410861">
              <w:marLeft w:val="0"/>
              <w:marRight w:val="0"/>
              <w:marTop w:val="0"/>
              <w:marBottom w:val="0"/>
              <w:divBdr>
                <w:top w:val="none" w:sz="0" w:space="0" w:color="auto"/>
                <w:left w:val="none" w:sz="0" w:space="0" w:color="auto"/>
                <w:bottom w:val="none" w:sz="0" w:space="0" w:color="auto"/>
                <w:right w:val="none" w:sz="0" w:space="0" w:color="auto"/>
              </w:divBdr>
            </w:div>
          </w:divsChild>
        </w:div>
        <w:div w:id="1305893854">
          <w:marLeft w:val="0"/>
          <w:marRight w:val="0"/>
          <w:marTop w:val="0"/>
          <w:marBottom w:val="0"/>
          <w:divBdr>
            <w:top w:val="none" w:sz="0" w:space="0" w:color="auto"/>
            <w:left w:val="none" w:sz="0" w:space="0" w:color="auto"/>
            <w:bottom w:val="none" w:sz="0" w:space="0" w:color="auto"/>
            <w:right w:val="none" w:sz="0" w:space="0" w:color="auto"/>
          </w:divBdr>
        </w:div>
        <w:div w:id="1765033396">
          <w:marLeft w:val="0"/>
          <w:marRight w:val="0"/>
          <w:marTop w:val="0"/>
          <w:marBottom w:val="0"/>
          <w:divBdr>
            <w:top w:val="none" w:sz="0" w:space="0" w:color="auto"/>
            <w:left w:val="none" w:sz="0" w:space="0" w:color="auto"/>
            <w:bottom w:val="none" w:sz="0" w:space="0" w:color="auto"/>
            <w:right w:val="none" w:sz="0" w:space="0" w:color="auto"/>
          </w:divBdr>
        </w:div>
      </w:divsChild>
    </w:div>
    <w:div w:id="926226776">
      <w:bodyDiv w:val="1"/>
      <w:marLeft w:val="0"/>
      <w:marRight w:val="0"/>
      <w:marTop w:val="0"/>
      <w:marBottom w:val="0"/>
      <w:divBdr>
        <w:top w:val="none" w:sz="0" w:space="0" w:color="auto"/>
        <w:left w:val="none" w:sz="0" w:space="0" w:color="auto"/>
        <w:bottom w:val="none" w:sz="0" w:space="0" w:color="auto"/>
        <w:right w:val="none" w:sz="0" w:space="0" w:color="auto"/>
      </w:divBdr>
    </w:div>
    <w:div w:id="1070693733">
      <w:bodyDiv w:val="1"/>
      <w:marLeft w:val="0"/>
      <w:marRight w:val="0"/>
      <w:marTop w:val="0"/>
      <w:marBottom w:val="0"/>
      <w:divBdr>
        <w:top w:val="none" w:sz="0" w:space="0" w:color="auto"/>
        <w:left w:val="none" w:sz="0" w:space="0" w:color="auto"/>
        <w:bottom w:val="none" w:sz="0" w:space="0" w:color="auto"/>
        <w:right w:val="none" w:sz="0" w:space="0" w:color="auto"/>
      </w:divBdr>
      <w:divsChild>
        <w:div w:id="106433498">
          <w:marLeft w:val="0"/>
          <w:marRight w:val="0"/>
          <w:marTop w:val="0"/>
          <w:marBottom w:val="0"/>
          <w:divBdr>
            <w:top w:val="none" w:sz="0" w:space="0" w:color="auto"/>
            <w:left w:val="none" w:sz="0" w:space="0" w:color="auto"/>
            <w:bottom w:val="none" w:sz="0" w:space="0" w:color="auto"/>
            <w:right w:val="none" w:sz="0" w:space="0" w:color="auto"/>
          </w:divBdr>
        </w:div>
        <w:div w:id="663096489">
          <w:marLeft w:val="0"/>
          <w:marRight w:val="0"/>
          <w:marTop w:val="0"/>
          <w:marBottom w:val="0"/>
          <w:divBdr>
            <w:top w:val="none" w:sz="0" w:space="0" w:color="auto"/>
            <w:left w:val="none" w:sz="0" w:space="0" w:color="auto"/>
            <w:bottom w:val="none" w:sz="0" w:space="0" w:color="auto"/>
            <w:right w:val="none" w:sz="0" w:space="0" w:color="auto"/>
          </w:divBdr>
        </w:div>
        <w:div w:id="1226335227">
          <w:marLeft w:val="0"/>
          <w:marRight w:val="0"/>
          <w:marTop w:val="0"/>
          <w:marBottom w:val="0"/>
          <w:divBdr>
            <w:top w:val="none" w:sz="0" w:space="0" w:color="auto"/>
            <w:left w:val="none" w:sz="0" w:space="0" w:color="auto"/>
            <w:bottom w:val="none" w:sz="0" w:space="0" w:color="auto"/>
            <w:right w:val="none" w:sz="0" w:space="0" w:color="auto"/>
          </w:divBdr>
        </w:div>
        <w:div w:id="865220149">
          <w:marLeft w:val="0"/>
          <w:marRight w:val="0"/>
          <w:marTop w:val="0"/>
          <w:marBottom w:val="0"/>
          <w:divBdr>
            <w:top w:val="none" w:sz="0" w:space="0" w:color="auto"/>
            <w:left w:val="none" w:sz="0" w:space="0" w:color="auto"/>
            <w:bottom w:val="none" w:sz="0" w:space="0" w:color="auto"/>
            <w:right w:val="none" w:sz="0" w:space="0" w:color="auto"/>
          </w:divBdr>
        </w:div>
        <w:div w:id="361131864">
          <w:marLeft w:val="0"/>
          <w:marRight w:val="0"/>
          <w:marTop w:val="0"/>
          <w:marBottom w:val="0"/>
          <w:divBdr>
            <w:top w:val="none" w:sz="0" w:space="0" w:color="auto"/>
            <w:left w:val="none" w:sz="0" w:space="0" w:color="auto"/>
            <w:bottom w:val="none" w:sz="0" w:space="0" w:color="auto"/>
            <w:right w:val="none" w:sz="0" w:space="0" w:color="auto"/>
          </w:divBdr>
        </w:div>
        <w:div w:id="684211559">
          <w:marLeft w:val="0"/>
          <w:marRight w:val="0"/>
          <w:marTop w:val="0"/>
          <w:marBottom w:val="0"/>
          <w:divBdr>
            <w:top w:val="none" w:sz="0" w:space="0" w:color="auto"/>
            <w:left w:val="none" w:sz="0" w:space="0" w:color="auto"/>
            <w:bottom w:val="none" w:sz="0" w:space="0" w:color="auto"/>
            <w:right w:val="none" w:sz="0" w:space="0" w:color="auto"/>
          </w:divBdr>
        </w:div>
        <w:div w:id="528882676">
          <w:marLeft w:val="0"/>
          <w:marRight w:val="0"/>
          <w:marTop w:val="0"/>
          <w:marBottom w:val="0"/>
          <w:divBdr>
            <w:top w:val="none" w:sz="0" w:space="0" w:color="auto"/>
            <w:left w:val="none" w:sz="0" w:space="0" w:color="auto"/>
            <w:bottom w:val="none" w:sz="0" w:space="0" w:color="auto"/>
            <w:right w:val="none" w:sz="0" w:space="0" w:color="auto"/>
          </w:divBdr>
        </w:div>
        <w:div w:id="1617787764">
          <w:marLeft w:val="0"/>
          <w:marRight w:val="0"/>
          <w:marTop w:val="0"/>
          <w:marBottom w:val="0"/>
          <w:divBdr>
            <w:top w:val="none" w:sz="0" w:space="0" w:color="auto"/>
            <w:left w:val="none" w:sz="0" w:space="0" w:color="auto"/>
            <w:bottom w:val="none" w:sz="0" w:space="0" w:color="auto"/>
            <w:right w:val="none" w:sz="0" w:space="0" w:color="auto"/>
          </w:divBdr>
        </w:div>
        <w:div w:id="1162552285">
          <w:marLeft w:val="0"/>
          <w:marRight w:val="0"/>
          <w:marTop w:val="0"/>
          <w:marBottom w:val="0"/>
          <w:divBdr>
            <w:top w:val="none" w:sz="0" w:space="0" w:color="auto"/>
            <w:left w:val="none" w:sz="0" w:space="0" w:color="auto"/>
            <w:bottom w:val="none" w:sz="0" w:space="0" w:color="auto"/>
            <w:right w:val="none" w:sz="0" w:space="0" w:color="auto"/>
          </w:divBdr>
        </w:div>
        <w:div w:id="1793011415">
          <w:marLeft w:val="0"/>
          <w:marRight w:val="0"/>
          <w:marTop w:val="0"/>
          <w:marBottom w:val="0"/>
          <w:divBdr>
            <w:top w:val="none" w:sz="0" w:space="0" w:color="auto"/>
            <w:left w:val="none" w:sz="0" w:space="0" w:color="auto"/>
            <w:bottom w:val="none" w:sz="0" w:space="0" w:color="auto"/>
            <w:right w:val="none" w:sz="0" w:space="0" w:color="auto"/>
          </w:divBdr>
        </w:div>
        <w:div w:id="257055959">
          <w:marLeft w:val="0"/>
          <w:marRight w:val="0"/>
          <w:marTop w:val="0"/>
          <w:marBottom w:val="0"/>
          <w:divBdr>
            <w:top w:val="none" w:sz="0" w:space="0" w:color="auto"/>
            <w:left w:val="none" w:sz="0" w:space="0" w:color="auto"/>
            <w:bottom w:val="none" w:sz="0" w:space="0" w:color="auto"/>
            <w:right w:val="none" w:sz="0" w:space="0" w:color="auto"/>
          </w:divBdr>
        </w:div>
      </w:divsChild>
    </w:div>
    <w:div w:id="1293096269">
      <w:bodyDiv w:val="1"/>
      <w:marLeft w:val="0"/>
      <w:marRight w:val="0"/>
      <w:marTop w:val="0"/>
      <w:marBottom w:val="0"/>
      <w:divBdr>
        <w:top w:val="none" w:sz="0" w:space="0" w:color="auto"/>
        <w:left w:val="none" w:sz="0" w:space="0" w:color="auto"/>
        <w:bottom w:val="none" w:sz="0" w:space="0" w:color="auto"/>
        <w:right w:val="none" w:sz="0" w:space="0" w:color="auto"/>
      </w:divBdr>
    </w:div>
    <w:div w:id="1354959305">
      <w:bodyDiv w:val="1"/>
      <w:marLeft w:val="0"/>
      <w:marRight w:val="0"/>
      <w:marTop w:val="0"/>
      <w:marBottom w:val="0"/>
      <w:divBdr>
        <w:top w:val="none" w:sz="0" w:space="0" w:color="auto"/>
        <w:left w:val="none" w:sz="0" w:space="0" w:color="auto"/>
        <w:bottom w:val="none" w:sz="0" w:space="0" w:color="auto"/>
        <w:right w:val="none" w:sz="0" w:space="0" w:color="auto"/>
      </w:divBdr>
    </w:div>
    <w:div w:id="1402751355">
      <w:bodyDiv w:val="1"/>
      <w:marLeft w:val="0"/>
      <w:marRight w:val="0"/>
      <w:marTop w:val="0"/>
      <w:marBottom w:val="0"/>
      <w:divBdr>
        <w:top w:val="none" w:sz="0" w:space="0" w:color="auto"/>
        <w:left w:val="none" w:sz="0" w:space="0" w:color="auto"/>
        <w:bottom w:val="none" w:sz="0" w:space="0" w:color="auto"/>
        <w:right w:val="none" w:sz="0" w:space="0" w:color="auto"/>
      </w:divBdr>
    </w:div>
    <w:div w:id="1406148185">
      <w:bodyDiv w:val="1"/>
      <w:marLeft w:val="0"/>
      <w:marRight w:val="0"/>
      <w:marTop w:val="0"/>
      <w:marBottom w:val="0"/>
      <w:divBdr>
        <w:top w:val="none" w:sz="0" w:space="0" w:color="auto"/>
        <w:left w:val="none" w:sz="0" w:space="0" w:color="auto"/>
        <w:bottom w:val="none" w:sz="0" w:space="0" w:color="auto"/>
        <w:right w:val="none" w:sz="0" w:space="0" w:color="auto"/>
      </w:divBdr>
    </w:div>
    <w:div w:id="1490172950">
      <w:bodyDiv w:val="1"/>
      <w:marLeft w:val="0"/>
      <w:marRight w:val="0"/>
      <w:marTop w:val="0"/>
      <w:marBottom w:val="0"/>
      <w:divBdr>
        <w:top w:val="none" w:sz="0" w:space="0" w:color="auto"/>
        <w:left w:val="none" w:sz="0" w:space="0" w:color="auto"/>
        <w:bottom w:val="none" w:sz="0" w:space="0" w:color="auto"/>
        <w:right w:val="none" w:sz="0" w:space="0" w:color="auto"/>
      </w:divBdr>
    </w:div>
    <w:div w:id="1597520243">
      <w:bodyDiv w:val="1"/>
      <w:marLeft w:val="0"/>
      <w:marRight w:val="0"/>
      <w:marTop w:val="0"/>
      <w:marBottom w:val="0"/>
      <w:divBdr>
        <w:top w:val="none" w:sz="0" w:space="0" w:color="auto"/>
        <w:left w:val="none" w:sz="0" w:space="0" w:color="auto"/>
        <w:bottom w:val="none" w:sz="0" w:space="0" w:color="auto"/>
        <w:right w:val="none" w:sz="0" w:space="0" w:color="auto"/>
      </w:divBdr>
    </w:div>
    <w:div w:id="1765153754">
      <w:bodyDiv w:val="1"/>
      <w:marLeft w:val="0"/>
      <w:marRight w:val="0"/>
      <w:marTop w:val="0"/>
      <w:marBottom w:val="0"/>
      <w:divBdr>
        <w:top w:val="none" w:sz="0" w:space="0" w:color="auto"/>
        <w:left w:val="none" w:sz="0" w:space="0" w:color="auto"/>
        <w:bottom w:val="none" w:sz="0" w:space="0" w:color="auto"/>
        <w:right w:val="none" w:sz="0" w:space="0" w:color="auto"/>
      </w:divBdr>
    </w:div>
    <w:div w:id="1773818381">
      <w:bodyDiv w:val="1"/>
      <w:marLeft w:val="0"/>
      <w:marRight w:val="0"/>
      <w:marTop w:val="0"/>
      <w:marBottom w:val="0"/>
      <w:divBdr>
        <w:top w:val="none" w:sz="0" w:space="0" w:color="auto"/>
        <w:left w:val="none" w:sz="0" w:space="0" w:color="auto"/>
        <w:bottom w:val="none" w:sz="0" w:space="0" w:color="auto"/>
        <w:right w:val="none" w:sz="0" w:space="0" w:color="auto"/>
      </w:divBdr>
      <w:divsChild>
        <w:div w:id="1854107009">
          <w:marLeft w:val="0"/>
          <w:marRight w:val="0"/>
          <w:marTop w:val="0"/>
          <w:marBottom w:val="0"/>
          <w:divBdr>
            <w:top w:val="none" w:sz="0" w:space="0" w:color="auto"/>
            <w:left w:val="none" w:sz="0" w:space="0" w:color="auto"/>
            <w:bottom w:val="none" w:sz="0" w:space="0" w:color="auto"/>
            <w:right w:val="none" w:sz="0" w:space="0" w:color="auto"/>
          </w:divBdr>
          <w:divsChild>
            <w:div w:id="597637360">
              <w:marLeft w:val="0"/>
              <w:marRight w:val="0"/>
              <w:marTop w:val="0"/>
              <w:marBottom w:val="0"/>
              <w:divBdr>
                <w:top w:val="none" w:sz="0" w:space="0" w:color="auto"/>
                <w:left w:val="none" w:sz="0" w:space="0" w:color="auto"/>
                <w:bottom w:val="none" w:sz="0" w:space="0" w:color="auto"/>
                <w:right w:val="none" w:sz="0" w:space="0" w:color="auto"/>
              </w:divBdr>
            </w:div>
            <w:div w:id="2057073962">
              <w:marLeft w:val="0"/>
              <w:marRight w:val="0"/>
              <w:marTop w:val="0"/>
              <w:marBottom w:val="0"/>
              <w:divBdr>
                <w:top w:val="none" w:sz="0" w:space="0" w:color="auto"/>
                <w:left w:val="none" w:sz="0" w:space="0" w:color="auto"/>
                <w:bottom w:val="none" w:sz="0" w:space="0" w:color="auto"/>
                <w:right w:val="none" w:sz="0" w:space="0" w:color="auto"/>
              </w:divBdr>
            </w:div>
            <w:div w:id="1695812875">
              <w:marLeft w:val="0"/>
              <w:marRight w:val="0"/>
              <w:marTop w:val="0"/>
              <w:marBottom w:val="0"/>
              <w:divBdr>
                <w:top w:val="none" w:sz="0" w:space="0" w:color="auto"/>
                <w:left w:val="none" w:sz="0" w:space="0" w:color="auto"/>
                <w:bottom w:val="none" w:sz="0" w:space="0" w:color="auto"/>
                <w:right w:val="none" w:sz="0" w:space="0" w:color="auto"/>
              </w:divBdr>
            </w:div>
          </w:divsChild>
        </w:div>
        <w:div w:id="1006593034">
          <w:marLeft w:val="0"/>
          <w:marRight w:val="0"/>
          <w:marTop w:val="0"/>
          <w:marBottom w:val="0"/>
          <w:divBdr>
            <w:top w:val="none" w:sz="0" w:space="0" w:color="auto"/>
            <w:left w:val="none" w:sz="0" w:space="0" w:color="auto"/>
            <w:bottom w:val="none" w:sz="0" w:space="0" w:color="auto"/>
            <w:right w:val="none" w:sz="0" w:space="0" w:color="auto"/>
          </w:divBdr>
          <w:divsChild>
            <w:div w:id="1499082150">
              <w:marLeft w:val="0"/>
              <w:marRight w:val="0"/>
              <w:marTop w:val="0"/>
              <w:marBottom w:val="0"/>
              <w:divBdr>
                <w:top w:val="none" w:sz="0" w:space="0" w:color="auto"/>
                <w:left w:val="none" w:sz="0" w:space="0" w:color="auto"/>
                <w:bottom w:val="none" w:sz="0" w:space="0" w:color="auto"/>
                <w:right w:val="none" w:sz="0" w:space="0" w:color="auto"/>
              </w:divBdr>
              <w:divsChild>
                <w:div w:id="87039951">
                  <w:marLeft w:val="0"/>
                  <w:marRight w:val="0"/>
                  <w:marTop w:val="0"/>
                  <w:marBottom w:val="0"/>
                  <w:divBdr>
                    <w:top w:val="none" w:sz="0" w:space="0" w:color="auto"/>
                    <w:left w:val="none" w:sz="0" w:space="0" w:color="auto"/>
                    <w:bottom w:val="none" w:sz="0" w:space="0" w:color="auto"/>
                    <w:right w:val="none" w:sz="0" w:space="0" w:color="auto"/>
                  </w:divBdr>
                  <w:divsChild>
                    <w:div w:id="1753238376">
                      <w:marLeft w:val="0"/>
                      <w:marRight w:val="0"/>
                      <w:marTop w:val="0"/>
                      <w:marBottom w:val="0"/>
                      <w:divBdr>
                        <w:top w:val="none" w:sz="0" w:space="0" w:color="auto"/>
                        <w:left w:val="none" w:sz="0" w:space="0" w:color="auto"/>
                        <w:bottom w:val="none" w:sz="0" w:space="0" w:color="auto"/>
                        <w:right w:val="none" w:sz="0" w:space="0" w:color="auto"/>
                      </w:divBdr>
                      <w:divsChild>
                        <w:div w:id="117159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49273">
          <w:marLeft w:val="0"/>
          <w:marRight w:val="0"/>
          <w:marTop w:val="0"/>
          <w:marBottom w:val="0"/>
          <w:divBdr>
            <w:top w:val="none" w:sz="0" w:space="0" w:color="auto"/>
            <w:left w:val="none" w:sz="0" w:space="0" w:color="auto"/>
            <w:bottom w:val="none" w:sz="0" w:space="0" w:color="auto"/>
            <w:right w:val="none" w:sz="0" w:space="0" w:color="auto"/>
          </w:divBdr>
          <w:divsChild>
            <w:div w:id="1139229807">
              <w:marLeft w:val="0"/>
              <w:marRight w:val="0"/>
              <w:marTop w:val="0"/>
              <w:marBottom w:val="0"/>
              <w:divBdr>
                <w:top w:val="none" w:sz="0" w:space="0" w:color="auto"/>
                <w:left w:val="none" w:sz="0" w:space="0" w:color="auto"/>
                <w:bottom w:val="none" w:sz="0" w:space="0" w:color="auto"/>
                <w:right w:val="none" w:sz="0" w:space="0" w:color="auto"/>
              </w:divBdr>
              <w:divsChild>
                <w:div w:id="1368288739">
                  <w:marLeft w:val="0"/>
                  <w:marRight w:val="0"/>
                  <w:marTop w:val="0"/>
                  <w:marBottom w:val="0"/>
                  <w:divBdr>
                    <w:top w:val="none" w:sz="0" w:space="0" w:color="auto"/>
                    <w:left w:val="none" w:sz="0" w:space="0" w:color="auto"/>
                    <w:bottom w:val="none" w:sz="0" w:space="0" w:color="auto"/>
                    <w:right w:val="none" w:sz="0" w:space="0" w:color="auto"/>
                  </w:divBdr>
                  <w:divsChild>
                    <w:div w:id="2055887413">
                      <w:marLeft w:val="0"/>
                      <w:marRight w:val="0"/>
                      <w:marTop w:val="0"/>
                      <w:marBottom w:val="0"/>
                      <w:divBdr>
                        <w:top w:val="none" w:sz="0" w:space="0" w:color="auto"/>
                        <w:left w:val="none" w:sz="0" w:space="0" w:color="auto"/>
                        <w:bottom w:val="none" w:sz="0" w:space="0" w:color="auto"/>
                        <w:right w:val="none" w:sz="0" w:space="0" w:color="auto"/>
                      </w:divBdr>
                      <w:divsChild>
                        <w:div w:id="667446493">
                          <w:marLeft w:val="0"/>
                          <w:marRight w:val="0"/>
                          <w:marTop w:val="0"/>
                          <w:marBottom w:val="0"/>
                          <w:divBdr>
                            <w:top w:val="none" w:sz="0" w:space="0" w:color="auto"/>
                            <w:left w:val="none" w:sz="0" w:space="0" w:color="auto"/>
                            <w:bottom w:val="none" w:sz="0" w:space="0" w:color="auto"/>
                            <w:right w:val="none" w:sz="0" w:space="0" w:color="auto"/>
                          </w:divBdr>
                          <w:divsChild>
                            <w:div w:id="190783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189780">
          <w:marLeft w:val="0"/>
          <w:marRight w:val="0"/>
          <w:marTop w:val="0"/>
          <w:marBottom w:val="0"/>
          <w:divBdr>
            <w:top w:val="none" w:sz="0" w:space="0" w:color="auto"/>
            <w:left w:val="none" w:sz="0" w:space="0" w:color="auto"/>
            <w:bottom w:val="none" w:sz="0" w:space="0" w:color="auto"/>
            <w:right w:val="none" w:sz="0" w:space="0" w:color="auto"/>
          </w:divBdr>
          <w:divsChild>
            <w:div w:id="562831537">
              <w:marLeft w:val="0"/>
              <w:marRight w:val="0"/>
              <w:marTop w:val="0"/>
              <w:marBottom w:val="0"/>
              <w:divBdr>
                <w:top w:val="none" w:sz="0" w:space="0" w:color="auto"/>
                <w:left w:val="none" w:sz="0" w:space="0" w:color="auto"/>
                <w:bottom w:val="none" w:sz="0" w:space="0" w:color="auto"/>
                <w:right w:val="none" w:sz="0" w:space="0" w:color="auto"/>
              </w:divBdr>
              <w:divsChild>
                <w:div w:id="117546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73178">
      <w:bodyDiv w:val="1"/>
      <w:marLeft w:val="0"/>
      <w:marRight w:val="0"/>
      <w:marTop w:val="0"/>
      <w:marBottom w:val="0"/>
      <w:divBdr>
        <w:top w:val="none" w:sz="0" w:space="0" w:color="auto"/>
        <w:left w:val="none" w:sz="0" w:space="0" w:color="auto"/>
        <w:bottom w:val="none" w:sz="0" w:space="0" w:color="auto"/>
        <w:right w:val="none" w:sz="0" w:space="0" w:color="auto"/>
      </w:divBdr>
    </w:div>
    <w:div w:id="1857303774">
      <w:bodyDiv w:val="1"/>
      <w:marLeft w:val="0"/>
      <w:marRight w:val="0"/>
      <w:marTop w:val="0"/>
      <w:marBottom w:val="0"/>
      <w:divBdr>
        <w:top w:val="none" w:sz="0" w:space="0" w:color="auto"/>
        <w:left w:val="none" w:sz="0" w:space="0" w:color="auto"/>
        <w:bottom w:val="none" w:sz="0" w:space="0" w:color="auto"/>
        <w:right w:val="none" w:sz="0" w:space="0" w:color="auto"/>
      </w:divBdr>
      <w:divsChild>
        <w:div w:id="1065909603">
          <w:marLeft w:val="0"/>
          <w:marRight w:val="0"/>
          <w:marTop w:val="0"/>
          <w:marBottom w:val="0"/>
          <w:divBdr>
            <w:top w:val="none" w:sz="0" w:space="0" w:color="auto"/>
            <w:left w:val="none" w:sz="0" w:space="0" w:color="auto"/>
            <w:bottom w:val="none" w:sz="0" w:space="0" w:color="auto"/>
            <w:right w:val="none" w:sz="0" w:space="0" w:color="auto"/>
          </w:divBdr>
          <w:divsChild>
            <w:div w:id="775517811">
              <w:marLeft w:val="0"/>
              <w:marRight w:val="0"/>
              <w:marTop w:val="0"/>
              <w:marBottom w:val="0"/>
              <w:divBdr>
                <w:top w:val="none" w:sz="0" w:space="0" w:color="auto"/>
                <w:left w:val="none" w:sz="0" w:space="0" w:color="auto"/>
                <w:bottom w:val="none" w:sz="0" w:space="0" w:color="auto"/>
                <w:right w:val="none" w:sz="0" w:space="0" w:color="auto"/>
              </w:divBdr>
              <w:divsChild>
                <w:div w:id="55883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85369">
      <w:bodyDiv w:val="1"/>
      <w:marLeft w:val="0"/>
      <w:marRight w:val="0"/>
      <w:marTop w:val="0"/>
      <w:marBottom w:val="0"/>
      <w:divBdr>
        <w:top w:val="none" w:sz="0" w:space="0" w:color="auto"/>
        <w:left w:val="none" w:sz="0" w:space="0" w:color="auto"/>
        <w:bottom w:val="none" w:sz="0" w:space="0" w:color="auto"/>
        <w:right w:val="none" w:sz="0" w:space="0" w:color="auto"/>
      </w:divBdr>
    </w:div>
    <w:div w:id="213073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ms.ksau-hs.edu.sa/index.php/en/faculty-staff/directory/dean-s-office/academic-and-student-affairs-male/274-dr-farhan-al-enezi" TargetMode="Externa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mapcap.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www.remapcap.org"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nihr.ac.uk/documents/urgent-public-health-group-members/24638" TargetMode="External"/><Relationship Id="rId14" Type="http://schemas.openxmlformats.org/officeDocument/2006/relationships/image" Target="media/image3.em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9BAEB-E389-4FF2-B1D9-47B8BB294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48</Pages>
  <Words>14876</Words>
  <Characters>84795</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Anthony</dc:creator>
  <cp:keywords/>
  <dc:description/>
  <cp:lastModifiedBy>Lennie Derde</cp:lastModifiedBy>
  <cp:revision>24</cp:revision>
  <cp:lastPrinted>2020-12-31T10:49:00Z</cp:lastPrinted>
  <dcterms:created xsi:type="dcterms:W3CDTF">2021-06-15T08:22:00Z</dcterms:created>
  <dcterms:modified xsi:type="dcterms:W3CDTF">2021-06-15T12:44:00Z</dcterms:modified>
</cp:coreProperties>
</file>