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D2564" w14:textId="77777777" w:rsidR="00524B3C" w:rsidRPr="00DC635F" w:rsidRDefault="00524B3C" w:rsidP="00524B3C">
      <w:r>
        <w:rPr>
          <w:b/>
          <w:bCs/>
        </w:rPr>
        <w:t xml:space="preserve">APPENDIX </w:t>
      </w:r>
    </w:p>
    <w:sdt>
      <w:sdtPr>
        <w:rPr>
          <w:rFonts w:ascii="Times New Roman" w:eastAsia="Times New Roman" w:hAnsi="Times New Roman" w:cs="Times New Roman"/>
          <w:color w:val="auto"/>
          <w:sz w:val="24"/>
          <w:szCs w:val="24"/>
        </w:rPr>
        <w:id w:val="-1774084695"/>
        <w:docPartObj>
          <w:docPartGallery w:val="Table of Contents"/>
          <w:docPartUnique/>
        </w:docPartObj>
      </w:sdtPr>
      <w:sdtEndPr>
        <w:rPr>
          <w:b/>
          <w:bCs/>
          <w:noProof/>
        </w:rPr>
      </w:sdtEndPr>
      <w:sdtContent>
        <w:p w14:paraId="33300C80" w14:textId="2E3F5B47" w:rsidR="00524B3C" w:rsidRDefault="007D7D99" w:rsidP="007D7D99">
          <w:pPr>
            <w:pStyle w:val="TOCHeading"/>
            <w:tabs>
              <w:tab w:val="left" w:pos="1139"/>
            </w:tabs>
          </w:pPr>
          <w:r>
            <w:rPr>
              <w:rFonts w:ascii="Times New Roman" w:eastAsia="Times New Roman" w:hAnsi="Times New Roman" w:cs="Times New Roman"/>
              <w:color w:val="auto"/>
              <w:sz w:val="24"/>
              <w:szCs w:val="24"/>
            </w:rPr>
            <w:tab/>
          </w:r>
        </w:p>
        <w:p w14:paraId="5896F652" w14:textId="44DDD90A" w:rsidR="00A21166" w:rsidRDefault="00524B3C">
          <w:pPr>
            <w:pStyle w:val="TOC1"/>
            <w:tabs>
              <w:tab w:val="right" w:leader="dot" w:pos="9350"/>
            </w:tabs>
            <w:rPr>
              <w:rFonts w:cstheme="minorBidi"/>
              <w:noProof/>
            </w:rPr>
          </w:pPr>
          <w:r>
            <w:fldChar w:fldCharType="begin"/>
          </w:r>
          <w:r>
            <w:instrText xml:space="preserve"> TOC \o "1-3" \h \z \u </w:instrText>
          </w:r>
          <w:r>
            <w:fldChar w:fldCharType="separate"/>
          </w:r>
          <w:hyperlink w:anchor="_Toc68877753" w:history="1">
            <w:r w:rsidR="00A21166" w:rsidRPr="00716A1F">
              <w:rPr>
                <w:rStyle w:val="Hyperlink"/>
                <w:rFonts w:ascii="Times New Roman" w:hAnsi="Times New Roman"/>
                <w:b/>
                <w:bCs/>
                <w:noProof/>
              </w:rPr>
              <w:t>Appendix A: Dates of Re-openings and Non-Pharmaceutical Interventions</w:t>
            </w:r>
            <w:r w:rsidR="00A21166">
              <w:rPr>
                <w:noProof/>
                <w:webHidden/>
              </w:rPr>
              <w:tab/>
            </w:r>
            <w:r w:rsidR="00A21166">
              <w:rPr>
                <w:noProof/>
                <w:webHidden/>
              </w:rPr>
              <w:fldChar w:fldCharType="begin"/>
            </w:r>
            <w:r w:rsidR="00A21166">
              <w:rPr>
                <w:noProof/>
                <w:webHidden/>
              </w:rPr>
              <w:instrText xml:space="preserve"> PAGEREF _Toc68877753 \h </w:instrText>
            </w:r>
            <w:r w:rsidR="00A21166">
              <w:rPr>
                <w:noProof/>
                <w:webHidden/>
              </w:rPr>
            </w:r>
            <w:r w:rsidR="00A21166">
              <w:rPr>
                <w:noProof/>
                <w:webHidden/>
              </w:rPr>
              <w:fldChar w:fldCharType="separate"/>
            </w:r>
            <w:r w:rsidR="00A21166">
              <w:rPr>
                <w:noProof/>
                <w:webHidden/>
              </w:rPr>
              <w:t>2</w:t>
            </w:r>
            <w:r w:rsidR="00A21166">
              <w:rPr>
                <w:noProof/>
                <w:webHidden/>
              </w:rPr>
              <w:fldChar w:fldCharType="end"/>
            </w:r>
          </w:hyperlink>
        </w:p>
        <w:p w14:paraId="32749569" w14:textId="6585B8E5" w:rsidR="00A21166" w:rsidRDefault="00D462AA">
          <w:pPr>
            <w:pStyle w:val="TOC2"/>
            <w:tabs>
              <w:tab w:val="right" w:leader="dot" w:pos="9350"/>
            </w:tabs>
            <w:rPr>
              <w:rFonts w:cstheme="minorBidi"/>
              <w:noProof/>
            </w:rPr>
          </w:pPr>
          <w:hyperlink w:anchor="_Toc68877754" w:history="1">
            <w:r w:rsidR="00A21166" w:rsidRPr="00716A1F">
              <w:rPr>
                <w:rStyle w:val="Hyperlink"/>
                <w:rFonts w:ascii="Times New Roman" w:hAnsi="Times New Roman"/>
                <w:noProof/>
              </w:rPr>
              <w:t>Appendix Figure A1. City and State Re-openings and Rolling 7-Day Average Case Rates</w:t>
            </w:r>
            <w:r w:rsidR="00A21166">
              <w:rPr>
                <w:noProof/>
                <w:webHidden/>
              </w:rPr>
              <w:tab/>
            </w:r>
            <w:r w:rsidR="00A21166">
              <w:rPr>
                <w:noProof/>
                <w:webHidden/>
              </w:rPr>
              <w:fldChar w:fldCharType="begin"/>
            </w:r>
            <w:r w:rsidR="00A21166">
              <w:rPr>
                <w:noProof/>
                <w:webHidden/>
              </w:rPr>
              <w:instrText xml:space="preserve"> PAGEREF _Toc68877754 \h </w:instrText>
            </w:r>
            <w:r w:rsidR="00A21166">
              <w:rPr>
                <w:noProof/>
                <w:webHidden/>
              </w:rPr>
            </w:r>
            <w:r w:rsidR="00A21166">
              <w:rPr>
                <w:noProof/>
                <w:webHidden/>
              </w:rPr>
              <w:fldChar w:fldCharType="separate"/>
            </w:r>
            <w:r w:rsidR="00A21166">
              <w:rPr>
                <w:noProof/>
                <w:webHidden/>
              </w:rPr>
              <w:t>2</w:t>
            </w:r>
            <w:r w:rsidR="00A21166">
              <w:rPr>
                <w:noProof/>
                <w:webHidden/>
              </w:rPr>
              <w:fldChar w:fldCharType="end"/>
            </w:r>
          </w:hyperlink>
        </w:p>
        <w:p w14:paraId="3D94AD05" w14:textId="4C9AE987" w:rsidR="00A21166" w:rsidRDefault="00D462AA">
          <w:pPr>
            <w:pStyle w:val="TOC2"/>
            <w:tabs>
              <w:tab w:val="right" w:leader="dot" w:pos="9350"/>
            </w:tabs>
            <w:rPr>
              <w:rFonts w:cstheme="minorBidi"/>
              <w:noProof/>
            </w:rPr>
          </w:pPr>
          <w:hyperlink w:anchor="_Toc68877755" w:history="1">
            <w:r w:rsidR="00A21166" w:rsidRPr="00716A1F">
              <w:rPr>
                <w:rStyle w:val="Hyperlink"/>
                <w:rFonts w:ascii="Times New Roman" w:hAnsi="Times New Roman"/>
                <w:noProof/>
              </w:rPr>
              <w:t>Appendix Table A2. City and State Re-opening Indoor Dining Dates</w:t>
            </w:r>
            <w:r w:rsidR="00A21166">
              <w:rPr>
                <w:noProof/>
                <w:webHidden/>
              </w:rPr>
              <w:tab/>
            </w:r>
            <w:r w:rsidR="00A21166">
              <w:rPr>
                <w:noProof/>
                <w:webHidden/>
              </w:rPr>
              <w:fldChar w:fldCharType="begin"/>
            </w:r>
            <w:r w:rsidR="00A21166">
              <w:rPr>
                <w:noProof/>
                <w:webHidden/>
              </w:rPr>
              <w:instrText xml:space="preserve"> PAGEREF _Toc68877755 \h </w:instrText>
            </w:r>
            <w:r w:rsidR="00A21166">
              <w:rPr>
                <w:noProof/>
                <w:webHidden/>
              </w:rPr>
            </w:r>
            <w:r w:rsidR="00A21166">
              <w:rPr>
                <w:noProof/>
                <w:webHidden/>
              </w:rPr>
              <w:fldChar w:fldCharType="separate"/>
            </w:r>
            <w:r w:rsidR="00A21166">
              <w:rPr>
                <w:noProof/>
                <w:webHidden/>
              </w:rPr>
              <w:t>3</w:t>
            </w:r>
            <w:r w:rsidR="00A21166">
              <w:rPr>
                <w:noProof/>
                <w:webHidden/>
              </w:rPr>
              <w:fldChar w:fldCharType="end"/>
            </w:r>
          </w:hyperlink>
        </w:p>
        <w:p w14:paraId="0BBE646C" w14:textId="226E0B51" w:rsidR="00A21166" w:rsidRDefault="00D462AA">
          <w:pPr>
            <w:pStyle w:val="TOC2"/>
            <w:tabs>
              <w:tab w:val="right" w:leader="dot" w:pos="9350"/>
            </w:tabs>
            <w:rPr>
              <w:rFonts w:cstheme="minorBidi"/>
              <w:noProof/>
            </w:rPr>
          </w:pPr>
          <w:hyperlink w:anchor="_Toc68877756" w:history="1">
            <w:r w:rsidR="00A21166" w:rsidRPr="00716A1F">
              <w:rPr>
                <w:rStyle w:val="Hyperlink"/>
                <w:rFonts w:ascii="Times New Roman" w:hAnsi="Times New Roman"/>
                <w:noProof/>
                <w:shd w:val="clear" w:color="auto" w:fill="FFFFFF"/>
              </w:rPr>
              <w:t>Appendix Table A3: Dates of City and State Non-Pharmaceutical Interventions</w:t>
            </w:r>
            <w:r w:rsidR="00A21166">
              <w:rPr>
                <w:noProof/>
                <w:webHidden/>
              </w:rPr>
              <w:tab/>
            </w:r>
            <w:r w:rsidR="00A21166">
              <w:rPr>
                <w:noProof/>
                <w:webHidden/>
              </w:rPr>
              <w:fldChar w:fldCharType="begin"/>
            </w:r>
            <w:r w:rsidR="00A21166">
              <w:rPr>
                <w:noProof/>
                <w:webHidden/>
              </w:rPr>
              <w:instrText xml:space="preserve"> PAGEREF _Toc68877756 \h </w:instrText>
            </w:r>
            <w:r w:rsidR="00A21166">
              <w:rPr>
                <w:noProof/>
                <w:webHidden/>
              </w:rPr>
            </w:r>
            <w:r w:rsidR="00A21166">
              <w:rPr>
                <w:noProof/>
                <w:webHidden/>
              </w:rPr>
              <w:fldChar w:fldCharType="separate"/>
            </w:r>
            <w:r w:rsidR="00A21166">
              <w:rPr>
                <w:noProof/>
                <w:webHidden/>
              </w:rPr>
              <w:t>4</w:t>
            </w:r>
            <w:r w:rsidR="00A21166">
              <w:rPr>
                <w:noProof/>
                <w:webHidden/>
              </w:rPr>
              <w:fldChar w:fldCharType="end"/>
            </w:r>
          </w:hyperlink>
        </w:p>
        <w:p w14:paraId="221F4147" w14:textId="0E7FEE7E" w:rsidR="00A21166" w:rsidRDefault="00D462AA">
          <w:pPr>
            <w:pStyle w:val="TOC1"/>
            <w:tabs>
              <w:tab w:val="right" w:leader="dot" w:pos="9350"/>
            </w:tabs>
            <w:rPr>
              <w:rFonts w:cstheme="minorBidi"/>
              <w:noProof/>
            </w:rPr>
          </w:pPr>
          <w:hyperlink w:anchor="_Toc68877757" w:history="1">
            <w:r w:rsidR="00A21166" w:rsidRPr="00716A1F">
              <w:rPr>
                <w:rStyle w:val="Hyperlink"/>
                <w:rFonts w:ascii="Times New Roman" w:hAnsi="Times New Roman"/>
                <w:b/>
                <w:bCs/>
                <w:noProof/>
                <w:shd w:val="clear" w:color="auto" w:fill="FFFFFF"/>
              </w:rPr>
              <w:t>Appendix B: Counterfactual Assumption &amp; Re-Opening Citations</w:t>
            </w:r>
            <w:r w:rsidR="00A21166">
              <w:rPr>
                <w:noProof/>
                <w:webHidden/>
              </w:rPr>
              <w:tab/>
            </w:r>
            <w:r w:rsidR="00A21166">
              <w:rPr>
                <w:noProof/>
                <w:webHidden/>
              </w:rPr>
              <w:fldChar w:fldCharType="begin"/>
            </w:r>
            <w:r w:rsidR="00A21166">
              <w:rPr>
                <w:noProof/>
                <w:webHidden/>
              </w:rPr>
              <w:instrText xml:space="preserve"> PAGEREF _Toc68877757 \h </w:instrText>
            </w:r>
            <w:r w:rsidR="00A21166">
              <w:rPr>
                <w:noProof/>
                <w:webHidden/>
              </w:rPr>
            </w:r>
            <w:r w:rsidR="00A21166">
              <w:rPr>
                <w:noProof/>
                <w:webHidden/>
              </w:rPr>
              <w:fldChar w:fldCharType="separate"/>
            </w:r>
            <w:r w:rsidR="00A21166">
              <w:rPr>
                <w:noProof/>
                <w:webHidden/>
              </w:rPr>
              <w:t>6</w:t>
            </w:r>
            <w:r w:rsidR="00A21166">
              <w:rPr>
                <w:noProof/>
                <w:webHidden/>
              </w:rPr>
              <w:fldChar w:fldCharType="end"/>
            </w:r>
          </w:hyperlink>
        </w:p>
        <w:p w14:paraId="2418038E" w14:textId="401D0120" w:rsidR="00A21166" w:rsidRDefault="00D462AA">
          <w:pPr>
            <w:pStyle w:val="TOC2"/>
            <w:tabs>
              <w:tab w:val="right" w:leader="dot" w:pos="9350"/>
            </w:tabs>
            <w:rPr>
              <w:rFonts w:cstheme="minorBidi"/>
              <w:noProof/>
            </w:rPr>
          </w:pPr>
          <w:hyperlink w:anchor="_Toc68877758" w:history="1">
            <w:r w:rsidR="00A21166" w:rsidRPr="00716A1F">
              <w:rPr>
                <w:rStyle w:val="Hyperlink"/>
                <w:rFonts w:ascii="Times New Roman" w:hAnsi="Times New Roman"/>
                <w:noProof/>
                <w:shd w:val="clear" w:color="auto" w:fill="FFFFFF"/>
              </w:rPr>
              <w:t>Appendix Table</w:t>
            </w:r>
            <w:r w:rsidR="00A21166" w:rsidRPr="00716A1F">
              <w:rPr>
                <w:rStyle w:val="Hyperlink"/>
                <w:rFonts w:ascii="Times New Roman" w:hAnsi="Times New Roman"/>
                <w:noProof/>
              </w:rPr>
              <w:t xml:space="preserve"> B2: Citations for Counterfactual Assumption that Cities Would Have Kept Indoor Dining Closed if Not Preempted, Comparison Cities</w:t>
            </w:r>
            <w:r w:rsidR="00A21166">
              <w:rPr>
                <w:noProof/>
                <w:webHidden/>
              </w:rPr>
              <w:tab/>
            </w:r>
            <w:r w:rsidR="00A21166">
              <w:rPr>
                <w:noProof/>
                <w:webHidden/>
              </w:rPr>
              <w:fldChar w:fldCharType="begin"/>
            </w:r>
            <w:r w:rsidR="00A21166">
              <w:rPr>
                <w:noProof/>
                <w:webHidden/>
              </w:rPr>
              <w:instrText xml:space="preserve"> PAGEREF _Toc68877758 \h </w:instrText>
            </w:r>
            <w:r w:rsidR="00A21166">
              <w:rPr>
                <w:noProof/>
                <w:webHidden/>
              </w:rPr>
            </w:r>
            <w:r w:rsidR="00A21166">
              <w:rPr>
                <w:noProof/>
                <w:webHidden/>
              </w:rPr>
              <w:fldChar w:fldCharType="separate"/>
            </w:r>
            <w:r w:rsidR="00A21166">
              <w:rPr>
                <w:noProof/>
                <w:webHidden/>
              </w:rPr>
              <w:t>6</w:t>
            </w:r>
            <w:r w:rsidR="00A21166">
              <w:rPr>
                <w:noProof/>
                <w:webHidden/>
              </w:rPr>
              <w:fldChar w:fldCharType="end"/>
            </w:r>
          </w:hyperlink>
        </w:p>
        <w:p w14:paraId="484D325B" w14:textId="17A02E9E" w:rsidR="00A21166" w:rsidRDefault="00D462AA">
          <w:pPr>
            <w:pStyle w:val="TOC2"/>
            <w:tabs>
              <w:tab w:val="right" w:leader="dot" w:pos="9350"/>
            </w:tabs>
            <w:rPr>
              <w:rFonts w:cstheme="minorBidi"/>
              <w:noProof/>
            </w:rPr>
          </w:pPr>
          <w:hyperlink w:anchor="_Toc68877759" w:history="1">
            <w:r w:rsidR="00A21166" w:rsidRPr="00716A1F">
              <w:rPr>
                <w:rStyle w:val="Hyperlink"/>
                <w:rFonts w:ascii="Times New Roman" w:hAnsi="Times New Roman"/>
                <w:noProof/>
              </w:rPr>
              <w:t>Appendix Table B3: Information and Evidence for City and State Indoor Dining Reopening Orders, Treatment Cities</w:t>
            </w:r>
            <w:r w:rsidR="00A21166">
              <w:rPr>
                <w:noProof/>
                <w:webHidden/>
              </w:rPr>
              <w:tab/>
            </w:r>
            <w:r w:rsidR="00A21166">
              <w:rPr>
                <w:noProof/>
                <w:webHidden/>
              </w:rPr>
              <w:fldChar w:fldCharType="begin"/>
            </w:r>
            <w:r w:rsidR="00A21166">
              <w:rPr>
                <w:noProof/>
                <w:webHidden/>
              </w:rPr>
              <w:instrText xml:space="preserve"> PAGEREF _Toc68877759 \h </w:instrText>
            </w:r>
            <w:r w:rsidR="00A21166">
              <w:rPr>
                <w:noProof/>
                <w:webHidden/>
              </w:rPr>
            </w:r>
            <w:r w:rsidR="00A21166">
              <w:rPr>
                <w:noProof/>
                <w:webHidden/>
              </w:rPr>
              <w:fldChar w:fldCharType="separate"/>
            </w:r>
            <w:r w:rsidR="00A21166">
              <w:rPr>
                <w:noProof/>
                <w:webHidden/>
              </w:rPr>
              <w:t>7</w:t>
            </w:r>
            <w:r w:rsidR="00A21166">
              <w:rPr>
                <w:noProof/>
                <w:webHidden/>
              </w:rPr>
              <w:fldChar w:fldCharType="end"/>
            </w:r>
          </w:hyperlink>
        </w:p>
        <w:p w14:paraId="5491A9BE" w14:textId="44B255A0" w:rsidR="00A21166" w:rsidRDefault="00D462AA">
          <w:pPr>
            <w:pStyle w:val="TOC1"/>
            <w:tabs>
              <w:tab w:val="right" w:leader="dot" w:pos="9350"/>
            </w:tabs>
            <w:rPr>
              <w:rFonts w:cstheme="minorBidi"/>
              <w:noProof/>
            </w:rPr>
          </w:pPr>
          <w:hyperlink w:anchor="_Toc68877760" w:history="1">
            <w:r w:rsidR="00A21166" w:rsidRPr="00716A1F">
              <w:rPr>
                <w:rStyle w:val="Hyperlink"/>
                <w:rFonts w:ascii="Times New Roman" w:hAnsi="Times New Roman"/>
                <w:b/>
                <w:bCs/>
                <w:noProof/>
              </w:rPr>
              <w:t>Appendix C: Model Specification</w:t>
            </w:r>
            <w:r w:rsidR="00A21166">
              <w:rPr>
                <w:noProof/>
                <w:webHidden/>
              </w:rPr>
              <w:tab/>
            </w:r>
            <w:r w:rsidR="00A21166">
              <w:rPr>
                <w:noProof/>
                <w:webHidden/>
              </w:rPr>
              <w:fldChar w:fldCharType="begin"/>
            </w:r>
            <w:r w:rsidR="00A21166">
              <w:rPr>
                <w:noProof/>
                <w:webHidden/>
              </w:rPr>
              <w:instrText xml:space="preserve"> PAGEREF _Toc68877760 \h </w:instrText>
            </w:r>
            <w:r w:rsidR="00A21166">
              <w:rPr>
                <w:noProof/>
                <w:webHidden/>
              </w:rPr>
            </w:r>
            <w:r w:rsidR="00A21166">
              <w:rPr>
                <w:noProof/>
                <w:webHidden/>
              </w:rPr>
              <w:fldChar w:fldCharType="separate"/>
            </w:r>
            <w:r w:rsidR="00A21166">
              <w:rPr>
                <w:noProof/>
                <w:webHidden/>
              </w:rPr>
              <w:t>8</w:t>
            </w:r>
            <w:r w:rsidR="00A21166">
              <w:rPr>
                <w:noProof/>
                <w:webHidden/>
              </w:rPr>
              <w:fldChar w:fldCharType="end"/>
            </w:r>
          </w:hyperlink>
        </w:p>
        <w:p w14:paraId="7329D24F" w14:textId="04E2D316" w:rsidR="00A21166" w:rsidRDefault="00D462AA">
          <w:pPr>
            <w:pStyle w:val="TOC2"/>
            <w:tabs>
              <w:tab w:val="right" w:leader="dot" w:pos="9350"/>
            </w:tabs>
            <w:rPr>
              <w:rFonts w:cstheme="minorBidi"/>
              <w:noProof/>
            </w:rPr>
          </w:pPr>
          <w:hyperlink w:anchor="_Toc68877761" w:history="1">
            <w:r w:rsidR="00A21166" w:rsidRPr="00716A1F">
              <w:rPr>
                <w:rStyle w:val="Hyperlink"/>
                <w:rFonts w:ascii="Times New Roman" w:hAnsi="Times New Roman"/>
                <w:noProof/>
              </w:rPr>
              <w:t>Appendix C1: Model Specification and Description</w:t>
            </w:r>
            <w:r w:rsidR="00A21166">
              <w:rPr>
                <w:noProof/>
                <w:webHidden/>
              </w:rPr>
              <w:tab/>
            </w:r>
            <w:r w:rsidR="00A21166">
              <w:rPr>
                <w:noProof/>
                <w:webHidden/>
              </w:rPr>
              <w:fldChar w:fldCharType="begin"/>
            </w:r>
            <w:r w:rsidR="00A21166">
              <w:rPr>
                <w:noProof/>
                <w:webHidden/>
              </w:rPr>
              <w:instrText xml:space="preserve"> PAGEREF _Toc68877761 \h </w:instrText>
            </w:r>
            <w:r w:rsidR="00A21166">
              <w:rPr>
                <w:noProof/>
                <w:webHidden/>
              </w:rPr>
            </w:r>
            <w:r w:rsidR="00A21166">
              <w:rPr>
                <w:noProof/>
                <w:webHidden/>
              </w:rPr>
              <w:fldChar w:fldCharType="separate"/>
            </w:r>
            <w:r w:rsidR="00A21166">
              <w:rPr>
                <w:noProof/>
                <w:webHidden/>
              </w:rPr>
              <w:t>8</w:t>
            </w:r>
            <w:r w:rsidR="00A21166">
              <w:rPr>
                <w:noProof/>
                <w:webHidden/>
              </w:rPr>
              <w:fldChar w:fldCharType="end"/>
            </w:r>
          </w:hyperlink>
        </w:p>
        <w:p w14:paraId="26761D4F" w14:textId="60362CE9" w:rsidR="00A21166" w:rsidRDefault="00D462AA">
          <w:pPr>
            <w:pStyle w:val="TOC1"/>
            <w:tabs>
              <w:tab w:val="right" w:leader="dot" w:pos="9350"/>
            </w:tabs>
            <w:rPr>
              <w:rFonts w:cstheme="minorBidi"/>
              <w:noProof/>
            </w:rPr>
          </w:pPr>
          <w:hyperlink w:anchor="_Toc68877762" w:history="1">
            <w:r w:rsidR="00A21166" w:rsidRPr="00716A1F">
              <w:rPr>
                <w:rStyle w:val="Hyperlink"/>
                <w:rFonts w:ascii="Times New Roman" w:hAnsi="Times New Roman"/>
                <w:b/>
                <w:bCs/>
                <w:noProof/>
              </w:rPr>
              <w:t>Appendix D: Robustness Checks</w:t>
            </w:r>
            <w:r w:rsidR="00A21166">
              <w:rPr>
                <w:noProof/>
                <w:webHidden/>
              </w:rPr>
              <w:tab/>
            </w:r>
            <w:r w:rsidR="00A21166">
              <w:rPr>
                <w:noProof/>
                <w:webHidden/>
              </w:rPr>
              <w:fldChar w:fldCharType="begin"/>
            </w:r>
            <w:r w:rsidR="00A21166">
              <w:rPr>
                <w:noProof/>
                <w:webHidden/>
              </w:rPr>
              <w:instrText xml:space="preserve"> PAGEREF _Toc68877762 \h </w:instrText>
            </w:r>
            <w:r w:rsidR="00A21166">
              <w:rPr>
                <w:noProof/>
                <w:webHidden/>
              </w:rPr>
            </w:r>
            <w:r w:rsidR="00A21166">
              <w:rPr>
                <w:noProof/>
                <w:webHidden/>
              </w:rPr>
              <w:fldChar w:fldCharType="separate"/>
            </w:r>
            <w:r w:rsidR="00A21166">
              <w:rPr>
                <w:noProof/>
                <w:webHidden/>
              </w:rPr>
              <w:t>9</w:t>
            </w:r>
            <w:r w:rsidR="00A21166">
              <w:rPr>
                <w:noProof/>
                <w:webHidden/>
              </w:rPr>
              <w:fldChar w:fldCharType="end"/>
            </w:r>
          </w:hyperlink>
        </w:p>
        <w:p w14:paraId="1C4F15E0" w14:textId="699FD251" w:rsidR="00A21166" w:rsidRDefault="00D462AA">
          <w:pPr>
            <w:pStyle w:val="TOC2"/>
            <w:tabs>
              <w:tab w:val="right" w:leader="dot" w:pos="9350"/>
            </w:tabs>
            <w:rPr>
              <w:rFonts w:cstheme="minorBidi"/>
              <w:noProof/>
            </w:rPr>
          </w:pPr>
          <w:hyperlink w:anchor="_Toc68877763" w:history="1">
            <w:r w:rsidR="00A21166" w:rsidRPr="00716A1F">
              <w:rPr>
                <w:rStyle w:val="Hyperlink"/>
                <w:rFonts w:ascii="Times New Roman" w:hAnsi="Times New Roman"/>
                <w:noProof/>
              </w:rPr>
              <w:t>Appendix D1: Description of sensitivity analysis</w:t>
            </w:r>
            <w:r w:rsidR="00A21166">
              <w:rPr>
                <w:noProof/>
                <w:webHidden/>
              </w:rPr>
              <w:tab/>
            </w:r>
            <w:r w:rsidR="00A21166">
              <w:rPr>
                <w:noProof/>
                <w:webHidden/>
              </w:rPr>
              <w:fldChar w:fldCharType="begin"/>
            </w:r>
            <w:r w:rsidR="00A21166">
              <w:rPr>
                <w:noProof/>
                <w:webHidden/>
              </w:rPr>
              <w:instrText xml:space="preserve"> PAGEREF _Toc68877763 \h </w:instrText>
            </w:r>
            <w:r w:rsidR="00A21166">
              <w:rPr>
                <w:noProof/>
                <w:webHidden/>
              </w:rPr>
            </w:r>
            <w:r w:rsidR="00A21166">
              <w:rPr>
                <w:noProof/>
                <w:webHidden/>
              </w:rPr>
              <w:fldChar w:fldCharType="separate"/>
            </w:r>
            <w:r w:rsidR="00A21166">
              <w:rPr>
                <w:noProof/>
                <w:webHidden/>
              </w:rPr>
              <w:t>9</w:t>
            </w:r>
            <w:r w:rsidR="00A21166">
              <w:rPr>
                <w:noProof/>
                <w:webHidden/>
              </w:rPr>
              <w:fldChar w:fldCharType="end"/>
            </w:r>
          </w:hyperlink>
        </w:p>
        <w:p w14:paraId="2106F25E" w14:textId="78062FB2" w:rsidR="00A21166" w:rsidRDefault="00D462AA">
          <w:pPr>
            <w:pStyle w:val="TOC2"/>
            <w:tabs>
              <w:tab w:val="right" w:leader="dot" w:pos="9350"/>
            </w:tabs>
            <w:rPr>
              <w:rFonts w:cstheme="minorBidi"/>
              <w:noProof/>
            </w:rPr>
          </w:pPr>
          <w:hyperlink w:anchor="_Toc68877764" w:history="1">
            <w:r w:rsidR="00A21166" w:rsidRPr="00716A1F">
              <w:rPr>
                <w:rStyle w:val="Hyperlink"/>
                <w:rFonts w:ascii="Times New Roman" w:hAnsi="Times New Roman"/>
                <w:noProof/>
              </w:rPr>
              <w:t>Appendix Table D2: Robustness Checks: Alternative lags, periods, cities, and calendar week fixed effects</w:t>
            </w:r>
            <w:r w:rsidR="00A21166">
              <w:rPr>
                <w:noProof/>
                <w:webHidden/>
              </w:rPr>
              <w:tab/>
            </w:r>
            <w:r w:rsidR="00A21166">
              <w:rPr>
                <w:noProof/>
                <w:webHidden/>
              </w:rPr>
              <w:fldChar w:fldCharType="begin"/>
            </w:r>
            <w:r w:rsidR="00A21166">
              <w:rPr>
                <w:noProof/>
                <w:webHidden/>
              </w:rPr>
              <w:instrText xml:space="preserve"> PAGEREF _Toc68877764 \h </w:instrText>
            </w:r>
            <w:r w:rsidR="00A21166">
              <w:rPr>
                <w:noProof/>
                <w:webHidden/>
              </w:rPr>
            </w:r>
            <w:r w:rsidR="00A21166">
              <w:rPr>
                <w:noProof/>
                <w:webHidden/>
              </w:rPr>
              <w:fldChar w:fldCharType="separate"/>
            </w:r>
            <w:r w:rsidR="00A21166">
              <w:rPr>
                <w:noProof/>
                <w:webHidden/>
              </w:rPr>
              <w:t>12</w:t>
            </w:r>
            <w:r w:rsidR="00A21166">
              <w:rPr>
                <w:noProof/>
                <w:webHidden/>
              </w:rPr>
              <w:fldChar w:fldCharType="end"/>
            </w:r>
          </w:hyperlink>
        </w:p>
        <w:p w14:paraId="228CB846" w14:textId="168FDB80" w:rsidR="00A21166" w:rsidRDefault="00D462AA">
          <w:pPr>
            <w:pStyle w:val="TOC2"/>
            <w:tabs>
              <w:tab w:val="right" w:leader="dot" w:pos="9350"/>
            </w:tabs>
            <w:rPr>
              <w:rFonts w:cstheme="minorBidi"/>
              <w:noProof/>
            </w:rPr>
          </w:pPr>
          <w:hyperlink w:anchor="_Toc68877765" w:history="1">
            <w:r w:rsidR="00A21166" w:rsidRPr="00716A1F">
              <w:rPr>
                <w:rStyle w:val="Hyperlink"/>
                <w:rFonts w:ascii="Times New Roman" w:hAnsi="Times New Roman"/>
                <w:noProof/>
              </w:rPr>
              <w:t>Appendix Table D3: Event Study Adjusted Incidence Rate Ratios</w:t>
            </w:r>
            <w:r w:rsidR="00A21166">
              <w:rPr>
                <w:noProof/>
                <w:webHidden/>
              </w:rPr>
              <w:tab/>
            </w:r>
            <w:r w:rsidR="00A21166">
              <w:rPr>
                <w:noProof/>
                <w:webHidden/>
              </w:rPr>
              <w:fldChar w:fldCharType="begin"/>
            </w:r>
            <w:r w:rsidR="00A21166">
              <w:rPr>
                <w:noProof/>
                <w:webHidden/>
              </w:rPr>
              <w:instrText xml:space="preserve"> PAGEREF _Toc68877765 \h </w:instrText>
            </w:r>
            <w:r w:rsidR="00A21166">
              <w:rPr>
                <w:noProof/>
                <w:webHidden/>
              </w:rPr>
            </w:r>
            <w:r w:rsidR="00A21166">
              <w:rPr>
                <w:noProof/>
                <w:webHidden/>
              </w:rPr>
              <w:fldChar w:fldCharType="separate"/>
            </w:r>
            <w:r w:rsidR="00A21166">
              <w:rPr>
                <w:noProof/>
                <w:webHidden/>
              </w:rPr>
              <w:t>13</w:t>
            </w:r>
            <w:r w:rsidR="00A21166">
              <w:rPr>
                <w:noProof/>
                <w:webHidden/>
              </w:rPr>
              <w:fldChar w:fldCharType="end"/>
            </w:r>
          </w:hyperlink>
        </w:p>
        <w:p w14:paraId="0B860AC8" w14:textId="64F3E0BA" w:rsidR="00A21166" w:rsidRDefault="00D462AA">
          <w:pPr>
            <w:pStyle w:val="TOC2"/>
            <w:tabs>
              <w:tab w:val="right" w:leader="dot" w:pos="9350"/>
            </w:tabs>
            <w:rPr>
              <w:rFonts w:cstheme="minorBidi"/>
              <w:noProof/>
            </w:rPr>
          </w:pPr>
          <w:hyperlink w:anchor="_Toc68877766" w:history="1">
            <w:r w:rsidR="00A21166" w:rsidRPr="00716A1F">
              <w:rPr>
                <w:rStyle w:val="Hyperlink"/>
                <w:rFonts w:ascii="Times New Roman" w:hAnsi="Times New Roman"/>
                <w:noProof/>
              </w:rPr>
              <w:t xml:space="preserve">Appendix Figure D4: Event Model (Main Model) </w:t>
            </w:r>
            <w:r w:rsidR="00A21166">
              <w:rPr>
                <w:noProof/>
                <w:webHidden/>
              </w:rPr>
              <w:tab/>
            </w:r>
            <w:r w:rsidR="00A21166">
              <w:rPr>
                <w:noProof/>
                <w:webHidden/>
              </w:rPr>
              <w:fldChar w:fldCharType="begin"/>
            </w:r>
            <w:r w:rsidR="00A21166">
              <w:rPr>
                <w:noProof/>
                <w:webHidden/>
              </w:rPr>
              <w:instrText xml:space="preserve"> PAGEREF _Toc68877766 \h </w:instrText>
            </w:r>
            <w:r w:rsidR="00A21166">
              <w:rPr>
                <w:noProof/>
                <w:webHidden/>
              </w:rPr>
            </w:r>
            <w:r w:rsidR="00A21166">
              <w:rPr>
                <w:noProof/>
                <w:webHidden/>
              </w:rPr>
              <w:fldChar w:fldCharType="separate"/>
            </w:r>
            <w:r w:rsidR="00A21166">
              <w:rPr>
                <w:noProof/>
                <w:webHidden/>
              </w:rPr>
              <w:t>14</w:t>
            </w:r>
            <w:r w:rsidR="00A21166">
              <w:rPr>
                <w:noProof/>
                <w:webHidden/>
              </w:rPr>
              <w:fldChar w:fldCharType="end"/>
            </w:r>
          </w:hyperlink>
        </w:p>
        <w:p w14:paraId="30585AB9" w14:textId="2A7720F9" w:rsidR="00A21166" w:rsidRDefault="00D462AA">
          <w:pPr>
            <w:pStyle w:val="TOC2"/>
            <w:tabs>
              <w:tab w:val="right" w:leader="dot" w:pos="9350"/>
            </w:tabs>
            <w:rPr>
              <w:rFonts w:cstheme="minorBidi"/>
              <w:noProof/>
            </w:rPr>
          </w:pPr>
          <w:hyperlink w:anchor="_Toc68877767" w:history="1">
            <w:r w:rsidR="00A21166" w:rsidRPr="00716A1F">
              <w:rPr>
                <w:rStyle w:val="Hyperlink"/>
                <w:rFonts w:ascii="Times New Roman" w:hAnsi="Times New Roman"/>
                <w:noProof/>
              </w:rPr>
              <w:t>Appendix Figure D5: Trends in Case Rates Comparing Treatment and Comparison Groups, Using Date of Actual City Re-opening</w:t>
            </w:r>
            <w:r w:rsidR="00A21166">
              <w:rPr>
                <w:noProof/>
                <w:webHidden/>
              </w:rPr>
              <w:tab/>
            </w:r>
            <w:r w:rsidR="00A21166">
              <w:rPr>
                <w:noProof/>
                <w:webHidden/>
              </w:rPr>
              <w:fldChar w:fldCharType="begin"/>
            </w:r>
            <w:r w:rsidR="00A21166">
              <w:rPr>
                <w:noProof/>
                <w:webHidden/>
              </w:rPr>
              <w:instrText xml:space="preserve"> PAGEREF _Toc68877767 \h </w:instrText>
            </w:r>
            <w:r w:rsidR="00A21166">
              <w:rPr>
                <w:noProof/>
                <w:webHidden/>
              </w:rPr>
            </w:r>
            <w:r w:rsidR="00A21166">
              <w:rPr>
                <w:noProof/>
                <w:webHidden/>
              </w:rPr>
              <w:fldChar w:fldCharType="separate"/>
            </w:r>
            <w:r w:rsidR="00A21166">
              <w:rPr>
                <w:noProof/>
                <w:webHidden/>
              </w:rPr>
              <w:t>15</w:t>
            </w:r>
            <w:r w:rsidR="00A21166">
              <w:rPr>
                <w:noProof/>
                <w:webHidden/>
              </w:rPr>
              <w:fldChar w:fldCharType="end"/>
            </w:r>
          </w:hyperlink>
        </w:p>
        <w:p w14:paraId="489D2A4C" w14:textId="7F110E7C" w:rsidR="00A21166" w:rsidRDefault="00D462AA">
          <w:pPr>
            <w:pStyle w:val="TOC2"/>
            <w:tabs>
              <w:tab w:val="right" w:leader="dot" w:pos="9350"/>
            </w:tabs>
            <w:rPr>
              <w:rFonts w:cstheme="minorBidi"/>
              <w:noProof/>
            </w:rPr>
          </w:pPr>
          <w:hyperlink w:anchor="_Toc68877768" w:history="1">
            <w:r w:rsidR="00A21166" w:rsidRPr="00716A1F">
              <w:rPr>
                <w:rStyle w:val="Hyperlink"/>
                <w:rFonts w:ascii="Times New Roman" w:hAnsi="Times New Roman"/>
                <w:noProof/>
              </w:rPr>
              <w:t>Appendix Figure D6: Trends in Death Rates Comparing Treatment and Comparison Groups</w:t>
            </w:r>
            <w:r w:rsidR="00A21166">
              <w:rPr>
                <w:noProof/>
                <w:webHidden/>
              </w:rPr>
              <w:tab/>
            </w:r>
            <w:r w:rsidR="00A21166">
              <w:rPr>
                <w:noProof/>
                <w:webHidden/>
              </w:rPr>
              <w:fldChar w:fldCharType="begin"/>
            </w:r>
            <w:r w:rsidR="00A21166">
              <w:rPr>
                <w:noProof/>
                <w:webHidden/>
              </w:rPr>
              <w:instrText xml:space="preserve"> PAGEREF _Toc68877768 \h </w:instrText>
            </w:r>
            <w:r w:rsidR="00A21166">
              <w:rPr>
                <w:noProof/>
                <w:webHidden/>
              </w:rPr>
            </w:r>
            <w:r w:rsidR="00A21166">
              <w:rPr>
                <w:noProof/>
                <w:webHidden/>
              </w:rPr>
              <w:fldChar w:fldCharType="separate"/>
            </w:r>
            <w:r w:rsidR="00A21166">
              <w:rPr>
                <w:noProof/>
                <w:webHidden/>
              </w:rPr>
              <w:t>16</w:t>
            </w:r>
            <w:r w:rsidR="00A21166">
              <w:rPr>
                <w:noProof/>
                <w:webHidden/>
              </w:rPr>
              <w:fldChar w:fldCharType="end"/>
            </w:r>
          </w:hyperlink>
        </w:p>
        <w:p w14:paraId="73AF2B5D" w14:textId="506C7D33" w:rsidR="00524B3C" w:rsidRDefault="00524B3C" w:rsidP="00524B3C">
          <w:r>
            <w:rPr>
              <w:b/>
              <w:bCs/>
              <w:noProof/>
            </w:rPr>
            <w:fldChar w:fldCharType="end"/>
          </w:r>
        </w:p>
      </w:sdtContent>
    </w:sdt>
    <w:p w14:paraId="221F7690" w14:textId="77777777" w:rsidR="00524B3C" w:rsidRPr="00E04B99" w:rsidRDefault="00524B3C" w:rsidP="00524B3C"/>
    <w:p w14:paraId="2C143BD2" w14:textId="77777777" w:rsidR="00524B3C" w:rsidRDefault="00524B3C" w:rsidP="00524B3C">
      <w:pPr>
        <w:rPr>
          <w:b/>
          <w:bCs/>
        </w:rPr>
      </w:pPr>
    </w:p>
    <w:p w14:paraId="1F47A209" w14:textId="77777777" w:rsidR="00524B3C" w:rsidRDefault="00524B3C" w:rsidP="00524B3C">
      <w:pPr>
        <w:rPr>
          <w:b/>
          <w:bCs/>
        </w:rPr>
      </w:pPr>
    </w:p>
    <w:p w14:paraId="5739E428" w14:textId="17442BD3" w:rsidR="00524B3C" w:rsidRPr="007132B8" w:rsidRDefault="00524B3C" w:rsidP="00524B3C">
      <w:pPr>
        <w:pStyle w:val="Heading1"/>
        <w:rPr>
          <w:rFonts w:ascii="Times New Roman" w:hAnsi="Times New Roman" w:cs="Times New Roman"/>
          <w:b/>
          <w:bCs/>
          <w:color w:val="auto"/>
          <w:sz w:val="24"/>
          <w:szCs w:val="24"/>
        </w:rPr>
      </w:pPr>
      <w:r>
        <w:rPr>
          <w:b/>
          <w:bCs/>
        </w:rPr>
        <w:br w:type="page"/>
      </w:r>
      <w:bookmarkStart w:id="0" w:name="_Toc68877753"/>
      <w:r w:rsidRPr="007132B8">
        <w:rPr>
          <w:rFonts w:ascii="Times New Roman" w:hAnsi="Times New Roman" w:cs="Times New Roman"/>
          <w:b/>
          <w:bCs/>
          <w:color w:val="auto"/>
          <w:sz w:val="24"/>
          <w:szCs w:val="24"/>
        </w:rPr>
        <w:lastRenderedPageBreak/>
        <w:t>Appendix A: Dates of Re-openings and Non-Pharmaceutical Interventions</w:t>
      </w:r>
      <w:bookmarkEnd w:id="0"/>
      <w:r w:rsidRPr="007132B8">
        <w:rPr>
          <w:rFonts w:ascii="Times New Roman" w:hAnsi="Times New Roman" w:cs="Times New Roman"/>
          <w:b/>
          <w:bCs/>
          <w:color w:val="auto"/>
          <w:sz w:val="24"/>
          <w:szCs w:val="24"/>
        </w:rPr>
        <w:t xml:space="preserve"> </w:t>
      </w:r>
    </w:p>
    <w:p w14:paraId="62F2C518" w14:textId="77777777" w:rsidR="005E61B9" w:rsidRPr="005E61B9" w:rsidRDefault="005E61B9" w:rsidP="005E61B9"/>
    <w:p w14:paraId="79B6A516" w14:textId="7CE22D8B" w:rsidR="00563929" w:rsidRPr="000858EF" w:rsidRDefault="00876F6F" w:rsidP="00F63836">
      <w:pPr>
        <w:pStyle w:val="Heading2"/>
        <w:rPr>
          <w:color w:val="auto"/>
        </w:rPr>
      </w:pPr>
      <w:bookmarkStart w:id="1" w:name="_Toc68877754"/>
      <w:r w:rsidRPr="000858EF">
        <w:rPr>
          <w:rFonts w:ascii="Times New Roman" w:hAnsi="Times New Roman" w:cs="Times New Roman"/>
          <w:color w:val="auto"/>
          <w:sz w:val="24"/>
          <w:szCs w:val="24"/>
        </w:rPr>
        <w:t xml:space="preserve">Appendix </w:t>
      </w:r>
      <w:r w:rsidR="00772C8D">
        <w:rPr>
          <w:rFonts w:ascii="Times New Roman" w:hAnsi="Times New Roman" w:cs="Times New Roman"/>
          <w:color w:val="auto"/>
          <w:sz w:val="24"/>
          <w:szCs w:val="24"/>
        </w:rPr>
        <w:t xml:space="preserve">Figure </w:t>
      </w:r>
      <w:r w:rsidRPr="000858EF">
        <w:rPr>
          <w:rFonts w:ascii="Times New Roman" w:hAnsi="Times New Roman" w:cs="Times New Roman"/>
          <w:color w:val="auto"/>
          <w:sz w:val="24"/>
          <w:szCs w:val="24"/>
        </w:rPr>
        <w:t xml:space="preserve">A1. </w:t>
      </w:r>
      <w:r w:rsidR="00563929" w:rsidRPr="000858EF">
        <w:rPr>
          <w:rFonts w:ascii="Times New Roman" w:hAnsi="Times New Roman" w:cs="Times New Roman"/>
          <w:color w:val="auto"/>
          <w:sz w:val="24"/>
          <w:szCs w:val="24"/>
        </w:rPr>
        <w:t>City and State Re-openings and Rolling 7-Day Average Case Rates</w:t>
      </w:r>
      <w:bookmarkEnd w:id="1"/>
    </w:p>
    <w:p w14:paraId="5FC9D99F" w14:textId="0941F9BD" w:rsidR="00E82298" w:rsidRDefault="00E82298" w:rsidP="00524B3C">
      <w:r w:rsidRPr="00E82298">
        <w:rPr>
          <w:noProof/>
        </w:rPr>
        <w:drawing>
          <wp:inline distT="0" distB="0" distL="0" distR="0" wp14:anchorId="43168A32" wp14:editId="6696D9D2">
            <wp:extent cx="5943600" cy="5943600"/>
            <wp:effectExtent l="12700" t="1270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943600"/>
                    </a:xfrm>
                    <a:prstGeom prst="rect">
                      <a:avLst/>
                    </a:prstGeom>
                    <a:ln>
                      <a:solidFill>
                        <a:schemeClr val="tx1"/>
                      </a:solidFill>
                    </a:ln>
                  </pic:spPr>
                </pic:pic>
              </a:graphicData>
            </a:graphic>
          </wp:inline>
        </w:drawing>
      </w:r>
    </w:p>
    <w:p w14:paraId="2F32584D" w14:textId="222425C6" w:rsidR="00876F6F" w:rsidRDefault="00E82298" w:rsidP="00524B3C">
      <w:r>
        <w:t>G</w:t>
      </w:r>
      <w:r w:rsidRPr="00E82298">
        <w:t>rey vertical line indicates date when cities closed dining, black vertical line indicates date when state allowed reopening or required re-opening (in comparison cities), red vertical line indicates actual city re-opening in treatment cities (</w:t>
      </w:r>
      <w:proofErr w:type="gramStart"/>
      <w:r w:rsidRPr="00E82298">
        <w:t>i.e.</w:t>
      </w:r>
      <w:proofErr w:type="gramEnd"/>
      <w:r w:rsidRPr="00E82298">
        <w:t xml:space="preserve"> cities that were allowed to keep indoor dining closed).</w:t>
      </w:r>
    </w:p>
    <w:p w14:paraId="248C4BCE" w14:textId="77777777" w:rsidR="00876F6F" w:rsidRDefault="00876F6F" w:rsidP="00524B3C"/>
    <w:p w14:paraId="0F3CEBC4" w14:textId="77777777" w:rsidR="00F63836" w:rsidRDefault="00F63836">
      <w:pPr>
        <w:spacing w:after="160" w:line="259" w:lineRule="auto"/>
        <w:rPr>
          <w:rFonts w:eastAsiaTheme="majorEastAsia"/>
        </w:rPr>
      </w:pPr>
      <w:r>
        <w:br w:type="page"/>
      </w:r>
    </w:p>
    <w:p w14:paraId="16801F82" w14:textId="6CC504FC" w:rsidR="00524B3C" w:rsidRPr="007132B8" w:rsidRDefault="00524B3C" w:rsidP="00524B3C">
      <w:pPr>
        <w:pStyle w:val="Heading2"/>
        <w:rPr>
          <w:rFonts w:ascii="Times New Roman" w:hAnsi="Times New Roman" w:cs="Times New Roman"/>
          <w:color w:val="auto"/>
          <w:sz w:val="24"/>
          <w:szCs w:val="24"/>
        </w:rPr>
      </w:pPr>
      <w:bookmarkStart w:id="2" w:name="_Toc68877755"/>
      <w:r w:rsidRPr="007132B8">
        <w:rPr>
          <w:rFonts w:ascii="Times New Roman" w:hAnsi="Times New Roman" w:cs="Times New Roman"/>
          <w:color w:val="auto"/>
          <w:sz w:val="24"/>
          <w:szCs w:val="24"/>
        </w:rPr>
        <w:lastRenderedPageBreak/>
        <w:t>Appendix</w:t>
      </w:r>
      <w:r w:rsidR="00772C8D">
        <w:rPr>
          <w:rFonts w:ascii="Times New Roman" w:hAnsi="Times New Roman" w:cs="Times New Roman"/>
          <w:color w:val="auto"/>
          <w:sz w:val="24"/>
          <w:szCs w:val="24"/>
        </w:rPr>
        <w:t xml:space="preserve"> Table</w:t>
      </w:r>
      <w:r w:rsidRPr="007132B8">
        <w:rPr>
          <w:rFonts w:ascii="Times New Roman" w:hAnsi="Times New Roman" w:cs="Times New Roman"/>
          <w:color w:val="auto"/>
          <w:sz w:val="24"/>
          <w:szCs w:val="24"/>
        </w:rPr>
        <w:t xml:space="preserve"> A</w:t>
      </w:r>
      <w:r w:rsidR="00E82298">
        <w:rPr>
          <w:rFonts w:ascii="Times New Roman" w:hAnsi="Times New Roman" w:cs="Times New Roman"/>
          <w:color w:val="auto"/>
          <w:sz w:val="24"/>
          <w:szCs w:val="24"/>
        </w:rPr>
        <w:t>2</w:t>
      </w:r>
      <w:r w:rsidRPr="007132B8">
        <w:rPr>
          <w:rFonts w:ascii="Times New Roman" w:hAnsi="Times New Roman" w:cs="Times New Roman"/>
          <w:color w:val="auto"/>
          <w:sz w:val="24"/>
          <w:szCs w:val="24"/>
        </w:rPr>
        <w:t>. City and</w:t>
      </w:r>
      <w:r>
        <w:rPr>
          <w:rFonts w:ascii="Times New Roman" w:hAnsi="Times New Roman" w:cs="Times New Roman"/>
          <w:color w:val="auto"/>
          <w:sz w:val="24"/>
          <w:szCs w:val="24"/>
        </w:rPr>
        <w:t xml:space="preserve"> State</w:t>
      </w:r>
      <w:r w:rsidRPr="007132B8">
        <w:rPr>
          <w:rFonts w:ascii="Times New Roman" w:hAnsi="Times New Roman" w:cs="Times New Roman"/>
          <w:color w:val="auto"/>
          <w:sz w:val="24"/>
          <w:szCs w:val="24"/>
        </w:rPr>
        <w:t xml:space="preserve"> Re</w:t>
      </w:r>
      <w:r>
        <w:rPr>
          <w:rFonts w:ascii="Times New Roman" w:hAnsi="Times New Roman" w:cs="Times New Roman"/>
          <w:color w:val="auto"/>
          <w:sz w:val="24"/>
          <w:szCs w:val="24"/>
        </w:rPr>
        <w:t>-</w:t>
      </w:r>
      <w:r w:rsidRPr="007132B8">
        <w:rPr>
          <w:rFonts w:ascii="Times New Roman" w:hAnsi="Times New Roman" w:cs="Times New Roman"/>
          <w:color w:val="auto"/>
          <w:sz w:val="24"/>
          <w:szCs w:val="24"/>
        </w:rPr>
        <w:t>opening Indoor Dining Dates</w:t>
      </w:r>
      <w:bookmarkEnd w:id="2"/>
    </w:p>
    <w:tbl>
      <w:tblPr>
        <w:tblW w:w="9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2"/>
        <w:gridCol w:w="1440"/>
        <w:gridCol w:w="1620"/>
        <w:gridCol w:w="1620"/>
        <w:gridCol w:w="1620"/>
        <w:gridCol w:w="1620"/>
      </w:tblGrid>
      <w:tr w:rsidR="00EB53AF" w:rsidRPr="00900AFD" w14:paraId="3A82E107" w14:textId="77777777" w:rsidTr="00160EC5">
        <w:trPr>
          <w:trHeight w:val="342"/>
        </w:trPr>
        <w:tc>
          <w:tcPr>
            <w:tcW w:w="9442" w:type="dxa"/>
            <w:gridSpan w:val="6"/>
            <w:tcBorders>
              <w:top w:val="nil"/>
              <w:left w:val="single" w:sz="6" w:space="0" w:color="000000"/>
              <w:bottom w:val="single" w:sz="6" w:space="0" w:color="000000"/>
              <w:right w:val="single" w:sz="6" w:space="0" w:color="000000"/>
            </w:tcBorders>
            <w:shd w:val="clear" w:color="auto" w:fill="1F3864" w:themeFill="accent1" w:themeFillShade="80"/>
          </w:tcPr>
          <w:p w14:paraId="4C458662" w14:textId="77777777" w:rsidR="00EB53AF" w:rsidRPr="0067034D" w:rsidRDefault="00EB53AF" w:rsidP="00C83046">
            <w:pPr>
              <w:jc w:val="center"/>
              <w:textAlignment w:val="baseline"/>
              <w:rPr>
                <w:rFonts w:asciiTheme="minorHAnsi" w:hAnsiTheme="minorHAnsi"/>
                <w:b/>
                <w:bCs/>
                <w:color w:val="FFFFFF" w:themeColor="background1"/>
                <w:sz w:val="22"/>
                <w:szCs w:val="22"/>
              </w:rPr>
            </w:pPr>
            <w:r w:rsidRPr="0067034D">
              <w:rPr>
                <w:rFonts w:asciiTheme="minorHAnsi" w:hAnsiTheme="minorHAnsi"/>
                <w:b/>
                <w:bCs/>
                <w:color w:val="FFFFFF" w:themeColor="background1"/>
                <w:sz w:val="22"/>
                <w:szCs w:val="22"/>
              </w:rPr>
              <w:t>City and State NPIs-Reopening Indoor Dining and Resuming In-Person Classes</w:t>
            </w:r>
            <w:r w:rsidRPr="0067034D">
              <w:rPr>
                <w:rFonts w:asciiTheme="minorHAnsi" w:hAnsiTheme="minorHAnsi"/>
                <w:color w:val="FFFFFF" w:themeColor="background1"/>
                <w:sz w:val="22"/>
                <w:szCs w:val="22"/>
              </w:rPr>
              <w:t> </w:t>
            </w:r>
          </w:p>
        </w:tc>
      </w:tr>
      <w:tr w:rsidR="00EB53AF" w:rsidRPr="00900AFD" w14:paraId="0F8A6E1A" w14:textId="77777777" w:rsidTr="00160EC5">
        <w:trPr>
          <w:trHeight w:val="600"/>
        </w:trPr>
        <w:tc>
          <w:tcPr>
            <w:tcW w:w="1522" w:type="dxa"/>
            <w:tcBorders>
              <w:top w:val="nil"/>
              <w:left w:val="single" w:sz="6" w:space="0" w:color="000000"/>
              <w:bottom w:val="single" w:sz="6" w:space="0" w:color="000000"/>
              <w:right w:val="single" w:sz="6" w:space="0" w:color="000000"/>
            </w:tcBorders>
            <w:shd w:val="clear" w:color="auto" w:fill="D5DCE4"/>
            <w:vAlign w:val="center"/>
            <w:hideMark/>
          </w:tcPr>
          <w:p w14:paraId="49FF8C14" w14:textId="77777777" w:rsidR="00EB53AF" w:rsidRPr="0067034D" w:rsidRDefault="00EB53AF" w:rsidP="00C83046">
            <w:pPr>
              <w:jc w:val="center"/>
              <w:textAlignment w:val="baseline"/>
              <w:rPr>
                <w:rFonts w:asciiTheme="minorHAnsi" w:hAnsiTheme="minorHAnsi"/>
                <w:sz w:val="22"/>
                <w:szCs w:val="22"/>
              </w:rPr>
            </w:pPr>
            <w:r w:rsidRPr="0067034D">
              <w:rPr>
                <w:rFonts w:asciiTheme="minorHAnsi" w:hAnsiTheme="minorHAnsi"/>
                <w:b/>
                <w:bCs/>
                <w:sz w:val="22"/>
                <w:szCs w:val="22"/>
              </w:rPr>
              <w:t>Group</w:t>
            </w:r>
          </w:p>
        </w:tc>
        <w:tc>
          <w:tcPr>
            <w:tcW w:w="1440" w:type="dxa"/>
            <w:tcBorders>
              <w:top w:val="nil"/>
              <w:left w:val="nil"/>
              <w:bottom w:val="single" w:sz="6" w:space="0" w:color="000000"/>
              <w:right w:val="single" w:sz="6" w:space="0" w:color="000000"/>
            </w:tcBorders>
            <w:shd w:val="clear" w:color="auto" w:fill="D5DCE4"/>
            <w:vAlign w:val="center"/>
            <w:hideMark/>
          </w:tcPr>
          <w:p w14:paraId="6BADC07E" w14:textId="77777777" w:rsidR="00EB53AF" w:rsidRPr="0067034D" w:rsidRDefault="00EB53AF" w:rsidP="00C83046">
            <w:pPr>
              <w:jc w:val="center"/>
              <w:textAlignment w:val="baseline"/>
              <w:rPr>
                <w:rFonts w:asciiTheme="minorHAnsi" w:hAnsiTheme="minorHAnsi"/>
                <w:sz w:val="22"/>
                <w:szCs w:val="22"/>
              </w:rPr>
            </w:pPr>
            <w:r w:rsidRPr="0067034D">
              <w:rPr>
                <w:rFonts w:asciiTheme="minorHAnsi" w:hAnsiTheme="minorHAnsi"/>
                <w:b/>
                <w:bCs/>
                <w:sz w:val="22"/>
                <w:szCs w:val="22"/>
              </w:rPr>
              <w:t>State</w:t>
            </w:r>
          </w:p>
        </w:tc>
        <w:tc>
          <w:tcPr>
            <w:tcW w:w="1620" w:type="dxa"/>
            <w:tcBorders>
              <w:top w:val="nil"/>
              <w:left w:val="nil"/>
              <w:bottom w:val="single" w:sz="6" w:space="0" w:color="000000"/>
              <w:right w:val="single" w:sz="6" w:space="0" w:color="000000"/>
            </w:tcBorders>
            <w:shd w:val="clear" w:color="auto" w:fill="D5DCE4"/>
            <w:vAlign w:val="center"/>
            <w:hideMark/>
          </w:tcPr>
          <w:p w14:paraId="03BE8AD4" w14:textId="77777777" w:rsidR="00EB53AF" w:rsidRPr="0067034D" w:rsidRDefault="00EB53AF" w:rsidP="00C83046">
            <w:pPr>
              <w:jc w:val="center"/>
              <w:textAlignment w:val="baseline"/>
              <w:rPr>
                <w:rFonts w:asciiTheme="minorHAnsi" w:hAnsiTheme="minorHAnsi"/>
                <w:sz w:val="22"/>
                <w:szCs w:val="22"/>
              </w:rPr>
            </w:pPr>
            <w:r w:rsidRPr="0067034D">
              <w:rPr>
                <w:rFonts w:asciiTheme="minorHAnsi" w:hAnsiTheme="minorHAnsi"/>
                <w:b/>
                <w:bCs/>
                <w:sz w:val="22"/>
                <w:szCs w:val="22"/>
              </w:rPr>
              <w:t>City</w:t>
            </w:r>
          </w:p>
        </w:tc>
        <w:tc>
          <w:tcPr>
            <w:tcW w:w="1620" w:type="dxa"/>
            <w:tcBorders>
              <w:top w:val="nil"/>
              <w:left w:val="nil"/>
              <w:bottom w:val="single" w:sz="6" w:space="0" w:color="000000"/>
              <w:right w:val="single" w:sz="4" w:space="0" w:color="auto"/>
            </w:tcBorders>
            <w:shd w:val="clear" w:color="auto" w:fill="D5DCE4"/>
            <w:vAlign w:val="center"/>
          </w:tcPr>
          <w:p w14:paraId="3FE08D9B" w14:textId="77777777" w:rsidR="00EB53AF" w:rsidRPr="0067034D" w:rsidRDefault="00EB53AF" w:rsidP="00C83046">
            <w:pPr>
              <w:jc w:val="center"/>
              <w:textAlignment w:val="baseline"/>
              <w:rPr>
                <w:rFonts w:asciiTheme="minorHAnsi" w:hAnsiTheme="minorHAnsi"/>
                <w:b/>
                <w:bCs/>
                <w:sz w:val="22"/>
                <w:szCs w:val="22"/>
              </w:rPr>
            </w:pPr>
            <w:r w:rsidRPr="0067034D">
              <w:rPr>
                <w:rFonts w:asciiTheme="minorHAnsi" w:hAnsiTheme="minorHAnsi"/>
                <w:b/>
                <w:bCs/>
                <w:sz w:val="22"/>
                <w:szCs w:val="22"/>
              </w:rPr>
              <w:t>County</w:t>
            </w:r>
          </w:p>
        </w:tc>
        <w:tc>
          <w:tcPr>
            <w:tcW w:w="1620" w:type="dxa"/>
            <w:tcBorders>
              <w:top w:val="nil"/>
              <w:left w:val="single" w:sz="4" w:space="0" w:color="auto"/>
              <w:bottom w:val="single" w:sz="6" w:space="0" w:color="000000"/>
              <w:right w:val="single" w:sz="6" w:space="0" w:color="000000"/>
            </w:tcBorders>
            <w:shd w:val="clear" w:color="auto" w:fill="D5DCE4"/>
            <w:vAlign w:val="center"/>
            <w:hideMark/>
          </w:tcPr>
          <w:p w14:paraId="24A53BB1" w14:textId="77777777" w:rsidR="00EB53AF" w:rsidRPr="0067034D" w:rsidRDefault="00EB53AF" w:rsidP="00C83046">
            <w:pPr>
              <w:jc w:val="center"/>
              <w:textAlignment w:val="baseline"/>
              <w:rPr>
                <w:rFonts w:asciiTheme="minorHAnsi" w:hAnsiTheme="minorHAnsi"/>
                <w:sz w:val="22"/>
                <w:szCs w:val="22"/>
              </w:rPr>
            </w:pPr>
            <w:r w:rsidRPr="0067034D">
              <w:rPr>
                <w:rFonts w:asciiTheme="minorHAnsi" w:hAnsiTheme="minorHAnsi"/>
                <w:b/>
                <w:bCs/>
                <w:sz w:val="22"/>
                <w:szCs w:val="22"/>
              </w:rPr>
              <w:t>Indoor Dining Reopen Date-State/Allowed by State</w:t>
            </w:r>
          </w:p>
        </w:tc>
        <w:tc>
          <w:tcPr>
            <w:tcW w:w="1620" w:type="dxa"/>
            <w:tcBorders>
              <w:top w:val="nil"/>
              <w:left w:val="nil"/>
              <w:bottom w:val="single" w:sz="6" w:space="0" w:color="000000"/>
              <w:right w:val="single" w:sz="6" w:space="0" w:color="000000"/>
            </w:tcBorders>
            <w:shd w:val="clear" w:color="auto" w:fill="D5DCE4"/>
            <w:vAlign w:val="center"/>
            <w:hideMark/>
          </w:tcPr>
          <w:p w14:paraId="71EFBA9B" w14:textId="77777777" w:rsidR="00EB53AF" w:rsidRPr="0067034D" w:rsidRDefault="00EB53AF" w:rsidP="00C83046">
            <w:pPr>
              <w:jc w:val="center"/>
              <w:textAlignment w:val="baseline"/>
              <w:rPr>
                <w:rFonts w:asciiTheme="minorHAnsi" w:hAnsiTheme="minorHAnsi"/>
                <w:sz w:val="22"/>
                <w:szCs w:val="22"/>
              </w:rPr>
            </w:pPr>
            <w:r w:rsidRPr="0067034D">
              <w:rPr>
                <w:rFonts w:asciiTheme="minorHAnsi" w:hAnsiTheme="minorHAnsi"/>
                <w:b/>
                <w:bCs/>
                <w:sz w:val="22"/>
                <w:szCs w:val="22"/>
              </w:rPr>
              <w:t>Indoor Dining Reopen Date-City</w:t>
            </w:r>
          </w:p>
        </w:tc>
      </w:tr>
      <w:tr w:rsidR="00EB53AF" w:rsidRPr="00900AFD" w14:paraId="7E0928EA" w14:textId="77777777" w:rsidTr="00160EC5">
        <w:tc>
          <w:tcPr>
            <w:tcW w:w="1522" w:type="dxa"/>
            <w:tcBorders>
              <w:top w:val="nil"/>
              <w:left w:val="single" w:sz="6" w:space="0" w:color="000000"/>
              <w:bottom w:val="single" w:sz="6" w:space="0" w:color="000000"/>
              <w:right w:val="single" w:sz="6" w:space="0" w:color="000000"/>
            </w:tcBorders>
            <w:shd w:val="clear" w:color="auto" w:fill="auto"/>
            <w:vAlign w:val="center"/>
            <w:hideMark/>
          </w:tcPr>
          <w:p w14:paraId="4CAE8FBF" w14:textId="77777777" w:rsidR="00EB53AF" w:rsidRPr="00A7419D" w:rsidRDefault="00EB53AF" w:rsidP="00C83046">
            <w:pPr>
              <w:jc w:val="center"/>
              <w:textAlignment w:val="baseline"/>
              <w:rPr>
                <w:sz w:val="22"/>
                <w:szCs w:val="22"/>
              </w:rPr>
            </w:pPr>
            <w:r w:rsidRPr="00A7419D">
              <w:rPr>
                <w:color w:val="FF0000"/>
                <w:sz w:val="22"/>
                <w:szCs w:val="22"/>
              </w:rPr>
              <w:t>Treatment </w:t>
            </w:r>
          </w:p>
        </w:tc>
        <w:tc>
          <w:tcPr>
            <w:tcW w:w="1440" w:type="dxa"/>
            <w:tcBorders>
              <w:top w:val="nil"/>
              <w:left w:val="nil"/>
              <w:bottom w:val="single" w:sz="6" w:space="0" w:color="000000"/>
              <w:right w:val="single" w:sz="6" w:space="0" w:color="000000"/>
            </w:tcBorders>
            <w:shd w:val="clear" w:color="auto" w:fill="auto"/>
            <w:vAlign w:val="center"/>
            <w:hideMark/>
          </w:tcPr>
          <w:p w14:paraId="5FCD63FB" w14:textId="77777777" w:rsidR="00EB53AF" w:rsidRPr="00A7419D" w:rsidRDefault="00EB53AF" w:rsidP="00C83046">
            <w:pPr>
              <w:jc w:val="center"/>
              <w:textAlignment w:val="baseline"/>
              <w:rPr>
                <w:sz w:val="22"/>
                <w:szCs w:val="22"/>
              </w:rPr>
            </w:pPr>
            <w:r w:rsidRPr="00A7419D">
              <w:rPr>
                <w:sz w:val="22"/>
                <w:szCs w:val="22"/>
              </w:rPr>
              <w:t>California </w:t>
            </w:r>
          </w:p>
        </w:tc>
        <w:tc>
          <w:tcPr>
            <w:tcW w:w="1620" w:type="dxa"/>
            <w:tcBorders>
              <w:top w:val="nil"/>
              <w:left w:val="nil"/>
              <w:bottom w:val="single" w:sz="6" w:space="0" w:color="000000"/>
              <w:right w:val="single" w:sz="6" w:space="0" w:color="000000"/>
            </w:tcBorders>
            <w:shd w:val="clear" w:color="auto" w:fill="auto"/>
            <w:vAlign w:val="center"/>
            <w:hideMark/>
          </w:tcPr>
          <w:p w14:paraId="65818CF7" w14:textId="77777777" w:rsidR="00EB53AF" w:rsidRPr="00A7419D" w:rsidRDefault="00EB53AF" w:rsidP="00C83046">
            <w:pPr>
              <w:jc w:val="center"/>
              <w:textAlignment w:val="baseline"/>
              <w:rPr>
                <w:sz w:val="22"/>
                <w:szCs w:val="22"/>
              </w:rPr>
            </w:pPr>
            <w:r w:rsidRPr="00A7419D">
              <w:rPr>
                <w:sz w:val="22"/>
                <w:szCs w:val="22"/>
              </w:rPr>
              <w:t>San Francisco*  </w:t>
            </w:r>
          </w:p>
        </w:tc>
        <w:tc>
          <w:tcPr>
            <w:tcW w:w="1620" w:type="dxa"/>
            <w:tcBorders>
              <w:top w:val="single" w:sz="6" w:space="0" w:color="000000"/>
              <w:left w:val="nil"/>
              <w:bottom w:val="single" w:sz="6" w:space="0" w:color="000000"/>
              <w:right w:val="single" w:sz="4" w:space="0" w:color="auto"/>
            </w:tcBorders>
          </w:tcPr>
          <w:p w14:paraId="3609D871" w14:textId="77777777" w:rsidR="00EB53AF" w:rsidRPr="00A7419D" w:rsidRDefault="00EB53AF" w:rsidP="00C83046">
            <w:pPr>
              <w:jc w:val="center"/>
              <w:textAlignment w:val="baseline"/>
              <w:rPr>
                <w:sz w:val="22"/>
                <w:szCs w:val="22"/>
              </w:rPr>
            </w:pPr>
            <w:r w:rsidRPr="00A7419D">
              <w:rPr>
                <w:sz w:val="22"/>
                <w:szCs w:val="22"/>
              </w:rPr>
              <w:t>San Francisco</w:t>
            </w:r>
          </w:p>
        </w:tc>
        <w:tc>
          <w:tcPr>
            <w:tcW w:w="1620" w:type="dxa"/>
            <w:tcBorders>
              <w:top w:val="nil"/>
              <w:left w:val="single" w:sz="4" w:space="0" w:color="auto"/>
              <w:bottom w:val="single" w:sz="6" w:space="0" w:color="000000"/>
              <w:right w:val="single" w:sz="6" w:space="0" w:color="000000"/>
            </w:tcBorders>
            <w:shd w:val="clear" w:color="auto" w:fill="auto"/>
            <w:vAlign w:val="center"/>
            <w:hideMark/>
          </w:tcPr>
          <w:p w14:paraId="32C1326E" w14:textId="77777777" w:rsidR="00EB53AF" w:rsidRPr="00A7419D" w:rsidRDefault="00EB53AF" w:rsidP="00C83046">
            <w:pPr>
              <w:jc w:val="center"/>
              <w:textAlignment w:val="baseline"/>
              <w:rPr>
                <w:sz w:val="22"/>
                <w:szCs w:val="22"/>
              </w:rPr>
            </w:pPr>
            <w:r w:rsidRPr="00A7419D">
              <w:rPr>
                <w:sz w:val="22"/>
                <w:szCs w:val="22"/>
              </w:rPr>
              <w:t>8/31/2020 </w:t>
            </w:r>
          </w:p>
        </w:tc>
        <w:tc>
          <w:tcPr>
            <w:tcW w:w="1620" w:type="dxa"/>
            <w:tcBorders>
              <w:top w:val="nil"/>
              <w:left w:val="nil"/>
              <w:bottom w:val="single" w:sz="6" w:space="0" w:color="000000"/>
              <w:right w:val="single" w:sz="6" w:space="0" w:color="000000"/>
            </w:tcBorders>
            <w:shd w:val="clear" w:color="auto" w:fill="auto"/>
            <w:vAlign w:val="center"/>
            <w:hideMark/>
          </w:tcPr>
          <w:p w14:paraId="38B87576" w14:textId="77CDBC2D" w:rsidR="00EB53AF" w:rsidRPr="00A7419D" w:rsidRDefault="00EB53AF" w:rsidP="00EB53AF">
            <w:pPr>
              <w:jc w:val="center"/>
              <w:textAlignment w:val="baseline"/>
              <w:rPr>
                <w:sz w:val="22"/>
                <w:szCs w:val="22"/>
              </w:rPr>
            </w:pPr>
            <w:r w:rsidRPr="00A7419D">
              <w:rPr>
                <w:sz w:val="22"/>
                <w:szCs w:val="22"/>
              </w:rPr>
              <w:t>9/30/2020</w:t>
            </w:r>
          </w:p>
        </w:tc>
      </w:tr>
      <w:tr w:rsidR="00EB53AF" w:rsidRPr="00900AFD" w14:paraId="02D2D289" w14:textId="77777777" w:rsidTr="00160EC5">
        <w:tc>
          <w:tcPr>
            <w:tcW w:w="1522" w:type="dxa"/>
            <w:tcBorders>
              <w:top w:val="nil"/>
              <w:left w:val="single" w:sz="6" w:space="0" w:color="000000"/>
              <w:bottom w:val="single" w:sz="6" w:space="0" w:color="000000"/>
              <w:right w:val="single" w:sz="6" w:space="0" w:color="000000"/>
            </w:tcBorders>
            <w:shd w:val="clear" w:color="auto" w:fill="auto"/>
            <w:vAlign w:val="center"/>
            <w:hideMark/>
          </w:tcPr>
          <w:p w14:paraId="4073A69F" w14:textId="77777777" w:rsidR="00EB53AF" w:rsidRPr="00A7419D" w:rsidRDefault="00EB53AF" w:rsidP="00C83046">
            <w:pPr>
              <w:jc w:val="center"/>
              <w:textAlignment w:val="baseline"/>
              <w:rPr>
                <w:sz w:val="22"/>
                <w:szCs w:val="22"/>
              </w:rPr>
            </w:pPr>
            <w:r w:rsidRPr="00A7419D">
              <w:rPr>
                <w:color w:val="FF0000"/>
                <w:sz w:val="22"/>
                <w:szCs w:val="22"/>
              </w:rPr>
              <w:t>Treatment </w:t>
            </w:r>
          </w:p>
        </w:tc>
        <w:tc>
          <w:tcPr>
            <w:tcW w:w="1440" w:type="dxa"/>
            <w:tcBorders>
              <w:top w:val="nil"/>
              <w:left w:val="nil"/>
              <w:bottom w:val="single" w:sz="6" w:space="0" w:color="000000"/>
              <w:right w:val="single" w:sz="6" w:space="0" w:color="000000"/>
            </w:tcBorders>
            <w:shd w:val="clear" w:color="auto" w:fill="auto"/>
            <w:vAlign w:val="center"/>
            <w:hideMark/>
          </w:tcPr>
          <w:p w14:paraId="2FCC074A" w14:textId="77777777" w:rsidR="00EB53AF" w:rsidRPr="00A7419D" w:rsidRDefault="00EB53AF" w:rsidP="00C83046">
            <w:pPr>
              <w:jc w:val="center"/>
              <w:textAlignment w:val="baseline"/>
              <w:rPr>
                <w:sz w:val="22"/>
                <w:szCs w:val="22"/>
              </w:rPr>
            </w:pPr>
            <w:r w:rsidRPr="00A7419D">
              <w:rPr>
                <w:sz w:val="22"/>
                <w:szCs w:val="22"/>
              </w:rPr>
              <w:t>Indiana </w:t>
            </w:r>
          </w:p>
        </w:tc>
        <w:tc>
          <w:tcPr>
            <w:tcW w:w="1620" w:type="dxa"/>
            <w:tcBorders>
              <w:top w:val="nil"/>
              <w:left w:val="nil"/>
              <w:bottom w:val="single" w:sz="6" w:space="0" w:color="000000"/>
              <w:right w:val="single" w:sz="6" w:space="0" w:color="000000"/>
            </w:tcBorders>
            <w:shd w:val="clear" w:color="auto" w:fill="auto"/>
            <w:vAlign w:val="center"/>
            <w:hideMark/>
          </w:tcPr>
          <w:p w14:paraId="41408071" w14:textId="77777777" w:rsidR="00EB53AF" w:rsidRPr="00A7419D" w:rsidRDefault="00EB53AF" w:rsidP="00C83046">
            <w:pPr>
              <w:jc w:val="center"/>
              <w:textAlignment w:val="baseline"/>
              <w:rPr>
                <w:sz w:val="22"/>
                <w:szCs w:val="22"/>
              </w:rPr>
            </w:pPr>
            <w:r w:rsidRPr="00A7419D">
              <w:rPr>
                <w:sz w:val="22"/>
                <w:szCs w:val="22"/>
              </w:rPr>
              <w:t>Indianapolis* </w:t>
            </w:r>
          </w:p>
        </w:tc>
        <w:tc>
          <w:tcPr>
            <w:tcW w:w="1620" w:type="dxa"/>
            <w:tcBorders>
              <w:top w:val="single" w:sz="6" w:space="0" w:color="000000"/>
              <w:left w:val="nil"/>
              <w:bottom w:val="single" w:sz="6" w:space="0" w:color="000000"/>
              <w:right w:val="single" w:sz="4" w:space="0" w:color="auto"/>
            </w:tcBorders>
          </w:tcPr>
          <w:p w14:paraId="628C51BB" w14:textId="77777777" w:rsidR="00EB53AF" w:rsidRPr="00A7419D" w:rsidRDefault="00EB53AF" w:rsidP="00C83046">
            <w:pPr>
              <w:jc w:val="center"/>
              <w:textAlignment w:val="baseline"/>
              <w:rPr>
                <w:sz w:val="22"/>
                <w:szCs w:val="22"/>
              </w:rPr>
            </w:pPr>
            <w:r w:rsidRPr="00A7419D">
              <w:rPr>
                <w:sz w:val="22"/>
                <w:szCs w:val="22"/>
              </w:rPr>
              <w:t>Marion</w:t>
            </w:r>
          </w:p>
        </w:tc>
        <w:tc>
          <w:tcPr>
            <w:tcW w:w="1620" w:type="dxa"/>
            <w:tcBorders>
              <w:top w:val="nil"/>
              <w:left w:val="single" w:sz="4" w:space="0" w:color="auto"/>
              <w:bottom w:val="single" w:sz="6" w:space="0" w:color="000000"/>
              <w:right w:val="single" w:sz="6" w:space="0" w:color="000000"/>
            </w:tcBorders>
            <w:shd w:val="clear" w:color="auto" w:fill="auto"/>
            <w:vAlign w:val="center"/>
            <w:hideMark/>
          </w:tcPr>
          <w:p w14:paraId="3C28553D" w14:textId="77777777" w:rsidR="00EB53AF" w:rsidRPr="00A7419D" w:rsidRDefault="00EB53AF" w:rsidP="00C83046">
            <w:pPr>
              <w:jc w:val="center"/>
              <w:textAlignment w:val="baseline"/>
              <w:rPr>
                <w:sz w:val="22"/>
                <w:szCs w:val="22"/>
              </w:rPr>
            </w:pPr>
            <w:r w:rsidRPr="00A7419D">
              <w:rPr>
                <w:sz w:val="22"/>
                <w:szCs w:val="22"/>
              </w:rPr>
              <w:t>5/11/2020 </w:t>
            </w:r>
          </w:p>
        </w:tc>
        <w:tc>
          <w:tcPr>
            <w:tcW w:w="1620" w:type="dxa"/>
            <w:tcBorders>
              <w:top w:val="nil"/>
              <w:left w:val="nil"/>
              <w:bottom w:val="single" w:sz="6" w:space="0" w:color="000000"/>
              <w:right w:val="single" w:sz="6" w:space="0" w:color="000000"/>
            </w:tcBorders>
            <w:shd w:val="clear" w:color="auto" w:fill="auto"/>
            <w:vAlign w:val="center"/>
            <w:hideMark/>
          </w:tcPr>
          <w:p w14:paraId="725AEAFC" w14:textId="2AB8FAE4" w:rsidR="00EB53AF" w:rsidRPr="00A7419D" w:rsidRDefault="00EB53AF" w:rsidP="00EB53AF">
            <w:pPr>
              <w:jc w:val="center"/>
              <w:textAlignment w:val="baseline"/>
              <w:rPr>
                <w:sz w:val="22"/>
                <w:szCs w:val="22"/>
              </w:rPr>
            </w:pPr>
            <w:r w:rsidRPr="00A7419D">
              <w:rPr>
                <w:sz w:val="22"/>
                <w:szCs w:val="22"/>
              </w:rPr>
              <w:t>6/1/2020</w:t>
            </w:r>
          </w:p>
        </w:tc>
      </w:tr>
      <w:tr w:rsidR="00EB53AF" w:rsidRPr="00900AFD" w14:paraId="77AD21EE" w14:textId="77777777" w:rsidTr="00160EC5">
        <w:tc>
          <w:tcPr>
            <w:tcW w:w="1522" w:type="dxa"/>
            <w:tcBorders>
              <w:top w:val="nil"/>
              <w:left w:val="single" w:sz="6" w:space="0" w:color="000000"/>
              <w:bottom w:val="single" w:sz="6" w:space="0" w:color="000000"/>
              <w:right w:val="single" w:sz="6" w:space="0" w:color="000000"/>
            </w:tcBorders>
            <w:shd w:val="clear" w:color="auto" w:fill="auto"/>
            <w:vAlign w:val="center"/>
            <w:hideMark/>
          </w:tcPr>
          <w:p w14:paraId="6CE376C8" w14:textId="77777777" w:rsidR="00EB53AF" w:rsidRPr="00A7419D" w:rsidRDefault="00EB53AF" w:rsidP="00C83046">
            <w:pPr>
              <w:jc w:val="center"/>
              <w:textAlignment w:val="baseline"/>
              <w:rPr>
                <w:sz w:val="22"/>
                <w:szCs w:val="22"/>
              </w:rPr>
            </w:pPr>
            <w:r w:rsidRPr="00A7419D">
              <w:rPr>
                <w:color w:val="FF0000"/>
                <w:sz w:val="22"/>
                <w:szCs w:val="22"/>
              </w:rPr>
              <w:t>Treatment </w:t>
            </w:r>
          </w:p>
        </w:tc>
        <w:tc>
          <w:tcPr>
            <w:tcW w:w="1440" w:type="dxa"/>
            <w:tcBorders>
              <w:top w:val="nil"/>
              <w:left w:val="nil"/>
              <w:bottom w:val="single" w:sz="6" w:space="0" w:color="000000"/>
              <w:right w:val="single" w:sz="6" w:space="0" w:color="000000"/>
            </w:tcBorders>
            <w:shd w:val="clear" w:color="auto" w:fill="auto"/>
            <w:vAlign w:val="center"/>
            <w:hideMark/>
          </w:tcPr>
          <w:p w14:paraId="6D50CC85" w14:textId="77777777" w:rsidR="00EB53AF" w:rsidRPr="00A7419D" w:rsidRDefault="00EB53AF" w:rsidP="00C83046">
            <w:pPr>
              <w:jc w:val="center"/>
              <w:textAlignment w:val="baseline"/>
              <w:rPr>
                <w:sz w:val="22"/>
                <w:szCs w:val="22"/>
              </w:rPr>
            </w:pPr>
            <w:r w:rsidRPr="00A7419D">
              <w:rPr>
                <w:sz w:val="22"/>
                <w:szCs w:val="22"/>
              </w:rPr>
              <w:t>Pennsylvania </w:t>
            </w:r>
          </w:p>
        </w:tc>
        <w:tc>
          <w:tcPr>
            <w:tcW w:w="1620" w:type="dxa"/>
            <w:tcBorders>
              <w:top w:val="nil"/>
              <w:left w:val="nil"/>
              <w:bottom w:val="single" w:sz="6" w:space="0" w:color="000000"/>
              <w:right w:val="single" w:sz="6" w:space="0" w:color="000000"/>
            </w:tcBorders>
            <w:shd w:val="clear" w:color="auto" w:fill="auto"/>
            <w:vAlign w:val="center"/>
            <w:hideMark/>
          </w:tcPr>
          <w:p w14:paraId="4FC2F071" w14:textId="77777777" w:rsidR="00EB53AF" w:rsidRPr="00A7419D" w:rsidRDefault="00EB53AF" w:rsidP="00C83046">
            <w:pPr>
              <w:jc w:val="center"/>
              <w:textAlignment w:val="baseline"/>
              <w:rPr>
                <w:sz w:val="22"/>
                <w:szCs w:val="22"/>
              </w:rPr>
            </w:pPr>
            <w:r w:rsidRPr="00A7419D">
              <w:rPr>
                <w:sz w:val="22"/>
                <w:szCs w:val="22"/>
              </w:rPr>
              <w:t>Philadelphia* </w:t>
            </w:r>
          </w:p>
        </w:tc>
        <w:tc>
          <w:tcPr>
            <w:tcW w:w="1620" w:type="dxa"/>
            <w:tcBorders>
              <w:top w:val="single" w:sz="6" w:space="0" w:color="000000"/>
              <w:left w:val="nil"/>
              <w:bottom w:val="single" w:sz="6" w:space="0" w:color="000000"/>
              <w:right w:val="single" w:sz="4" w:space="0" w:color="auto"/>
            </w:tcBorders>
          </w:tcPr>
          <w:p w14:paraId="048F0F13" w14:textId="77777777" w:rsidR="00EB53AF" w:rsidRPr="00A7419D" w:rsidRDefault="00EB53AF" w:rsidP="00C83046">
            <w:pPr>
              <w:jc w:val="center"/>
              <w:textAlignment w:val="baseline"/>
              <w:rPr>
                <w:sz w:val="22"/>
                <w:szCs w:val="22"/>
              </w:rPr>
            </w:pPr>
            <w:r w:rsidRPr="00A7419D">
              <w:rPr>
                <w:sz w:val="22"/>
                <w:szCs w:val="22"/>
              </w:rPr>
              <w:t>Philadelphia</w:t>
            </w:r>
          </w:p>
        </w:tc>
        <w:tc>
          <w:tcPr>
            <w:tcW w:w="1620" w:type="dxa"/>
            <w:tcBorders>
              <w:top w:val="nil"/>
              <w:left w:val="single" w:sz="4" w:space="0" w:color="auto"/>
              <w:bottom w:val="single" w:sz="6" w:space="0" w:color="000000"/>
              <w:right w:val="single" w:sz="6" w:space="0" w:color="000000"/>
            </w:tcBorders>
            <w:shd w:val="clear" w:color="auto" w:fill="auto"/>
            <w:vAlign w:val="center"/>
            <w:hideMark/>
          </w:tcPr>
          <w:p w14:paraId="7F41EE37" w14:textId="77777777" w:rsidR="00EB53AF" w:rsidRPr="00A7419D" w:rsidRDefault="00EB53AF" w:rsidP="00C83046">
            <w:pPr>
              <w:jc w:val="center"/>
              <w:textAlignment w:val="baseline"/>
              <w:rPr>
                <w:sz w:val="22"/>
                <w:szCs w:val="22"/>
              </w:rPr>
            </w:pPr>
            <w:r w:rsidRPr="00A7419D">
              <w:rPr>
                <w:sz w:val="22"/>
                <w:szCs w:val="22"/>
              </w:rPr>
              <w:t>6/26/2020 </w:t>
            </w:r>
          </w:p>
        </w:tc>
        <w:tc>
          <w:tcPr>
            <w:tcW w:w="1620" w:type="dxa"/>
            <w:tcBorders>
              <w:top w:val="nil"/>
              <w:left w:val="nil"/>
              <w:bottom w:val="single" w:sz="6" w:space="0" w:color="000000"/>
              <w:right w:val="single" w:sz="6" w:space="0" w:color="000000"/>
            </w:tcBorders>
            <w:shd w:val="clear" w:color="auto" w:fill="auto"/>
            <w:vAlign w:val="center"/>
            <w:hideMark/>
          </w:tcPr>
          <w:p w14:paraId="1F5CBB87" w14:textId="157DD014" w:rsidR="00EB53AF" w:rsidRPr="00A7419D" w:rsidRDefault="00EB53AF" w:rsidP="00EB53AF">
            <w:pPr>
              <w:jc w:val="center"/>
              <w:textAlignment w:val="baseline"/>
              <w:rPr>
                <w:sz w:val="22"/>
                <w:szCs w:val="22"/>
              </w:rPr>
            </w:pPr>
            <w:r w:rsidRPr="00A7419D">
              <w:rPr>
                <w:sz w:val="22"/>
                <w:szCs w:val="22"/>
              </w:rPr>
              <w:t>9/8/2020</w:t>
            </w:r>
          </w:p>
        </w:tc>
      </w:tr>
      <w:tr w:rsidR="00EB53AF" w:rsidRPr="00900AFD" w14:paraId="6E326E58" w14:textId="77777777" w:rsidTr="00160EC5">
        <w:tc>
          <w:tcPr>
            <w:tcW w:w="1522" w:type="dxa"/>
            <w:tcBorders>
              <w:top w:val="nil"/>
              <w:left w:val="single" w:sz="6" w:space="0" w:color="000000"/>
              <w:bottom w:val="single" w:sz="6" w:space="0" w:color="000000"/>
              <w:right w:val="single" w:sz="6" w:space="0" w:color="000000"/>
            </w:tcBorders>
            <w:shd w:val="clear" w:color="auto" w:fill="auto"/>
            <w:vAlign w:val="center"/>
            <w:hideMark/>
          </w:tcPr>
          <w:p w14:paraId="47FB9648" w14:textId="77777777" w:rsidR="00EB53AF" w:rsidRPr="00A7419D" w:rsidRDefault="00EB53AF" w:rsidP="00C83046">
            <w:pPr>
              <w:jc w:val="center"/>
              <w:textAlignment w:val="baseline"/>
              <w:rPr>
                <w:sz w:val="22"/>
                <w:szCs w:val="22"/>
              </w:rPr>
            </w:pPr>
            <w:r w:rsidRPr="00A7419D">
              <w:rPr>
                <w:color w:val="FF0000"/>
                <w:sz w:val="22"/>
                <w:szCs w:val="22"/>
              </w:rPr>
              <w:t>Treatment </w:t>
            </w:r>
          </w:p>
        </w:tc>
        <w:tc>
          <w:tcPr>
            <w:tcW w:w="1440" w:type="dxa"/>
            <w:tcBorders>
              <w:top w:val="nil"/>
              <w:left w:val="nil"/>
              <w:bottom w:val="single" w:sz="6" w:space="0" w:color="000000"/>
              <w:right w:val="single" w:sz="6" w:space="0" w:color="000000"/>
            </w:tcBorders>
            <w:shd w:val="clear" w:color="auto" w:fill="auto"/>
            <w:vAlign w:val="center"/>
            <w:hideMark/>
          </w:tcPr>
          <w:p w14:paraId="19C11483" w14:textId="77777777" w:rsidR="00EB53AF" w:rsidRPr="00A7419D" w:rsidRDefault="00EB53AF" w:rsidP="00C83046">
            <w:pPr>
              <w:jc w:val="center"/>
              <w:textAlignment w:val="baseline"/>
              <w:rPr>
                <w:sz w:val="22"/>
                <w:szCs w:val="22"/>
              </w:rPr>
            </w:pPr>
            <w:r w:rsidRPr="00A7419D">
              <w:rPr>
                <w:sz w:val="22"/>
                <w:szCs w:val="22"/>
              </w:rPr>
              <w:t>Wisconsin  </w:t>
            </w:r>
          </w:p>
        </w:tc>
        <w:tc>
          <w:tcPr>
            <w:tcW w:w="1620" w:type="dxa"/>
            <w:tcBorders>
              <w:top w:val="nil"/>
              <w:left w:val="nil"/>
              <w:bottom w:val="single" w:sz="6" w:space="0" w:color="000000"/>
              <w:right w:val="single" w:sz="6" w:space="0" w:color="000000"/>
            </w:tcBorders>
            <w:shd w:val="clear" w:color="auto" w:fill="auto"/>
            <w:vAlign w:val="center"/>
            <w:hideMark/>
          </w:tcPr>
          <w:p w14:paraId="1F3C9C97" w14:textId="77777777" w:rsidR="00EB53AF" w:rsidRPr="00A7419D" w:rsidRDefault="00EB53AF" w:rsidP="00C83046">
            <w:pPr>
              <w:jc w:val="center"/>
              <w:textAlignment w:val="baseline"/>
              <w:rPr>
                <w:sz w:val="22"/>
                <w:szCs w:val="22"/>
              </w:rPr>
            </w:pPr>
            <w:r w:rsidRPr="00A7419D">
              <w:rPr>
                <w:sz w:val="22"/>
                <w:szCs w:val="22"/>
              </w:rPr>
              <w:t>Milwaukee* </w:t>
            </w:r>
          </w:p>
        </w:tc>
        <w:tc>
          <w:tcPr>
            <w:tcW w:w="1620" w:type="dxa"/>
            <w:tcBorders>
              <w:top w:val="single" w:sz="6" w:space="0" w:color="000000"/>
              <w:left w:val="nil"/>
              <w:bottom w:val="single" w:sz="6" w:space="0" w:color="000000"/>
              <w:right w:val="single" w:sz="4" w:space="0" w:color="auto"/>
            </w:tcBorders>
          </w:tcPr>
          <w:p w14:paraId="73500CC4" w14:textId="77777777" w:rsidR="00EB53AF" w:rsidRPr="00A7419D" w:rsidRDefault="00EB53AF" w:rsidP="00C83046">
            <w:pPr>
              <w:jc w:val="center"/>
              <w:textAlignment w:val="baseline"/>
              <w:rPr>
                <w:sz w:val="22"/>
                <w:szCs w:val="22"/>
              </w:rPr>
            </w:pPr>
            <w:r w:rsidRPr="00A7419D">
              <w:rPr>
                <w:sz w:val="22"/>
                <w:szCs w:val="22"/>
              </w:rPr>
              <w:t>Milwaukee</w:t>
            </w:r>
          </w:p>
        </w:tc>
        <w:tc>
          <w:tcPr>
            <w:tcW w:w="1620" w:type="dxa"/>
            <w:tcBorders>
              <w:top w:val="nil"/>
              <w:left w:val="single" w:sz="4" w:space="0" w:color="auto"/>
              <w:bottom w:val="single" w:sz="6" w:space="0" w:color="000000"/>
              <w:right w:val="single" w:sz="6" w:space="0" w:color="000000"/>
            </w:tcBorders>
            <w:shd w:val="clear" w:color="auto" w:fill="auto"/>
            <w:vAlign w:val="center"/>
            <w:hideMark/>
          </w:tcPr>
          <w:p w14:paraId="6106B915" w14:textId="77777777" w:rsidR="00EB53AF" w:rsidRPr="00A7419D" w:rsidRDefault="00EB53AF" w:rsidP="00C83046">
            <w:pPr>
              <w:jc w:val="center"/>
              <w:textAlignment w:val="baseline"/>
              <w:rPr>
                <w:sz w:val="22"/>
                <w:szCs w:val="22"/>
              </w:rPr>
            </w:pPr>
            <w:r w:rsidRPr="00A7419D">
              <w:rPr>
                <w:sz w:val="22"/>
                <w:szCs w:val="22"/>
              </w:rPr>
              <w:t>5/14/2020 </w:t>
            </w:r>
          </w:p>
        </w:tc>
        <w:tc>
          <w:tcPr>
            <w:tcW w:w="1620" w:type="dxa"/>
            <w:tcBorders>
              <w:top w:val="nil"/>
              <w:left w:val="nil"/>
              <w:bottom w:val="single" w:sz="6" w:space="0" w:color="000000"/>
              <w:right w:val="single" w:sz="6" w:space="0" w:color="000000"/>
            </w:tcBorders>
            <w:shd w:val="clear" w:color="auto" w:fill="auto"/>
            <w:vAlign w:val="center"/>
            <w:hideMark/>
          </w:tcPr>
          <w:p w14:paraId="59F73A76" w14:textId="16A43B2D" w:rsidR="00EB53AF" w:rsidRPr="00A7419D" w:rsidRDefault="00EB53AF" w:rsidP="00EB53AF">
            <w:pPr>
              <w:jc w:val="center"/>
              <w:textAlignment w:val="baseline"/>
              <w:rPr>
                <w:sz w:val="22"/>
                <w:szCs w:val="22"/>
              </w:rPr>
            </w:pPr>
            <w:r w:rsidRPr="00A7419D">
              <w:rPr>
                <w:sz w:val="22"/>
                <w:szCs w:val="22"/>
              </w:rPr>
              <w:t>6/5/2020</w:t>
            </w:r>
          </w:p>
        </w:tc>
      </w:tr>
      <w:tr w:rsidR="00EB53AF" w:rsidRPr="00900AFD" w14:paraId="5F48D57E" w14:textId="77777777" w:rsidTr="00160EC5">
        <w:tc>
          <w:tcPr>
            <w:tcW w:w="1522" w:type="dxa"/>
            <w:tcBorders>
              <w:top w:val="nil"/>
              <w:left w:val="single" w:sz="6" w:space="0" w:color="000000"/>
              <w:bottom w:val="single" w:sz="6" w:space="0" w:color="000000"/>
              <w:right w:val="single" w:sz="6" w:space="0" w:color="000000"/>
            </w:tcBorders>
            <w:shd w:val="clear" w:color="auto" w:fill="auto"/>
            <w:vAlign w:val="center"/>
            <w:hideMark/>
          </w:tcPr>
          <w:p w14:paraId="1FC0123E" w14:textId="77777777" w:rsidR="00EB53AF" w:rsidRPr="00A7419D" w:rsidRDefault="00EB53AF" w:rsidP="00C83046">
            <w:pPr>
              <w:jc w:val="center"/>
              <w:textAlignment w:val="baseline"/>
              <w:rPr>
                <w:sz w:val="22"/>
                <w:szCs w:val="22"/>
              </w:rPr>
            </w:pPr>
            <w:r w:rsidRPr="00A7419D">
              <w:rPr>
                <w:color w:val="002060"/>
                <w:sz w:val="22"/>
                <w:szCs w:val="22"/>
              </w:rPr>
              <w:t>Comparison</w:t>
            </w:r>
          </w:p>
        </w:tc>
        <w:tc>
          <w:tcPr>
            <w:tcW w:w="1440" w:type="dxa"/>
            <w:tcBorders>
              <w:top w:val="nil"/>
              <w:left w:val="nil"/>
              <w:bottom w:val="single" w:sz="6" w:space="0" w:color="000000"/>
              <w:right w:val="single" w:sz="6" w:space="0" w:color="000000"/>
            </w:tcBorders>
            <w:shd w:val="clear" w:color="auto" w:fill="auto"/>
            <w:vAlign w:val="center"/>
            <w:hideMark/>
          </w:tcPr>
          <w:p w14:paraId="26889A22" w14:textId="77777777" w:rsidR="00EB53AF" w:rsidRPr="00A7419D" w:rsidRDefault="00EB53AF" w:rsidP="00C83046">
            <w:pPr>
              <w:jc w:val="center"/>
              <w:textAlignment w:val="baseline"/>
              <w:rPr>
                <w:sz w:val="22"/>
                <w:szCs w:val="22"/>
              </w:rPr>
            </w:pPr>
            <w:r w:rsidRPr="00A7419D">
              <w:rPr>
                <w:sz w:val="22"/>
                <w:szCs w:val="22"/>
              </w:rPr>
              <w:t>Arizona </w:t>
            </w:r>
          </w:p>
        </w:tc>
        <w:tc>
          <w:tcPr>
            <w:tcW w:w="1620" w:type="dxa"/>
            <w:tcBorders>
              <w:top w:val="nil"/>
              <w:left w:val="nil"/>
              <w:bottom w:val="single" w:sz="6" w:space="0" w:color="000000"/>
              <w:right w:val="single" w:sz="6" w:space="0" w:color="000000"/>
            </w:tcBorders>
            <w:shd w:val="clear" w:color="auto" w:fill="auto"/>
            <w:vAlign w:val="center"/>
            <w:hideMark/>
          </w:tcPr>
          <w:p w14:paraId="618DDA60" w14:textId="77777777" w:rsidR="00EB53AF" w:rsidRPr="00A7419D" w:rsidRDefault="00EB53AF" w:rsidP="00C83046">
            <w:pPr>
              <w:jc w:val="center"/>
              <w:textAlignment w:val="baseline"/>
              <w:rPr>
                <w:sz w:val="22"/>
                <w:szCs w:val="22"/>
              </w:rPr>
            </w:pPr>
            <w:r w:rsidRPr="00A7419D">
              <w:rPr>
                <w:sz w:val="22"/>
                <w:szCs w:val="22"/>
              </w:rPr>
              <w:t>Phoenix </w:t>
            </w:r>
          </w:p>
        </w:tc>
        <w:tc>
          <w:tcPr>
            <w:tcW w:w="1620" w:type="dxa"/>
            <w:tcBorders>
              <w:top w:val="single" w:sz="6" w:space="0" w:color="000000"/>
              <w:left w:val="nil"/>
              <w:bottom w:val="single" w:sz="6" w:space="0" w:color="000000"/>
              <w:right w:val="single" w:sz="4" w:space="0" w:color="auto"/>
            </w:tcBorders>
          </w:tcPr>
          <w:p w14:paraId="19FF6E6B" w14:textId="77777777" w:rsidR="00EB53AF" w:rsidRPr="00A7419D" w:rsidRDefault="00EB53AF" w:rsidP="00C83046">
            <w:pPr>
              <w:jc w:val="center"/>
              <w:textAlignment w:val="baseline"/>
              <w:rPr>
                <w:sz w:val="22"/>
                <w:szCs w:val="22"/>
              </w:rPr>
            </w:pPr>
            <w:r w:rsidRPr="00A7419D">
              <w:rPr>
                <w:sz w:val="22"/>
                <w:szCs w:val="22"/>
              </w:rPr>
              <w:t>Maricopa</w:t>
            </w:r>
          </w:p>
        </w:tc>
        <w:tc>
          <w:tcPr>
            <w:tcW w:w="1620" w:type="dxa"/>
            <w:tcBorders>
              <w:top w:val="nil"/>
              <w:left w:val="single" w:sz="4" w:space="0" w:color="auto"/>
              <w:bottom w:val="single" w:sz="6" w:space="0" w:color="000000"/>
              <w:right w:val="single" w:sz="6" w:space="0" w:color="000000"/>
            </w:tcBorders>
            <w:shd w:val="clear" w:color="auto" w:fill="auto"/>
            <w:vAlign w:val="center"/>
            <w:hideMark/>
          </w:tcPr>
          <w:p w14:paraId="773BB4AB" w14:textId="77777777" w:rsidR="00EB53AF" w:rsidRPr="00A7419D" w:rsidRDefault="00EB53AF" w:rsidP="00C83046">
            <w:pPr>
              <w:jc w:val="center"/>
              <w:textAlignment w:val="baseline"/>
              <w:rPr>
                <w:sz w:val="22"/>
                <w:szCs w:val="22"/>
              </w:rPr>
            </w:pPr>
            <w:r w:rsidRPr="00A7419D">
              <w:rPr>
                <w:sz w:val="22"/>
                <w:szCs w:val="22"/>
              </w:rPr>
              <w:t>5/11/2020 </w:t>
            </w:r>
          </w:p>
        </w:tc>
        <w:tc>
          <w:tcPr>
            <w:tcW w:w="1620" w:type="dxa"/>
            <w:tcBorders>
              <w:top w:val="nil"/>
              <w:left w:val="nil"/>
              <w:bottom w:val="single" w:sz="6" w:space="0" w:color="000000"/>
              <w:right w:val="single" w:sz="6" w:space="0" w:color="000000"/>
            </w:tcBorders>
            <w:shd w:val="clear" w:color="auto" w:fill="auto"/>
            <w:vAlign w:val="center"/>
            <w:hideMark/>
          </w:tcPr>
          <w:p w14:paraId="488EEDFF" w14:textId="357EF1C2" w:rsidR="00EB53AF" w:rsidRPr="00A7419D" w:rsidRDefault="00EB53AF" w:rsidP="00EB53AF">
            <w:pPr>
              <w:jc w:val="center"/>
              <w:textAlignment w:val="baseline"/>
              <w:rPr>
                <w:sz w:val="22"/>
                <w:szCs w:val="22"/>
              </w:rPr>
            </w:pPr>
            <w:r w:rsidRPr="00A7419D">
              <w:rPr>
                <w:sz w:val="22"/>
                <w:szCs w:val="22"/>
              </w:rPr>
              <w:t>5/11/2020</w:t>
            </w:r>
          </w:p>
        </w:tc>
      </w:tr>
      <w:tr w:rsidR="00EB53AF" w:rsidRPr="00900AFD" w14:paraId="48CACA44" w14:textId="77777777" w:rsidTr="00160EC5">
        <w:tc>
          <w:tcPr>
            <w:tcW w:w="1522" w:type="dxa"/>
            <w:tcBorders>
              <w:top w:val="nil"/>
              <w:left w:val="single" w:sz="6" w:space="0" w:color="000000"/>
              <w:bottom w:val="single" w:sz="6" w:space="0" w:color="000000"/>
              <w:right w:val="single" w:sz="6" w:space="0" w:color="000000"/>
            </w:tcBorders>
            <w:shd w:val="clear" w:color="auto" w:fill="auto"/>
            <w:vAlign w:val="center"/>
            <w:hideMark/>
          </w:tcPr>
          <w:p w14:paraId="083336B1" w14:textId="77777777" w:rsidR="00EB53AF" w:rsidRPr="00A7419D" w:rsidRDefault="00EB53AF" w:rsidP="00C83046">
            <w:pPr>
              <w:jc w:val="center"/>
              <w:textAlignment w:val="baseline"/>
              <w:rPr>
                <w:sz w:val="22"/>
                <w:szCs w:val="22"/>
              </w:rPr>
            </w:pPr>
            <w:r w:rsidRPr="00A7419D">
              <w:rPr>
                <w:color w:val="002060"/>
                <w:sz w:val="22"/>
                <w:szCs w:val="22"/>
              </w:rPr>
              <w:t>Comparison</w:t>
            </w:r>
          </w:p>
        </w:tc>
        <w:tc>
          <w:tcPr>
            <w:tcW w:w="1440" w:type="dxa"/>
            <w:tcBorders>
              <w:top w:val="nil"/>
              <w:left w:val="nil"/>
              <w:bottom w:val="single" w:sz="6" w:space="0" w:color="000000"/>
              <w:right w:val="single" w:sz="6" w:space="0" w:color="000000"/>
            </w:tcBorders>
            <w:shd w:val="clear" w:color="auto" w:fill="auto"/>
            <w:vAlign w:val="center"/>
            <w:hideMark/>
          </w:tcPr>
          <w:p w14:paraId="2FC5D7B4" w14:textId="77777777" w:rsidR="00EB53AF" w:rsidRPr="00A7419D" w:rsidRDefault="00EB53AF" w:rsidP="00C83046">
            <w:pPr>
              <w:jc w:val="center"/>
              <w:textAlignment w:val="baseline"/>
              <w:rPr>
                <w:sz w:val="22"/>
                <w:szCs w:val="22"/>
              </w:rPr>
            </w:pPr>
            <w:r w:rsidRPr="00A7419D">
              <w:rPr>
                <w:sz w:val="22"/>
                <w:szCs w:val="22"/>
              </w:rPr>
              <w:t>Georgia </w:t>
            </w:r>
          </w:p>
        </w:tc>
        <w:tc>
          <w:tcPr>
            <w:tcW w:w="1620" w:type="dxa"/>
            <w:tcBorders>
              <w:top w:val="nil"/>
              <w:left w:val="nil"/>
              <w:bottom w:val="single" w:sz="6" w:space="0" w:color="000000"/>
              <w:right w:val="single" w:sz="6" w:space="0" w:color="000000"/>
            </w:tcBorders>
            <w:shd w:val="clear" w:color="auto" w:fill="auto"/>
            <w:vAlign w:val="center"/>
            <w:hideMark/>
          </w:tcPr>
          <w:p w14:paraId="53F0DF18" w14:textId="77777777" w:rsidR="00EB53AF" w:rsidRPr="00A7419D" w:rsidRDefault="00EB53AF" w:rsidP="00C83046">
            <w:pPr>
              <w:jc w:val="center"/>
              <w:textAlignment w:val="baseline"/>
              <w:rPr>
                <w:sz w:val="22"/>
                <w:szCs w:val="22"/>
              </w:rPr>
            </w:pPr>
            <w:r w:rsidRPr="00A7419D">
              <w:rPr>
                <w:sz w:val="22"/>
                <w:szCs w:val="22"/>
              </w:rPr>
              <w:t>Atlanta </w:t>
            </w:r>
          </w:p>
        </w:tc>
        <w:tc>
          <w:tcPr>
            <w:tcW w:w="1620" w:type="dxa"/>
            <w:tcBorders>
              <w:top w:val="single" w:sz="6" w:space="0" w:color="000000"/>
              <w:left w:val="nil"/>
              <w:bottom w:val="single" w:sz="6" w:space="0" w:color="000000"/>
              <w:right w:val="single" w:sz="4" w:space="0" w:color="auto"/>
            </w:tcBorders>
          </w:tcPr>
          <w:p w14:paraId="5AAB793A" w14:textId="77777777" w:rsidR="00EB53AF" w:rsidRPr="00A7419D" w:rsidRDefault="00EB53AF" w:rsidP="00C83046">
            <w:pPr>
              <w:jc w:val="center"/>
              <w:textAlignment w:val="baseline"/>
              <w:rPr>
                <w:sz w:val="22"/>
                <w:szCs w:val="22"/>
              </w:rPr>
            </w:pPr>
            <w:r w:rsidRPr="00A7419D">
              <w:rPr>
                <w:sz w:val="22"/>
                <w:szCs w:val="22"/>
              </w:rPr>
              <w:t>Fulton</w:t>
            </w:r>
          </w:p>
        </w:tc>
        <w:tc>
          <w:tcPr>
            <w:tcW w:w="1620" w:type="dxa"/>
            <w:tcBorders>
              <w:top w:val="nil"/>
              <w:left w:val="single" w:sz="4" w:space="0" w:color="auto"/>
              <w:bottom w:val="single" w:sz="6" w:space="0" w:color="000000"/>
              <w:right w:val="single" w:sz="6" w:space="0" w:color="000000"/>
            </w:tcBorders>
            <w:shd w:val="clear" w:color="auto" w:fill="auto"/>
            <w:vAlign w:val="center"/>
            <w:hideMark/>
          </w:tcPr>
          <w:p w14:paraId="7F569A48" w14:textId="77777777" w:rsidR="00EB53AF" w:rsidRPr="00A7419D" w:rsidRDefault="00EB53AF" w:rsidP="00C83046">
            <w:pPr>
              <w:jc w:val="center"/>
              <w:textAlignment w:val="baseline"/>
              <w:rPr>
                <w:sz w:val="22"/>
                <w:szCs w:val="22"/>
              </w:rPr>
            </w:pPr>
            <w:r w:rsidRPr="00A7419D">
              <w:rPr>
                <w:sz w:val="22"/>
                <w:szCs w:val="22"/>
              </w:rPr>
              <w:t>4/27/2020 </w:t>
            </w:r>
          </w:p>
        </w:tc>
        <w:tc>
          <w:tcPr>
            <w:tcW w:w="1620" w:type="dxa"/>
            <w:tcBorders>
              <w:top w:val="nil"/>
              <w:left w:val="nil"/>
              <w:bottom w:val="single" w:sz="6" w:space="0" w:color="000000"/>
              <w:right w:val="single" w:sz="6" w:space="0" w:color="000000"/>
            </w:tcBorders>
            <w:shd w:val="clear" w:color="auto" w:fill="auto"/>
            <w:vAlign w:val="center"/>
            <w:hideMark/>
          </w:tcPr>
          <w:p w14:paraId="3869B1CB" w14:textId="620D7318" w:rsidR="00EB53AF" w:rsidRPr="00A7419D" w:rsidRDefault="00EB53AF" w:rsidP="00EB53AF">
            <w:pPr>
              <w:jc w:val="center"/>
              <w:textAlignment w:val="baseline"/>
              <w:rPr>
                <w:sz w:val="22"/>
                <w:szCs w:val="22"/>
              </w:rPr>
            </w:pPr>
            <w:r w:rsidRPr="00A7419D">
              <w:rPr>
                <w:sz w:val="22"/>
                <w:szCs w:val="22"/>
              </w:rPr>
              <w:t>4/27/2020</w:t>
            </w:r>
          </w:p>
        </w:tc>
      </w:tr>
      <w:tr w:rsidR="00EB53AF" w:rsidRPr="00900AFD" w14:paraId="2F7D4B07" w14:textId="77777777" w:rsidTr="00160EC5">
        <w:tc>
          <w:tcPr>
            <w:tcW w:w="1522" w:type="dxa"/>
            <w:tcBorders>
              <w:top w:val="nil"/>
              <w:left w:val="single" w:sz="6" w:space="0" w:color="000000"/>
              <w:bottom w:val="single" w:sz="6" w:space="0" w:color="000000"/>
              <w:right w:val="single" w:sz="6" w:space="0" w:color="000000"/>
            </w:tcBorders>
            <w:shd w:val="clear" w:color="auto" w:fill="auto"/>
            <w:vAlign w:val="center"/>
            <w:hideMark/>
          </w:tcPr>
          <w:p w14:paraId="26BE7097" w14:textId="77777777" w:rsidR="00EB53AF" w:rsidRPr="00A7419D" w:rsidRDefault="00EB53AF" w:rsidP="00C83046">
            <w:pPr>
              <w:jc w:val="center"/>
              <w:textAlignment w:val="baseline"/>
              <w:rPr>
                <w:sz w:val="22"/>
                <w:szCs w:val="22"/>
              </w:rPr>
            </w:pPr>
            <w:r w:rsidRPr="00A7419D">
              <w:rPr>
                <w:color w:val="002060"/>
                <w:sz w:val="22"/>
                <w:szCs w:val="22"/>
              </w:rPr>
              <w:t>Comparison</w:t>
            </w:r>
          </w:p>
        </w:tc>
        <w:tc>
          <w:tcPr>
            <w:tcW w:w="1440" w:type="dxa"/>
            <w:tcBorders>
              <w:top w:val="nil"/>
              <w:left w:val="nil"/>
              <w:bottom w:val="single" w:sz="6" w:space="0" w:color="000000"/>
              <w:right w:val="single" w:sz="6" w:space="0" w:color="000000"/>
            </w:tcBorders>
            <w:shd w:val="clear" w:color="auto" w:fill="auto"/>
            <w:vAlign w:val="center"/>
            <w:hideMark/>
          </w:tcPr>
          <w:p w14:paraId="72F21B2E" w14:textId="77777777" w:rsidR="00EB53AF" w:rsidRPr="00A7419D" w:rsidRDefault="00EB53AF" w:rsidP="00C83046">
            <w:pPr>
              <w:jc w:val="center"/>
              <w:textAlignment w:val="baseline"/>
              <w:rPr>
                <w:sz w:val="22"/>
                <w:szCs w:val="22"/>
              </w:rPr>
            </w:pPr>
            <w:r w:rsidRPr="00A7419D">
              <w:rPr>
                <w:sz w:val="22"/>
                <w:szCs w:val="22"/>
              </w:rPr>
              <w:t>South Carolina </w:t>
            </w:r>
          </w:p>
        </w:tc>
        <w:tc>
          <w:tcPr>
            <w:tcW w:w="1620" w:type="dxa"/>
            <w:tcBorders>
              <w:top w:val="nil"/>
              <w:left w:val="nil"/>
              <w:bottom w:val="single" w:sz="6" w:space="0" w:color="000000"/>
              <w:right w:val="single" w:sz="6" w:space="0" w:color="000000"/>
            </w:tcBorders>
            <w:shd w:val="clear" w:color="auto" w:fill="auto"/>
            <w:vAlign w:val="center"/>
            <w:hideMark/>
          </w:tcPr>
          <w:p w14:paraId="4D09BB1B" w14:textId="77777777" w:rsidR="00EB53AF" w:rsidRPr="00A7419D" w:rsidRDefault="00EB53AF" w:rsidP="00C83046">
            <w:pPr>
              <w:jc w:val="center"/>
              <w:textAlignment w:val="baseline"/>
              <w:rPr>
                <w:sz w:val="22"/>
                <w:szCs w:val="22"/>
              </w:rPr>
            </w:pPr>
            <w:r w:rsidRPr="00A7419D">
              <w:rPr>
                <w:sz w:val="22"/>
                <w:szCs w:val="22"/>
              </w:rPr>
              <w:t>Charleston* </w:t>
            </w:r>
          </w:p>
        </w:tc>
        <w:tc>
          <w:tcPr>
            <w:tcW w:w="1620" w:type="dxa"/>
            <w:tcBorders>
              <w:top w:val="single" w:sz="6" w:space="0" w:color="000000"/>
              <w:left w:val="nil"/>
              <w:bottom w:val="single" w:sz="6" w:space="0" w:color="000000"/>
              <w:right w:val="single" w:sz="4" w:space="0" w:color="auto"/>
            </w:tcBorders>
          </w:tcPr>
          <w:p w14:paraId="095BDD58" w14:textId="77777777" w:rsidR="00EB53AF" w:rsidRPr="00A7419D" w:rsidRDefault="00EB53AF" w:rsidP="00C83046">
            <w:pPr>
              <w:jc w:val="center"/>
              <w:textAlignment w:val="baseline"/>
              <w:rPr>
                <w:sz w:val="22"/>
                <w:szCs w:val="22"/>
              </w:rPr>
            </w:pPr>
            <w:r w:rsidRPr="00A7419D">
              <w:rPr>
                <w:sz w:val="22"/>
                <w:szCs w:val="22"/>
              </w:rPr>
              <w:t>Charleston</w:t>
            </w:r>
          </w:p>
        </w:tc>
        <w:tc>
          <w:tcPr>
            <w:tcW w:w="1620" w:type="dxa"/>
            <w:tcBorders>
              <w:top w:val="nil"/>
              <w:left w:val="single" w:sz="4" w:space="0" w:color="auto"/>
              <w:bottom w:val="single" w:sz="6" w:space="0" w:color="000000"/>
              <w:right w:val="single" w:sz="6" w:space="0" w:color="000000"/>
            </w:tcBorders>
            <w:shd w:val="clear" w:color="auto" w:fill="auto"/>
            <w:vAlign w:val="center"/>
            <w:hideMark/>
          </w:tcPr>
          <w:p w14:paraId="244726FA" w14:textId="77777777" w:rsidR="00EB53AF" w:rsidRPr="00A7419D" w:rsidRDefault="00EB53AF" w:rsidP="00C83046">
            <w:pPr>
              <w:jc w:val="center"/>
              <w:textAlignment w:val="baseline"/>
              <w:rPr>
                <w:sz w:val="22"/>
                <w:szCs w:val="22"/>
              </w:rPr>
            </w:pPr>
            <w:r w:rsidRPr="00A7419D">
              <w:rPr>
                <w:sz w:val="22"/>
                <w:szCs w:val="22"/>
              </w:rPr>
              <w:t>5/11/2020 </w:t>
            </w:r>
          </w:p>
        </w:tc>
        <w:tc>
          <w:tcPr>
            <w:tcW w:w="1620" w:type="dxa"/>
            <w:tcBorders>
              <w:top w:val="nil"/>
              <w:left w:val="nil"/>
              <w:bottom w:val="single" w:sz="6" w:space="0" w:color="000000"/>
              <w:right w:val="single" w:sz="6" w:space="0" w:color="000000"/>
            </w:tcBorders>
            <w:shd w:val="clear" w:color="auto" w:fill="auto"/>
            <w:vAlign w:val="center"/>
            <w:hideMark/>
          </w:tcPr>
          <w:p w14:paraId="58AF0C87" w14:textId="390554D5" w:rsidR="00EB53AF" w:rsidRPr="00A7419D" w:rsidRDefault="00EB53AF" w:rsidP="00EB53AF">
            <w:pPr>
              <w:jc w:val="center"/>
              <w:textAlignment w:val="baseline"/>
              <w:rPr>
                <w:sz w:val="22"/>
                <w:szCs w:val="22"/>
              </w:rPr>
            </w:pPr>
            <w:r w:rsidRPr="00A7419D">
              <w:rPr>
                <w:sz w:val="22"/>
                <w:szCs w:val="22"/>
              </w:rPr>
              <w:t>5/11/2020</w:t>
            </w:r>
          </w:p>
        </w:tc>
      </w:tr>
      <w:tr w:rsidR="00EB53AF" w:rsidRPr="00900AFD" w14:paraId="33C56893" w14:textId="77777777" w:rsidTr="00160EC5">
        <w:tc>
          <w:tcPr>
            <w:tcW w:w="1522" w:type="dxa"/>
            <w:tcBorders>
              <w:top w:val="nil"/>
              <w:left w:val="single" w:sz="6" w:space="0" w:color="000000"/>
              <w:bottom w:val="single" w:sz="6" w:space="0" w:color="000000"/>
              <w:right w:val="single" w:sz="6" w:space="0" w:color="000000"/>
            </w:tcBorders>
            <w:shd w:val="clear" w:color="auto" w:fill="auto"/>
            <w:vAlign w:val="center"/>
            <w:hideMark/>
          </w:tcPr>
          <w:p w14:paraId="74B40BD4" w14:textId="77777777" w:rsidR="00EB53AF" w:rsidRPr="00A7419D" w:rsidRDefault="00EB53AF" w:rsidP="00C83046">
            <w:pPr>
              <w:jc w:val="center"/>
              <w:textAlignment w:val="baseline"/>
              <w:rPr>
                <w:sz w:val="22"/>
                <w:szCs w:val="22"/>
              </w:rPr>
            </w:pPr>
            <w:r w:rsidRPr="00A7419D">
              <w:rPr>
                <w:color w:val="002060"/>
                <w:sz w:val="22"/>
                <w:szCs w:val="22"/>
              </w:rPr>
              <w:t>Comparison</w:t>
            </w:r>
          </w:p>
        </w:tc>
        <w:tc>
          <w:tcPr>
            <w:tcW w:w="1440" w:type="dxa"/>
            <w:tcBorders>
              <w:top w:val="nil"/>
              <w:left w:val="nil"/>
              <w:bottom w:val="single" w:sz="6" w:space="0" w:color="000000"/>
              <w:right w:val="single" w:sz="6" w:space="0" w:color="000000"/>
            </w:tcBorders>
            <w:shd w:val="clear" w:color="auto" w:fill="auto"/>
            <w:vAlign w:val="center"/>
            <w:hideMark/>
          </w:tcPr>
          <w:p w14:paraId="3A36BE60" w14:textId="77777777" w:rsidR="00EB53AF" w:rsidRPr="00A7419D" w:rsidRDefault="00EB53AF" w:rsidP="00C83046">
            <w:pPr>
              <w:jc w:val="center"/>
              <w:textAlignment w:val="baseline"/>
              <w:rPr>
                <w:sz w:val="22"/>
                <w:szCs w:val="22"/>
              </w:rPr>
            </w:pPr>
            <w:r w:rsidRPr="00A7419D">
              <w:rPr>
                <w:sz w:val="22"/>
                <w:szCs w:val="22"/>
              </w:rPr>
              <w:t>Texas </w:t>
            </w:r>
          </w:p>
        </w:tc>
        <w:tc>
          <w:tcPr>
            <w:tcW w:w="1620" w:type="dxa"/>
            <w:tcBorders>
              <w:top w:val="nil"/>
              <w:left w:val="nil"/>
              <w:bottom w:val="single" w:sz="6" w:space="0" w:color="000000"/>
              <w:right w:val="single" w:sz="6" w:space="0" w:color="000000"/>
            </w:tcBorders>
            <w:shd w:val="clear" w:color="auto" w:fill="auto"/>
            <w:vAlign w:val="center"/>
            <w:hideMark/>
          </w:tcPr>
          <w:p w14:paraId="6132342D" w14:textId="77777777" w:rsidR="00EB53AF" w:rsidRPr="00A7419D" w:rsidRDefault="00EB53AF" w:rsidP="00C83046">
            <w:pPr>
              <w:jc w:val="center"/>
              <w:textAlignment w:val="baseline"/>
              <w:rPr>
                <w:sz w:val="22"/>
                <w:szCs w:val="22"/>
              </w:rPr>
            </w:pPr>
            <w:r w:rsidRPr="00A7419D">
              <w:rPr>
                <w:sz w:val="22"/>
                <w:szCs w:val="22"/>
              </w:rPr>
              <w:t>Austin </w:t>
            </w:r>
          </w:p>
        </w:tc>
        <w:tc>
          <w:tcPr>
            <w:tcW w:w="1620" w:type="dxa"/>
            <w:tcBorders>
              <w:top w:val="single" w:sz="6" w:space="0" w:color="000000"/>
              <w:left w:val="nil"/>
              <w:bottom w:val="single" w:sz="6" w:space="0" w:color="000000"/>
              <w:right w:val="single" w:sz="4" w:space="0" w:color="auto"/>
            </w:tcBorders>
          </w:tcPr>
          <w:p w14:paraId="5E08913D" w14:textId="77777777" w:rsidR="00EB53AF" w:rsidRPr="00A7419D" w:rsidRDefault="00EB53AF" w:rsidP="00C83046">
            <w:pPr>
              <w:jc w:val="center"/>
              <w:textAlignment w:val="baseline"/>
              <w:rPr>
                <w:sz w:val="22"/>
                <w:szCs w:val="22"/>
              </w:rPr>
            </w:pPr>
            <w:r w:rsidRPr="00A7419D">
              <w:rPr>
                <w:sz w:val="22"/>
                <w:szCs w:val="22"/>
              </w:rPr>
              <w:t>Travis</w:t>
            </w:r>
          </w:p>
        </w:tc>
        <w:tc>
          <w:tcPr>
            <w:tcW w:w="1620" w:type="dxa"/>
            <w:tcBorders>
              <w:top w:val="nil"/>
              <w:left w:val="single" w:sz="4" w:space="0" w:color="auto"/>
              <w:bottom w:val="single" w:sz="6" w:space="0" w:color="000000"/>
              <w:right w:val="single" w:sz="6" w:space="0" w:color="000000"/>
            </w:tcBorders>
            <w:shd w:val="clear" w:color="auto" w:fill="auto"/>
            <w:vAlign w:val="center"/>
            <w:hideMark/>
          </w:tcPr>
          <w:p w14:paraId="09B8CAC6" w14:textId="77777777" w:rsidR="00EB53AF" w:rsidRPr="00A7419D" w:rsidRDefault="00EB53AF" w:rsidP="00C83046">
            <w:pPr>
              <w:jc w:val="center"/>
              <w:textAlignment w:val="baseline"/>
              <w:rPr>
                <w:sz w:val="22"/>
                <w:szCs w:val="22"/>
              </w:rPr>
            </w:pPr>
            <w:r w:rsidRPr="00A7419D">
              <w:rPr>
                <w:sz w:val="22"/>
                <w:szCs w:val="22"/>
              </w:rPr>
              <w:t>5/1/2020 </w:t>
            </w:r>
          </w:p>
        </w:tc>
        <w:tc>
          <w:tcPr>
            <w:tcW w:w="1620" w:type="dxa"/>
            <w:tcBorders>
              <w:top w:val="nil"/>
              <w:left w:val="nil"/>
              <w:bottom w:val="single" w:sz="6" w:space="0" w:color="000000"/>
              <w:right w:val="single" w:sz="6" w:space="0" w:color="000000"/>
            </w:tcBorders>
            <w:shd w:val="clear" w:color="auto" w:fill="auto"/>
            <w:vAlign w:val="center"/>
            <w:hideMark/>
          </w:tcPr>
          <w:p w14:paraId="1147B9D7" w14:textId="1C94458D" w:rsidR="00EB53AF" w:rsidRPr="00A7419D" w:rsidRDefault="00EB53AF" w:rsidP="00EB53AF">
            <w:pPr>
              <w:jc w:val="center"/>
              <w:textAlignment w:val="baseline"/>
              <w:rPr>
                <w:sz w:val="22"/>
                <w:szCs w:val="22"/>
              </w:rPr>
            </w:pPr>
            <w:r w:rsidRPr="00A7419D">
              <w:rPr>
                <w:sz w:val="22"/>
                <w:szCs w:val="22"/>
              </w:rPr>
              <w:t>5/1/2020</w:t>
            </w:r>
          </w:p>
        </w:tc>
      </w:tr>
      <w:tr w:rsidR="00EB53AF" w:rsidRPr="00900AFD" w14:paraId="346BA2C4" w14:textId="77777777" w:rsidTr="00160EC5">
        <w:tc>
          <w:tcPr>
            <w:tcW w:w="1522" w:type="dxa"/>
            <w:tcBorders>
              <w:top w:val="nil"/>
              <w:left w:val="single" w:sz="6" w:space="0" w:color="000000"/>
              <w:bottom w:val="single" w:sz="6" w:space="0" w:color="000000"/>
              <w:right w:val="single" w:sz="6" w:space="0" w:color="000000"/>
            </w:tcBorders>
            <w:shd w:val="clear" w:color="auto" w:fill="auto"/>
            <w:vAlign w:val="center"/>
            <w:hideMark/>
          </w:tcPr>
          <w:p w14:paraId="37499E27" w14:textId="77777777" w:rsidR="00EB53AF" w:rsidRPr="00A7419D" w:rsidRDefault="00EB53AF" w:rsidP="00C83046">
            <w:pPr>
              <w:jc w:val="center"/>
              <w:textAlignment w:val="baseline"/>
              <w:rPr>
                <w:sz w:val="22"/>
                <w:szCs w:val="22"/>
              </w:rPr>
            </w:pPr>
            <w:r w:rsidRPr="00A7419D">
              <w:rPr>
                <w:color w:val="002060"/>
                <w:sz w:val="22"/>
                <w:szCs w:val="22"/>
              </w:rPr>
              <w:t>Comparison</w:t>
            </w:r>
          </w:p>
        </w:tc>
        <w:tc>
          <w:tcPr>
            <w:tcW w:w="1440" w:type="dxa"/>
            <w:tcBorders>
              <w:top w:val="nil"/>
              <w:left w:val="nil"/>
              <w:bottom w:val="single" w:sz="6" w:space="0" w:color="000000"/>
              <w:right w:val="single" w:sz="6" w:space="0" w:color="000000"/>
            </w:tcBorders>
            <w:shd w:val="clear" w:color="auto" w:fill="auto"/>
            <w:vAlign w:val="center"/>
            <w:hideMark/>
          </w:tcPr>
          <w:p w14:paraId="1E451456" w14:textId="77777777" w:rsidR="00EB53AF" w:rsidRPr="00A7419D" w:rsidRDefault="00EB53AF" w:rsidP="00C83046">
            <w:pPr>
              <w:jc w:val="center"/>
              <w:textAlignment w:val="baseline"/>
              <w:rPr>
                <w:sz w:val="22"/>
                <w:szCs w:val="22"/>
              </w:rPr>
            </w:pPr>
            <w:r w:rsidRPr="00A7419D">
              <w:rPr>
                <w:sz w:val="22"/>
                <w:szCs w:val="22"/>
              </w:rPr>
              <w:t>Texas </w:t>
            </w:r>
          </w:p>
        </w:tc>
        <w:tc>
          <w:tcPr>
            <w:tcW w:w="1620" w:type="dxa"/>
            <w:tcBorders>
              <w:top w:val="nil"/>
              <w:left w:val="nil"/>
              <w:bottom w:val="single" w:sz="6" w:space="0" w:color="000000"/>
              <w:right w:val="single" w:sz="6" w:space="0" w:color="000000"/>
            </w:tcBorders>
            <w:shd w:val="clear" w:color="auto" w:fill="auto"/>
            <w:vAlign w:val="center"/>
            <w:hideMark/>
          </w:tcPr>
          <w:p w14:paraId="5B29FCBC" w14:textId="77777777" w:rsidR="00EB53AF" w:rsidRPr="00A7419D" w:rsidRDefault="00EB53AF" w:rsidP="00C83046">
            <w:pPr>
              <w:jc w:val="center"/>
              <w:textAlignment w:val="baseline"/>
              <w:rPr>
                <w:sz w:val="22"/>
                <w:szCs w:val="22"/>
              </w:rPr>
            </w:pPr>
            <w:r w:rsidRPr="00A7419D">
              <w:rPr>
                <w:sz w:val="22"/>
                <w:szCs w:val="22"/>
              </w:rPr>
              <w:t>Dallas  </w:t>
            </w:r>
          </w:p>
        </w:tc>
        <w:tc>
          <w:tcPr>
            <w:tcW w:w="1620" w:type="dxa"/>
            <w:tcBorders>
              <w:top w:val="single" w:sz="6" w:space="0" w:color="000000"/>
              <w:left w:val="nil"/>
              <w:bottom w:val="single" w:sz="6" w:space="0" w:color="000000"/>
              <w:right w:val="single" w:sz="4" w:space="0" w:color="auto"/>
            </w:tcBorders>
          </w:tcPr>
          <w:p w14:paraId="74D19BCC" w14:textId="77777777" w:rsidR="00EB53AF" w:rsidRPr="00A7419D" w:rsidRDefault="00EB53AF" w:rsidP="00C83046">
            <w:pPr>
              <w:jc w:val="center"/>
              <w:textAlignment w:val="baseline"/>
              <w:rPr>
                <w:sz w:val="22"/>
                <w:szCs w:val="22"/>
              </w:rPr>
            </w:pPr>
            <w:r w:rsidRPr="00A7419D">
              <w:rPr>
                <w:sz w:val="22"/>
                <w:szCs w:val="22"/>
              </w:rPr>
              <w:t>Dallas</w:t>
            </w:r>
          </w:p>
        </w:tc>
        <w:tc>
          <w:tcPr>
            <w:tcW w:w="1620" w:type="dxa"/>
            <w:tcBorders>
              <w:top w:val="nil"/>
              <w:left w:val="single" w:sz="4" w:space="0" w:color="auto"/>
              <w:bottom w:val="single" w:sz="6" w:space="0" w:color="000000"/>
              <w:right w:val="single" w:sz="6" w:space="0" w:color="000000"/>
            </w:tcBorders>
            <w:shd w:val="clear" w:color="auto" w:fill="auto"/>
            <w:vAlign w:val="center"/>
            <w:hideMark/>
          </w:tcPr>
          <w:p w14:paraId="2852E9B5" w14:textId="77777777" w:rsidR="00EB53AF" w:rsidRPr="00A7419D" w:rsidRDefault="00EB53AF" w:rsidP="00C83046">
            <w:pPr>
              <w:jc w:val="center"/>
              <w:textAlignment w:val="baseline"/>
              <w:rPr>
                <w:sz w:val="22"/>
                <w:szCs w:val="22"/>
              </w:rPr>
            </w:pPr>
            <w:r w:rsidRPr="00A7419D">
              <w:rPr>
                <w:sz w:val="22"/>
                <w:szCs w:val="22"/>
              </w:rPr>
              <w:t>5/1/2020 </w:t>
            </w:r>
          </w:p>
        </w:tc>
        <w:tc>
          <w:tcPr>
            <w:tcW w:w="1620" w:type="dxa"/>
            <w:tcBorders>
              <w:top w:val="nil"/>
              <w:left w:val="nil"/>
              <w:bottom w:val="single" w:sz="6" w:space="0" w:color="000000"/>
              <w:right w:val="single" w:sz="6" w:space="0" w:color="000000"/>
            </w:tcBorders>
            <w:shd w:val="clear" w:color="auto" w:fill="auto"/>
            <w:vAlign w:val="center"/>
            <w:hideMark/>
          </w:tcPr>
          <w:p w14:paraId="0FDC7D54" w14:textId="7F3CE159" w:rsidR="00EB53AF" w:rsidRPr="00A7419D" w:rsidRDefault="00EB53AF" w:rsidP="00EB53AF">
            <w:pPr>
              <w:jc w:val="center"/>
              <w:textAlignment w:val="baseline"/>
              <w:rPr>
                <w:sz w:val="22"/>
                <w:szCs w:val="22"/>
              </w:rPr>
            </w:pPr>
            <w:r w:rsidRPr="00A7419D">
              <w:rPr>
                <w:sz w:val="22"/>
                <w:szCs w:val="22"/>
              </w:rPr>
              <w:t>5/1/2020</w:t>
            </w:r>
          </w:p>
        </w:tc>
      </w:tr>
      <w:tr w:rsidR="00EB53AF" w:rsidRPr="00900AFD" w14:paraId="1DDC4075" w14:textId="77777777" w:rsidTr="00160EC5">
        <w:tc>
          <w:tcPr>
            <w:tcW w:w="1522" w:type="dxa"/>
            <w:tcBorders>
              <w:top w:val="nil"/>
              <w:left w:val="single" w:sz="6" w:space="0" w:color="000000"/>
              <w:bottom w:val="single" w:sz="6" w:space="0" w:color="000000"/>
              <w:right w:val="single" w:sz="6" w:space="0" w:color="000000"/>
            </w:tcBorders>
            <w:shd w:val="clear" w:color="auto" w:fill="auto"/>
            <w:vAlign w:val="center"/>
            <w:hideMark/>
          </w:tcPr>
          <w:p w14:paraId="204FFA8B" w14:textId="77777777" w:rsidR="00EB53AF" w:rsidRPr="00A7419D" w:rsidRDefault="00EB53AF" w:rsidP="00C83046">
            <w:pPr>
              <w:jc w:val="center"/>
              <w:textAlignment w:val="baseline"/>
              <w:rPr>
                <w:sz w:val="22"/>
                <w:szCs w:val="22"/>
              </w:rPr>
            </w:pPr>
            <w:r w:rsidRPr="00A7419D">
              <w:rPr>
                <w:color w:val="002060"/>
                <w:sz w:val="22"/>
                <w:szCs w:val="22"/>
              </w:rPr>
              <w:t>Comparison</w:t>
            </w:r>
          </w:p>
        </w:tc>
        <w:tc>
          <w:tcPr>
            <w:tcW w:w="1440" w:type="dxa"/>
            <w:tcBorders>
              <w:top w:val="nil"/>
              <w:left w:val="nil"/>
              <w:bottom w:val="single" w:sz="6" w:space="0" w:color="000000"/>
              <w:right w:val="single" w:sz="6" w:space="0" w:color="000000"/>
            </w:tcBorders>
            <w:shd w:val="clear" w:color="auto" w:fill="auto"/>
            <w:vAlign w:val="center"/>
            <w:hideMark/>
          </w:tcPr>
          <w:p w14:paraId="374B68F5" w14:textId="77777777" w:rsidR="00EB53AF" w:rsidRPr="00A7419D" w:rsidRDefault="00EB53AF" w:rsidP="00C83046">
            <w:pPr>
              <w:jc w:val="center"/>
              <w:textAlignment w:val="baseline"/>
              <w:rPr>
                <w:sz w:val="22"/>
                <w:szCs w:val="22"/>
              </w:rPr>
            </w:pPr>
            <w:r w:rsidRPr="00A7419D">
              <w:rPr>
                <w:sz w:val="22"/>
                <w:szCs w:val="22"/>
              </w:rPr>
              <w:t>Texas </w:t>
            </w:r>
          </w:p>
        </w:tc>
        <w:tc>
          <w:tcPr>
            <w:tcW w:w="1620" w:type="dxa"/>
            <w:tcBorders>
              <w:top w:val="nil"/>
              <w:left w:val="nil"/>
              <w:bottom w:val="single" w:sz="6" w:space="0" w:color="000000"/>
              <w:right w:val="single" w:sz="6" w:space="0" w:color="000000"/>
            </w:tcBorders>
            <w:shd w:val="clear" w:color="auto" w:fill="auto"/>
            <w:vAlign w:val="center"/>
            <w:hideMark/>
          </w:tcPr>
          <w:p w14:paraId="63065D43" w14:textId="77777777" w:rsidR="00EB53AF" w:rsidRPr="00A7419D" w:rsidRDefault="00EB53AF" w:rsidP="00C83046">
            <w:pPr>
              <w:jc w:val="center"/>
              <w:textAlignment w:val="baseline"/>
              <w:rPr>
                <w:sz w:val="22"/>
                <w:szCs w:val="22"/>
              </w:rPr>
            </w:pPr>
            <w:r w:rsidRPr="00A7419D">
              <w:rPr>
                <w:sz w:val="22"/>
                <w:szCs w:val="22"/>
              </w:rPr>
              <w:t>Houston *</w:t>
            </w:r>
          </w:p>
        </w:tc>
        <w:tc>
          <w:tcPr>
            <w:tcW w:w="1620" w:type="dxa"/>
            <w:tcBorders>
              <w:top w:val="single" w:sz="6" w:space="0" w:color="000000"/>
              <w:left w:val="nil"/>
              <w:bottom w:val="single" w:sz="6" w:space="0" w:color="000000"/>
              <w:right w:val="single" w:sz="4" w:space="0" w:color="auto"/>
            </w:tcBorders>
          </w:tcPr>
          <w:p w14:paraId="0634C084" w14:textId="77777777" w:rsidR="00EB53AF" w:rsidRPr="00A7419D" w:rsidRDefault="00EB53AF" w:rsidP="00C83046">
            <w:pPr>
              <w:jc w:val="center"/>
              <w:textAlignment w:val="baseline"/>
              <w:rPr>
                <w:sz w:val="22"/>
                <w:szCs w:val="22"/>
              </w:rPr>
            </w:pPr>
            <w:r w:rsidRPr="00A7419D">
              <w:rPr>
                <w:sz w:val="22"/>
                <w:szCs w:val="22"/>
              </w:rPr>
              <w:t>Harris</w:t>
            </w:r>
          </w:p>
        </w:tc>
        <w:tc>
          <w:tcPr>
            <w:tcW w:w="1620" w:type="dxa"/>
            <w:tcBorders>
              <w:top w:val="nil"/>
              <w:left w:val="single" w:sz="4" w:space="0" w:color="auto"/>
              <w:bottom w:val="single" w:sz="6" w:space="0" w:color="000000"/>
              <w:right w:val="single" w:sz="6" w:space="0" w:color="000000"/>
            </w:tcBorders>
            <w:shd w:val="clear" w:color="auto" w:fill="auto"/>
            <w:vAlign w:val="center"/>
            <w:hideMark/>
          </w:tcPr>
          <w:p w14:paraId="30CA2E05" w14:textId="77777777" w:rsidR="00EB53AF" w:rsidRPr="00A7419D" w:rsidRDefault="00EB53AF" w:rsidP="00C83046">
            <w:pPr>
              <w:jc w:val="center"/>
              <w:textAlignment w:val="baseline"/>
              <w:rPr>
                <w:sz w:val="22"/>
                <w:szCs w:val="22"/>
              </w:rPr>
            </w:pPr>
            <w:r w:rsidRPr="00A7419D">
              <w:rPr>
                <w:sz w:val="22"/>
                <w:szCs w:val="22"/>
              </w:rPr>
              <w:t>5/1/2020 </w:t>
            </w:r>
          </w:p>
        </w:tc>
        <w:tc>
          <w:tcPr>
            <w:tcW w:w="1620" w:type="dxa"/>
            <w:tcBorders>
              <w:top w:val="nil"/>
              <w:left w:val="nil"/>
              <w:bottom w:val="single" w:sz="6" w:space="0" w:color="000000"/>
              <w:right w:val="single" w:sz="6" w:space="0" w:color="000000"/>
            </w:tcBorders>
            <w:shd w:val="clear" w:color="auto" w:fill="auto"/>
            <w:vAlign w:val="center"/>
            <w:hideMark/>
          </w:tcPr>
          <w:p w14:paraId="575433C8" w14:textId="5D9E1D33" w:rsidR="00EB53AF" w:rsidRPr="00A7419D" w:rsidRDefault="00EB53AF" w:rsidP="00EB53AF">
            <w:pPr>
              <w:jc w:val="center"/>
              <w:textAlignment w:val="baseline"/>
              <w:rPr>
                <w:sz w:val="22"/>
                <w:szCs w:val="22"/>
              </w:rPr>
            </w:pPr>
            <w:r w:rsidRPr="00A7419D">
              <w:rPr>
                <w:sz w:val="22"/>
                <w:szCs w:val="22"/>
              </w:rPr>
              <w:t>5/1/2020</w:t>
            </w:r>
          </w:p>
        </w:tc>
      </w:tr>
      <w:tr w:rsidR="00EB53AF" w:rsidRPr="00900AFD" w14:paraId="22F71876" w14:textId="77777777" w:rsidTr="00160EC5">
        <w:tc>
          <w:tcPr>
            <w:tcW w:w="1522" w:type="dxa"/>
            <w:tcBorders>
              <w:top w:val="nil"/>
              <w:left w:val="single" w:sz="6" w:space="0" w:color="000000"/>
              <w:bottom w:val="single" w:sz="6" w:space="0" w:color="000000"/>
              <w:right w:val="single" w:sz="6" w:space="0" w:color="000000"/>
            </w:tcBorders>
            <w:shd w:val="clear" w:color="auto" w:fill="auto"/>
            <w:vAlign w:val="center"/>
            <w:hideMark/>
          </w:tcPr>
          <w:p w14:paraId="25A17E74" w14:textId="77777777" w:rsidR="00EB53AF" w:rsidRPr="00A7419D" w:rsidRDefault="00EB53AF" w:rsidP="00C83046">
            <w:pPr>
              <w:jc w:val="center"/>
              <w:textAlignment w:val="baseline"/>
              <w:rPr>
                <w:sz w:val="22"/>
                <w:szCs w:val="22"/>
              </w:rPr>
            </w:pPr>
            <w:r w:rsidRPr="00A7419D">
              <w:rPr>
                <w:color w:val="002060"/>
                <w:sz w:val="22"/>
                <w:szCs w:val="22"/>
              </w:rPr>
              <w:t>Comparison</w:t>
            </w:r>
          </w:p>
        </w:tc>
        <w:tc>
          <w:tcPr>
            <w:tcW w:w="1440" w:type="dxa"/>
            <w:tcBorders>
              <w:top w:val="nil"/>
              <w:left w:val="nil"/>
              <w:bottom w:val="single" w:sz="6" w:space="0" w:color="000000"/>
              <w:right w:val="single" w:sz="6" w:space="0" w:color="000000"/>
            </w:tcBorders>
            <w:shd w:val="clear" w:color="auto" w:fill="auto"/>
            <w:vAlign w:val="center"/>
            <w:hideMark/>
          </w:tcPr>
          <w:p w14:paraId="3F7CF997" w14:textId="77777777" w:rsidR="00EB53AF" w:rsidRPr="00A7419D" w:rsidRDefault="00EB53AF" w:rsidP="00C83046">
            <w:pPr>
              <w:jc w:val="center"/>
              <w:textAlignment w:val="baseline"/>
              <w:rPr>
                <w:sz w:val="22"/>
                <w:szCs w:val="22"/>
              </w:rPr>
            </w:pPr>
            <w:r w:rsidRPr="00A7419D">
              <w:rPr>
                <w:sz w:val="22"/>
                <w:szCs w:val="22"/>
              </w:rPr>
              <w:t>Texas </w:t>
            </w:r>
          </w:p>
        </w:tc>
        <w:tc>
          <w:tcPr>
            <w:tcW w:w="1620" w:type="dxa"/>
            <w:tcBorders>
              <w:top w:val="nil"/>
              <w:left w:val="nil"/>
              <w:bottom w:val="single" w:sz="6" w:space="0" w:color="000000"/>
              <w:right w:val="single" w:sz="6" w:space="0" w:color="000000"/>
            </w:tcBorders>
            <w:shd w:val="clear" w:color="auto" w:fill="auto"/>
            <w:vAlign w:val="center"/>
            <w:hideMark/>
          </w:tcPr>
          <w:p w14:paraId="387FDA57" w14:textId="77777777" w:rsidR="00EB53AF" w:rsidRPr="00A7419D" w:rsidRDefault="00EB53AF" w:rsidP="00C83046">
            <w:pPr>
              <w:jc w:val="center"/>
              <w:textAlignment w:val="baseline"/>
              <w:rPr>
                <w:sz w:val="22"/>
                <w:szCs w:val="22"/>
              </w:rPr>
            </w:pPr>
            <w:r w:rsidRPr="00A7419D">
              <w:rPr>
                <w:sz w:val="22"/>
                <w:szCs w:val="22"/>
              </w:rPr>
              <w:t>San Antonio*  </w:t>
            </w:r>
          </w:p>
        </w:tc>
        <w:tc>
          <w:tcPr>
            <w:tcW w:w="1620" w:type="dxa"/>
            <w:tcBorders>
              <w:top w:val="single" w:sz="6" w:space="0" w:color="000000"/>
              <w:left w:val="nil"/>
              <w:bottom w:val="single" w:sz="6" w:space="0" w:color="000000"/>
              <w:right w:val="single" w:sz="4" w:space="0" w:color="auto"/>
            </w:tcBorders>
          </w:tcPr>
          <w:p w14:paraId="1BE81632" w14:textId="77777777" w:rsidR="00EB53AF" w:rsidRPr="00A7419D" w:rsidRDefault="00EB53AF" w:rsidP="00C83046">
            <w:pPr>
              <w:jc w:val="center"/>
              <w:textAlignment w:val="baseline"/>
              <w:rPr>
                <w:sz w:val="22"/>
                <w:szCs w:val="22"/>
              </w:rPr>
            </w:pPr>
            <w:r w:rsidRPr="00A7419D">
              <w:rPr>
                <w:sz w:val="22"/>
                <w:szCs w:val="22"/>
              </w:rPr>
              <w:t>Bexar</w:t>
            </w:r>
          </w:p>
        </w:tc>
        <w:tc>
          <w:tcPr>
            <w:tcW w:w="1620" w:type="dxa"/>
            <w:tcBorders>
              <w:top w:val="nil"/>
              <w:left w:val="single" w:sz="4" w:space="0" w:color="auto"/>
              <w:bottom w:val="single" w:sz="6" w:space="0" w:color="000000"/>
              <w:right w:val="single" w:sz="6" w:space="0" w:color="000000"/>
            </w:tcBorders>
            <w:shd w:val="clear" w:color="auto" w:fill="auto"/>
            <w:vAlign w:val="center"/>
            <w:hideMark/>
          </w:tcPr>
          <w:p w14:paraId="31A846CB" w14:textId="77777777" w:rsidR="00EB53AF" w:rsidRPr="00A7419D" w:rsidRDefault="00EB53AF" w:rsidP="00C83046">
            <w:pPr>
              <w:jc w:val="center"/>
              <w:textAlignment w:val="baseline"/>
              <w:rPr>
                <w:sz w:val="22"/>
                <w:szCs w:val="22"/>
              </w:rPr>
            </w:pPr>
            <w:r w:rsidRPr="00A7419D">
              <w:rPr>
                <w:sz w:val="22"/>
                <w:szCs w:val="22"/>
              </w:rPr>
              <w:t>5/1/2020 </w:t>
            </w:r>
          </w:p>
        </w:tc>
        <w:tc>
          <w:tcPr>
            <w:tcW w:w="1620" w:type="dxa"/>
            <w:tcBorders>
              <w:top w:val="nil"/>
              <w:left w:val="nil"/>
              <w:bottom w:val="single" w:sz="6" w:space="0" w:color="000000"/>
              <w:right w:val="single" w:sz="6" w:space="0" w:color="000000"/>
            </w:tcBorders>
            <w:shd w:val="clear" w:color="auto" w:fill="auto"/>
            <w:vAlign w:val="center"/>
            <w:hideMark/>
          </w:tcPr>
          <w:p w14:paraId="1FB0B04A" w14:textId="15D30FC3" w:rsidR="00EB53AF" w:rsidRPr="00A7419D" w:rsidRDefault="00EB53AF" w:rsidP="00EB53AF">
            <w:pPr>
              <w:jc w:val="center"/>
              <w:textAlignment w:val="baseline"/>
              <w:rPr>
                <w:sz w:val="22"/>
                <w:szCs w:val="22"/>
              </w:rPr>
            </w:pPr>
            <w:r w:rsidRPr="00A7419D">
              <w:rPr>
                <w:sz w:val="22"/>
                <w:szCs w:val="22"/>
              </w:rPr>
              <w:t>5/1/2020</w:t>
            </w:r>
          </w:p>
        </w:tc>
      </w:tr>
    </w:tbl>
    <w:p w14:paraId="7C72249B" w14:textId="32B17952" w:rsidR="00524B3C" w:rsidRPr="00A14B7A" w:rsidRDefault="00524B3C" w:rsidP="00524B3C">
      <w:pPr>
        <w:rPr>
          <w:rStyle w:val="eop"/>
          <w:color w:val="000000"/>
          <w:sz w:val="22"/>
          <w:szCs w:val="22"/>
          <w:shd w:val="clear" w:color="auto" w:fill="FFFFFF"/>
        </w:rPr>
        <w:sectPr w:rsidR="00524B3C" w:rsidRPr="00A14B7A" w:rsidSect="00C83046">
          <w:footerReference w:type="default" r:id="rId9"/>
          <w:pgSz w:w="12240" w:h="15840"/>
          <w:pgMar w:top="1440" w:right="1440" w:bottom="1440" w:left="1440" w:header="720" w:footer="720" w:gutter="0"/>
          <w:cols w:space="720"/>
          <w:docGrid w:linePitch="360"/>
        </w:sectPr>
      </w:pPr>
      <w:r w:rsidRPr="00A14B7A">
        <w:rPr>
          <w:sz w:val="22"/>
          <w:szCs w:val="22"/>
        </w:rPr>
        <w:t>We collect</w:t>
      </w:r>
      <w:r>
        <w:rPr>
          <w:sz w:val="22"/>
          <w:szCs w:val="22"/>
        </w:rPr>
        <w:t>ed</w:t>
      </w:r>
      <w:r w:rsidRPr="00A14B7A">
        <w:rPr>
          <w:sz w:val="22"/>
          <w:szCs w:val="22"/>
        </w:rPr>
        <w:t xml:space="preserve"> information on statewide and city/county </w:t>
      </w:r>
      <w:r>
        <w:rPr>
          <w:sz w:val="22"/>
          <w:szCs w:val="22"/>
        </w:rPr>
        <w:t xml:space="preserve">indoor dining </w:t>
      </w:r>
      <w:r w:rsidRPr="00A14B7A">
        <w:rPr>
          <w:sz w:val="22"/>
          <w:szCs w:val="22"/>
        </w:rPr>
        <w:t xml:space="preserve">orders </w:t>
      </w:r>
      <w:r>
        <w:rPr>
          <w:sz w:val="22"/>
          <w:szCs w:val="22"/>
        </w:rPr>
        <w:t>by</w:t>
      </w:r>
      <w:r w:rsidRPr="00A14B7A">
        <w:rPr>
          <w:sz w:val="22"/>
          <w:szCs w:val="22"/>
        </w:rPr>
        <w:t xml:space="preserve"> searching multiple publicly available databases, and state/city website listing these orders and reviewing state/city orders issued between April 1 and September 30. Our search includes city, county, or state orders signed by Governors, Mayors, or judges. </w:t>
      </w:r>
      <w:r w:rsidRPr="00A14B7A">
        <w:rPr>
          <w:rStyle w:val="eop"/>
          <w:color w:val="000000"/>
          <w:sz w:val="22"/>
          <w:szCs w:val="22"/>
          <w:shd w:val="clear" w:color="auto" w:fill="FFFFFF"/>
        </w:rPr>
        <w:t>* indicates cities that share contiguous boundaries with the county</w:t>
      </w:r>
      <w:r w:rsidRPr="00A14B7A">
        <w:rPr>
          <w:rStyle w:val="eop"/>
          <w:color w:val="000000"/>
          <w:sz w:val="22"/>
          <w:szCs w:val="22"/>
          <w:shd w:val="clear" w:color="auto" w:fill="FFFFFF"/>
        </w:rPr>
        <w:br w:type="page"/>
      </w:r>
    </w:p>
    <w:p w14:paraId="41F341EC" w14:textId="4289873D" w:rsidR="00524B3C" w:rsidRPr="007132B8" w:rsidRDefault="00524B3C" w:rsidP="00524B3C">
      <w:pPr>
        <w:pStyle w:val="Heading2"/>
        <w:rPr>
          <w:rStyle w:val="eop"/>
          <w:rFonts w:ascii="Times New Roman" w:hAnsi="Times New Roman" w:cs="Times New Roman"/>
          <w:color w:val="auto"/>
          <w:sz w:val="24"/>
          <w:szCs w:val="24"/>
          <w:shd w:val="clear" w:color="auto" w:fill="FFFFFF"/>
        </w:rPr>
      </w:pPr>
      <w:bookmarkStart w:id="3" w:name="_Toc68877756"/>
      <w:r w:rsidRPr="007132B8">
        <w:rPr>
          <w:rStyle w:val="eop"/>
          <w:rFonts w:ascii="Times New Roman" w:hAnsi="Times New Roman" w:cs="Times New Roman"/>
          <w:color w:val="auto"/>
          <w:sz w:val="24"/>
          <w:szCs w:val="24"/>
          <w:shd w:val="clear" w:color="auto" w:fill="FFFFFF"/>
        </w:rPr>
        <w:lastRenderedPageBreak/>
        <w:t>Appendix</w:t>
      </w:r>
      <w:r w:rsidR="000858EF">
        <w:rPr>
          <w:rStyle w:val="eop"/>
          <w:rFonts w:ascii="Times New Roman" w:hAnsi="Times New Roman" w:cs="Times New Roman"/>
          <w:color w:val="auto"/>
          <w:sz w:val="24"/>
          <w:szCs w:val="24"/>
          <w:shd w:val="clear" w:color="auto" w:fill="FFFFFF"/>
        </w:rPr>
        <w:t xml:space="preserve"> </w:t>
      </w:r>
      <w:r w:rsidR="00772C8D">
        <w:rPr>
          <w:rStyle w:val="eop"/>
          <w:rFonts w:ascii="Times New Roman" w:hAnsi="Times New Roman" w:cs="Times New Roman"/>
          <w:color w:val="auto"/>
          <w:sz w:val="24"/>
          <w:szCs w:val="24"/>
          <w:shd w:val="clear" w:color="auto" w:fill="FFFFFF"/>
        </w:rPr>
        <w:t xml:space="preserve">Table </w:t>
      </w:r>
      <w:r w:rsidRPr="007132B8">
        <w:rPr>
          <w:rStyle w:val="eop"/>
          <w:rFonts w:ascii="Times New Roman" w:hAnsi="Times New Roman" w:cs="Times New Roman"/>
          <w:color w:val="auto"/>
          <w:sz w:val="24"/>
          <w:szCs w:val="24"/>
          <w:shd w:val="clear" w:color="auto" w:fill="FFFFFF"/>
        </w:rPr>
        <w:t>A</w:t>
      </w:r>
      <w:r w:rsidR="00E82298">
        <w:rPr>
          <w:rStyle w:val="eop"/>
          <w:rFonts w:ascii="Times New Roman" w:hAnsi="Times New Roman" w:cs="Times New Roman"/>
          <w:color w:val="auto"/>
          <w:sz w:val="24"/>
          <w:szCs w:val="24"/>
          <w:shd w:val="clear" w:color="auto" w:fill="FFFFFF"/>
        </w:rPr>
        <w:t>3</w:t>
      </w:r>
      <w:r w:rsidRPr="007132B8">
        <w:rPr>
          <w:rStyle w:val="eop"/>
          <w:rFonts w:ascii="Times New Roman" w:hAnsi="Times New Roman" w:cs="Times New Roman"/>
          <w:color w:val="auto"/>
          <w:sz w:val="24"/>
          <w:szCs w:val="24"/>
          <w:shd w:val="clear" w:color="auto" w:fill="FFFFFF"/>
        </w:rPr>
        <w:t>: Dates of City and State Non-Pharmaceutical Interventions</w:t>
      </w:r>
      <w:bookmarkEnd w:id="3"/>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3"/>
        <w:gridCol w:w="15"/>
        <w:gridCol w:w="1244"/>
        <w:gridCol w:w="54"/>
        <w:gridCol w:w="1206"/>
        <w:gridCol w:w="1080"/>
        <w:gridCol w:w="1080"/>
        <w:gridCol w:w="1080"/>
        <w:gridCol w:w="1070"/>
        <w:gridCol w:w="1044"/>
        <w:gridCol w:w="1218"/>
        <w:gridCol w:w="1218"/>
        <w:gridCol w:w="1472"/>
      </w:tblGrid>
      <w:tr w:rsidR="00E32CC0" w:rsidRPr="009204B1" w14:paraId="602D16DB" w14:textId="77777777" w:rsidTr="002F5D49">
        <w:tc>
          <w:tcPr>
            <w:tcW w:w="1163" w:type="dxa"/>
            <w:tcBorders>
              <w:top w:val="single" w:sz="6" w:space="0" w:color="000000"/>
              <w:left w:val="single" w:sz="6" w:space="0" w:color="000000"/>
              <w:bottom w:val="single" w:sz="6" w:space="0" w:color="000000"/>
              <w:right w:val="single" w:sz="6" w:space="0" w:color="000000"/>
            </w:tcBorders>
            <w:shd w:val="clear" w:color="auto" w:fill="002060"/>
          </w:tcPr>
          <w:p w14:paraId="2C34DF11" w14:textId="77777777" w:rsidR="00E32CC0" w:rsidRPr="009204B1" w:rsidRDefault="00E32CC0" w:rsidP="00C83046">
            <w:pPr>
              <w:jc w:val="center"/>
              <w:textAlignment w:val="baseline"/>
              <w:rPr>
                <w:b/>
                <w:bCs/>
                <w:sz w:val="22"/>
                <w:szCs w:val="22"/>
              </w:rPr>
            </w:pPr>
          </w:p>
        </w:tc>
        <w:tc>
          <w:tcPr>
            <w:tcW w:w="1313" w:type="dxa"/>
            <w:gridSpan w:val="3"/>
            <w:tcBorders>
              <w:top w:val="single" w:sz="6" w:space="0" w:color="000000"/>
              <w:left w:val="single" w:sz="6" w:space="0" w:color="000000"/>
              <w:bottom w:val="single" w:sz="6" w:space="0" w:color="000000"/>
              <w:right w:val="single" w:sz="6" w:space="0" w:color="000000"/>
            </w:tcBorders>
            <w:shd w:val="clear" w:color="auto" w:fill="002060"/>
          </w:tcPr>
          <w:p w14:paraId="7A57A6A8" w14:textId="77777777" w:rsidR="00E32CC0" w:rsidRPr="0067034D" w:rsidRDefault="00E32CC0" w:rsidP="00C83046">
            <w:pPr>
              <w:jc w:val="center"/>
              <w:textAlignment w:val="baseline"/>
              <w:rPr>
                <w:rFonts w:asciiTheme="minorHAnsi" w:hAnsiTheme="minorHAnsi"/>
                <w:b/>
                <w:bCs/>
                <w:sz w:val="22"/>
                <w:szCs w:val="22"/>
              </w:rPr>
            </w:pPr>
          </w:p>
        </w:tc>
        <w:tc>
          <w:tcPr>
            <w:tcW w:w="8996" w:type="dxa"/>
            <w:gridSpan w:val="8"/>
            <w:tcBorders>
              <w:top w:val="single" w:sz="6" w:space="0" w:color="000000"/>
              <w:left w:val="single" w:sz="6" w:space="0" w:color="000000"/>
              <w:bottom w:val="single" w:sz="6" w:space="0" w:color="000000"/>
              <w:right w:val="single" w:sz="6" w:space="0" w:color="000000"/>
            </w:tcBorders>
            <w:shd w:val="clear" w:color="auto" w:fill="002060"/>
            <w:hideMark/>
          </w:tcPr>
          <w:p w14:paraId="035E4AF9" w14:textId="5A75F57D" w:rsidR="00E32CC0" w:rsidRPr="0067034D" w:rsidRDefault="00E32CC0" w:rsidP="00C83046">
            <w:pPr>
              <w:jc w:val="center"/>
              <w:textAlignment w:val="baseline"/>
              <w:rPr>
                <w:rFonts w:asciiTheme="minorHAnsi" w:hAnsiTheme="minorHAnsi"/>
                <w:sz w:val="22"/>
                <w:szCs w:val="22"/>
              </w:rPr>
            </w:pPr>
            <w:r w:rsidRPr="0067034D">
              <w:rPr>
                <w:rFonts w:asciiTheme="minorHAnsi" w:hAnsiTheme="minorHAnsi"/>
                <w:b/>
                <w:bCs/>
                <w:sz w:val="22"/>
                <w:szCs w:val="22"/>
              </w:rPr>
              <w:t>City and State NPIs-Stay-At-Home Orders, Mask Mandates, &amp; Eviction Moratoriums  </w:t>
            </w:r>
            <w:r w:rsidRPr="0067034D">
              <w:rPr>
                <w:rFonts w:asciiTheme="minorHAnsi" w:hAnsiTheme="minorHAnsi"/>
                <w:sz w:val="22"/>
                <w:szCs w:val="22"/>
              </w:rPr>
              <w:t> </w:t>
            </w:r>
          </w:p>
        </w:tc>
        <w:tc>
          <w:tcPr>
            <w:tcW w:w="1472" w:type="dxa"/>
            <w:tcBorders>
              <w:top w:val="single" w:sz="6" w:space="0" w:color="000000"/>
              <w:left w:val="single" w:sz="6" w:space="0" w:color="000000"/>
              <w:bottom w:val="single" w:sz="6" w:space="0" w:color="000000"/>
              <w:right w:val="single" w:sz="6" w:space="0" w:color="000000"/>
            </w:tcBorders>
            <w:shd w:val="clear" w:color="auto" w:fill="002060"/>
          </w:tcPr>
          <w:p w14:paraId="536EE3FC" w14:textId="77777777" w:rsidR="00E32CC0" w:rsidRPr="0067034D" w:rsidRDefault="00E32CC0" w:rsidP="00C83046">
            <w:pPr>
              <w:jc w:val="center"/>
              <w:textAlignment w:val="baseline"/>
              <w:rPr>
                <w:rFonts w:asciiTheme="minorHAnsi" w:hAnsiTheme="minorHAnsi"/>
                <w:b/>
                <w:bCs/>
                <w:sz w:val="22"/>
                <w:szCs w:val="22"/>
              </w:rPr>
            </w:pPr>
          </w:p>
        </w:tc>
      </w:tr>
      <w:tr w:rsidR="002F5D49" w:rsidRPr="009204B1" w14:paraId="5649F775" w14:textId="77777777" w:rsidTr="002F5D49">
        <w:trPr>
          <w:trHeight w:val="600"/>
        </w:trPr>
        <w:tc>
          <w:tcPr>
            <w:tcW w:w="1178" w:type="dxa"/>
            <w:gridSpan w:val="2"/>
            <w:tcBorders>
              <w:top w:val="nil"/>
              <w:left w:val="single" w:sz="6" w:space="0" w:color="000000"/>
              <w:bottom w:val="single" w:sz="6" w:space="0" w:color="000000"/>
              <w:right w:val="single" w:sz="6" w:space="0" w:color="000000"/>
            </w:tcBorders>
            <w:shd w:val="clear" w:color="auto" w:fill="D5DCE4"/>
            <w:vAlign w:val="center"/>
            <w:hideMark/>
          </w:tcPr>
          <w:p w14:paraId="3CD2C75F" w14:textId="77777777" w:rsidR="00E32CC0" w:rsidRPr="0067034D" w:rsidRDefault="00E32CC0" w:rsidP="00C83046">
            <w:pPr>
              <w:jc w:val="center"/>
              <w:textAlignment w:val="baseline"/>
              <w:rPr>
                <w:rFonts w:asciiTheme="minorHAnsi" w:hAnsiTheme="minorHAnsi"/>
                <w:sz w:val="22"/>
                <w:szCs w:val="22"/>
              </w:rPr>
            </w:pPr>
            <w:r w:rsidRPr="0067034D">
              <w:rPr>
                <w:rFonts w:asciiTheme="minorHAnsi" w:hAnsiTheme="minorHAnsi"/>
                <w:b/>
                <w:bCs/>
                <w:sz w:val="22"/>
                <w:szCs w:val="22"/>
              </w:rPr>
              <w:t>Group</w:t>
            </w:r>
            <w:r w:rsidRPr="0067034D">
              <w:rPr>
                <w:rFonts w:asciiTheme="minorHAnsi" w:hAnsiTheme="minorHAnsi"/>
                <w:sz w:val="22"/>
                <w:szCs w:val="22"/>
              </w:rPr>
              <w:t> </w:t>
            </w:r>
          </w:p>
        </w:tc>
        <w:tc>
          <w:tcPr>
            <w:tcW w:w="1244" w:type="dxa"/>
            <w:tcBorders>
              <w:top w:val="nil"/>
              <w:left w:val="nil"/>
              <w:bottom w:val="single" w:sz="6" w:space="0" w:color="000000"/>
              <w:right w:val="single" w:sz="6" w:space="0" w:color="000000"/>
            </w:tcBorders>
            <w:shd w:val="clear" w:color="auto" w:fill="D5DCE4"/>
            <w:vAlign w:val="center"/>
            <w:hideMark/>
          </w:tcPr>
          <w:p w14:paraId="7D374BFE" w14:textId="77777777" w:rsidR="00E32CC0" w:rsidRPr="0067034D" w:rsidRDefault="00E32CC0" w:rsidP="00C83046">
            <w:pPr>
              <w:jc w:val="center"/>
              <w:textAlignment w:val="baseline"/>
              <w:rPr>
                <w:rFonts w:asciiTheme="minorHAnsi" w:hAnsiTheme="minorHAnsi"/>
                <w:sz w:val="22"/>
                <w:szCs w:val="22"/>
              </w:rPr>
            </w:pPr>
            <w:r w:rsidRPr="0067034D">
              <w:rPr>
                <w:rFonts w:asciiTheme="minorHAnsi" w:hAnsiTheme="minorHAnsi"/>
                <w:b/>
                <w:bCs/>
                <w:sz w:val="22"/>
                <w:szCs w:val="22"/>
              </w:rPr>
              <w:t>State</w:t>
            </w:r>
            <w:r w:rsidRPr="0067034D">
              <w:rPr>
                <w:rFonts w:asciiTheme="minorHAnsi" w:hAnsiTheme="minorHAnsi"/>
                <w:sz w:val="22"/>
                <w:szCs w:val="22"/>
              </w:rPr>
              <w:t> </w:t>
            </w:r>
          </w:p>
        </w:tc>
        <w:tc>
          <w:tcPr>
            <w:tcW w:w="1260" w:type="dxa"/>
            <w:gridSpan w:val="2"/>
            <w:tcBorders>
              <w:top w:val="nil"/>
              <w:left w:val="nil"/>
              <w:bottom w:val="single" w:sz="6" w:space="0" w:color="000000"/>
              <w:right w:val="single" w:sz="6" w:space="0" w:color="000000"/>
            </w:tcBorders>
            <w:shd w:val="clear" w:color="auto" w:fill="D5DCE4"/>
            <w:vAlign w:val="center"/>
            <w:hideMark/>
          </w:tcPr>
          <w:p w14:paraId="4D6B5039" w14:textId="77777777" w:rsidR="00E32CC0" w:rsidRPr="0067034D" w:rsidRDefault="00E32CC0" w:rsidP="00C83046">
            <w:pPr>
              <w:jc w:val="center"/>
              <w:textAlignment w:val="baseline"/>
              <w:rPr>
                <w:rFonts w:asciiTheme="minorHAnsi" w:hAnsiTheme="minorHAnsi"/>
                <w:sz w:val="22"/>
                <w:szCs w:val="22"/>
              </w:rPr>
            </w:pPr>
            <w:r w:rsidRPr="0067034D">
              <w:rPr>
                <w:rFonts w:asciiTheme="minorHAnsi" w:hAnsiTheme="minorHAnsi"/>
                <w:b/>
                <w:bCs/>
                <w:sz w:val="22"/>
                <w:szCs w:val="22"/>
              </w:rPr>
              <w:t>City </w:t>
            </w:r>
            <w:r w:rsidRPr="0067034D">
              <w:rPr>
                <w:rFonts w:asciiTheme="minorHAnsi" w:hAnsiTheme="minorHAnsi"/>
                <w:sz w:val="22"/>
                <w:szCs w:val="22"/>
              </w:rPr>
              <w:t> </w:t>
            </w:r>
          </w:p>
        </w:tc>
        <w:tc>
          <w:tcPr>
            <w:tcW w:w="1080" w:type="dxa"/>
            <w:tcBorders>
              <w:top w:val="nil"/>
              <w:left w:val="nil"/>
              <w:bottom w:val="single" w:sz="6" w:space="0" w:color="000000"/>
              <w:right w:val="single" w:sz="4" w:space="0" w:color="auto"/>
            </w:tcBorders>
            <w:shd w:val="clear" w:color="auto" w:fill="D5DCE4"/>
          </w:tcPr>
          <w:p w14:paraId="1EA00129" w14:textId="6408100B" w:rsidR="00E32CC0" w:rsidRPr="0067034D" w:rsidRDefault="00E32CC0" w:rsidP="00C83046">
            <w:pPr>
              <w:jc w:val="center"/>
              <w:textAlignment w:val="baseline"/>
              <w:rPr>
                <w:rFonts w:asciiTheme="minorHAnsi" w:hAnsiTheme="minorHAnsi"/>
                <w:b/>
                <w:bCs/>
                <w:sz w:val="22"/>
                <w:szCs w:val="22"/>
              </w:rPr>
            </w:pPr>
            <w:r>
              <w:rPr>
                <w:rFonts w:asciiTheme="minorHAnsi" w:hAnsiTheme="minorHAnsi"/>
                <w:b/>
                <w:bCs/>
                <w:sz w:val="22"/>
                <w:szCs w:val="22"/>
              </w:rPr>
              <w:t xml:space="preserve">Date </w:t>
            </w:r>
            <w:r w:rsidR="002F5D49">
              <w:rPr>
                <w:rFonts w:asciiTheme="minorHAnsi" w:hAnsiTheme="minorHAnsi"/>
                <w:b/>
                <w:bCs/>
                <w:sz w:val="22"/>
                <w:szCs w:val="22"/>
              </w:rPr>
              <w:t xml:space="preserve">City Closed </w:t>
            </w:r>
            <w:r>
              <w:rPr>
                <w:rFonts w:asciiTheme="minorHAnsi" w:hAnsiTheme="minorHAnsi"/>
                <w:b/>
                <w:bCs/>
                <w:sz w:val="22"/>
                <w:szCs w:val="22"/>
              </w:rPr>
              <w:t>Indoor Din</w:t>
            </w:r>
            <w:r w:rsidR="002F5D49">
              <w:rPr>
                <w:rFonts w:asciiTheme="minorHAnsi" w:hAnsiTheme="minorHAnsi"/>
                <w:b/>
                <w:bCs/>
                <w:sz w:val="22"/>
                <w:szCs w:val="22"/>
              </w:rPr>
              <w:t>ing</w:t>
            </w:r>
          </w:p>
        </w:tc>
        <w:tc>
          <w:tcPr>
            <w:tcW w:w="1080" w:type="dxa"/>
            <w:tcBorders>
              <w:top w:val="nil"/>
              <w:left w:val="single" w:sz="4" w:space="0" w:color="auto"/>
              <w:bottom w:val="single" w:sz="6" w:space="0" w:color="000000"/>
              <w:right w:val="single" w:sz="6" w:space="0" w:color="000000"/>
            </w:tcBorders>
            <w:shd w:val="clear" w:color="auto" w:fill="D5DCE4"/>
            <w:vAlign w:val="center"/>
            <w:hideMark/>
          </w:tcPr>
          <w:p w14:paraId="28F18BC7" w14:textId="7F2DE465" w:rsidR="00E32CC0" w:rsidRPr="0067034D" w:rsidRDefault="00E32CC0" w:rsidP="00C83046">
            <w:pPr>
              <w:jc w:val="center"/>
              <w:textAlignment w:val="baseline"/>
              <w:rPr>
                <w:rFonts w:asciiTheme="minorHAnsi" w:hAnsiTheme="minorHAnsi"/>
                <w:sz w:val="22"/>
                <w:szCs w:val="22"/>
              </w:rPr>
            </w:pPr>
            <w:r w:rsidRPr="0067034D">
              <w:rPr>
                <w:rFonts w:asciiTheme="minorHAnsi" w:hAnsiTheme="minorHAnsi"/>
                <w:b/>
                <w:bCs/>
                <w:sz w:val="22"/>
                <w:szCs w:val="22"/>
              </w:rPr>
              <w:t>Date of State Stay-at-home Order Lifted </w:t>
            </w:r>
            <w:r w:rsidRPr="0067034D">
              <w:rPr>
                <w:rFonts w:asciiTheme="minorHAnsi" w:hAnsiTheme="minorHAnsi"/>
                <w:sz w:val="22"/>
                <w:szCs w:val="22"/>
              </w:rPr>
              <w:t> </w:t>
            </w:r>
          </w:p>
        </w:tc>
        <w:tc>
          <w:tcPr>
            <w:tcW w:w="1080" w:type="dxa"/>
            <w:tcBorders>
              <w:top w:val="nil"/>
              <w:left w:val="nil"/>
              <w:bottom w:val="single" w:sz="6" w:space="0" w:color="000000"/>
              <w:right w:val="single" w:sz="4" w:space="0" w:color="auto"/>
            </w:tcBorders>
            <w:shd w:val="clear" w:color="auto" w:fill="D5DCE4"/>
          </w:tcPr>
          <w:p w14:paraId="558C0870" w14:textId="77777777" w:rsidR="00E32CC0" w:rsidRPr="0067034D" w:rsidRDefault="00E32CC0" w:rsidP="00C83046">
            <w:pPr>
              <w:jc w:val="center"/>
              <w:textAlignment w:val="baseline"/>
              <w:rPr>
                <w:rFonts w:asciiTheme="minorHAnsi" w:hAnsiTheme="minorHAnsi"/>
                <w:b/>
                <w:bCs/>
                <w:sz w:val="22"/>
                <w:szCs w:val="22"/>
              </w:rPr>
            </w:pPr>
            <w:r w:rsidRPr="0067034D">
              <w:rPr>
                <w:rFonts w:asciiTheme="minorHAnsi" w:hAnsiTheme="minorHAnsi"/>
                <w:b/>
                <w:bCs/>
                <w:sz w:val="22"/>
                <w:szCs w:val="22"/>
              </w:rPr>
              <w:t>Date of City Stay-at home Order Lifted</w:t>
            </w:r>
          </w:p>
        </w:tc>
        <w:tc>
          <w:tcPr>
            <w:tcW w:w="1070" w:type="dxa"/>
            <w:tcBorders>
              <w:top w:val="nil"/>
              <w:left w:val="single" w:sz="4" w:space="0" w:color="auto"/>
              <w:bottom w:val="single" w:sz="6" w:space="0" w:color="000000"/>
              <w:right w:val="single" w:sz="6" w:space="0" w:color="000000"/>
            </w:tcBorders>
            <w:shd w:val="clear" w:color="auto" w:fill="D5DCE4"/>
            <w:vAlign w:val="center"/>
            <w:hideMark/>
          </w:tcPr>
          <w:p w14:paraId="782CA4E6" w14:textId="77777777" w:rsidR="00E32CC0" w:rsidRPr="0067034D" w:rsidRDefault="00E32CC0" w:rsidP="00C83046">
            <w:pPr>
              <w:jc w:val="center"/>
              <w:textAlignment w:val="baseline"/>
              <w:rPr>
                <w:rFonts w:asciiTheme="minorHAnsi" w:hAnsiTheme="minorHAnsi"/>
                <w:sz w:val="22"/>
                <w:szCs w:val="22"/>
              </w:rPr>
            </w:pPr>
            <w:r w:rsidRPr="0067034D">
              <w:rPr>
                <w:rFonts w:asciiTheme="minorHAnsi" w:hAnsiTheme="minorHAnsi"/>
                <w:b/>
                <w:bCs/>
                <w:sz w:val="22"/>
                <w:szCs w:val="22"/>
              </w:rPr>
              <w:t>Date of State Mask Mandate </w:t>
            </w:r>
            <w:r w:rsidRPr="0067034D">
              <w:rPr>
                <w:rFonts w:asciiTheme="minorHAnsi" w:hAnsiTheme="minorHAnsi"/>
                <w:sz w:val="22"/>
                <w:szCs w:val="22"/>
              </w:rPr>
              <w:t> </w:t>
            </w:r>
          </w:p>
        </w:tc>
        <w:tc>
          <w:tcPr>
            <w:tcW w:w="1044" w:type="dxa"/>
            <w:tcBorders>
              <w:top w:val="nil"/>
              <w:left w:val="nil"/>
              <w:bottom w:val="single" w:sz="6" w:space="0" w:color="000000"/>
              <w:right w:val="single" w:sz="6" w:space="0" w:color="000000"/>
            </w:tcBorders>
            <w:shd w:val="clear" w:color="auto" w:fill="D5DCE4"/>
            <w:hideMark/>
          </w:tcPr>
          <w:p w14:paraId="63BF0131" w14:textId="77777777" w:rsidR="00E32CC0" w:rsidRPr="0067034D" w:rsidRDefault="00E32CC0" w:rsidP="00C83046">
            <w:pPr>
              <w:jc w:val="center"/>
              <w:textAlignment w:val="baseline"/>
              <w:rPr>
                <w:rFonts w:asciiTheme="minorHAnsi" w:hAnsiTheme="minorHAnsi"/>
                <w:sz w:val="22"/>
                <w:szCs w:val="22"/>
              </w:rPr>
            </w:pPr>
            <w:r w:rsidRPr="0067034D">
              <w:rPr>
                <w:rFonts w:asciiTheme="minorHAnsi" w:hAnsiTheme="minorHAnsi"/>
                <w:b/>
                <w:bCs/>
                <w:sz w:val="22"/>
                <w:szCs w:val="22"/>
              </w:rPr>
              <w:t>Date of City Mask Mandate </w:t>
            </w:r>
            <w:r w:rsidRPr="0067034D">
              <w:rPr>
                <w:rFonts w:asciiTheme="minorHAnsi" w:hAnsiTheme="minorHAnsi"/>
                <w:sz w:val="22"/>
                <w:szCs w:val="22"/>
              </w:rPr>
              <w:t> </w:t>
            </w:r>
          </w:p>
        </w:tc>
        <w:tc>
          <w:tcPr>
            <w:tcW w:w="1218" w:type="dxa"/>
            <w:tcBorders>
              <w:top w:val="nil"/>
              <w:left w:val="nil"/>
              <w:bottom w:val="single" w:sz="6" w:space="0" w:color="000000"/>
              <w:right w:val="single" w:sz="6" w:space="0" w:color="000000"/>
            </w:tcBorders>
            <w:shd w:val="clear" w:color="auto" w:fill="D5DCE4"/>
            <w:vAlign w:val="center"/>
            <w:hideMark/>
          </w:tcPr>
          <w:p w14:paraId="319D9589" w14:textId="77777777" w:rsidR="00E32CC0" w:rsidRPr="0067034D" w:rsidRDefault="00E32CC0" w:rsidP="00C83046">
            <w:pPr>
              <w:jc w:val="center"/>
              <w:textAlignment w:val="baseline"/>
              <w:rPr>
                <w:rFonts w:asciiTheme="minorHAnsi" w:hAnsiTheme="minorHAnsi"/>
                <w:sz w:val="22"/>
                <w:szCs w:val="22"/>
              </w:rPr>
            </w:pPr>
            <w:r w:rsidRPr="0067034D">
              <w:rPr>
                <w:rFonts w:asciiTheme="minorHAnsi" w:hAnsiTheme="minorHAnsi"/>
                <w:b/>
                <w:bCs/>
                <w:sz w:val="22"/>
                <w:szCs w:val="22"/>
              </w:rPr>
              <w:t>State Eviction Moratorium Dates</w:t>
            </w:r>
            <w:r w:rsidRPr="0067034D">
              <w:rPr>
                <w:rFonts w:asciiTheme="minorHAnsi" w:hAnsiTheme="minorHAnsi"/>
                <w:sz w:val="22"/>
                <w:szCs w:val="22"/>
              </w:rPr>
              <w:t> </w:t>
            </w:r>
          </w:p>
        </w:tc>
        <w:tc>
          <w:tcPr>
            <w:tcW w:w="1218" w:type="dxa"/>
            <w:tcBorders>
              <w:top w:val="nil"/>
              <w:left w:val="nil"/>
              <w:bottom w:val="single" w:sz="6" w:space="0" w:color="000000"/>
              <w:right w:val="single" w:sz="6" w:space="0" w:color="000000"/>
            </w:tcBorders>
            <w:shd w:val="clear" w:color="auto" w:fill="D5DCE4"/>
            <w:vAlign w:val="center"/>
            <w:hideMark/>
          </w:tcPr>
          <w:p w14:paraId="057E6F5B" w14:textId="77777777" w:rsidR="00E32CC0" w:rsidRPr="0067034D" w:rsidRDefault="00E32CC0" w:rsidP="00C83046">
            <w:pPr>
              <w:jc w:val="center"/>
              <w:textAlignment w:val="baseline"/>
              <w:rPr>
                <w:rFonts w:asciiTheme="minorHAnsi" w:hAnsiTheme="minorHAnsi"/>
                <w:sz w:val="22"/>
                <w:szCs w:val="22"/>
              </w:rPr>
            </w:pPr>
            <w:r w:rsidRPr="0067034D">
              <w:rPr>
                <w:rFonts w:asciiTheme="minorHAnsi" w:hAnsiTheme="minorHAnsi"/>
                <w:b/>
                <w:bCs/>
                <w:sz w:val="22"/>
                <w:szCs w:val="22"/>
              </w:rPr>
              <w:t>City Eviction Moratorium Dates</w:t>
            </w:r>
            <w:r w:rsidRPr="0067034D">
              <w:rPr>
                <w:rFonts w:asciiTheme="minorHAnsi" w:hAnsiTheme="minorHAnsi"/>
                <w:sz w:val="22"/>
                <w:szCs w:val="22"/>
              </w:rPr>
              <w:t> </w:t>
            </w:r>
          </w:p>
        </w:tc>
        <w:tc>
          <w:tcPr>
            <w:tcW w:w="1472" w:type="dxa"/>
            <w:tcBorders>
              <w:top w:val="nil"/>
              <w:left w:val="nil"/>
              <w:bottom w:val="single" w:sz="6" w:space="0" w:color="000000"/>
              <w:right w:val="single" w:sz="6" w:space="0" w:color="000000"/>
            </w:tcBorders>
            <w:shd w:val="clear" w:color="auto" w:fill="D5DCE4"/>
            <w:vAlign w:val="center"/>
          </w:tcPr>
          <w:p w14:paraId="5E82AD94" w14:textId="77777777" w:rsidR="00E32CC0" w:rsidRPr="0067034D" w:rsidRDefault="00E32CC0" w:rsidP="00C83046">
            <w:pPr>
              <w:jc w:val="center"/>
              <w:textAlignment w:val="baseline"/>
              <w:rPr>
                <w:rFonts w:asciiTheme="minorHAnsi" w:hAnsiTheme="minorHAnsi"/>
                <w:b/>
                <w:bCs/>
                <w:sz w:val="22"/>
                <w:szCs w:val="22"/>
              </w:rPr>
            </w:pPr>
            <w:r w:rsidRPr="0067034D">
              <w:rPr>
                <w:rFonts w:asciiTheme="minorHAnsi" w:hAnsiTheme="minorHAnsi"/>
                <w:b/>
                <w:bCs/>
                <w:sz w:val="22"/>
                <w:szCs w:val="22"/>
              </w:rPr>
              <w:t>Public Schools Resume In-Person Classes-City</w:t>
            </w:r>
            <w:r w:rsidRPr="0067034D">
              <w:rPr>
                <w:rFonts w:asciiTheme="minorHAnsi" w:hAnsiTheme="minorHAnsi"/>
                <w:sz w:val="22"/>
                <w:szCs w:val="22"/>
              </w:rPr>
              <w:t> </w:t>
            </w:r>
          </w:p>
        </w:tc>
      </w:tr>
      <w:tr w:rsidR="002F5D49" w:rsidRPr="009204B1" w14:paraId="6828BB7F" w14:textId="77777777" w:rsidTr="002F5D49">
        <w:tc>
          <w:tcPr>
            <w:tcW w:w="1178" w:type="dxa"/>
            <w:gridSpan w:val="2"/>
            <w:tcBorders>
              <w:top w:val="nil"/>
              <w:left w:val="single" w:sz="6" w:space="0" w:color="000000"/>
              <w:bottom w:val="single" w:sz="6" w:space="0" w:color="000000"/>
              <w:right w:val="single" w:sz="6" w:space="0" w:color="000000"/>
            </w:tcBorders>
            <w:shd w:val="clear" w:color="auto" w:fill="auto"/>
            <w:vAlign w:val="center"/>
            <w:hideMark/>
          </w:tcPr>
          <w:p w14:paraId="6EA72489" w14:textId="77777777" w:rsidR="002F5D49" w:rsidRPr="009204B1" w:rsidRDefault="002F5D49" w:rsidP="002F5D49">
            <w:pPr>
              <w:jc w:val="center"/>
              <w:textAlignment w:val="baseline"/>
              <w:rPr>
                <w:sz w:val="22"/>
                <w:szCs w:val="22"/>
              </w:rPr>
            </w:pPr>
            <w:r w:rsidRPr="009204B1">
              <w:rPr>
                <w:color w:val="FF0000"/>
                <w:sz w:val="22"/>
                <w:szCs w:val="22"/>
              </w:rPr>
              <w:t>Treatment  </w:t>
            </w:r>
          </w:p>
        </w:tc>
        <w:tc>
          <w:tcPr>
            <w:tcW w:w="1244" w:type="dxa"/>
            <w:tcBorders>
              <w:top w:val="nil"/>
              <w:left w:val="nil"/>
              <w:bottom w:val="single" w:sz="6" w:space="0" w:color="000000"/>
              <w:right w:val="single" w:sz="6" w:space="0" w:color="000000"/>
            </w:tcBorders>
            <w:shd w:val="clear" w:color="auto" w:fill="auto"/>
            <w:vAlign w:val="center"/>
            <w:hideMark/>
          </w:tcPr>
          <w:p w14:paraId="1D317E3A" w14:textId="77777777" w:rsidR="002F5D49" w:rsidRPr="009204B1" w:rsidRDefault="002F5D49" w:rsidP="002F5D49">
            <w:pPr>
              <w:jc w:val="center"/>
              <w:textAlignment w:val="baseline"/>
              <w:rPr>
                <w:sz w:val="22"/>
                <w:szCs w:val="22"/>
              </w:rPr>
            </w:pPr>
            <w:r w:rsidRPr="009204B1">
              <w:rPr>
                <w:sz w:val="22"/>
                <w:szCs w:val="22"/>
              </w:rPr>
              <w:t>California  </w:t>
            </w:r>
          </w:p>
        </w:tc>
        <w:tc>
          <w:tcPr>
            <w:tcW w:w="1260" w:type="dxa"/>
            <w:gridSpan w:val="2"/>
            <w:tcBorders>
              <w:top w:val="nil"/>
              <w:left w:val="nil"/>
              <w:bottom w:val="single" w:sz="6" w:space="0" w:color="000000"/>
              <w:right w:val="single" w:sz="6" w:space="0" w:color="000000"/>
            </w:tcBorders>
            <w:shd w:val="clear" w:color="auto" w:fill="auto"/>
            <w:vAlign w:val="center"/>
            <w:hideMark/>
          </w:tcPr>
          <w:p w14:paraId="0EC444A0" w14:textId="77777777" w:rsidR="002F5D49" w:rsidRPr="009204B1" w:rsidRDefault="002F5D49" w:rsidP="002F5D49">
            <w:pPr>
              <w:jc w:val="center"/>
              <w:textAlignment w:val="baseline"/>
              <w:rPr>
                <w:sz w:val="22"/>
                <w:szCs w:val="22"/>
              </w:rPr>
            </w:pPr>
            <w:r w:rsidRPr="009204B1">
              <w:rPr>
                <w:sz w:val="22"/>
                <w:szCs w:val="22"/>
              </w:rPr>
              <w:t>San Francisco </w:t>
            </w:r>
          </w:p>
        </w:tc>
        <w:tc>
          <w:tcPr>
            <w:tcW w:w="1080" w:type="dxa"/>
            <w:tcBorders>
              <w:top w:val="nil"/>
              <w:left w:val="nil"/>
              <w:bottom w:val="single" w:sz="6" w:space="0" w:color="000000"/>
              <w:right w:val="single" w:sz="4" w:space="0" w:color="auto"/>
            </w:tcBorders>
            <w:vAlign w:val="center"/>
          </w:tcPr>
          <w:p w14:paraId="507C03F3" w14:textId="48ED6A3C" w:rsidR="002F5D49" w:rsidRPr="006D4FD0" w:rsidRDefault="002F5D49" w:rsidP="002F5D49">
            <w:pPr>
              <w:jc w:val="center"/>
              <w:textAlignment w:val="baseline"/>
              <w:rPr>
                <w:sz w:val="22"/>
                <w:szCs w:val="22"/>
              </w:rPr>
            </w:pPr>
            <w:r>
              <w:rPr>
                <w:color w:val="000000"/>
                <w:sz w:val="22"/>
                <w:szCs w:val="22"/>
              </w:rPr>
              <w:t>3/17/2020</w:t>
            </w:r>
          </w:p>
        </w:tc>
        <w:tc>
          <w:tcPr>
            <w:tcW w:w="1080" w:type="dxa"/>
            <w:tcBorders>
              <w:top w:val="nil"/>
              <w:left w:val="single" w:sz="4" w:space="0" w:color="auto"/>
              <w:bottom w:val="single" w:sz="6" w:space="0" w:color="000000"/>
              <w:right w:val="single" w:sz="6" w:space="0" w:color="000000"/>
            </w:tcBorders>
            <w:shd w:val="clear" w:color="auto" w:fill="auto"/>
            <w:vAlign w:val="center"/>
            <w:hideMark/>
          </w:tcPr>
          <w:p w14:paraId="1A896187" w14:textId="66C5E200" w:rsidR="002F5D49" w:rsidRPr="006D4FD0" w:rsidRDefault="002F5D49" w:rsidP="002F5D49">
            <w:pPr>
              <w:jc w:val="center"/>
              <w:textAlignment w:val="baseline"/>
              <w:rPr>
                <w:sz w:val="22"/>
                <w:szCs w:val="22"/>
              </w:rPr>
            </w:pPr>
            <w:r w:rsidRPr="006D4FD0">
              <w:rPr>
                <w:sz w:val="22"/>
                <w:szCs w:val="22"/>
              </w:rPr>
              <w:t>5/14/2020 </w:t>
            </w:r>
          </w:p>
        </w:tc>
        <w:tc>
          <w:tcPr>
            <w:tcW w:w="1080" w:type="dxa"/>
            <w:tcBorders>
              <w:top w:val="single" w:sz="6" w:space="0" w:color="000000"/>
              <w:left w:val="nil"/>
              <w:bottom w:val="single" w:sz="6" w:space="0" w:color="000000"/>
              <w:right w:val="single" w:sz="4" w:space="0" w:color="auto"/>
            </w:tcBorders>
            <w:vAlign w:val="center"/>
          </w:tcPr>
          <w:p w14:paraId="236F42C0" w14:textId="77777777" w:rsidR="002F5D49" w:rsidRPr="006D4FD0" w:rsidRDefault="002F5D49" w:rsidP="002F5D49">
            <w:pPr>
              <w:jc w:val="center"/>
              <w:textAlignment w:val="baseline"/>
              <w:rPr>
                <w:sz w:val="22"/>
                <w:szCs w:val="22"/>
              </w:rPr>
            </w:pPr>
            <w:r w:rsidRPr="006D4FD0">
              <w:rPr>
                <w:sz w:val="22"/>
                <w:szCs w:val="22"/>
              </w:rPr>
              <w:t>5/14/2020</w:t>
            </w:r>
          </w:p>
        </w:tc>
        <w:tc>
          <w:tcPr>
            <w:tcW w:w="1070" w:type="dxa"/>
            <w:tcBorders>
              <w:top w:val="nil"/>
              <w:left w:val="single" w:sz="4" w:space="0" w:color="auto"/>
              <w:bottom w:val="single" w:sz="6" w:space="0" w:color="000000"/>
              <w:right w:val="single" w:sz="6" w:space="0" w:color="000000"/>
            </w:tcBorders>
            <w:shd w:val="clear" w:color="auto" w:fill="auto"/>
            <w:vAlign w:val="center"/>
            <w:hideMark/>
          </w:tcPr>
          <w:p w14:paraId="7E6076E5" w14:textId="77777777" w:rsidR="002F5D49" w:rsidRPr="006D4FD0" w:rsidRDefault="002F5D49" w:rsidP="002F5D49">
            <w:pPr>
              <w:jc w:val="center"/>
              <w:textAlignment w:val="baseline"/>
              <w:rPr>
                <w:sz w:val="22"/>
                <w:szCs w:val="22"/>
              </w:rPr>
            </w:pPr>
            <w:r w:rsidRPr="006D4FD0">
              <w:rPr>
                <w:sz w:val="22"/>
                <w:szCs w:val="22"/>
              </w:rPr>
              <w:t>6/18/2020 </w:t>
            </w:r>
          </w:p>
        </w:tc>
        <w:tc>
          <w:tcPr>
            <w:tcW w:w="1044" w:type="dxa"/>
            <w:tcBorders>
              <w:top w:val="nil"/>
              <w:left w:val="nil"/>
              <w:bottom w:val="single" w:sz="6" w:space="0" w:color="000000"/>
              <w:right w:val="single" w:sz="6" w:space="0" w:color="000000"/>
            </w:tcBorders>
            <w:shd w:val="clear" w:color="auto" w:fill="auto"/>
            <w:vAlign w:val="center"/>
            <w:hideMark/>
          </w:tcPr>
          <w:p w14:paraId="55BE2367" w14:textId="77777777" w:rsidR="002F5D49" w:rsidRPr="006D4FD0" w:rsidRDefault="002F5D49" w:rsidP="002F5D49">
            <w:pPr>
              <w:jc w:val="center"/>
              <w:textAlignment w:val="baseline"/>
              <w:rPr>
                <w:sz w:val="22"/>
                <w:szCs w:val="22"/>
              </w:rPr>
            </w:pPr>
            <w:r w:rsidRPr="006D4FD0">
              <w:rPr>
                <w:sz w:val="22"/>
                <w:szCs w:val="22"/>
              </w:rPr>
              <w:t>4/17/2020 </w:t>
            </w:r>
          </w:p>
        </w:tc>
        <w:tc>
          <w:tcPr>
            <w:tcW w:w="1218" w:type="dxa"/>
            <w:tcBorders>
              <w:top w:val="nil"/>
              <w:left w:val="nil"/>
              <w:bottom w:val="single" w:sz="6" w:space="0" w:color="000000"/>
              <w:right w:val="single" w:sz="6" w:space="0" w:color="000000"/>
            </w:tcBorders>
            <w:shd w:val="clear" w:color="auto" w:fill="auto"/>
            <w:vAlign w:val="center"/>
            <w:hideMark/>
          </w:tcPr>
          <w:p w14:paraId="7A611C21" w14:textId="77777777" w:rsidR="002F5D49" w:rsidRPr="007F7831" w:rsidRDefault="002F5D49" w:rsidP="002F5D49">
            <w:pPr>
              <w:jc w:val="center"/>
              <w:textAlignment w:val="baseline"/>
              <w:rPr>
                <w:sz w:val="22"/>
                <w:szCs w:val="22"/>
              </w:rPr>
            </w:pPr>
            <w:r w:rsidRPr="007F7831">
              <w:rPr>
                <w:sz w:val="22"/>
                <w:szCs w:val="22"/>
              </w:rPr>
              <w:t>3/1/2020 -6/30/2021</w:t>
            </w:r>
          </w:p>
        </w:tc>
        <w:tc>
          <w:tcPr>
            <w:tcW w:w="1218" w:type="dxa"/>
            <w:tcBorders>
              <w:top w:val="nil"/>
              <w:left w:val="nil"/>
              <w:bottom w:val="single" w:sz="6" w:space="0" w:color="000000"/>
              <w:right w:val="single" w:sz="6" w:space="0" w:color="000000"/>
            </w:tcBorders>
            <w:shd w:val="clear" w:color="auto" w:fill="auto"/>
            <w:vAlign w:val="center"/>
            <w:hideMark/>
          </w:tcPr>
          <w:p w14:paraId="7A810589" w14:textId="77777777" w:rsidR="002F5D49" w:rsidRDefault="002F5D49" w:rsidP="002F5D49">
            <w:pPr>
              <w:jc w:val="center"/>
              <w:textAlignment w:val="baseline"/>
              <w:rPr>
                <w:sz w:val="22"/>
                <w:szCs w:val="22"/>
              </w:rPr>
            </w:pPr>
            <w:r w:rsidRPr="007F7831">
              <w:rPr>
                <w:sz w:val="22"/>
                <w:szCs w:val="22"/>
              </w:rPr>
              <w:t>3/1/20-</w:t>
            </w:r>
          </w:p>
          <w:p w14:paraId="42BE5A2C" w14:textId="77777777" w:rsidR="002F5D49" w:rsidRPr="007F7831" w:rsidRDefault="002F5D49" w:rsidP="002F5D49">
            <w:pPr>
              <w:jc w:val="center"/>
              <w:textAlignment w:val="baseline"/>
              <w:rPr>
                <w:sz w:val="22"/>
                <w:szCs w:val="22"/>
              </w:rPr>
            </w:pPr>
            <w:r w:rsidRPr="007F7831">
              <w:rPr>
                <w:sz w:val="22"/>
                <w:szCs w:val="22"/>
              </w:rPr>
              <w:t>6/30/21 </w:t>
            </w:r>
          </w:p>
        </w:tc>
        <w:tc>
          <w:tcPr>
            <w:tcW w:w="1472" w:type="dxa"/>
            <w:tcBorders>
              <w:top w:val="nil"/>
              <w:left w:val="nil"/>
              <w:bottom w:val="single" w:sz="6" w:space="0" w:color="000000"/>
              <w:right w:val="single" w:sz="6" w:space="0" w:color="000000"/>
            </w:tcBorders>
            <w:vAlign w:val="center"/>
          </w:tcPr>
          <w:p w14:paraId="1B961823" w14:textId="77777777" w:rsidR="002F5D49" w:rsidRPr="006D4FD0" w:rsidRDefault="002F5D49" w:rsidP="002F5D49">
            <w:pPr>
              <w:jc w:val="center"/>
              <w:textAlignment w:val="baseline"/>
              <w:rPr>
                <w:sz w:val="22"/>
                <w:szCs w:val="22"/>
              </w:rPr>
            </w:pPr>
            <w:r w:rsidRPr="006D4FD0">
              <w:rPr>
                <w:sz w:val="22"/>
                <w:szCs w:val="22"/>
              </w:rPr>
              <w:t>Did not resume in-person classes </w:t>
            </w:r>
          </w:p>
        </w:tc>
      </w:tr>
      <w:tr w:rsidR="002F5D49" w:rsidRPr="009204B1" w14:paraId="77C062B3" w14:textId="77777777" w:rsidTr="002F5D49">
        <w:tc>
          <w:tcPr>
            <w:tcW w:w="1178" w:type="dxa"/>
            <w:gridSpan w:val="2"/>
            <w:tcBorders>
              <w:top w:val="nil"/>
              <w:left w:val="single" w:sz="6" w:space="0" w:color="000000"/>
              <w:bottom w:val="single" w:sz="6" w:space="0" w:color="000000"/>
              <w:right w:val="single" w:sz="6" w:space="0" w:color="000000"/>
            </w:tcBorders>
            <w:shd w:val="clear" w:color="auto" w:fill="auto"/>
            <w:vAlign w:val="center"/>
            <w:hideMark/>
          </w:tcPr>
          <w:p w14:paraId="7DADED98" w14:textId="77777777" w:rsidR="002F5D49" w:rsidRPr="009204B1" w:rsidRDefault="002F5D49" w:rsidP="002F5D49">
            <w:pPr>
              <w:jc w:val="center"/>
              <w:textAlignment w:val="baseline"/>
              <w:rPr>
                <w:sz w:val="22"/>
                <w:szCs w:val="22"/>
              </w:rPr>
            </w:pPr>
            <w:r w:rsidRPr="009204B1">
              <w:rPr>
                <w:color w:val="FF0000"/>
                <w:sz w:val="22"/>
                <w:szCs w:val="22"/>
              </w:rPr>
              <w:t>Treatment </w:t>
            </w:r>
          </w:p>
        </w:tc>
        <w:tc>
          <w:tcPr>
            <w:tcW w:w="1244" w:type="dxa"/>
            <w:tcBorders>
              <w:top w:val="nil"/>
              <w:left w:val="nil"/>
              <w:bottom w:val="single" w:sz="6" w:space="0" w:color="000000"/>
              <w:right w:val="single" w:sz="6" w:space="0" w:color="000000"/>
            </w:tcBorders>
            <w:shd w:val="clear" w:color="auto" w:fill="auto"/>
            <w:vAlign w:val="center"/>
            <w:hideMark/>
          </w:tcPr>
          <w:p w14:paraId="1480E718" w14:textId="77777777" w:rsidR="002F5D49" w:rsidRPr="009204B1" w:rsidRDefault="002F5D49" w:rsidP="002F5D49">
            <w:pPr>
              <w:jc w:val="center"/>
              <w:textAlignment w:val="baseline"/>
              <w:rPr>
                <w:sz w:val="22"/>
                <w:szCs w:val="22"/>
              </w:rPr>
            </w:pPr>
            <w:r w:rsidRPr="009204B1">
              <w:rPr>
                <w:sz w:val="22"/>
                <w:szCs w:val="22"/>
              </w:rPr>
              <w:t>Indiana  </w:t>
            </w:r>
          </w:p>
        </w:tc>
        <w:tc>
          <w:tcPr>
            <w:tcW w:w="1260" w:type="dxa"/>
            <w:gridSpan w:val="2"/>
            <w:tcBorders>
              <w:top w:val="nil"/>
              <w:left w:val="nil"/>
              <w:bottom w:val="single" w:sz="6" w:space="0" w:color="000000"/>
              <w:right w:val="single" w:sz="6" w:space="0" w:color="000000"/>
            </w:tcBorders>
            <w:shd w:val="clear" w:color="auto" w:fill="auto"/>
            <w:vAlign w:val="center"/>
            <w:hideMark/>
          </w:tcPr>
          <w:p w14:paraId="302E3566" w14:textId="77777777" w:rsidR="002F5D49" w:rsidRPr="009204B1" w:rsidRDefault="002F5D49" w:rsidP="002F5D49">
            <w:pPr>
              <w:jc w:val="center"/>
              <w:textAlignment w:val="baseline"/>
              <w:rPr>
                <w:sz w:val="22"/>
                <w:szCs w:val="22"/>
              </w:rPr>
            </w:pPr>
            <w:r w:rsidRPr="009204B1">
              <w:rPr>
                <w:sz w:val="22"/>
                <w:szCs w:val="22"/>
              </w:rPr>
              <w:t>Indianapolis </w:t>
            </w:r>
          </w:p>
        </w:tc>
        <w:tc>
          <w:tcPr>
            <w:tcW w:w="1080" w:type="dxa"/>
            <w:tcBorders>
              <w:top w:val="nil"/>
              <w:left w:val="nil"/>
              <w:bottom w:val="single" w:sz="6" w:space="0" w:color="000000"/>
              <w:right w:val="single" w:sz="4" w:space="0" w:color="auto"/>
            </w:tcBorders>
            <w:vAlign w:val="center"/>
          </w:tcPr>
          <w:p w14:paraId="5416C28F" w14:textId="571153CA" w:rsidR="002F5D49" w:rsidRPr="006D4FD0" w:rsidRDefault="002F5D49" w:rsidP="002F5D49">
            <w:pPr>
              <w:jc w:val="center"/>
              <w:textAlignment w:val="baseline"/>
              <w:rPr>
                <w:sz w:val="22"/>
                <w:szCs w:val="22"/>
              </w:rPr>
            </w:pPr>
            <w:r>
              <w:rPr>
                <w:color w:val="000000"/>
                <w:sz w:val="22"/>
                <w:szCs w:val="22"/>
              </w:rPr>
              <w:t>3/23/2020</w:t>
            </w:r>
          </w:p>
        </w:tc>
        <w:tc>
          <w:tcPr>
            <w:tcW w:w="1080" w:type="dxa"/>
            <w:tcBorders>
              <w:top w:val="nil"/>
              <w:left w:val="single" w:sz="4" w:space="0" w:color="auto"/>
              <w:bottom w:val="single" w:sz="6" w:space="0" w:color="000000"/>
              <w:right w:val="single" w:sz="6" w:space="0" w:color="000000"/>
            </w:tcBorders>
            <w:shd w:val="clear" w:color="auto" w:fill="auto"/>
            <w:vAlign w:val="center"/>
            <w:hideMark/>
          </w:tcPr>
          <w:p w14:paraId="77C34DF0" w14:textId="12655266" w:rsidR="002F5D49" w:rsidRPr="006D4FD0" w:rsidRDefault="002F5D49" w:rsidP="002F5D49">
            <w:pPr>
              <w:jc w:val="center"/>
              <w:textAlignment w:val="baseline"/>
              <w:rPr>
                <w:sz w:val="22"/>
                <w:szCs w:val="22"/>
              </w:rPr>
            </w:pPr>
            <w:r w:rsidRPr="006D4FD0">
              <w:rPr>
                <w:sz w:val="22"/>
                <w:szCs w:val="22"/>
              </w:rPr>
              <w:t>5/1/2020 </w:t>
            </w:r>
          </w:p>
        </w:tc>
        <w:tc>
          <w:tcPr>
            <w:tcW w:w="1080" w:type="dxa"/>
            <w:tcBorders>
              <w:top w:val="single" w:sz="6" w:space="0" w:color="000000"/>
              <w:left w:val="nil"/>
              <w:bottom w:val="single" w:sz="6" w:space="0" w:color="000000"/>
              <w:right w:val="single" w:sz="4" w:space="0" w:color="auto"/>
            </w:tcBorders>
            <w:vAlign w:val="center"/>
          </w:tcPr>
          <w:p w14:paraId="1A91DFC2" w14:textId="77777777" w:rsidR="002F5D49" w:rsidRPr="006D4FD0" w:rsidRDefault="002F5D49" w:rsidP="002F5D49">
            <w:pPr>
              <w:jc w:val="center"/>
              <w:textAlignment w:val="baseline"/>
              <w:rPr>
                <w:sz w:val="22"/>
                <w:szCs w:val="22"/>
              </w:rPr>
            </w:pPr>
            <w:r w:rsidRPr="006D4FD0">
              <w:rPr>
                <w:sz w:val="22"/>
                <w:szCs w:val="22"/>
              </w:rPr>
              <w:t>5/18/2020</w:t>
            </w:r>
          </w:p>
        </w:tc>
        <w:tc>
          <w:tcPr>
            <w:tcW w:w="1070" w:type="dxa"/>
            <w:tcBorders>
              <w:top w:val="nil"/>
              <w:left w:val="single" w:sz="4" w:space="0" w:color="auto"/>
              <w:bottom w:val="single" w:sz="6" w:space="0" w:color="000000"/>
              <w:right w:val="single" w:sz="6" w:space="0" w:color="000000"/>
            </w:tcBorders>
            <w:shd w:val="clear" w:color="auto" w:fill="auto"/>
            <w:vAlign w:val="center"/>
            <w:hideMark/>
          </w:tcPr>
          <w:p w14:paraId="6941DAC8" w14:textId="77777777" w:rsidR="002F5D49" w:rsidRPr="006D4FD0" w:rsidRDefault="002F5D49" w:rsidP="002F5D49">
            <w:pPr>
              <w:jc w:val="center"/>
              <w:textAlignment w:val="baseline"/>
              <w:rPr>
                <w:sz w:val="22"/>
                <w:szCs w:val="22"/>
              </w:rPr>
            </w:pPr>
            <w:r w:rsidRPr="006D4FD0">
              <w:rPr>
                <w:sz w:val="22"/>
                <w:szCs w:val="22"/>
              </w:rPr>
              <w:t>7/27/2020 </w:t>
            </w:r>
          </w:p>
        </w:tc>
        <w:tc>
          <w:tcPr>
            <w:tcW w:w="1044" w:type="dxa"/>
            <w:tcBorders>
              <w:top w:val="nil"/>
              <w:left w:val="nil"/>
              <w:bottom w:val="single" w:sz="6" w:space="0" w:color="000000"/>
              <w:right w:val="single" w:sz="6" w:space="0" w:color="000000"/>
            </w:tcBorders>
            <w:shd w:val="clear" w:color="auto" w:fill="auto"/>
            <w:vAlign w:val="center"/>
            <w:hideMark/>
          </w:tcPr>
          <w:p w14:paraId="1E732B89" w14:textId="77777777" w:rsidR="002F5D49" w:rsidRPr="006D4FD0" w:rsidRDefault="002F5D49" w:rsidP="002F5D49">
            <w:pPr>
              <w:jc w:val="center"/>
              <w:textAlignment w:val="baseline"/>
              <w:rPr>
                <w:sz w:val="22"/>
                <w:szCs w:val="22"/>
              </w:rPr>
            </w:pPr>
            <w:r w:rsidRPr="006D4FD0">
              <w:rPr>
                <w:sz w:val="22"/>
                <w:szCs w:val="22"/>
              </w:rPr>
              <w:t>7/9/2020 </w:t>
            </w:r>
          </w:p>
        </w:tc>
        <w:tc>
          <w:tcPr>
            <w:tcW w:w="1218" w:type="dxa"/>
            <w:tcBorders>
              <w:top w:val="nil"/>
              <w:left w:val="nil"/>
              <w:bottom w:val="single" w:sz="6" w:space="0" w:color="000000"/>
              <w:right w:val="single" w:sz="6" w:space="0" w:color="000000"/>
            </w:tcBorders>
            <w:shd w:val="clear" w:color="auto" w:fill="auto"/>
            <w:vAlign w:val="center"/>
            <w:hideMark/>
          </w:tcPr>
          <w:p w14:paraId="4359EA6E" w14:textId="77777777" w:rsidR="002F5D49" w:rsidRPr="006D4FD0" w:rsidRDefault="002F5D49" w:rsidP="002F5D49">
            <w:pPr>
              <w:jc w:val="center"/>
              <w:textAlignment w:val="baseline"/>
              <w:rPr>
                <w:sz w:val="22"/>
                <w:szCs w:val="22"/>
              </w:rPr>
            </w:pPr>
            <w:r w:rsidRPr="006D4FD0">
              <w:rPr>
                <w:sz w:val="22"/>
                <w:szCs w:val="22"/>
              </w:rPr>
              <w:t>3/19/2020-8/14/2020 </w:t>
            </w:r>
          </w:p>
        </w:tc>
        <w:tc>
          <w:tcPr>
            <w:tcW w:w="1218" w:type="dxa"/>
            <w:tcBorders>
              <w:top w:val="nil"/>
              <w:left w:val="nil"/>
              <w:bottom w:val="single" w:sz="6" w:space="0" w:color="000000"/>
              <w:right w:val="single" w:sz="6" w:space="0" w:color="000000"/>
            </w:tcBorders>
            <w:shd w:val="clear" w:color="auto" w:fill="auto"/>
            <w:vAlign w:val="center"/>
            <w:hideMark/>
          </w:tcPr>
          <w:p w14:paraId="6B83589F" w14:textId="77777777" w:rsidR="002F5D49" w:rsidRPr="006D4FD0" w:rsidRDefault="002F5D49" w:rsidP="002F5D49">
            <w:pPr>
              <w:jc w:val="center"/>
              <w:textAlignment w:val="baseline"/>
              <w:rPr>
                <w:sz w:val="22"/>
                <w:szCs w:val="22"/>
              </w:rPr>
            </w:pPr>
            <w:r w:rsidRPr="006D4FD0">
              <w:rPr>
                <w:sz w:val="22"/>
                <w:szCs w:val="22"/>
              </w:rPr>
              <w:t>Same as state </w:t>
            </w:r>
          </w:p>
        </w:tc>
        <w:tc>
          <w:tcPr>
            <w:tcW w:w="1472" w:type="dxa"/>
            <w:tcBorders>
              <w:top w:val="nil"/>
              <w:left w:val="nil"/>
              <w:bottom w:val="single" w:sz="6" w:space="0" w:color="000000"/>
              <w:right w:val="single" w:sz="6" w:space="0" w:color="000000"/>
            </w:tcBorders>
            <w:vAlign w:val="center"/>
          </w:tcPr>
          <w:p w14:paraId="28EBC3B9" w14:textId="77777777" w:rsidR="002F5D49" w:rsidRPr="006D4FD0" w:rsidRDefault="002F5D49" w:rsidP="002F5D49">
            <w:pPr>
              <w:jc w:val="center"/>
              <w:textAlignment w:val="baseline"/>
              <w:rPr>
                <w:sz w:val="22"/>
                <w:szCs w:val="22"/>
              </w:rPr>
            </w:pPr>
            <w:r w:rsidRPr="006D4FD0">
              <w:rPr>
                <w:sz w:val="22"/>
                <w:szCs w:val="22"/>
              </w:rPr>
              <w:t>Did not resume in-person classes </w:t>
            </w:r>
          </w:p>
        </w:tc>
      </w:tr>
      <w:tr w:rsidR="002F5D49" w:rsidRPr="009204B1" w14:paraId="0DAF815D" w14:textId="77777777" w:rsidTr="002F5D49">
        <w:tc>
          <w:tcPr>
            <w:tcW w:w="1178" w:type="dxa"/>
            <w:gridSpan w:val="2"/>
            <w:tcBorders>
              <w:top w:val="nil"/>
              <w:left w:val="single" w:sz="6" w:space="0" w:color="000000"/>
              <w:bottom w:val="single" w:sz="6" w:space="0" w:color="000000"/>
              <w:right w:val="single" w:sz="6" w:space="0" w:color="000000"/>
            </w:tcBorders>
            <w:shd w:val="clear" w:color="auto" w:fill="auto"/>
            <w:vAlign w:val="center"/>
            <w:hideMark/>
          </w:tcPr>
          <w:p w14:paraId="2A976CB5" w14:textId="77777777" w:rsidR="002F5D49" w:rsidRPr="009204B1" w:rsidRDefault="002F5D49" w:rsidP="002F5D49">
            <w:pPr>
              <w:jc w:val="center"/>
              <w:textAlignment w:val="baseline"/>
              <w:rPr>
                <w:sz w:val="22"/>
                <w:szCs w:val="22"/>
              </w:rPr>
            </w:pPr>
            <w:r w:rsidRPr="009204B1">
              <w:rPr>
                <w:color w:val="FF0000"/>
                <w:sz w:val="22"/>
                <w:szCs w:val="22"/>
              </w:rPr>
              <w:t>Treatment </w:t>
            </w:r>
          </w:p>
        </w:tc>
        <w:tc>
          <w:tcPr>
            <w:tcW w:w="1244" w:type="dxa"/>
            <w:tcBorders>
              <w:top w:val="nil"/>
              <w:left w:val="nil"/>
              <w:bottom w:val="single" w:sz="6" w:space="0" w:color="000000"/>
              <w:right w:val="single" w:sz="6" w:space="0" w:color="000000"/>
            </w:tcBorders>
            <w:shd w:val="clear" w:color="auto" w:fill="auto"/>
            <w:vAlign w:val="center"/>
            <w:hideMark/>
          </w:tcPr>
          <w:p w14:paraId="0E322304" w14:textId="77777777" w:rsidR="002F5D49" w:rsidRPr="009204B1" w:rsidRDefault="002F5D49" w:rsidP="002F5D49">
            <w:pPr>
              <w:jc w:val="center"/>
              <w:textAlignment w:val="baseline"/>
              <w:rPr>
                <w:sz w:val="22"/>
                <w:szCs w:val="22"/>
              </w:rPr>
            </w:pPr>
            <w:r w:rsidRPr="009204B1">
              <w:rPr>
                <w:sz w:val="22"/>
                <w:szCs w:val="22"/>
              </w:rPr>
              <w:t>Pennsylvania </w:t>
            </w:r>
          </w:p>
        </w:tc>
        <w:tc>
          <w:tcPr>
            <w:tcW w:w="1260" w:type="dxa"/>
            <w:gridSpan w:val="2"/>
            <w:tcBorders>
              <w:top w:val="nil"/>
              <w:left w:val="nil"/>
              <w:bottom w:val="single" w:sz="6" w:space="0" w:color="000000"/>
              <w:right w:val="single" w:sz="6" w:space="0" w:color="000000"/>
            </w:tcBorders>
            <w:shd w:val="clear" w:color="auto" w:fill="auto"/>
            <w:vAlign w:val="center"/>
            <w:hideMark/>
          </w:tcPr>
          <w:p w14:paraId="3475F9F7" w14:textId="77777777" w:rsidR="002F5D49" w:rsidRPr="009204B1" w:rsidRDefault="002F5D49" w:rsidP="002F5D49">
            <w:pPr>
              <w:jc w:val="center"/>
              <w:textAlignment w:val="baseline"/>
              <w:rPr>
                <w:sz w:val="22"/>
                <w:szCs w:val="22"/>
              </w:rPr>
            </w:pPr>
            <w:r w:rsidRPr="009204B1">
              <w:rPr>
                <w:sz w:val="22"/>
                <w:szCs w:val="22"/>
              </w:rPr>
              <w:t>Philadelphia  </w:t>
            </w:r>
          </w:p>
        </w:tc>
        <w:tc>
          <w:tcPr>
            <w:tcW w:w="1080" w:type="dxa"/>
            <w:tcBorders>
              <w:top w:val="nil"/>
              <w:left w:val="nil"/>
              <w:bottom w:val="single" w:sz="6" w:space="0" w:color="000000"/>
              <w:right w:val="single" w:sz="4" w:space="0" w:color="auto"/>
            </w:tcBorders>
            <w:vAlign w:val="center"/>
          </w:tcPr>
          <w:p w14:paraId="6680852C" w14:textId="4EC85DF9" w:rsidR="002F5D49" w:rsidRPr="006D4FD0" w:rsidRDefault="002F5D49" w:rsidP="002F5D49">
            <w:pPr>
              <w:jc w:val="center"/>
              <w:textAlignment w:val="baseline"/>
              <w:rPr>
                <w:sz w:val="22"/>
                <w:szCs w:val="22"/>
              </w:rPr>
            </w:pPr>
            <w:r>
              <w:rPr>
                <w:color w:val="000000"/>
                <w:sz w:val="22"/>
                <w:szCs w:val="22"/>
              </w:rPr>
              <w:t>3/23/2020</w:t>
            </w:r>
          </w:p>
        </w:tc>
        <w:tc>
          <w:tcPr>
            <w:tcW w:w="1080" w:type="dxa"/>
            <w:tcBorders>
              <w:top w:val="nil"/>
              <w:left w:val="single" w:sz="4" w:space="0" w:color="auto"/>
              <w:bottom w:val="single" w:sz="6" w:space="0" w:color="000000"/>
              <w:right w:val="single" w:sz="6" w:space="0" w:color="000000"/>
            </w:tcBorders>
            <w:shd w:val="clear" w:color="auto" w:fill="auto"/>
            <w:vAlign w:val="center"/>
            <w:hideMark/>
          </w:tcPr>
          <w:p w14:paraId="2D034456" w14:textId="1904C183" w:rsidR="002F5D49" w:rsidRPr="006D4FD0" w:rsidRDefault="002F5D49" w:rsidP="002F5D49">
            <w:pPr>
              <w:jc w:val="center"/>
              <w:textAlignment w:val="baseline"/>
              <w:rPr>
                <w:sz w:val="22"/>
                <w:szCs w:val="22"/>
              </w:rPr>
            </w:pPr>
            <w:r w:rsidRPr="006D4FD0">
              <w:rPr>
                <w:sz w:val="22"/>
                <w:szCs w:val="22"/>
              </w:rPr>
              <w:t>6/5/2020 </w:t>
            </w:r>
          </w:p>
        </w:tc>
        <w:tc>
          <w:tcPr>
            <w:tcW w:w="1080" w:type="dxa"/>
            <w:tcBorders>
              <w:top w:val="single" w:sz="6" w:space="0" w:color="000000"/>
              <w:left w:val="nil"/>
              <w:bottom w:val="single" w:sz="6" w:space="0" w:color="000000"/>
              <w:right w:val="single" w:sz="4" w:space="0" w:color="auto"/>
            </w:tcBorders>
            <w:vAlign w:val="center"/>
          </w:tcPr>
          <w:p w14:paraId="71615548" w14:textId="77777777" w:rsidR="002F5D49" w:rsidRPr="006D4FD0" w:rsidRDefault="002F5D49" w:rsidP="002F5D49">
            <w:pPr>
              <w:jc w:val="center"/>
              <w:textAlignment w:val="baseline"/>
              <w:rPr>
                <w:sz w:val="22"/>
                <w:szCs w:val="22"/>
              </w:rPr>
            </w:pPr>
            <w:r w:rsidRPr="00345292">
              <w:rPr>
                <w:sz w:val="22"/>
                <w:szCs w:val="22"/>
              </w:rPr>
              <w:t>6/5/2020</w:t>
            </w:r>
          </w:p>
        </w:tc>
        <w:tc>
          <w:tcPr>
            <w:tcW w:w="1070" w:type="dxa"/>
            <w:tcBorders>
              <w:top w:val="nil"/>
              <w:left w:val="single" w:sz="4" w:space="0" w:color="auto"/>
              <w:bottom w:val="single" w:sz="6" w:space="0" w:color="000000"/>
              <w:right w:val="single" w:sz="6" w:space="0" w:color="000000"/>
            </w:tcBorders>
            <w:shd w:val="clear" w:color="auto" w:fill="auto"/>
            <w:vAlign w:val="center"/>
            <w:hideMark/>
          </w:tcPr>
          <w:p w14:paraId="3E119448" w14:textId="77777777" w:rsidR="002F5D49" w:rsidRPr="006D4FD0" w:rsidRDefault="002F5D49" w:rsidP="002F5D49">
            <w:pPr>
              <w:jc w:val="center"/>
              <w:textAlignment w:val="baseline"/>
              <w:rPr>
                <w:sz w:val="22"/>
                <w:szCs w:val="22"/>
              </w:rPr>
            </w:pPr>
            <w:r w:rsidRPr="006D4FD0">
              <w:rPr>
                <w:sz w:val="22"/>
                <w:szCs w:val="22"/>
              </w:rPr>
              <w:t>7/1/2020 </w:t>
            </w:r>
          </w:p>
        </w:tc>
        <w:tc>
          <w:tcPr>
            <w:tcW w:w="1044" w:type="dxa"/>
            <w:tcBorders>
              <w:top w:val="nil"/>
              <w:left w:val="nil"/>
              <w:bottom w:val="single" w:sz="6" w:space="0" w:color="000000"/>
              <w:right w:val="single" w:sz="6" w:space="0" w:color="000000"/>
            </w:tcBorders>
            <w:shd w:val="clear" w:color="auto" w:fill="auto"/>
            <w:vAlign w:val="center"/>
            <w:hideMark/>
          </w:tcPr>
          <w:p w14:paraId="43726200" w14:textId="77777777" w:rsidR="002F5D49" w:rsidRPr="006D4FD0" w:rsidRDefault="002F5D49" w:rsidP="002F5D49">
            <w:pPr>
              <w:jc w:val="center"/>
              <w:textAlignment w:val="baseline"/>
              <w:rPr>
                <w:sz w:val="22"/>
                <w:szCs w:val="22"/>
              </w:rPr>
            </w:pPr>
            <w:r w:rsidRPr="006D4FD0">
              <w:rPr>
                <w:sz w:val="22"/>
                <w:szCs w:val="22"/>
              </w:rPr>
              <w:t>N/A </w:t>
            </w:r>
          </w:p>
        </w:tc>
        <w:tc>
          <w:tcPr>
            <w:tcW w:w="1218" w:type="dxa"/>
            <w:tcBorders>
              <w:top w:val="nil"/>
              <w:left w:val="nil"/>
              <w:bottom w:val="single" w:sz="6" w:space="0" w:color="000000"/>
              <w:right w:val="single" w:sz="6" w:space="0" w:color="000000"/>
            </w:tcBorders>
            <w:shd w:val="clear" w:color="auto" w:fill="auto"/>
            <w:vAlign w:val="center"/>
            <w:hideMark/>
          </w:tcPr>
          <w:p w14:paraId="16267DA8" w14:textId="77777777" w:rsidR="002F5D49" w:rsidRPr="006D4FD0" w:rsidRDefault="002F5D49" w:rsidP="002F5D49">
            <w:pPr>
              <w:jc w:val="center"/>
              <w:textAlignment w:val="baseline"/>
              <w:rPr>
                <w:sz w:val="22"/>
                <w:szCs w:val="22"/>
              </w:rPr>
            </w:pPr>
            <w:r w:rsidRPr="006D4FD0">
              <w:rPr>
                <w:sz w:val="22"/>
                <w:szCs w:val="22"/>
              </w:rPr>
              <w:t>5/7/2020-8/31/2020 </w:t>
            </w:r>
          </w:p>
        </w:tc>
        <w:tc>
          <w:tcPr>
            <w:tcW w:w="1218" w:type="dxa"/>
            <w:tcBorders>
              <w:top w:val="nil"/>
              <w:left w:val="nil"/>
              <w:bottom w:val="single" w:sz="6" w:space="0" w:color="000000"/>
              <w:right w:val="single" w:sz="6" w:space="0" w:color="000000"/>
            </w:tcBorders>
            <w:shd w:val="clear" w:color="auto" w:fill="auto"/>
            <w:vAlign w:val="center"/>
            <w:hideMark/>
          </w:tcPr>
          <w:p w14:paraId="5DAF5FD6" w14:textId="77777777" w:rsidR="002F5D49" w:rsidRPr="006D4FD0" w:rsidRDefault="002F5D49" w:rsidP="002F5D49">
            <w:pPr>
              <w:jc w:val="center"/>
              <w:textAlignment w:val="baseline"/>
              <w:rPr>
                <w:sz w:val="22"/>
                <w:szCs w:val="22"/>
              </w:rPr>
            </w:pPr>
            <w:r w:rsidRPr="006D4FD0">
              <w:rPr>
                <w:sz w:val="22"/>
                <w:szCs w:val="22"/>
              </w:rPr>
              <w:t>3/18/2020-12/31/2020 </w:t>
            </w:r>
          </w:p>
        </w:tc>
        <w:tc>
          <w:tcPr>
            <w:tcW w:w="1472" w:type="dxa"/>
            <w:tcBorders>
              <w:top w:val="nil"/>
              <w:left w:val="nil"/>
              <w:bottom w:val="single" w:sz="6" w:space="0" w:color="000000"/>
              <w:right w:val="single" w:sz="6" w:space="0" w:color="000000"/>
            </w:tcBorders>
            <w:vAlign w:val="center"/>
          </w:tcPr>
          <w:p w14:paraId="2BFC6B5C" w14:textId="77777777" w:rsidR="002F5D49" w:rsidRPr="006D4FD0" w:rsidRDefault="002F5D49" w:rsidP="002F5D49">
            <w:pPr>
              <w:jc w:val="center"/>
              <w:textAlignment w:val="baseline"/>
              <w:rPr>
                <w:sz w:val="22"/>
                <w:szCs w:val="22"/>
              </w:rPr>
            </w:pPr>
            <w:r w:rsidRPr="006D4FD0">
              <w:rPr>
                <w:sz w:val="22"/>
                <w:szCs w:val="22"/>
              </w:rPr>
              <w:t>Did not resume in-person classes </w:t>
            </w:r>
          </w:p>
        </w:tc>
      </w:tr>
      <w:tr w:rsidR="002F5D49" w:rsidRPr="009204B1" w14:paraId="60D90A1E" w14:textId="77777777" w:rsidTr="002F5D49">
        <w:tc>
          <w:tcPr>
            <w:tcW w:w="1178" w:type="dxa"/>
            <w:gridSpan w:val="2"/>
            <w:tcBorders>
              <w:top w:val="nil"/>
              <w:left w:val="single" w:sz="6" w:space="0" w:color="000000"/>
              <w:bottom w:val="single" w:sz="4" w:space="0" w:color="auto"/>
              <w:right w:val="single" w:sz="6" w:space="0" w:color="000000"/>
            </w:tcBorders>
            <w:shd w:val="clear" w:color="auto" w:fill="auto"/>
            <w:vAlign w:val="center"/>
            <w:hideMark/>
          </w:tcPr>
          <w:p w14:paraId="21029791" w14:textId="77777777" w:rsidR="002F5D49" w:rsidRPr="009204B1" w:rsidRDefault="002F5D49" w:rsidP="002F5D49">
            <w:pPr>
              <w:jc w:val="center"/>
              <w:textAlignment w:val="baseline"/>
              <w:rPr>
                <w:sz w:val="22"/>
                <w:szCs w:val="22"/>
              </w:rPr>
            </w:pPr>
            <w:r w:rsidRPr="009204B1">
              <w:rPr>
                <w:color w:val="FF0000"/>
                <w:sz w:val="22"/>
                <w:szCs w:val="22"/>
              </w:rPr>
              <w:t>Treatment  </w:t>
            </w:r>
          </w:p>
        </w:tc>
        <w:tc>
          <w:tcPr>
            <w:tcW w:w="1244" w:type="dxa"/>
            <w:tcBorders>
              <w:top w:val="nil"/>
              <w:left w:val="nil"/>
              <w:bottom w:val="single" w:sz="4" w:space="0" w:color="auto"/>
              <w:right w:val="single" w:sz="6" w:space="0" w:color="000000"/>
            </w:tcBorders>
            <w:shd w:val="clear" w:color="auto" w:fill="auto"/>
            <w:vAlign w:val="center"/>
            <w:hideMark/>
          </w:tcPr>
          <w:p w14:paraId="7B7D53CA" w14:textId="77777777" w:rsidR="002F5D49" w:rsidRPr="009204B1" w:rsidRDefault="002F5D49" w:rsidP="002F5D49">
            <w:pPr>
              <w:jc w:val="center"/>
              <w:textAlignment w:val="baseline"/>
              <w:rPr>
                <w:sz w:val="22"/>
                <w:szCs w:val="22"/>
              </w:rPr>
            </w:pPr>
            <w:r w:rsidRPr="009204B1">
              <w:rPr>
                <w:sz w:val="22"/>
                <w:szCs w:val="22"/>
              </w:rPr>
              <w:t>Wisconsin </w:t>
            </w:r>
          </w:p>
        </w:tc>
        <w:tc>
          <w:tcPr>
            <w:tcW w:w="1260" w:type="dxa"/>
            <w:gridSpan w:val="2"/>
            <w:tcBorders>
              <w:top w:val="nil"/>
              <w:left w:val="nil"/>
              <w:bottom w:val="single" w:sz="4" w:space="0" w:color="auto"/>
              <w:right w:val="single" w:sz="6" w:space="0" w:color="000000"/>
            </w:tcBorders>
            <w:shd w:val="clear" w:color="auto" w:fill="auto"/>
            <w:vAlign w:val="center"/>
            <w:hideMark/>
          </w:tcPr>
          <w:p w14:paraId="12045C7B" w14:textId="77777777" w:rsidR="002F5D49" w:rsidRPr="009204B1" w:rsidRDefault="002F5D49" w:rsidP="002F5D49">
            <w:pPr>
              <w:jc w:val="center"/>
              <w:textAlignment w:val="baseline"/>
              <w:rPr>
                <w:sz w:val="22"/>
                <w:szCs w:val="22"/>
              </w:rPr>
            </w:pPr>
            <w:r w:rsidRPr="009204B1">
              <w:rPr>
                <w:sz w:val="22"/>
                <w:szCs w:val="22"/>
              </w:rPr>
              <w:t>Milwaukee </w:t>
            </w:r>
          </w:p>
        </w:tc>
        <w:tc>
          <w:tcPr>
            <w:tcW w:w="1080" w:type="dxa"/>
            <w:tcBorders>
              <w:top w:val="nil"/>
              <w:left w:val="nil"/>
              <w:bottom w:val="single" w:sz="4" w:space="0" w:color="auto"/>
              <w:right w:val="single" w:sz="4" w:space="0" w:color="auto"/>
            </w:tcBorders>
            <w:vAlign w:val="center"/>
          </w:tcPr>
          <w:p w14:paraId="79ECCCBE" w14:textId="77CA0161" w:rsidR="002F5D49" w:rsidRPr="006D4FD0" w:rsidRDefault="002F5D49" w:rsidP="002F5D49">
            <w:pPr>
              <w:jc w:val="center"/>
              <w:textAlignment w:val="baseline"/>
              <w:rPr>
                <w:sz w:val="22"/>
                <w:szCs w:val="22"/>
              </w:rPr>
            </w:pPr>
            <w:r>
              <w:rPr>
                <w:color w:val="000000"/>
                <w:sz w:val="22"/>
                <w:szCs w:val="22"/>
              </w:rPr>
              <w:t>3/26/2020</w:t>
            </w:r>
          </w:p>
        </w:tc>
        <w:tc>
          <w:tcPr>
            <w:tcW w:w="1080" w:type="dxa"/>
            <w:tcBorders>
              <w:top w:val="nil"/>
              <w:left w:val="single" w:sz="4" w:space="0" w:color="auto"/>
              <w:bottom w:val="single" w:sz="4" w:space="0" w:color="auto"/>
              <w:right w:val="single" w:sz="6" w:space="0" w:color="000000"/>
            </w:tcBorders>
            <w:shd w:val="clear" w:color="auto" w:fill="auto"/>
            <w:vAlign w:val="center"/>
            <w:hideMark/>
          </w:tcPr>
          <w:p w14:paraId="4C5C83F8" w14:textId="48D3A1A3" w:rsidR="002F5D49" w:rsidRPr="006D4FD0" w:rsidRDefault="002F5D49" w:rsidP="002F5D49">
            <w:pPr>
              <w:jc w:val="center"/>
              <w:textAlignment w:val="baseline"/>
              <w:rPr>
                <w:sz w:val="22"/>
                <w:szCs w:val="22"/>
              </w:rPr>
            </w:pPr>
            <w:r w:rsidRPr="006D4FD0">
              <w:rPr>
                <w:sz w:val="22"/>
                <w:szCs w:val="22"/>
              </w:rPr>
              <w:t>5/13/2020 </w:t>
            </w:r>
          </w:p>
        </w:tc>
        <w:tc>
          <w:tcPr>
            <w:tcW w:w="1080" w:type="dxa"/>
            <w:tcBorders>
              <w:top w:val="single" w:sz="6" w:space="0" w:color="000000"/>
              <w:left w:val="nil"/>
              <w:bottom w:val="single" w:sz="4" w:space="0" w:color="auto"/>
              <w:right w:val="single" w:sz="4" w:space="0" w:color="auto"/>
            </w:tcBorders>
            <w:vAlign w:val="center"/>
          </w:tcPr>
          <w:p w14:paraId="143F9E28" w14:textId="77777777" w:rsidR="002F5D49" w:rsidRPr="006D4FD0" w:rsidRDefault="002F5D49" w:rsidP="002F5D49">
            <w:pPr>
              <w:jc w:val="center"/>
              <w:textAlignment w:val="baseline"/>
              <w:rPr>
                <w:sz w:val="22"/>
                <w:szCs w:val="22"/>
              </w:rPr>
            </w:pPr>
            <w:r w:rsidRPr="006D4FD0">
              <w:rPr>
                <w:sz w:val="22"/>
                <w:szCs w:val="22"/>
              </w:rPr>
              <w:t>6/5/20</w:t>
            </w:r>
          </w:p>
        </w:tc>
        <w:tc>
          <w:tcPr>
            <w:tcW w:w="1070" w:type="dxa"/>
            <w:tcBorders>
              <w:top w:val="nil"/>
              <w:left w:val="single" w:sz="4" w:space="0" w:color="auto"/>
              <w:bottom w:val="single" w:sz="4" w:space="0" w:color="auto"/>
              <w:right w:val="single" w:sz="6" w:space="0" w:color="000000"/>
            </w:tcBorders>
            <w:shd w:val="clear" w:color="auto" w:fill="auto"/>
            <w:vAlign w:val="center"/>
            <w:hideMark/>
          </w:tcPr>
          <w:p w14:paraId="67A32EEF" w14:textId="77777777" w:rsidR="002F5D49" w:rsidRPr="006D4FD0" w:rsidRDefault="002F5D49" w:rsidP="002F5D49">
            <w:pPr>
              <w:jc w:val="center"/>
              <w:textAlignment w:val="baseline"/>
              <w:rPr>
                <w:sz w:val="22"/>
                <w:szCs w:val="22"/>
              </w:rPr>
            </w:pPr>
            <w:r w:rsidRPr="006D4FD0">
              <w:rPr>
                <w:sz w:val="22"/>
                <w:szCs w:val="22"/>
              </w:rPr>
              <w:t>8/1/2020 </w:t>
            </w:r>
          </w:p>
        </w:tc>
        <w:tc>
          <w:tcPr>
            <w:tcW w:w="1044" w:type="dxa"/>
            <w:tcBorders>
              <w:top w:val="nil"/>
              <w:left w:val="nil"/>
              <w:bottom w:val="single" w:sz="4" w:space="0" w:color="auto"/>
              <w:right w:val="single" w:sz="6" w:space="0" w:color="000000"/>
            </w:tcBorders>
            <w:shd w:val="clear" w:color="auto" w:fill="auto"/>
            <w:vAlign w:val="center"/>
            <w:hideMark/>
          </w:tcPr>
          <w:p w14:paraId="7A4C6ED2" w14:textId="77777777" w:rsidR="002F5D49" w:rsidRPr="006D4FD0" w:rsidRDefault="002F5D49" w:rsidP="002F5D49">
            <w:pPr>
              <w:jc w:val="center"/>
              <w:textAlignment w:val="baseline"/>
              <w:rPr>
                <w:sz w:val="22"/>
                <w:szCs w:val="22"/>
              </w:rPr>
            </w:pPr>
            <w:r w:rsidRPr="006D4FD0">
              <w:rPr>
                <w:sz w:val="22"/>
                <w:szCs w:val="22"/>
              </w:rPr>
              <w:t>5/14/2020 </w:t>
            </w:r>
          </w:p>
        </w:tc>
        <w:tc>
          <w:tcPr>
            <w:tcW w:w="1218" w:type="dxa"/>
            <w:tcBorders>
              <w:top w:val="nil"/>
              <w:left w:val="nil"/>
              <w:bottom w:val="single" w:sz="4" w:space="0" w:color="auto"/>
              <w:right w:val="single" w:sz="6" w:space="0" w:color="000000"/>
            </w:tcBorders>
            <w:shd w:val="clear" w:color="auto" w:fill="auto"/>
            <w:vAlign w:val="center"/>
            <w:hideMark/>
          </w:tcPr>
          <w:p w14:paraId="614472FC" w14:textId="77777777" w:rsidR="002F5D49" w:rsidRPr="006D4FD0" w:rsidRDefault="002F5D49" w:rsidP="002F5D49">
            <w:pPr>
              <w:jc w:val="center"/>
              <w:textAlignment w:val="baseline"/>
              <w:rPr>
                <w:sz w:val="22"/>
                <w:szCs w:val="22"/>
              </w:rPr>
            </w:pPr>
            <w:r w:rsidRPr="006D4FD0">
              <w:rPr>
                <w:sz w:val="22"/>
                <w:szCs w:val="22"/>
              </w:rPr>
              <w:t>3/27/2020-5/27/2020 </w:t>
            </w:r>
          </w:p>
        </w:tc>
        <w:tc>
          <w:tcPr>
            <w:tcW w:w="1218" w:type="dxa"/>
            <w:tcBorders>
              <w:top w:val="nil"/>
              <w:left w:val="nil"/>
              <w:bottom w:val="single" w:sz="4" w:space="0" w:color="auto"/>
              <w:right w:val="single" w:sz="6" w:space="0" w:color="000000"/>
            </w:tcBorders>
            <w:shd w:val="clear" w:color="auto" w:fill="auto"/>
            <w:vAlign w:val="center"/>
            <w:hideMark/>
          </w:tcPr>
          <w:p w14:paraId="19FC21C3" w14:textId="77777777" w:rsidR="002F5D49" w:rsidRPr="006D4FD0" w:rsidRDefault="002F5D49" w:rsidP="002F5D49">
            <w:pPr>
              <w:jc w:val="center"/>
              <w:textAlignment w:val="baseline"/>
              <w:rPr>
                <w:sz w:val="22"/>
                <w:szCs w:val="22"/>
              </w:rPr>
            </w:pPr>
            <w:r w:rsidRPr="006D4FD0">
              <w:rPr>
                <w:sz w:val="22"/>
                <w:szCs w:val="22"/>
              </w:rPr>
              <w:t>Same as state </w:t>
            </w:r>
          </w:p>
        </w:tc>
        <w:tc>
          <w:tcPr>
            <w:tcW w:w="1472" w:type="dxa"/>
            <w:tcBorders>
              <w:top w:val="nil"/>
              <w:left w:val="nil"/>
              <w:bottom w:val="single" w:sz="4" w:space="0" w:color="auto"/>
              <w:right w:val="single" w:sz="6" w:space="0" w:color="000000"/>
            </w:tcBorders>
            <w:vAlign w:val="center"/>
          </w:tcPr>
          <w:p w14:paraId="78A8051C" w14:textId="77777777" w:rsidR="002F5D49" w:rsidRPr="006D4FD0" w:rsidRDefault="002F5D49" w:rsidP="002F5D49">
            <w:pPr>
              <w:jc w:val="center"/>
              <w:textAlignment w:val="baseline"/>
              <w:rPr>
                <w:sz w:val="22"/>
                <w:szCs w:val="22"/>
              </w:rPr>
            </w:pPr>
            <w:r w:rsidRPr="006D4FD0">
              <w:rPr>
                <w:sz w:val="22"/>
                <w:szCs w:val="22"/>
              </w:rPr>
              <w:t>Did not resume in-person classes </w:t>
            </w:r>
          </w:p>
        </w:tc>
      </w:tr>
      <w:tr w:rsidR="002F5D49" w:rsidRPr="009204B1" w14:paraId="5CE5BED5" w14:textId="77777777" w:rsidTr="002F5D49">
        <w:tc>
          <w:tcPr>
            <w:tcW w:w="1178" w:type="dxa"/>
            <w:gridSpan w:val="2"/>
            <w:tcBorders>
              <w:top w:val="single" w:sz="4" w:space="0" w:color="auto"/>
              <w:left w:val="single" w:sz="6" w:space="0" w:color="000000"/>
              <w:bottom w:val="single" w:sz="6" w:space="0" w:color="000000"/>
              <w:right w:val="single" w:sz="6" w:space="0" w:color="000000"/>
            </w:tcBorders>
            <w:shd w:val="clear" w:color="auto" w:fill="auto"/>
            <w:vAlign w:val="center"/>
            <w:hideMark/>
          </w:tcPr>
          <w:p w14:paraId="0165FFFD" w14:textId="77777777" w:rsidR="002F5D49" w:rsidRPr="009204B1" w:rsidRDefault="002F5D49" w:rsidP="002F5D49">
            <w:pPr>
              <w:jc w:val="center"/>
              <w:textAlignment w:val="baseline"/>
              <w:rPr>
                <w:sz w:val="22"/>
                <w:szCs w:val="22"/>
              </w:rPr>
            </w:pPr>
            <w:r w:rsidRPr="009204B1">
              <w:rPr>
                <w:color w:val="002060"/>
                <w:sz w:val="22"/>
                <w:szCs w:val="22"/>
              </w:rPr>
              <w:t>Comparison</w:t>
            </w:r>
          </w:p>
        </w:tc>
        <w:tc>
          <w:tcPr>
            <w:tcW w:w="1244" w:type="dxa"/>
            <w:tcBorders>
              <w:top w:val="single" w:sz="4" w:space="0" w:color="auto"/>
              <w:left w:val="nil"/>
              <w:bottom w:val="single" w:sz="6" w:space="0" w:color="000000"/>
              <w:right w:val="single" w:sz="6" w:space="0" w:color="000000"/>
            </w:tcBorders>
            <w:shd w:val="clear" w:color="auto" w:fill="auto"/>
            <w:vAlign w:val="center"/>
            <w:hideMark/>
          </w:tcPr>
          <w:p w14:paraId="411A2D48" w14:textId="77777777" w:rsidR="002F5D49" w:rsidRPr="009204B1" w:rsidRDefault="002F5D49" w:rsidP="002F5D49">
            <w:pPr>
              <w:jc w:val="center"/>
              <w:textAlignment w:val="baseline"/>
              <w:rPr>
                <w:sz w:val="22"/>
                <w:szCs w:val="22"/>
              </w:rPr>
            </w:pPr>
            <w:r w:rsidRPr="009204B1">
              <w:rPr>
                <w:sz w:val="22"/>
                <w:szCs w:val="22"/>
              </w:rPr>
              <w:t>Arizona </w:t>
            </w:r>
          </w:p>
        </w:tc>
        <w:tc>
          <w:tcPr>
            <w:tcW w:w="1260" w:type="dxa"/>
            <w:gridSpan w:val="2"/>
            <w:tcBorders>
              <w:top w:val="single" w:sz="4" w:space="0" w:color="auto"/>
              <w:left w:val="nil"/>
              <w:bottom w:val="single" w:sz="6" w:space="0" w:color="000000"/>
              <w:right w:val="single" w:sz="6" w:space="0" w:color="000000"/>
            </w:tcBorders>
            <w:shd w:val="clear" w:color="auto" w:fill="auto"/>
            <w:vAlign w:val="center"/>
            <w:hideMark/>
          </w:tcPr>
          <w:p w14:paraId="2447E89E" w14:textId="77777777" w:rsidR="002F5D49" w:rsidRPr="009204B1" w:rsidRDefault="002F5D49" w:rsidP="002F5D49">
            <w:pPr>
              <w:jc w:val="center"/>
              <w:textAlignment w:val="baseline"/>
              <w:rPr>
                <w:sz w:val="22"/>
                <w:szCs w:val="22"/>
              </w:rPr>
            </w:pPr>
            <w:r w:rsidRPr="009204B1">
              <w:rPr>
                <w:sz w:val="22"/>
                <w:szCs w:val="22"/>
              </w:rPr>
              <w:t>Phoenix  </w:t>
            </w:r>
          </w:p>
        </w:tc>
        <w:tc>
          <w:tcPr>
            <w:tcW w:w="1080" w:type="dxa"/>
            <w:tcBorders>
              <w:top w:val="single" w:sz="4" w:space="0" w:color="auto"/>
              <w:left w:val="nil"/>
              <w:bottom w:val="single" w:sz="6" w:space="0" w:color="000000"/>
              <w:right w:val="single" w:sz="4" w:space="0" w:color="auto"/>
            </w:tcBorders>
            <w:vAlign w:val="center"/>
          </w:tcPr>
          <w:p w14:paraId="23B06AB7" w14:textId="1BA3E3F8" w:rsidR="002F5D49" w:rsidRPr="006D4FD0" w:rsidRDefault="002F5D49" w:rsidP="002F5D49">
            <w:pPr>
              <w:jc w:val="center"/>
              <w:textAlignment w:val="baseline"/>
              <w:rPr>
                <w:sz w:val="22"/>
                <w:szCs w:val="22"/>
              </w:rPr>
            </w:pPr>
            <w:r>
              <w:rPr>
                <w:color w:val="000000"/>
                <w:sz w:val="22"/>
                <w:szCs w:val="22"/>
              </w:rPr>
              <w:t>3/31/2020</w:t>
            </w:r>
          </w:p>
        </w:tc>
        <w:tc>
          <w:tcPr>
            <w:tcW w:w="1080" w:type="dxa"/>
            <w:tcBorders>
              <w:top w:val="single" w:sz="4" w:space="0" w:color="auto"/>
              <w:left w:val="single" w:sz="4" w:space="0" w:color="auto"/>
              <w:bottom w:val="single" w:sz="6" w:space="0" w:color="000000"/>
              <w:right w:val="single" w:sz="6" w:space="0" w:color="000000"/>
            </w:tcBorders>
            <w:shd w:val="clear" w:color="auto" w:fill="auto"/>
            <w:vAlign w:val="center"/>
            <w:hideMark/>
          </w:tcPr>
          <w:p w14:paraId="75B3C2F2" w14:textId="6F1C1722" w:rsidR="002F5D49" w:rsidRPr="006D4FD0" w:rsidRDefault="002F5D49" w:rsidP="002F5D49">
            <w:pPr>
              <w:jc w:val="center"/>
              <w:textAlignment w:val="baseline"/>
              <w:rPr>
                <w:sz w:val="22"/>
                <w:szCs w:val="22"/>
              </w:rPr>
            </w:pPr>
            <w:r w:rsidRPr="006D4FD0">
              <w:rPr>
                <w:sz w:val="22"/>
                <w:szCs w:val="22"/>
              </w:rPr>
              <w:t>5/16/2020 </w:t>
            </w:r>
          </w:p>
        </w:tc>
        <w:tc>
          <w:tcPr>
            <w:tcW w:w="1080" w:type="dxa"/>
            <w:tcBorders>
              <w:top w:val="single" w:sz="4" w:space="0" w:color="auto"/>
              <w:left w:val="nil"/>
              <w:bottom w:val="single" w:sz="6" w:space="0" w:color="000000"/>
              <w:right w:val="single" w:sz="4" w:space="0" w:color="auto"/>
            </w:tcBorders>
            <w:vAlign w:val="center"/>
          </w:tcPr>
          <w:p w14:paraId="0C4ABE0C" w14:textId="77777777" w:rsidR="002F5D49" w:rsidRPr="006D4FD0" w:rsidRDefault="002F5D49" w:rsidP="002F5D49">
            <w:pPr>
              <w:jc w:val="center"/>
              <w:textAlignment w:val="baseline"/>
              <w:rPr>
                <w:sz w:val="22"/>
                <w:szCs w:val="22"/>
              </w:rPr>
            </w:pPr>
            <w:r w:rsidRPr="006D4FD0">
              <w:rPr>
                <w:sz w:val="22"/>
                <w:szCs w:val="22"/>
              </w:rPr>
              <w:t>5/16/20</w:t>
            </w:r>
          </w:p>
        </w:tc>
        <w:tc>
          <w:tcPr>
            <w:tcW w:w="1070" w:type="dxa"/>
            <w:tcBorders>
              <w:top w:val="single" w:sz="4" w:space="0" w:color="auto"/>
              <w:left w:val="single" w:sz="4" w:space="0" w:color="auto"/>
              <w:bottom w:val="single" w:sz="6" w:space="0" w:color="000000"/>
              <w:right w:val="single" w:sz="6" w:space="0" w:color="000000"/>
            </w:tcBorders>
            <w:shd w:val="clear" w:color="auto" w:fill="auto"/>
            <w:vAlign w:val="center"/>
            <w:hideMark/>
          </w:tcPr>
          <w:p w14:paraId="2A6976DA" w14:textId="77777777" w:rsidR="002F5D49" w:rsidRPr="006D4FD0" w:rsidRDefault="002F5D49" w:rsidP="002F5D49">
            <w:pPr>
              <w:jc w:val="center"/>
              <w:textAlignment w:val="baseline"/>
              <w:rPr>
                <w:sz w:val="22"/>
                <w:szCs w:val="22"/>
              </w:rPr>
            </w:pPr>
            <w:r w:rsidRPr="006D4FD0">
              <w:rPr>
                <w:sz w:val="22"/>
                <w:szCs w:val="22"/>
              </w:rPr>
              <w:t>No mandate* </w:t>
            </w:r>
          </w:p>
        </w:tc>
        <w:tc>
          <w:tcPr>
            <w:tcW w:w="1044" w:type="dxa"/>
            <w:tcBorders>
              <w:top w:val="single" w:sz="4" w:space="0" w:color="auto"/>
              <w:left w:val="nil"/>
              <w:bottom w:val="single" w:sz="6" w:space="0" w:color="000000"/>
              <w:right w:val="single" w:sz="6" w:space="0" w:color="000000"/>
            </w:tcBorders>
            <w:shd w:val="clear" w:color="auto" w:fill="auto"/>
            <w:vAlign w:val="center"/>
            <w:hideMark/>
          </w:tcPr>
          <w:p w14:paraId="2B014E48" w14:textId="77777777" w:rsidR="002F5D49" w:rsidRPr="006D4FD0" w:rsidRDefault="002F5D49" w:rsidP="002F5D49">
            <w:pPr>
              <w:jc w:val="center"/>
              <w:textAlignment w:val="baseline"/>
              <w:rPr>
                <w:sz w:val="22"/>
                <w:szCs w:val="22"/>
              </w:rPr>
            </w:pPr>
            <w:r w:rsidRPr="006D4FD0">
              <w:rPr>
                <w:sz w:val="22"/>
                <w:szCs w:val="22"/>
              </w:rPr>
              <w:t>6/20/2020 </w:t>
            </w:r>
          </w:p>
        </w:tc>
        <w:tc>
          <w:tcPr>
            <w:tcW w:w="1218" w:type="dxa"/>
            <w:tcBorders>
              <w:top w:val="single" w:sz="4" w:space="0" w:color="auto"/>
              <w:left w:val="nil"/>
              <w:bottom w:val="single" w:sz="6" w:space="0" w:color="000000"/>
              <w:right w:val="single" w:sz="6" w:space="0" w:color="000000"/>
            </w:tcBorders>
            <w:shd w:val="clear" w:color="auto" w:fill="auto"/>
            <w:vAlign w:val="center"/>
            <w:hideMark/>
          </w:tcPr>
          <w:p w14:paraId="6C24E5C3" w14:textId="77777777" w:rsidR="002F5D49" w:rsidRPr="006D4FD0" w:rsidRDefault="002F5D49" w:rsidP="002F5D49">
            <w:pPr>
              <w:jc w:val="center"/>
              <w:textAlignment w:val="baseline"/>
              <w:rPr>
                <w:sz w:val="22"/>
                <w:szCs w:val="22"/>
              </w:rPr>
            </w:pPr>
            <w:r w:rsidRPr="006D4FD0">
              <w:rPr>
                <w:sz w:val="22"/>
                <w:szCs w:val="22"/>
              </w:rPr>
              <w:t>3/24/2020-10/31/2020 </w:t>
            </w:r>
          </w:p>
        </w:tc>
        <w:tc>
          <w:tcPr>
            <w:tcW w:w="1218" w:type="dxa"/>
            <w:tcBorders>
              <w:top w:val="single" w:sz="4" w:space="0" w:color="auto"/>
              <w:left w:val="nil"/>
              <w:bottom w:val="single" w:sz="6" w:space="0" w:color="000000"/>
              <w:right w:val="single" w:sz="6" w:space="0" w:color="000000"/>
            </w:tcBorders>
            <w:shd w:val="clear" w:color="auto" w:fill="auto"/>
            <w:vAlign w:val="center"/>
            <w:hideMark/>
          </w:tcPr>
          <w:p w14:paraId="5E8F603A" w14:textId="77777777" w:rsidR="002F5D49" w:rsidRPr="006D4FD0" w:rsidRDefault="002F5D49" w:rsidP="002F5D49">
            <w:pPr>
              <w:jc w:val="center"/>
              <w:textAlignment w:val="baseline"/>
              <w:rPr>
                <w:sz w:val="22"/>
                <w:szCs w:val="22"/>
              </w:rPr>
            </w:pPr>
            <w:r w:rsidRPr="006D4FD0">
              <w:rPr>
                <w:sz w:val="22"/>
                <w:szCs w:val="22"/>
              </w:rPr>
              <w:t>Same as state </w:t>
            </w:r>
          </w:p>
        </w:tc>
        <w:tc>
          <w:tcPr>
            <w:tcW w:w="1472" w:type="dxa"/>
            <w:tcBorders>
              <w:top w:val="single" w:sz="4" w:space="0" w:color="auto"/>
              <w:left w:val="nil"/>
              <w:bottom w:val="single" w:sz="6" w:space="0" w:color="000000"/>
              <w:right w:val="single" w:sz="6" w:space="0" w:color="000000"/>
            </w:tcBorders>
            <w:vAlign w:val="center"/>
          </w:tcPr>
          <w:p w14:paraId="3D6B6A9C" w14:textId="77777777" w:rsidR="002F5D49" w:rsidRPr="006D4FD0" w:rsidRDefault="002F5D49" w:rsidP="002F5D49">
            <w:pPr>
              <w:jc w:val="center"/>
              <w:textAlignment w:val="baseline"/>
              <w:rPr>
                <w:sz w:val="22"/>
                <w:szCs w:val="22"/>
              </w:rPr>
            </w:pPr>
            <w:r w:rsidRPr="006D4FD0">
              <w:rPr>
                <w:sz w:val="22"/>
                <w:szCs w:val="22"/>
              </w:rPr>
              <w:t>Did not resume in-person classes </w:t>
            </w:r>
          </w:p>
        </w:tc>
      </w:tr>
      <w:tr w:rsidR="002F5D49" w:rsidRPr="009204B1" w14:paraId="6CDEE10A" w14:textId="77777777" w:rsidTr="002F5D49">
        <w:tc>
          <w:tcPr>
            <w:tcW w:w="1178" w:type="dxa"/>
            <w:gridSpan w:val="2"/>
            <w:tcBorders>
              <w:top w:val="nil"/>
              <w:left w:val="single" w:sz="6" w:space="0" w:color="000000"/>
              <w:bottom w:val="single" w:sz="6" w:space="0" w:color="000000"/>
              <w:right w:val="single" w:sz="6" w:space="0" w:color="000000"/>
            </w:tcBorders>
            <w:shd w:val="clear" w:color="auto" w:fill="auto"/>
            <w:vAlign w:val="center"/>
            <w:hideMark/>
          </w:tcPr>
          <w:p w14:paraId="74D6DB40" w14:textId="77777777" w:rsidR="002F5D49" w:rsidRPr="009204B1" w:rsidRDefault="002F5D49" w:rsidP="002F5D49">
            <w:pPr>
              <w:jc w:val="center"/>
              <w:textAlignment w:val="baseline"/>
              <w:rPr>
                <w:sz w:val="22"/>
                <w:szCs w:val="22"/>
              </w:rPr>
            </w:pPr>
            <w:r w:rsidRPr="009204B1">
              <w:rPr>
                <w:color w:val="002060"/>
                <w:sz w:val="22"/>
                <w:szCs w:val="22"/>
              </w:rPr>
              <w:t>Comparison</w:t>
            </w:r>
          </w:p>
        </w:tc>
        <w:tc>
          <w:tcPr>
            <w:tcW w:w="1244" w:type="dxa"/>
            <w:tcBorders>
              <w:top w:val="nil"/>
              <w:left w:val="nil"/>
              <w:bottom w:val="single" w:sz="6" w:space="0" w:color="000000"/>
              <w:right w:val="single" w:sz="6" w:space="0" w:color="000000"/>
            </w:tcBorders>
            <w:shd w:val="clear" w:color="auto" w:fill="auto"/>
            <w:vAlign w:val="center"/>
            <w:hideMark/>
          </w:tcPr>
          <w:p w14:paraId="71A61956" w14:textId="77777777" w:rsidR="002F5D49" w:rsidRPr="009204B1" w:rsidRDefault="002F5D49" w:rsidP="002F5D49">
            <w:pPr>
              <w:jc w:val="center"/>
              <w:textAlignment w:val="baseline"/>
              <w:rPr>
                <w:sz w:val="22"/>
                <w:szCs w:val="22"/>
              </w:rPr>
            </w:pPr>
            <w:r w:rsidRPr="009204B1">
              <w:rPr>
                <w:sz w:val="22"/>
                <w:szCs w:val="22"/>
              </w:rPr>
              <w:t>Georgia  </w:t>
            </w:r>
          </w:p>
        </w:tc>
        <w:tc>
          <w:tcPr>
            <w:tcW w:w="1260" w:type="dxa"/>
            <w:gridSpan w:val="2"/>
            <w:tcBorders>
              <w:top w:val="nil"/>
              <w:left w:val="nil"/>
              <w:bottom w:val="single" w:sz="6" w:space="0" w:color="000000"/>
              <w:right w:val="single" w:sz="6" w:space="0" w:color="000000"/>
            </w:tcBorders>
            <w:shd w:val="clear" w:color="auto" w:fill="auto"/>
            <w:vAlign w:val="center"/>
            <w:hideMark/>
          </w:tcPr>
          <w:p w14:paraId="0C26F873" w14:textId="77777777" w:rsidR="002F5D49" w:rsidRPr="009204B1" w:rsidRDefault="002F5D49" w:rsidP="002F5D49">
            <w:pPr>
              <w:jc w:val="center"/>
              <w:textAlignment w:val="baseline"/>
              <w:rPr>
                <w:sz w:val="22"/>
                <w:szCs w:val="22"/>
              </w:rPr>
            </w:pPr>
            <w:r w:rsidRPr="009204B1">
              <w:rPr>
                <w:sz w:val="22"/>
                <w:szCs w:val="22"/>
              </w:rPr>
              <w:t>Atlanta  </w:t>
            </w:r>
          </w:p>
        </w:tc>
        <w:tc>
          <w:tcPr>
            <w:tcW w:w="1080" w:type="dxa"/>
            <w:tcBorders>
              <w:top w:val="nil"/>
              <w:left w:val="nil"/>
              <w:bottom w:val="single" w:sz="6" w:space="0" w:color="000000"/>
              <w:right w:val="single" w:sz="4" w:space="0" w:color="auto"/>
            </w:tcBorders>
            <w:vAlign w:val="center"/>
          </w:tcPr>
          <w:p w14:paraId="3FC9D24A" w14:textId="796D7323" w:rsidR="002F5D49" w:rsidRPr="006D4FD0" w:rsidRDefault="002F5D49" w:rsidP="002F5D49">
            <w:pPr>
              <w:jc w:val="center"/>
              <w:textAlignment w:val="baseline"/>
              <w:rPr>
                <w:sz w:val="22"/>
                <w:szCs w:val="22"/>
              </w:rPr>
            </w:pPr>
            <w:r>
              <w:rPr>
                <w:color w:val="000000"/>
                <w:sz w:val="22"/>
                <w:szCs w:val="22"/>
              </w:rPr>
              <w:t>3/24/2020</w:t>
            </w:r>
          </w:p>
        </w:tc>
        <w:tc>
          <w:tcPr>
            <w:tcW w:w="1080" w:type="dxa"/>
            <w:tcBorders>
              <w:top w:val="nil"/>
              <w:left w:val="single" w:sz="4" w:space="0" w:color="auto"/>
              <w:bottom w:val="single" w:sz="6" w:space="0" w:color="000000"/>
              <w:right w:val="single" w:sz="6" w:space="0" w:color="000000"/>
            </w:tcBorders>
            <w:shd w:val="clear" w:color="auto" w:fill="auto"/>
            <w:vAlign w:val="center"/>
            <w:hideMark/>
          </w:tcPr>
          <w:p w14:paraId="4E15FF29" w14:textId="3209DF57" w:rsidR="002F5D49" w:rsidRPr="006D4FD0" w:rsidRDefault="002F5D49" w:rsidP="002F5D49">
            <w:pPr>
              <w:jc w:val="center"/>
              <w:textAlignment w:val="baseline"/>
              <w:rPr>
                <w:sz w:val="22"/>
                <w:szCs w:val="22"/>
              </w:rPr>
            </w:pPr>
            <w:r w:rsidRPr="006D4FD0">
              <w:rPr>
                <w:sz w:val="22"/>
                <w:szCs w:val="22"/>
              </w:rPr>
              <w:t>5/1/2020 </w:t>
            </w:r>
          </w:p>
        </w:tc>
        <w:tc>
          <w:tcPr>
            <w:tcW w:w="1080" w:type="dxa"/>
            <w:tcBorders>
              <w:top w:val="single" w:sz="6" w:space="0" w:color="000000"/>
              <w:left w:val="nil"/>
              <w:bottom w:val="single" w:sz="6" w:space="0" w:color="000000"/>
              <w:right w:val="single" w:sz="4" w:space="0" w:color="auto"/>
            </w:tcBorders>
            <w:vAlign w:val="center"/>
          </w:tcPr>
          <w:p w14:paraId="3CEAA841" w14:textId="77777777" w:rsidR="002F5D49" w:rsidRPr="006D4FD0" w:rsidRDefault="002F5D49" w:rsidP="002F5D49">
            <w:pPr>
              <w:jc w:val="center"/>
              <w:textAlignment w:val="baseline"/>
              <w:rPr>
                <w:sz w:val="22"/>
                <w:szCs w:val="22"/>
              </w:rPr>
            </w:pPr>
            <w:r w:rsidRPr="006D4FD0">
              <w:rPr>
                <w:sz w:val="22"/>
                <w:szCs w:val="22"/>
              </w:rPr>
              <w:t>5/1/20</w:t>
            </w:r>
          </w:p>
        </w:tc>
        <w:tc>
          <w:tcPr>
            <w:tcW w:w="1070" w:type="dxa"/>
            <w:tcBorders>
              <w:top w:val="nil"/>
              <w:left w:val="single" w:sz="4" w:space="0" w:color="auto"/>
              <w:bottom w:val="single" w:sz="6" w:space="0" w:color="000000"/>
              <w:right w:val="single" w:sz="6" w:space="0" w:color="000000"/>
            </w:tcBorders>
            <w:shd w:val="clear" w:color="auto" w:fill="auto"/>
            <w:vAlign w:val="center"/>
            <w:hideMark/>
          </w:tcPr>
          <w:p w14:paraId="11458FB8" w14:textId="77777777" w:rsidR="002F5D49" w:rsidRPr="006D4FD0" w:rsidRDefault="002F5D49" w:rsidP="002F5D49">
            <w:pPr>
              <w:jc w:val="center"/>
              <w:textAlignment w:val="baseline"/>
              <w:rPr>
                <w:sz w:val="22"/>
                <w:szCs w:val="22"/>
              </w:rPr>
            </w:pPr>
            <w:r w:rsidRPr="006D4FD0">
              <w:rPr>
                <w:sz w:val="22"/>
                <w:szCs w:val="22"/>
              </w:rPr>
              <w:t>No mandate </w:t>
            </w:r>
          </w:p>
        </w:tc>
        <w:tc>
          <w:tcPr>
            <w:tcW w:w="1044" w:type="dxa"/>
            <w:tcBorders>
              <w:top w:val="nil"/>
              <w:left w:val="nil"/>
              <w:bottom w:val="single" w:sz="6" w:space="0" w:color="000000"/>
              <w:right w:val="single" w:sz="6" w:space="0" w:color="000000"/>
            </w:tcBorders>
            <w:shd w:val="clear" w:color="auto" w:fill="auto"/>
            <w:vAlign w:val="center"/>
            <w:hideMark/>
          </w:tcPr>
          <w:p w14:paraId="34A751F9" w14:textId="77777777" w:rsidR="002F5D49" w:rsidRPr="006D4FD0" w:rsidRDefault="002F5D49" w:rsidP="002F5D49">
            <w:pPr>
              <w:jc w:val="center"/>
              <w:textAlignment w:val="baseline"/>
              <w:rPr>
                <w:sz w:val="22"/>
                <w:szCs w:val="22"/>
              </w:rPr>
            </w:pPr>
            <w:r w:rsidRPr="006D4FD0">
              <w:rPr>
                <w:sz w:val="22"/>
                <w:szCs w:val="22"/>
              </w:rPr>
              <w:t>7/8/2020 </w:t>
            </w:r>
          </w:p>
        </w:tc>
        <w:tc>
          <w:tcPr>
            <w:tcW w:w="1218" w:type="dxa"/>
            <w:tcBorders>
              <w:top w:val="nil"/>
              <w:left w:val="nil"/>
              <w:bottom w:val="single" w:sz="6" w:space="0" w:color="000000"/>
              <w:right w:val="single" w:sz="6" w:space="0" w:color="000000"/>
            </w:tcBorders>
            <w:shd w:val="clear" w:color="auto" w:fill="auto"/>
            <w:vAlign w:val="center"/>
            <w:hideMark/>
          </w:tcPr>
          <w:p w14:paraId="120085EA" w14:textId="77777777" w:rsidR="002F5D49" w:rsidRPr="006D4FD0" w:rsidRDefault="002F5D49" w:rsidP="002F5D49">
            <w:pPr>
              <w:jc w:val="center"/>
              <w:textAlignment w:val="baseline"/>
              <w:rPr>
                <w:sz w:val="22"/>
                <w:szCs w:val="22"/>
              </w:rPr>
            </w:pPr>
            <w:r w:rsidRPr="006D4FD0">
              <w:rPr>
                <w:sz w:val="22"/>
                <w:szCs w:val="22"/>
              </w:rPr>
              <w:t>N/A </w:t>
            </w:r>
          </w:p>
        </w:tc>
        <w:tc>
          <w:tcPr>
            <w:tcW w:w="1218" w:type="dxa"/>
            <w:tcBorders>
              <w:top w:val="nil"/>
              <w:left w:val="nil"/>
              <w:bottom w:val="single" w:sz="6" w:space="0" w:color="000000"/>
              <w:right w:val="single" w:sz="6" w:space="0" w:color="000000"/>
            </w:tcBorders>
            <w:shd w:val="clear" w:color="auto" w:fill="auto"/>
            <w:vAlign w:val="center"/>
            <w:hideMark/>
          </w:tcPr>
          <w:p w14:paraId="391E2E49" w14:textId="77777777" w:rsidR="002F5D49" w:rsidRPr="006D4FD0" w:rsidRDefault="002F5D49" w:rsidP="002F5D49">
            <w:pPr>
              <w:jc w:val="center"/>
              <w:textAlignment w:val="baseline"/>
              <w:rPr>
                <w:sz w:val="22"/>
                <w:szCs w:val="22"/>
              </w:rPr>
            </w:pPr>
            <w:r w:rsidRPr="006D4FD0">
              <w:rPr>
                <w:sz w:val="22"/>
                <w:szCs w:val="22"/>
              </w:rPr>
              <w:t>3/16/2020-10/31/2020 </w:t>
            </w:r>
          </w:p>
        </w:tc>
        <w:tc>
          <w:tcPr>
            <w:tcW w:w="1472" w:type="dxa"/>
            <w:tcBorders>
              <w:top w:val="nil"/>
              <w:left w:val="nil"/>
              <w:bottom w:val="single" w:sz="6" w:space="0" w:color="000000"/>
              <w:right w:val="single" w:sz="6" w:space="0" w:color="000000"/>
            </w:tcBorders>
            <w:vAlign w:val="center"/>
          </w:tcPr>
          <w:p w14:paraId="55E27CE9" w14:textId="77777777" w:rsidR="002F5D49" w:rsidRPr="006D4FD0" w:rsidRDefault="002F5D49" w:rsidP="002F5D49">
            <w:pPr>
              <w:jc w:val="center"/>
              <w:textAlignment w:val="baseline"/>
              <w:rPr>
                <w:sz w:val="22"/>
                <w:szCs w:val="22"/>
              </w:rPr>
            </w:pPr>
            <w:r w:rsidRPr="006D4FD0">
              <w:rPr>
                <w:sz w:val="22"/>
                <w:szCs w:val="22"/>
              </w:rPr>
              <w:t>Did not resume in-person classes </w:t>
            </w:r>
          </w:p>
        </w:tc>
      </w:tr>
      <w:tr w:rsidR="002F5D49" w:rsidRPr="009204B1" w14:paraId="223DB9F4" w14:textId="77777777" w:rsidTr="002F5D49">
        <w:tc>
          <w:tcPr>
            <w:tcW w:w="1178" w:type="dxa"/>
            <w:gridSpan w:val="2"/>
            <w:tcBorders>
              <w:top w:val="nil"/>
              <w:left w:val="single" w:sz="6" w:space="0" w:color="000000"/>
              <w:bottom w:val="single" w:sz="6" w:space="0" w:color="000000"/>
              <w:right w:val="single" w:sz="6" w:space="0" w:color="000000"/>
            </w:tcBorders>
            <w:shd w:val="clear" w:color="auto" w:fill="auto"/>
            <w:vAlign w:val="center"/>
            <w:hideMark/>
          </w:tcPr>
          <w:p w14:paraId="3D6C3A23" w14:textId="77777777" w:rsidR="002F5D49" w:rsidRPr="009204B1" w:rsidRDefault="002F5D49" w:rsidP="002F5D49">
            <w:pPr>
              <w:jc w:val="center"/>
              <w:textAlignment w:val="baseline"/>
              <w:rPr>
                <w:sz w:val="22"/>
                <w:szCs w:val="22"/>
              </w:rPr>
            </w:pPr>
            <w:r w:rsidRPr="009204B1">
              <w:rPr>
                <w:color w:val="002060"/>
                <w:sz w:val="22"/>
                <w:szCs w:val="22"/>
              </w:rPr>
              <w:t>Comparison</w:t>
            </w:r>
          </w:p>
        </w:tc>
        <w:tc>
          <w:tcPr>
            <w:tcW w:w="1244" w:type="dxa"/>
            <w:tcBorders>
              <w:top w:val="nil"/>
              <w:left w:val="nil"/>
              <w:bottom w:val="single" w:sz="6" w:space="0" w:color="000000"/>
              <w:right w:val="single" w:sz="6" w:space="0" w:color="000000"/>
            </w:tcBorders>
            <w:shd w:val="clear" w:color="auto" w:fill="auto"/>
            <w:vAlign w:val="center"/>
            <w:hideMark/>
          </w:tcPr>
          <w:p w14:paraId="7BFF3424" w14:textId="77777777" w:rsidR="002F5D49" w:rsidRPr="009204B1" w:rsidRDefault="002F5D49" w:rsidP="002F5D49">
            <w:pPr>
              <w:jc w:val="center"/>
              <w:textAlignment w:val="baseline"/>
              <w:rPr>
                <w:sz w:val="22"/>
                <w:szCs w:val="22"/>
              </w:rPr>
            </w:pPr>
            <w:r w:rsidRPr="009204B1">
              <w:rPr>
                <w:sz w:val="22"/>
                <w:szCs w:val="22"/>
              </w:rPr>
              <w:t>South Carolina </w:t>
            </w:r>
          </w:p>
        </w:tc>
        <w:tc>
          <w:tcPr>
            <w:tcW w:w="1260" w:type="dxa"/>
            <w:gridSpan w:val="2"/>
            <w:tcBorders>
              <w:top w:val="nil"/>
              <w:left w:val="nil"/>
              <w:bottom w:val="single" w:sz="6" w:space="0" w:color="000000"/>
              <w:right w:val="single" w:sz="6" w:space="0" w:color="000000"/>
            </w:tcBorders>
            <w:shd w:val="clear" w:color="auto" w:fill="auto"/>
            <w:vAlign w:val="center"/>
            <w:hideMark/>
          </w:tcPr>
          <w:p w14:paraId="08804AB5" w14:textId="77777777" w:rsidR="002F5D49" w:rsidRPr="009204B1" w:rsidRDefault="002F5D49" w:rsidP="002F5D49">
            <w:pPr>
              <w:jc w:val="center"/>
              <w:textAlignment w:val="baseline"/>
              <w:rPr>
                <w:sz w:val="22"/>
                <w:szCs w:val="22"/>
              </w:rPr>
            </w:pPr>
            <w:r w:rsidRPr="009204B1">
              <w:rPr>
                <w:sz w:val="22"/>
                <w:szCs w:val="22"/>
              </w:rPr>
              <w:t>Charleston </w:t>
            </w:r>
          </w:p>
        </w:tc>
        <w:tc>
          <w:tcPr>
            <w:tcW w:w="1080" w:type="dxa"/>
            <w:tcBorders>
              <w:top w:val="nil"/>
              <w:left w:val="nil"/>
              <w:bottom w:val="single" w:sz="6" w:space="0" w:color="000000"/>
              <w:right w:val="single" w:sz="4" w:space="0" w:color="auto"/>
            </w:tcBorders>
            <w:vAlign w:val="center"/>
          </w:tcPr>
          <w:p w14:paraId="301F0182" w14:textId="76E701F1" w:rsidR="002F5D49" w:rsidRPr="006D4FD0" w:rsidRDefault="002F5D49" w:rsidP="002F5D49">
            <w:pPr>
              <w:jc w:val="center"/>
              <w:textAlignment w:val="baseline"/>
              <w:rPr>
                <w:sz w:val="22"/>
                <w:szCs w:val="22"/>
              </w:rPr>
            </w:pPr>
            <w:r>
              <w:rPr>
                <w:color w:val="000000"/>
                <w:sz w:val="22"/>
                <w:szCs w:val="22"/>
              </w:rPr>
              <w:t>3/27/2020</w:t>
            </w:r>
          </w:p>
        </w:tc>
        <w:tc>
          <w:tcPr>
            <w:tcW w:w="1080" w:type="dxa"/>
            <w:tcBorders>
              <w:top w:val="nil"/>
              <w:left w:val="single" w:sz="4" w:space="0" w:color="auto"/>
              <w:bottom w:val="single" w:sz="6" w:space="0" w:color="000000"/>
              <w:right w:val="single" w:sz="6" w:space="0" w:color="000000"/>
            </w:tcBorders>
            <w:shd w:val="clear" w:color="auto" w:fill="auto"/>
            <w:vAlign w:val="center"/>
            <w:hideMark/>
          </w:tcPr>
          <w:p w14:paraId="3CBEBE85" w14:textId="21ED8549" w:rsidR="002F5D49" w:rsidRPr="006D4FD0" w:rsidRDefault="002F5D49" w:rsidP="002F5D49">
            <w:pPr>
              <w:jc w:val="center"/>
              <w:textAlignment w:val="baseline"/>
              <w:rPr>
                <w:sz w:val="22"/>
                <w:szCs w:val="22"/>
              </w:rPr>
            </w:pPr>
            <w:r w:rsidRPr="006D4FD0">
              <w:rPr>
                <w:sz w:val="22"/>
                <w:szCs w:val="22"/>
              </w:rPr>
              <w:t>5/4/2020 </w:t>
            </w:r>
          </w:p>
        </w:tc>
        <w:tc>
          <w:tcPr>
            <w:tcW w:w="1080" w:type="dxa"/>
            <w:tcBorders>
              <w:top w:val="single" w:sz="6" w:space="0" w:color="000000"/>
              <w:left w:val="nil"/>
              <w:bottom w:val="single" w:sz="6" w:space="0" w:color="000000"/>
              <w:right w:val="single" w:sz="4" w:space="0" w:color="auto"/>
            </w:tcBorders>
            <w:vAlign w:val="center"/>
          </w:tcPr>
          <w:p w14:paraId="7C9FDA11" w14:textId="77777777" w:rsidR="002F5D49" w:rsidRPr="006D4FD0" w:rsidRDefault="002F5D49" w:rsidP="002F5D49">
            <w:pPr>
              <w:jc w:val="center"/>
              <w:textAlignment w:val="baseline"/>
              <w:rPr>
                <w:sz w:val="22"/>
                <w:szCs w:val="22"/>
              </w:rPr>
            </w:pPr>
            <w:r w:rsidRPr="006D4FD0">
              <w:rPr>
                <w:sz w:val="22"/>
                <w:szCs w:val="22"/>
              </w:rPr>
              <w:t>5/31/20</w:t>
            </w:r>
          </w:p>
        </w:tc>
        <w:tc>
          <w:tcPr>
            <w:tcW w:w="1070" w:type="dxa"/>
            <w:tcBorders>
              <w:top w:val="nil"/>
              <w:left w:val="single" w:sz="4" w:space="0" w:color="auto"/>
              <w:bottom w:val="single" w:sz="6" w:space="0" w:color="000000"/>
              <w:right w:val="single" w:sz="6" w:space="0" w:color="000000"/>
            </w:tcBorders>
            <w:shd w:val="clear" w:color="auto" w:fill="auto"/>
            <w:vAlign w:val="center"/>
            <w:hideMark/>
          </w:tcPr>
          <w:p w14:paraId="1B7DB1A5" w14:textId="77777777" w:rsidR="002F5D49" w:rsidRPr="006D4FD0" w:rsidRDefault="002F5D49" w:rsidP="002F5D49">
            <w:pPr>
              <w:jc w:val="center"/>
              <w:textAlignment w:val="baseline"/>
              <w:rPr>
                <w:sz w:val="22"/>
                <w:szCs w:val="22"/>
              </w:rPr>
            </w:pPr>
            <w:r w:rsidRPr="006D4FD0">
              <w:rPr>
                <w:sz w:val="22"/>
                <w:szCs w:val="22"/>
              </w:rPr>
              <w:t>No mandate* </w:t>
            </w:r>
          </w:p>
        </w:tc>
        <w:tc>
          <w:tcPr>
            <w:tcW w:w="1044" w:type="dxa"/>
            <w:tcBorders>
              <w:top w:val="nil"/>
              <w:left w:val="nil"/>
              <w:bottom w:val="single" w:sz="6" w:space="0" w:color="000000"/>
              <w:right w:val="single" w:sz="6" w:space="0" w:color="000000"/>
            </w:tcBorders>
            <w:shd w:val="clear" w:color="auto" w:fill="auto"/>
            <w:vAlign w:val="center"/>
            <w:hideMark/>
          </w:tcPr>
          <w:p w14:paraId="4014B6F9" w14:textId="77777777" w:rsidR="002F5D49" w:rsidRPr="006D4FD0" w:rsidRDefault="002F5D49" w:rsidP="002F5D49">
            <w:pPr>
              <w:jc w:val="center"/>
              <w:textAlignment w:val="baseline"/>
              <w:rPr>
                <w:sz w:val="22"/>
                <w:szCs w:val="22"/>
              </w:rPr>
            </w:pPr>
            <w:r w:rsidRPr="006D4FD0">
              <w:rPr>
                <w:sz w:val="22"/>
                <w:szCs w:val="22"/>
              </w:rPr>
              <w:t>7/1/2020 </w:t>
            </w:r>
          </w:p>
        </w:tc>
        <w:tc>
          <w:tcPr>
            <w:tcW w:w="1218" w:type="dxa"/>
            <w:tcBorders>
              <w:top w:val="nil"/>
              <w:left w:val="nil"/>
              <w:bottom w:val="single" w:sz="6" w:space="0" w:color="000000"/>
              <w:right w:val="single" w:sz="6" w:space="0" w:color="000000"/>
            </w:tcBorders>
            <w:shd w:val="clear" w:color="auto" w:fill="auto"/>
            <w:vAlign w:val="center"/>
            <w:hideMark/>
          </w:tcPr>
          <w:p w14:paraId="75BC327D" w14:textId="77777777" w:rsidR="002F5D49" w:rsidRPr="006D4FD0" w:rsidRDefault="002F5D49" w:rsidP="002F5D49">
            <w:pPr>
              <w:jc w:val="center"/>
              <w:textAlignment w:val="baseline"/>
              <w:rPr>
                <w:sz w:val="22"/>
                <w:szCs w:val="22"/>
              </w:rPr>
            </w:pPr>
            <w:r w:rsidRPr="006D4FD0">
              <w:rPr>
                <w:sz w:val="22"/>
                <w:szCs w:val="22"/>
              </w:rPr>
              <w:t>3/17/2020-5/15/2020 </w:t>
            </w:r>
          </w:p>
        </w:tc>
        <w:tc>
          <w:tcPr>
            <w:tcW w:w="1218" w:type="dxa"/>
            <w:tcBorders>
              <w:top w:val="nil"/>
              <w:left w:val="nil"/>
              <w:bottom w:val="single" w:sz="6" w:space="0" w:color="000000"/>
              <w:right w:val="single" w:sz="6" w:space="0" w:color="000000"/>
            </w:tcBorders>
            <w:shd w:val="clear" w:color="auto" w:fill="auto"/>
            <w:vAlign w:val="center"/>
            <w:hideMark/>
          </w:tcPr>
          <w:p w14:paraId="4FE9E2EA" w14:textId="77777777" w:rsidR="002F5D49" w:rsidRPr="006D4FD0" w:rsidRDefault="002F5D49" w:rsidP="002F5D49">
            <w:pPr>
              <w:jc w:val="center"/>
              <w:textAlignment w:val="baseline"/>
              <w:rPr>
                <w:sz w:val="22"/>
                <w:szCs w:val="22"/>
              </w:rPr>
            </w:pPr>
            <w:r w:rsidRPr="006D4FD0">
              <w:rPr>
                <w:sz w:val="22"/>
                <w:szCs w:val="22"/>
              </w:rPr>
              <w:t>Same as state </w:t>
            </w:r>
          </w:p>
        </w:tc>
        <w:tc>
          <w:tcPr>
            <w:tcW w:w="1472" w:type="dxa"/>
            <w:tcBorders>
              <w:top w:val="nil"/>
              <w:left w:val="nil"/>
              <w:bottom w:val="single" w:sz="6" w:space="0" w:color="000000"/>
              <w:right w:val="single" w:sz="6" w:space="0" w:color="000000"/>
            </w:tcBorders>
            <w:vAlign w:val="center"/>
          </w:tcPr>
          <w:p w14:paraId="5AB30E70" w14:textId="77777777" w:rsidR="002F5D49" w:rsidRPr="006D4FD0" w:rsidRDefault="002F5D49" w:rsidP="002F5D49">
            <w:pPr>
              <w:jc w:val="center"/>
              <w:textAlignment w:val="baseline"/>
              <w:rPr>
                <w:sz w:val="22"/>
                <w:szCs w:val="22"/>
              </w:rPr>
            </w:pPr>
            <w:r w:rsidRPr="006D4FD0">
              <w:rPr>
                <w:sz w:val="22"/>
                <w:szCs w:val="22"/>
              </w:rPr>
              <w:t>9/8/2020 </w:t>
            </w:r>
          </w:p>
        </w:tc>
      </w:tr>
      <w:tr w:rsidR="002F5D49" w:rsidRPr="009204B1" w14:paraId="27DFDCE4" w14:textId="77777777" w:rsidTr="002F5D49">
        <w:tc>
          <w:tcPr>
            <w:tcW w:w="1178" w:type="dxa"/>
            <w:gridSpan w:val="2"/>
            <w:tcBorders>
              <w:top w:val="nil"/>
              <w:left w:val="single" w:sz="6" w:space="0" w:color="000000"/>
              <w:bottom w:val="single" w:sz="6" w:space="0" w:color="000000"/>
              <w:right w:val="single" w:sz="6" w:space="0" w:color="000000"/>
            </w:tcBorders>
            <w:shd w:val="clear" w:color="auto" w:fill="auto"/>
            <w:vAlign w:val="center"/>
            <w:hideMark/>
          </w:tcPr>
          <w:p w14:paraId="35138242" w14:textId="77777777" w:rsidR="002F5D49" w:rsidRPr="009204B1" w:rsidRDefault="002F5D49" w:rsidP="002F5D49">
            <w:pPr>
              <w:jc w:val="center"/>
              <w:textAlignment w:val="baseline"/>
              <w:rPr>
                <w:sz w:val="22"/>
                <w:szCs w:val="22"/>
              </w:rPr>
            </w:pPr>
            <w:r w:rsidRPr="009204B1">
              <w:rPr>
                <w:color w:val="002060"/>
                <w:sz w:val="22"/>
                <w:szCs w:val="22"/>
              </w:rPr>
              <w:t>Comparison</w:t>
            </w:r>
          </w:p>
        </w:tc>
        <w:tc>
          <w:tcPr>
            <w:tcW w:w="1244" w:type="dxa"/>
            <w:tcBorders>
              <w:top w:val="nil"/>
              <w:left w:val="nil"/>
              <w:bottom w:val="single" w:sz="6" w:space="0" w:color="000000"/>
              <w:right w:val="single" w:sz="6" w:space="0" w:color="000000"/>
            </w:tcBorders>
            <w:shd w:val="clear" w:color="auto" w:fill="auto"/>
            <w:vAlign w:val="center"/>
            <w:hideMark/>
          </w:tcPr>
          <w:p w14:paraId="4878F5CB" w14:textId="77777777" w:rsidR="002F5D49" w:rsidRPr="009204B1" w:rsidRDefault="002F5D49" w:rsidP="002F5D49">
            <w:pPr>
              <w:jc w:val="center"/>
              <w:textAlignment w:val="baseline"/>
              <w:rPr>
                <w:sz w:val="22"/>
                <w:szCs w:val="22"/>
              </w:rPr>
            </w:pPr>
            <w:r w:rsidRPr="009204B1">
              <w:rPr>
                <w:sz w:val="22"/>
                <w:szCs w:val="22"/>
              </w:rPr>
              <w:t>Texas  </w:t>
            </w:r>
          </w:p>
        </w:tc>
        <w:tc>
          <w:tcPr>
            <w:tcW w:w="1260" w:type="dxa"/>
            <w:gridSpan w:val="2"/>
            <w:tcBorders>
              <w:top w:val="nil"/>
              <w:left w:val="nil"/>
              <w:bottom w:val="single" w:sz="6" w:space="0" w:color="000000"/>
              <w:right w:val="single" w:sz="6" w:space="0" w:color="000000"/>
            </w:tcBorders>
            <w:shd w:val="clear" w:color="auto" w:fill="auto"/>
            <w:vAlign w:val="center"/>
            <w:hideMark/>
          </w:tcPr>
          <w:p w14:paraId="637A4216" w14:textId="77777777" w:rsidR="002F5D49" w:rsidRPr="009204B1" w:rsidRDefault="002F5D49" w:rsidP="002F5D49">
            <w:pPr>
              <w:jc w:val="center"/>
              <w:textAlignment w:val="baseline"/>
              <w:rPr>
                <w:sz w:val="22"/>
                <w:szCs w:val="22"/>
              </w:rPr>
            </w:pPr>
            <w:r w:rsidRPr="009204B1">
              <w:rPr>
                <w:sz w:val="22"/>
                <w:szCs w:val="22"/>
              </w:rPr>
              <w:t>Austin  </w:t>
            </w:r>
          </w:p>
        </w:tc>
        <w:tc>
          <w:tcPr>
            <w:tcW w:w="1080" w:type="dxa"/>
            <w:tcBorders>
              <w:top w:val="nil"/>
              <w:left w:val="nil"/>
              <w:bottom w:val="single" w:sz="6" w:space="0" w:color="000000"/>
              <w:right w:val="single" w:sz="4" w:space="0" w:color="auto"/>
            </w:tcBorders>
            <w:vAlign w:val="center"/>
          </w:tcPr>
          <w:p w14:paraId="38796A81" w14:textId="1742810D" w:rsidR="002F5D49" w:rsidRPr="006D4FD0" w:rsidRDefault="002F5D49" w:rsidP="002F5D49">
            <w:pPr>
              <w:jc w:val="center"/>
              <w:textAlignment w:val="baseline"/>
              <w:rPr>
                <w:sz w:val="22"/>
                <w:szCs w:val="22"/>
              </w:rPr>
            </w:pPr>
            <w:r>
              <w:rPr>
                <w:color w:val="000000"/>
                <w:sz w:val="22"/>
                <w:szCs w:val="22"/>
              </w:rPr>
              <w:t>3/24/2020</w:t>
            </w:r>
          </w:p>
        </w:tc>
        <w:tc>
          <w:tcPr>
            <w:tcW w:w="1080" w:type="dxa"/>
            <w:tcBorders>
              <w:top w:val="nil"/>
              <w:left w:val="single" w:sz="4" w:space="0" w:color="auto"/>
              <w:bottom w:val="single" w:sz="6" w:space="0" w:color="000000"/>
              <w:right w:val="single" w:sz="6" w:space="0" w:color="000000"/>
            </w:tcBorders>
            <w:shd w:val="clear" w:color="auto" w:fill="auto"/>
            <w:vAlign w:val="center"/>
            <w:hideMark/>
          </w:tcPr>
          <w:p w14:paraId="644641EC" w14:textId="7F248E70" w:rsidR="002F5D49" w:rsidRPr="006D4FD0" w:rsidRDefault="002F5D49" w:rsidP="002F5D49">
            <w:pPr>
              <w:jc w:val="center"/>
              <w:textAlignment w:val="baseline"/>
              <w:rPr>
                <w:sz w:val="22"/>
                <w:szCs w:val="22"/>
              </w:rPr>
            </w:pPr>
            <w:r w:rsidRPr="006D4FD0">
              <w:rPr>
                <w:sz w:val="22"/>
                <w:szCs w:val="22"/>
              </w:rPr>
              <w:t>5/1/2020 </w:t>
            </w:r>
          </w:p>
        </w:tc>
        <w:tc>
          <w:tcPr>
            <w:tcW w:w="1080" w:type="dxa"/>
            <w:tcBorders>
              <w:top w:val="single" w:sz="6" w:space="0" w:color="000000"/>
              <w:left w:val="nil"/>
              <w:bottom w:val="single" w:sz="6" w:space="0" w:color="000000"/>
              <w:right w:val="single" w:sz="4" w:space="0" w:color="auto"/>
            </w:tcBorders>
            <w:vAlign w:val="center"/>
          </w:tcPr>
          <w:p w14:paraId="765BE534" w14:textId="77777777" w:rsidR="002F5D49" w:rsidRPr="006D4FD0" w:rsidRDefault="002F5D49" w:rsidP="002F5D49">
            <w:pPr>
              <w:jc w:val="center"/>
              <w:textAlignment w:val="baseline"/>
              <w:rPr>
                <w:sz w:val="22"/>
                <w:szCs w:val="22"/>
              </w:rPr>
            </w:pPr>
            <w:r w:rsidRPr="00345292">
              <w:rPr>
                <w:sz w:val="22"/>
                <w:szCs w:val="22"/>
              </w:rPr>
              <w:t>7/15/20</w:t>
            </w:r>
          </w:p>
        </w:tc>
        <w:tc>
          <w:tcPr>
            <w:tcW w:w="1070" w:type="dxa"/>
            <w:tcBorders>
              <w:top w:val="nil"/>
              <w:left w:val="single" w:sz="4" w:space="0" w:color="auto"/>
              <w:bottom w:val="single" w:sz="6" w:space="0" w:color="000000"/>
              <w:right w:val="single" w:sz="6" w:space="0" w:color="000000"/>
            </w:tcBorders>
            <w:shd w:val="clear" w:color="auto" w:fill="auto"/>
            <w:vAlign w:val="center"/>
            <w:hideMark/>
          </w:tcPr>
          <w:p w14:paraId="3E75005D" w14:textId="77777777" w:rsidR="002F5D49" w:rsidRPr="006D4FD0" w:rsidRDefault="002F5D49" w:rsidP="002F5D49">
            <w:pPr>
              <w:jc w:val="center"/>
              <w:textAlignment w:val="baseline"/>
              <w:rPr>
                <w:sz w:val="22"/>
                <w:szCs w:val="22"/>
              </w:rPr>
            </w:pPr>
            <w:r w:rsidRPr="006D4FD0">
              <w:rPr>
                <w:sz w:val="22"/>
                <w:szCs w:val="22"/>
              </w:rPr>
              <w:t>7/3/2020 </w:t>
            </w:r>
          </w:p>
        </w:tc>
        <w:tc>
          <w:tcPr>
            <w:tcW w:w="1044" w:type="dxa"/>
            <w:tcBorders>
              <w:top w:val="nil"/>
              <w:left w:val="nil"/>
              <w:bottom w:val="single" w:sz="6" w:space="0" w:color="000000"/>
              <w:right w:val="single" w:sz="6" w:space="0" w:color="000000"/>
            </w:tcBorders>
            <w:shd w:val="clear" w:color="auto" w:fill="auto"/>
            <w:vAlign w:val="center"/>
            <w:hideMark/>
          </w:tcPr>
          <w:p w14:paraId="299BCF05" w14:textId="77777777" w:rsidR="002F5D49" w:rsidRPr="006D4FD0" w:rsidRDefault="002F5D49" w:rsidP="002F5D49">
            <w:pPr>
              <w:jc w:val="center"/>
              <w:textAlignment w:val="baseline"/>
              <w:rPr>
                <w:sz w:val="22"/>
                <w:szCs w:val="22"/>
              </w:rPr>
            </w:pPr>
            <w:r>
              <w:rPr>
                <w:sz w:val="22"/>
                <w:szCs w:val="22"/>
              </w:rPr>
              <w:t>6/22/20</w:t>
            </w:r>
            <w:r w:rsidRPr="006D4FD0">
              <w:rPr>
                <w:sz w:val="22"/>
                <w:szCs w:val="22"/>
              </w:rPr>
              <w:t> </w:t>
            </w:r>
          </w:p>
        </w:tc>
        <w:tc>
          <w:tcPr>
            <w:tcW w:w="1218" w:type="dxa"/>
            <w:tcBorders>
              <w:top w:val="nil"/>
              <w:left w:val="nil"/>
              <w:bottom w:val="single" w:sz="6" w:space="0" w:color="000000"/>
              <w:right w:val="single" w:sz="6" w:space="0" w:color="000000"/>
            </w:tcBorders>
            <w:shd w:val="clear" w:color="auto" w:fill="auto"/>
            <w:vAlign w:val="center"/>
            <w:hideMark/>
          </w:tcPr>
          <w:p w14:paraId="5961C77C" w14:textId="77777777" w:rsidR="002F5D49" w:rsidRPr="006D4FD0" w:rsidRDefault="002F5D49" w:rsidP="002F5D49">
            <w:pPr>
              <w:jc w:val="center"/>
              <w:textAlignment w:val="baseline"/>
              <w:rPr>
                <w:sz w:val="22"/>
                <w:szCs w:val="22"/>
              </w:rPr>
            </w:pPr>
            <w:r w:rsidRPr="006D4FD0">
              <w:rPr>
                <w:sz w:val="22"/>
                <w:szCs w:val="22"/>
              </w:rPr>
              <w:t>3/19/2020-5/19/2020 </w:t>
            </w:r>
          </w:p>
        </w:tc>
        <w:tc>
          <w:tcPr>
            <w:tcW w:w="1218" w:type="dxa"/>
            <w:tcBorders>
              <w:top w:val="nil"/>
              <w:left w:val="nil"/>
              <w:bottom w:val="single" w:sz="6" w:space="0" w:color="000000"/>
              <w:right w:val="single" w:sz="6" w:space="0" w:color="000000"/>
            </w:tcBorders>
            <w:shd w:val="clear" w:color="auto" w:fill="auto"/>
            <w:vAlign w:val="center"/>
            <w:hideMark/>
          </w:tcPr>
          <w:p w14:paraId="172EC3A1" w14:textId="77777777" w:rsidR="002F5D49" w:rsidRPr="006D4FD0" w:rsidRDefault="002F5D49" w:rsidP="002F5D49">
            <w:pPr>
              <w:jc w:val="center"/>
              <w:textAlignment w:val="baseline"/>
              <w:rPr>
                <w:sz w:val="22"/>
                <w:szCs w:val="22"/>
              </w:rPr>
            </w:pPr>
            <w:r w:rsidRPr="006D4FD0">
              <w:rPr>
                <w:sz w:val="22"/>
                <w:szCs w:val="22"/>
              </w:rPr>
              <w:t>3/19/2020-12/31/2020 </w:t>
            </w:r>
          </w:p>
        </w:tc>
        <w:tc>
          <w:tcPr>
            <w:tcW w:w="1472" w:type="dxa"/>
            <w:tcBorders>
              <w:top w:val="nil"/>
              <w:left w:val="nil"/>
              <w:bottom w:val="single" w:sz="6" w:space="0" w:color="000000"/>
              <w:right w:val="single" w:sz="6" w:space="0" w:color="000000"/>
            </w:tcBorders>
            <w:vAlign w:val="center"/>
          </w:tcPr>
          <w:p w14:paraId="7813BA52" w14:textId="77777777" w:rsidR="002F5D49" w:rsidRPr="006D4FD0" w:rsidRDefault="002F5D49" w:rsidP="002F5D49">
            <w:pPr>
              <w:jc w:val="center"/>
              <w:textAlignment w:val="baseline"/>
              <w:rPr>
                <w:sz w:val="22"/>
                <w:szCs w:val="22"/>
              </w:rPr>
            </w:pPr>
            <w:r w:rsidRPr="006D4FD0">
              <w:rPr>
                <w:sz w:val="22"/>
                <w:szCs w:val="22"/>
              </w:rPr>
              <w:t>10/5/2020 </w:t>
            </w:r>
          </w:p>
        </w:tc>
      </w:tr>
      <w:tr w:rsidR="002F5D49" w:rsidRPr="009204B1" w14:paraId="0E9BC1E1" w14:textId="77777777" w:rsidTr="002F5D49">
        <w:tc>
          <w:tcPr>
            <w:tcW w:w="1178" w:type="dxa"/>
            <w:gridSpan w:val="2"/>
            <w:tcBorders>
              <w:top w:val="nil"/>
              <w:left w:val="single" w:sz="6" w:space="0" w:color="000000"/>
              <w:bottom w:val="single" w:sz="6" w:space="0" w:color="000000"/>
              <w:right w:val="single" w:sz="6" w:space="0" w:color="000000"/>
            </w:tcBorders>
            <w:shd w:val="clear" w:color="auto" w:fill="auto"/>
            <w:vAlign w:val="center"/>
            <w:hideMark/>
          </w:tcPr>
          <w:p w14:paraId="5229EF78" w14:textId="77777777" w:rsidR="002F5D49" w:rsidRPr="009204B1" w:rsidRDefault="002F5D49" w:rsidP="002F5D49">
            <w:pPr>
              <w:jc w:val="center"/>
              <w:textAlignment w:val="baseline"/>
              <w:rPr>
                <w:sz w:val="22"/>
                <w:szCs w:val="22"/>
              </w:rPr>
            </w:pPr>
            <w:r w:rsidRPr="009204B1">
              <w:rPr>
                <w:color w:val="002060"/>
                <w:sz w:val="22"/>
                <w:szCs w:val="22"/>
              </w:rPr>
              <w:t>Comparison</w:t>
            </w:r>
          </w:p>
        </w:tc>
        <w:tc>
          <w:tcPr>
            <w:tcW w:w="1244" w:type="dxa"/>
            <w:tcBorders>
              <w:top w:val="nil"/>
              <w:left w:val="nil"/>
              <w:bottom w:val="single" w:sz="6" w:space="0" w:color="000000"/>
              <w:right w:val="single" w:sz="6" w:space="0" w:color="000000"/>
            </w:tcBorders>
            <w:shd w:val="clear" w:color="auto" w:fill="auto"/>
            <w:vAlign w:val="center"/>
            <w:hideMark/>
          </w:tcPr>
          <w:p w14:paraId="2DD4A3DD" w14:textId="77777777" w:rsidR="002F5D49" w:rsidRPr="009204B1" w:rsidRDefault="002F5D49" w:rsidP="002F5D49">
            <w:pPr>
              <w:jc w:val="center"/>
              <w:textAlignment w:val="baseline"/>
              <w:rPr>
                <w:sz w:val="22"/>
                <w:szCs w:val="22"/>
              </w:rPr>
            </w:pPr>
            <w:r w:rsidRPr="009204B1">
              <w:rPr>
                <w:sz w:val="22"/>
                <w:szCs w:val="22"/>
              </w:rPr>
              <w:t>Texas </w:t>
            </w:r>
          </w:p>
        </w:tc>
        <w:tc>
          <w:tcPr>
            <w:tcW w:w="1260" w:type="dxa"/>
            <w:gridSpan w:val="2"/>
            <w:tcBorders>
              <w:top w:val="nil"/>
              <w:left w:val="nil"/>
              <w:bottom w:val="single" w:sz="6" w:space="0" w:color="000000"/>
              <w:right w:val="single" w:sz="6" w:space="0" w:color="000000"/>
            </w:tcBorders>
            <w:shd w:val="clear" w:color="auto" w:fill="auto"/>
            <w:vAlign w:val="center"/>
            <w:hideMark/>
          </w:tcPr>
          <w:p w14:paraId="519F23E2" w14:textId="77777777" w:rsidR="002F5D49" w:rsidRPr="009204B1" w:rsidRDefault="002F5D49" w:rsidP="002F5D49">
            <w:pPr>
              <w:jc w:val="center"/>
              <w:textAlignment w:val="baseline"/>
              <w:rPr>
                <w:sz w:val="22"/>
                <w:szCs w:val="22"/>
              </w:rPr>
            </w:pPr>
            <w:r w:rsidRPr="009204B1">
              <w:rPr>
                <w:sz w:val="22"/>
                <w:szCs w:val="22"/>
              </w:rPr>
              <w:t>Dallas </w:t>
            </w:r>
          </w:p>
        </w:tc>
        <w:tc>
          <w:tcPr>
            <w:tcW w:w="1080" w:type="dxa"/>
            <w:tcBorders>
              <w:top w:val="nil"/>
              <w:left w:val="nil"/>
              <w:bottom w:val="single" w:sz="6" w:space="0" w:color="000000"/>
              <w:right w:val="single" w:sz="4" w:space="0" w:color="auto"/>
            </w:tcBorders>
            <w:vAlign w:val="center"/>
          </w:tcPr>
          <w:p w14:paraId="49138970" w14:textId="6D5D84FF" w:rsidR="002F5D49" w:rsidRPr="006D4FD0" w:rsidRDefault="002F5D49" w:rsidP="002F5D49">
            <w:pPr>
              <w:jc w:val="center"/>
              <w:textAlignment w:val="baseline"/>
              <w:rPr>
                <w:sz w:val="22"/>
                <w:szCs w:val="22"/>
              </w:rPr>
            </w:pPr>
            <w:r>
              <w:rPr>
                <w:color w:val="000000"/>
                <w:sz w:val="22"/>
                <w:szCs w:val="22"/>
              </w:rPr>
              <w:t>3/22/2020</w:t>
            </w:r>
          </w:p>
        </w:tc>
        <w:tc>
          <w:tcPr>
            <w:tcW w:w="1080" w:type="dxa"/>
            <w:tcBorders>
              <w:top w:val="nil"/>
              <w:left w:val="single" w:sz="4" w:space="0" w:color="auto"/>
              <w:bottom w:val="single" w:sz="6" w:space="0" w:color="000000"/>
              <w:right w:val="single" w:sz="6" w:space="0" w:color="000000"/>
            </w:tcBorders>
            <w:shd w:val="clear" w:color="auto" w:fill="auto"/>
            <w:vAlign w:val="center"/>
            <w:hideMark/>
          </w:tcPr>
          <w:p w14:paraId="613083B2" w14:textId="045B9944" w:rsidR="002F5D49" w:rsidRPr="006D4FD0" w:rsidRDefault="002F5D49" w:rsidP="002F5D49">
            <w:pPr>
              <w:jc w:val="center"/>
              <w:textAlignment w:val="baseline"/>
              <w:rPr>
                <w:sz w:val="22"/>
                <w:szCs w:val="22"/>
              </w:rPr>
            </w:pPr>
            <w:r w:rsidRPr="006D4FD0">
              <w:rPr>
                <w:sz w:val="22"/>
                <w:szCs w:val="22"/>
              </w:rPr>
              <w:t>5/1/2020 </w:t>
            </w:r>
          </w:p>
        </w:tc>
        <w:tc>
          <w:tcPr>
            <w:tcW w:w="1080" w:type="dxa"/>
            <w:tcBorders>
              <w:top w:val="single" w:sz="6" w:space="0" w:color="000000"/>
              <w:left w:val="nil"/>
              <w:bottom w:val="single" w:sz="6" w:space="0" w:color="000000"/>
              <w:right w:val="single" w:sz="4" w:space="0" w:color="auto"/>
            </w:tcBorders>
            <w:vAlign w:val="center"/>
          </w:tcPr>
          <w:p w14:paraId="1D392167" w14:textId="77777777" w:rsidR="002F5D49" w:rsidRPr="006D4FD0" w:rsidRDefault="002F5D49" w:rsidP="002F5D49">
            <w:pPr>
              <w:jc w:val="center"/>
              <w:textAlignment w:val="baseline"/>
              <w:rPr>
                <w:sz w:val="22"/>
                <w:szCs w:val="22"/>
              </w:rPr>
            </w:pPr>
            <w:r w:rsidRPr="00345292">
              <w:rPr>
                <w:sz w:val="22"/>
                <w:szCs w:val="22"/>
              </w:rPr>
              <w:t>5/15/20</w:t>
            </w:r>
          </w:p>
        </w:tc>
        <w:tc>
          <w:tcPr>
            <w:tcW w:w="1070" w:type="dxa"/>
            <w:tcBorders>
              <w:top w:val="nil"/>
              <w:left w:val="single" w:sz="4" w:space="0" w:color="auto"/>
              <w:bottom w:val="single" w:sz="6" w:space="0" w:color="000000"/>
              <w:right w:val="single" w:sz="6" w:space="0" w:color="000000"/>
            </w:tcBorders>
            <w:shd w:val="clear" w:color="auto" w:fill="auto"/>
            <w:vAlign w:val="center"/>
            <w:hideMark/>
          </w:tcPr>
          <w:p w14:paraId="33C328D0" w14:textId="77777777" w:rsidR="002F5D49" w:rsidRPr="006D4FD0" w:rsidRDefault="002F5D49" w:rsidP="002F5D49">
            <w:pPr>
              <w:jc w:val="center"/>
              <w:textAlignment w:val="baseline"/>
              <w:rPr>
                <w:sz w:val="22"/>
                <w:szCs w:val="22"/>
              </w:rPr>
            </w:pPr>
            <w:r w:rsidRPr="006D4FD0">
              <w:rPr>
                <w:sz w:val="22"/>
                <w:szCs w:val="22"/>
              </w:rPr>
              <w:t>7/3/2020 </w:t>
            </w:r>
          </w:p>
        </w:tc>
        <w:tc>
          <w:tcPr>
            <w:tcW w:w="1044" w:type="dxa"/>
            <w:tcBorders>
              <w:top w:val="nil"/>
              <w:left w:val="nil"/>
              <w:bottom w:val="single" w:sz="6" w:space="0" w:color="000000"/>
              <w:right w:val="single" w:sz="6" w:space="0" w:color="000000"/>
            </w:tcBorders>
            <w:shd w:val="clear" w:color="auto" w:fill="auto"/>
            <w:vAlign w:val="center"/>
            <w:hideMark/>
          </w:tcPr>
          <w:p w14:paraId="61017679" w14:textId="77777777" w:rsidR="002F5D49" w:rsidRPr="006D4FD0" w:rsidRDefault="002F5D49" w:rsidP="002F5D49">
            <w:pPr>
              <w:jc w:val="center"/>
              <w:textAlignment w:val="baseline"/>
              <w:rPr>
                <w:sz w:val="22"/>
                <w:szCs w:val="22"/>
              </w:rPr>
            </w:pPr>
            <w:r>
              <w:rPr>
                <w:sz w:val="22"/>
                <w:szCs w:val="22"/>
              </w:rPr>
              <w:t>6/19/2020</w:t>
            </w:r>
          </w:p>
        </w:tc>
        <w:tc>
          <w:tcPr>
            <w:tcW w:w="1218" w:type="dxa"/>
            <w:tcBorders>
              <w:top w:val="nil"/>
              <w:left w:val="nil"/>
              <w:bottom w:val="single" w:sz="6" w:space="0" w:color="000000"/>
              <w:right w:val="single" w:sz="6" w:space="0" w:color="000000"/>
            </w:tcBorders>
            <w:shd w:val="clear" w:color="auto" w:fill="auto"/>
            <w:vAlign w:val="center"/>
            <w:hideMark/>
          </w:tcPr>
          <w:p w14:paraId="102AE1AB" w14:textId="77777777" w:rsidR="002F5D49" w:rsidRPr="006D4FD0" w:rsidRDefault="002F5D49" w:rsidP="002F5D49">
            <w:pPr>
              <w:jc w:val="center"/>
              <w:textAlignment w:val="baseline"/>
              <w:rPr>
                <w:sz w:val="22"/>
                <w:szCs w:val="22"/>
              </w:rPr>
            </w:pPr>
            <w:r w:rsidRPr="006D4FD0">
              <w:rPr>
                <w:sz w:val="22"/>
                <w:szCs w:val="22"/>
              </w:rPr>
              <w:t>3/19/2020-5/19/2020 </w:t>
            </w:r>
          </w:p>
        </w:tc>
        <w:tc>
          <w:tcPr>
            <w:tcW w:w="1218" w:type="dxa"/>
            <w:tcBorders>
              <w:top w:val="nil"/>
              <w:left w:val="nil"/>
              <w:bottom w:val="single" w:sz="6" w:space="0" w:color="000000"/>
              <w:right w:val="single" w:sz="6" w:space="0" w:color="000000"/>
            </w:tcBorders>
            <w:shd w:val="clear" w:color="auto" w:fill="auto"/>
            <w:vAlign w:val="center"/>
            <w:hideMark/>
          </w:tcPr>
          <w:p w14:paraId="58200B33" w14:textId="77777777" w:rsidR="002F5D49" w:rsidRPr="006D4FD0" w:rsidRDefault="002F5D49" w:rsidP="002F5D49">
            <w:pPr>
              <w:jc w:val="center"/>
              <w:textAlignment w:val="baseline"/>
              <w:rPr>
                <w:sz w:val="22"/>
                <w:szCs w:val="22"/>
              </w:rPr>
            </w:pPr>
            <w:r w:rsidRPr="006D4FD0">
              <w:rPr>
                <w:sz w:val="22"/>
                <w:szCs w:val="22"/>
              </w:rPr>
              <w:t>Same as state </w:t>
            </w:r>
          </w:p>
        </w:tc>
        <w:tc>
          <w:tcPr>
            <w:tcW w:w="1472" w:type="dxa"/>
            <w:tcBorders>
              <w:top w:val="nil"/>
              <w:left w:val="nil"/>
              <w:bottom w:val="single" w:sz="6" w:space="0" w:color="000000"/>
              <w:right w:val="single" w:sz="6" w:space="0" w:color="000000"/>
            </w:tcBorders>
            <w:vAlign w:val="center"/>
          </w:tcPr>
          <w:p w14:paraId="605A9890" w14:textId="77777777" w:rsidR="002F5D49" w:rsidRPr="006D4FD0" w:rsidRDefault="002F5D49" w:rsidP="002F5D49">
            <w:pPr>
              <w:jc w:val="center"/>
              <w:textAlignment w:val="baseline"/>
              <w:rPr>
                <w:sz w:val="22"/>
                <w:szCs w:val="22"/>
              </w:rPr>
            </w:pPr>
            <w:r w:rsidRPr="006D4FD0">
              <w:rPr>
                <w:sz w:val="22"/>
                <w:szCs w:val="22"/>
              </w:rPr>
              <w:t>9/28/2020 </w:t>
            </w:r>
          </w:p>
        </w:tc>
      </w:tr>
      <w:tr w:rsidR="002F5D49" w:rsidRPr="009204B1" w14:paraId="38465374" w14:textId="77777777" w:rsidTr="002F5D49">
        <w:tc>
          <w:tcPr>
            <w:tcW w:w="1178" w:type="dxa"/>
            <w:gridSpan w:val="2"/>
            <w:tcBorders>
              <w:top w:val="nil"/>
              <w:left w:val="single" w:sz="6" w:space="0" w:color="000000"/>
              <w:bottom w:val="single" w:sz="6" w:space="0" w:color="000000"/>
              <w:right w:val="single" w:sz="6" w:space="0" w:color="000000"/>
            </w:tcBorders>
            <w:shd w:val="clear" w:color="auto" w:fill="auto"/>
            <w:vAlign w:val="center"/>
            <w:hideMark/>
          </w:tcPr>
          <w:p w14:paraId="086987FE" w14:textId="77777777" w:rsidR="002F5D49" w:rsidRPr="009204B1" w:rsidRDefault="002F5D49" w:rsidP="002F5D49">
            <w:pPr>
              <w:jc w:val="center"/>
              <w:textAlignment w:val="baseline"/>
              <w:rPr>
                <w:sz w:val="22"/>
                <w:szCs w:val="22"/>
              </w:rPr>
            </w:pPr>
            <w:r w:rsidRPr="009204B1">
              <w:rPr>
                <w:color w:val="002060"/>
                <w:sz w:val="22"/>
                <w:szCs w:val="22"/>
              </w:rPr>
              <w:t>Comparison</w:t>
            </w:r>
          </w:p>
        </w:tc>
        <w:tc>
          <w:tcPr>
            <w:tcW w:w="1244" w:type="dxa"/>
            <w:tcBorders>
              <w:top w:val="nil"/>
              <w:left w:val="nil"/>
              <w:bottom w:val="single" w:sz="6" w:space="0" w:color="000000"/>
              <w:right w:val="single" w:sz="6" w:space="0" w:color="000000"/>
            </w:tcBorders>
            <w:shd w:val="clear" w:color="auto" w:fill="auto"/>
            <w:vAlign w:val="center"/>
            <w:hideMark/>
          </w:tcPr>
          <w:p w14:paraId="5392D80A" w14:textId="77777777" w:rsidR="002F5D49" w:rsidRPr="009204B1" w:rsidRDefault="002F5D49" w:rsidP="002F5D49">
            <w:pPr>
              <w:jc w:val="center"/>
              <w:textAlignment w:val="baseline"/>
              <w:rPr>
                <w:sz w:val="22"/>
                <w:szCs w:val="22"/>
              </w:rPr>
            </w:pPr>
            <w:r w:rsidRPr="009204B1">
              <w:rPr>
                <w:sz w:val="22"/>
                <w:szCs w:val="22"/>
              </w:rPr>
              <w:t>Texas </w:t>
            </w:r>
          </w:p>
        </w:tc>
        <w:tc>
          <w:tcPr>
            <w:tcW w:w="1260" w:type="dxa"/>
            <w:gridSpan w:val="2"/>
            <w:tcBorders>
              <w:top w:val="nil"/>
              <w:left w:val="nil"/>
              <w:bottom w:val="single" w:sz="6" w:space="0" w:color="000000"/>
              <w:right w:val="single" w:sz="6" w:space="0" w:color="000000"/>
            </w:tcBorders>
            <w:shd w:val="clear" w:color="auto" w:fill="auto"/>
            <w:vAlign w:val="center"/>
            <w:hideMark/>
          </w:tcPr>
          <w:p w14:paraId="4376DD63" w14:textId="77777777" w:rsidR="002F5D49" w:rsidRPr="009204B1" w:rsidRDefault="002F5D49" w:rsidP="002F5D49">
            <w:pPr>
              <w:jc w:val="center"/>
              <w:textAlignment w:val="baseline"/>
              <w:rPr>
                <w:sz w:val="22"/>
                <w:szCs w:val="22"/>
              </w:rPr>
            </w:pPr>
            <w:r w:rsidRPr="009204B1">
              <w:rPr>
                <w:sz w:val="22"/>
                <w:szCs w:val="22"/>
              </w:rPr>
              <w:t>Houston </w:t>
            </w:r>
          </w:p>
        </w:tc>
        <w:tc>
          <w:tcPr>
            <w:tcW w:w="1080" w:type="dxa"/>
            <w:tcBorders>
              <w:top w:val="nil"/>
              <w:left w:val="nil"/>
              <w:bottom w:val="single" w:sz="6" w:space="0" w:color="000000"/>
              <w:right w:val="single" w:sz="4" w:space="0" w:color="auto"/>
            </w:tcBorders>
            <w:vAlign w:val="center"/>
          </w:tcPr>
          <w:p w14:paraId="4A124E53" w14:textId="37C40A19" w:rsidR="002F5D49" w:rsidRPr="006D4FD0" w:rsidRDefault="002F5D49" w:rsidP="002F5D49">
            <w:pPr>
              <w:jc w:val="center"/>
              <w:textAlignment w:val="baseline"/>
              <w:rPr>
                <w:sz w:val="22"/>
                <w:szCs w:val="22"/>
              </w:rPr>
            </w:pPr>
            <w:r>
              <w:rPr>
                <w:color w:val="000000"/>
                <w:sz w:val="22"/>
                <w:szCs w:val="22"/>
              </w:rPr>
              <w:t>3/24/2020</w:t>
            </w:r>
          </w:p>
        </w:tc>
        <w:tc>
          <w:tcPr>
            <w:tcW w:w="1080" w:type="dxa"/>
            <w:tcBorders>
              <w:top w:val="nil"/>
              <w:left w:val="single" w:sz="4" w:space="0" w:color="auto"/>
              <w:bottom w:val="single" w:sz="6" w:space="0" w:color="000000"/>
              <w:right w:val="single" w:sz="6" w:space="0" w:color="000000"/>
            </w:tcBorders>
            <w:shd w:val="clear" w:color="auto" w:fill="auto"/>
            <w:vAlign w:val="center"/>
            <w:hideMark/>
          </w:tcPr>
          <w:p w14:paraId="4217EC11" w14:textId="4ED48580" w:rsidR="002F5D49" w:rsidRPr="006D4FD0" w:rsidRDefault="002F5D49" w:rsidP="002F5D49">
            <w:pPr>
              <w:jc w:val="center"/>
              <w:textAlignment w:val="baseline"/>
              <w:rPr>
                <w:sz w:val="22"/>
                <w:szCs w:val="22"/>
              </w:rPr>
            </w:pPr>
            <w:r w:rsidRPr="006D4FD0">
              <w:rPr>
                <w:sz w:val="22"/>
                <w:szCs w:val="22"/>
              </w:rPr>
              <w:t>5/1/2020 </w:t>
            </w:r>
          </w:p>
        </w:tc>
        <w:tc>
          <w:tcPr>
            <w:tcW w:w="1080" w:type="dxa"/>
            <w:tcBorders>
              <w:top w:val="single" w:sz="6" w:space="0" w:color="000000"/>
              <w:left w:val="nil"/>
              <w:bottom w:val="single" w:sz="6" w:space="0" w:color="000000"/>
              <w:right w:val="single" w:sz="4" w:space="0" w:color="auto"/>
            </w:tcBorders>
            <w:vAlign w:val="center"/>
          </w:tcPr>
          <w:p w14:paraId="2AC81E7F" w14:textId="77777777" w:rsidR="002F5D49" w:rsidRPr="006D4FD0" w:rsidRDefault="002F5D49" w:rsidP="002F5D49">
            <w:pPr>
              <w:jc w:val="center"/>
              <w:textAlignment w:val="baseline"/>
              <w:rPr>
                <w:sz w:val="22"/>
                <w:szCs w:val="22"/>
              </w:rPr>
            </w:pPr>
            <w:r w:rsidRPr="006D4FD0">
              <w:rPr>
                <w:sz w:val="22"/>
                <w:szCs w:val="22"/>
              </w:rPr>
              <w:t>5/20/20</w:t>
            </w:r>
          </w:p>
        </w:tc>
        <w:tc>
          <w:tcPr>
            <w:tcW w:w="1070" w:type="dxa"/>
            <w:tcBorders>
              <w:top w:val="nil"/>
              <w:left w:val="single" w:sz="4" w:space="0" w:color="auto"/>
              <w:bottom w:val="single" w:sz="6" w:space="0" w:color="000000"/>
              <w:right w:val="single" w:sz="6" w:space="0" w:color="000000"/>
            </w:tcBorders>
            <w:shd w:val="clear" w:color="auto" w:fill="auto"/>
            <w:vAlign w:val="center"/>
            <w:hideMark/>
          </w:tcPr>
          <w:p w14:paraId="5A46AB34" w14:textId="77777777" w:rsidR="002F5D49" w:rsidRPr="006D4FD0" w:rsidRDefault="002F5D49" w:rsidP="002F5D49">
            <w:pPr>
              <w:jc w:val="center"/>
              <w:textAlignment w:val="baseline"/>
              <w:rPr>
                <w:sz w:val="22"/>
                <w:szCs w:val="22"/>
              </w:rPr>
            </w:pPr>
            <w:r w:rsidRPr="006D4FD0">
              <w:rPr>
                <w:sz w:val="22"/>
                <w:szCs w:val="22"/>
              </w:rPr>
              <w:t>7/3/2020 </w:t>
            </w:r>
          </w:p>
        </w:tc>
        <w:tc>
          <w:tcPr>
            <w:tcW w:w="1044" w:type="dxa"/>
            <w:tcBorders>
              <w:top w:val="nil"/>
              <w:left w:val="nil"/>
              <w:bottom w:val="single" w:sz="6" w:space="0" w:color="000000"/>
              <w:right w:val="single" w:sz="6" w:space="0" w:color="000000"/>
            </w:tcBorders>
            <w:shd w:val="clear" w:color="auto" w:fill="auto"/>
            <w:vAlign w:val="center"/>
            <w:hideMark/>
          </w:tcPr>
          <w:p w14:paraId="6422C527" w14:textId="77777777" w:rsidR="002F5D49" w:rsidRPr="006D4FD0" w:rsidRDefault="002F5D49" w:rsidP="002F5D49">
            <w:pPr>
              <w:jc w:val="center"/>
              <w:textAlignment w:val="baseline"/>
              <w:rPr>
                <w:sz w:val="22"/>
                <w:szCs w:val="22"/>
              </w:rPr>
            </w:pPr>
            <w:r>
              <w:rPr>
                <w:sz w:val="22"/>
                <w:szCs w:val="22"/>
              </w:rPr>
              <w:t>4/22/2020</w:t>
            </w:r>
            <w:r w:rsidRPr="006D4FD0">
              <w:rPr>
                <w:sz w:val="22"/>
                <w:szCs w:val="22"/>
              </w:rPr>
              <w:t> </w:t>
            </w:r>
          </w:p>
        </w:tc>
        <w:tc>
          <w:tcPr>
            <w:tcW w:w="1218" w:type="dxa"/>
            <w:tcBorders>
              <w:top w:val="nil"/>
              <w:left w:val="nil"/>
              <w:bottom w:val="single" w:sz="6" w:space="0" w:color="000000"/>
              <w:right w:val="single" w:sz="6" w:space="0" w:color="000000"/>
            </w:tcBorders>
            <w:shd w:val="clear" w:color="auto" w:fill="auto"/>
            <w:vAlign w:val="center"/>
            <w:hideMark/>
          </w:tcPr>
          <w:p w14:paraId="24F24C26" w14:textId="77777777" w:rsidR="002F5D49" w:rsidRPr="006D4FD0" w:rsidRDefault="002F5D49" w:rsidP="002F5D49">
            <w:pPr>
              <w:jc w:val="center"/>
              <w:textAlignment w:val="baseline"/>
              <w:rPr>
                <w:sz w:val="22"/>
                <w:szCs w:val="22"/>
              </w:rPr>
            </w:pPr>
            <w:r w:rsidRPr="006D4FD0">
              <w:rPr>
                <w:sz w:val="22"/>
                <w:szCs w:val="22"/>
              </w:rPr>
              <w:t>3/19/2020-5/19/2020 </w:t>
            </w:r>
          </w:p>
        </w:tc>
        <w:tc>
          <w:tcPr>
            <w:tcW w:w="1218" w:type="dxa"/>
            <w:tcBorders>
              <w:top w:val="nil"/>
              <w:left w:val="nil"/>
              <w:bottom w:val="single" w:sz="6" w:space="0" w:color="000000"/>
              <w:right w:val="single" w:sz="6" w:space="0" w:color="000000"/>
            </w:tcBorders>
            <w:shd w:val="clear" w:color="auto" w:fill="auto"/>
            <w:vAlign w:val="center"/>
            <w:hideMark/>
          </w:tcPr>
          <w:p w14:paraId="7E60259E" w14:textId="77777777" w:rsidR="002F5D49" w:rsidRPr="006D4FD0" w:rsidRDefault="002F5D49" w:rsidP="002F5D49">
            <w:pPr>
              <w:jc w:val="center"/>
              <w:textAlignment w:val="baseline"/>
              <w:rPr>
                <w:sz w:val="22"/>
                <w:szCs w:val="22"/>
              </w:rPr>
            </w:pPr>
            <w:r w:rsidRPr="006D4FD0">
              <w:rPr>
                <w:sz w:val="22"/>
                <w:szCs w:val="22"/>
              </w:rPr>
              <w:t>Same as state </w:t>
            </w:r>
          </w:p>
        </w:tc>
        <w:tc>
          <w:tcPr>
            <w:tcW w:w="1472" w:type="dxa"/>
            <w:tcBorders>
              <w:top w:val="nil"/>
              <w:left w:val="nil"/>
              <w:bottom w:val="single" w:sz="6" w:space="0" w:color="000000"/>
              <w:right w:val="single" w:sz="6" w:space="0" w:color="000000"/>
            </w:tcBorders>
            <w:vAlign w:val="center"/>
          </w:tcPr>
          <w:p w14:paraId="49901A1B" w14:textId="77777777" w:rsidR="002F5D49" w:rsidRPr="006D4FD0" w:rsidRDefault="002F5D49" w:rsidP="002F5D49">
            <w:pPr>
              <w:jc w:val="center"/>
              <w:textAlignment w:val="baseline"/>
              <w:rPr>
                <w:sz w:val="22"/>
                <w:szCs w:val="22"/>
              </w:rPr>
            </w:pPr>
            <w:r w:rsidRPr="006D4FD0">
              <w:rPr>
                <w:sz w:val="22"/>
                <w:szCs w:val="22"/>
              </w:rPr>
              <w:t>10/19/2020 </w:t>
            </w:r>
          </w:p>
        </w:tc>
      </w:tr>
      <w:tr w:rsidR="002F5D49" w:rsidRPr="009204B1" w14:paraId="23AE10AB" w14:textId="77777777" w:rsidTr="002F5D49">
        <w:tc>
          <w:tcPr>
            <w:tcW w:w="1178" w:type="dxa"/>
            <w:gridSpan w:val="2"/>
            <w:tcBorders>
              <w:top w:val="nil"/>
              <w:left w:val="single" w:sz="6" w:space="0" w:color="000000"/>
              <w:bottom w:val="single" w:sz="6" w:space="0" w:color="000000"/>
              <w:right w:val="single" w:sz="6" w:space="0" w:color="000000"/>
            </w:tcBorders>
            <w:shd w:val="clear" w:color="auto" w:fill="auto"/>
            <w:vAlign w:val="center"/>
            <w:hideMark/>
          </w:tcPr>
          <w:p w14:paraId="7CFC5437" w14:textId="77777777" w:rsidR="002F5D49" w:rsidRPr="009204B1" w:rsidRDefault="002F5D49" w:rsidP="002F5D49">
            <w:pPr>
              <w:jc w:val="center"/>
              <w:textAlignment w:val="baseline"/>
              <w:rPr>
                <w:sz w:val="22"/>
                <w:szCs w:val="22"/>
              </w:rPr>
            </w:pPr>
            <w:r w:rsidRPr="009204B1">
              <w:rPr>
                <w:color w:val="002060"/>
                <w:sz w:val="22"/>
                <w:szCs w:val="22"/>
              </w:rPr>
              <w:t>Comparison</w:t>
            </w:r>
          </w:p>
        </w:tc>
        <w:tc>
          <w:tcPr>
            <w:tcW w:w="1244" w:type="dxa"/>
            <w:tcBorders>
              <w:top w:val="nil"/>
              <w:left w:val="nil"/>
              <w:bottom w:val="single" w:sz="6" w:space="0" w:color="000000"/>
              <w:right w:val="single" w:sz="6" w:space="0" w:color="000000"/>
            </w:tcBorders>
            <w:shd w:val="clear" w:color="auto" w:fill="auto"/>
            <w:vAlign w:val="center"/>
            <w:hideMark/>
          </w:tcPr>
          <w:p w14:paraId="7737C254" w14:textId="77777777" w:rsidR="002F5D49" w:rsidRPr="009204B1" w:rsidRDefault="002F5D49" w:rsidP="002F5D49">
            <w:pPr>
              <w:jc w:val="center"/>
              <w:textAlignment w:val="baseline"/>
              <w:rPr>
                <w:sz w:val="22"/>
                <w:szCs w:val="22"/>
              </w:rPr>
            </w:pPr>
            <w:r w:rsidRPr="009204B1">
              <w:rPr>
                <w:sz w:val="22"/>
                <w:szCs w:val="22"/>
              </w:rPr>
              <w:t>Texas </w:t>
            </w:r>
          </w:p>
        </w:tc>
        <w:tc>
          <w:tcPr>
            <w:tcW w:w="1260" w:type="dxa"/>
            <w:gridSpan w:val="2"/>
            <w:tcBorders>
              <w:top w:val="nil"/>
              <w:left w:val="nil"/>
              <w:bottom w:val="single" w:sz="6" w:space="0" w:color="000000"/>
              <w:right w:val="single" w:sz="6" w:space="0" w:color="000000"/>
            </w:tcBorders>
            <w:shd w:val="clear" w:color="auto" w:fill="auto"/>
            <w:vAlign w:val="center"/>
            <w:hideMark/>
          </w:tcPr>
          <w:p w14:paraId="31271690" w14:textId="77777777" w:rsidR="002F5D49" w:rsidRPr="009204B1" w:rsidRDefault="002F5D49" w:rsidP="002F5D49">
            <w:pPr>
              <w:jc w:val="center"/>
              <w:textAlignment w:val="baseline"/>
              <w:rPr>
                <w:sz w:val="22"/>
                <w:szCs w:val="22"/>
              </w:rPr>
            </w:pPr>
            <w:r w:rsidRPr="009204B1">
              <w:rPr>
                <w:sz w:val="22"/>
                <w:szCs w:val="22"/>
              </w:rPr>
              <w:t>San Antonio  </w:t>
            </w:r>
          </w:p>
        </w:tc>
        <w:tc>
          <w:tcPr>
            <w:tcW w:w="1080" w:type="dxa"/>
            <w:tcBorders>
              <w:top w:val="nil"/>
              <w:left w:val="nil"/>
              <w:bottom w:val="single" w:sz="4" w:space="0" w:color="auto"/>
              <w:right w:val="single" w:sz="4" w:space="0" w:color="auto"/>
            </w:tcBorders>
            <w:vAlign w:val="center"/>
          </w:tcPr>
          <w:p w14:paraId="2B45947C" w14:textId="76C42471" w:rsidR="002F5D49" w:rsidRPr="006D4FD0" w:rsidRDefault="002F5D49" w:rsidP="002F5D49">
            <w:pPr>
              <w:jc w:val="center"/>
              <w:textAlignment w:val="baseline"/>
              <w:rPr>
                <w:sz w:val="22"/>
                <w:szCs w:val="22"/>
              </w:rPr>
            </w:pPr>
            <w:r>
              <w:rPr>
                <w:color w:val="000000"/>
                <w:sz w:val="22"/>
                <w:szCs w:val="22"/>
              </w:rPr>
              <w:t>3/24/2020</w:t>
            </w:r>
          </w:p>
        </w:tc>
        <w:tc>
          <w:tcPr>
            <w:tcW w:w="1080" w:type="dxa"/>
            <w:tcBorders>
              <w:top w:val="nil"/>
              <w:left w:val="single" w:sz="4" w:space="0" w:color="auto"/>
              <w:bottom w:val="single" w:sz="6" w:space="0" w:color="000000"/>
              <w:right w:val="single" w:sz="6" w:space="0" w:color="000000"/>
            </w:tcBorders>
            <w:shd w:val="clear" w:color="auto" w:fill="auto"/>
            <w:vAlign w:val="center"/>
            <w:hideMark/>
          </w:tcPr>
          <w:p w14:paraId="43996A81" w14:textId="7037E47D" w:rsidR="002F5D49" w:rsidRPr="006D4FD0" w:rsidRDefault="002F5D49" w:rsidP="002F5D49">
            <w:pPr>
              <w:jc w:val="center"/>
              <w:textAlignment w:val="baseline"/>
              <w:rPr>
                <w:sz w:val="22"/>
                <w:szCs w:val="22"/>
              </w:rPr>
            </w:pPr>
            <w:r w:rsidRPr="006D4FD0">
              <w:rPr>
                <w:sz w:val="22"/>
                <w:szCs w:val="22"/>
              </w:rPr>
              <w:t>5/1/2020 </w:t>
            </w:r>
          </w:p>
        </w:tc>
        <w:tc>
          <w:tcPr>
            <w:tcW w:w="1080" w:type="dxa"/>
            <w:tcBorders>
              <w:top w:val="single" w:sz="6" w:space="0" w:color="000000"/>
              <w:left w:val="nil"/>
              <w:bottom w:val="single" w:sz="6" w:space="0" w:color="000000"/>
              <w:right w:val="single" w:sz="4" w:space="0" w:color="auto"/>
            </w:tcBorders>
            <w:vAlign w:val="center"/>
          </w:tcPr>
          <w:p w14:paraId="6F97A8AF" w14:textId="77777777" w:rsidR="002F5D49" w:rsidRPr="006D4FD0" w:rsidRDefault="002F5D49" w:rsidP="002F5D49">
            <w:pPr>
              <w:jc w:val="center"/>
              <w:textAlignment w:val="baseline"/>
              <w:rPr>
                <w:sz w:val="22"/>
                <w:szCs w:val="22"/>
              </w:rPr>
            </w:pPr>
            <w:r w:rsidRPr="006D4FD0">
              <w:rPr>
                <w:sz w:val="22"/>
                <w:szCs w:val="22"/>
              </w:rPr>
              <w:t>6/5/20</w:t>
            </w:r>
          </w:p>
        </w:tc>
        <w:tc>
          <w:tcPr>
            <w:tcW w:w="1070" w:type="dxa"/>
            <w:tcBorders>
              <w:top w:val="nil"/>
              <w:left w:val="single" w:sz="4" w:space="0" w:color="auto"/>
              <w:bottom w:val="single" w:sz="6" w:space="0" w:color="000000"/>
              <w:right w:val="single" w:sz="6" w:space="0" w:color="000000"/>
            </w:tcBorders>
            <w:shd w:val="clear" w:color="auto" w:fill="auto"/>
            <w:vAlign w:val="center"/>
            <w:hideMark/>
          </w:tcPr>
          <w:p w14:paraId="282F28E7" w14:textId="77777777" w:rsidR="002F5D49" w:rsidRPr="006D4FD0" w:rsidRDefault="002F5D49" w:rsidP="002F5D49">
            <w:pPr>
              <w:jc w:val="center"/>
              <w:textAlignment w:val="baseline"/>
              <w:rPr>
                <w:sz w:val="22"/>
                <w:szCs w:val="22"/>
              </w:rPr>
            </w:pPr>
            <w:r w:rsidRPr="006D4FD0">
              <w:rPr>
                <w:sz w:val="22"/>
                <w:szCs w:val="22"/>
              </w:rPr>
              <w:t>7/3/2020 </w:t>
            </w:r>
          </w:p>
        </w:tc>
        <w:tc>
          <w:tcPr>
            <w:tcW w:w="1044" w:type="dxa"/>
            <w:tcBorders>
              <w:top w:val="nil"/>
              <w:left w:val="nil"/>
              <w:bottom w:val="single" w:sz="6" w:space="0" w:color="000000"/>
              <w:right w:val="single" w:sz="6" w:space="0" w:color="000000"/>
            </w:tcBorders>
            <w:shd w:val="clear" w:color="auto" w:fill="auto"/>
            <w:vAlign w:val="center"/>
            <w:hideMark/>
          </w:tcPr>
          <w:p w14:paraId="3440EBFA" w14:textId="77777777" w:rsidR="002F5D49" w:rsidRPr="006D4FD0" w:rsidRDefault="002F5D49" w:rsidP="002F5D49">
            <w:pPr>
              <w:jc w:val="center"/>
              <w:textAlignment w:val="baseline"/>
              <w:rPr>
                <w:sz w:val="22"/>
                <w:szCs w:val="22"/>
              </w:rPr>
            </w:pPr>
            <w:r>
              <w:rPr>
                <w:sz w:val="22"/>
                <w:szCs w:val="22"/>
              </w:rPr>
              <w:t>6/17/2020</w:t>
            </w:r>
            <w:r w:rsidRPr="006D4FD0">
              <w:rPr>
                <w:sz w:val="22"/>
                <w:szCs w:val="22"/>
              </w:rPr>
              <w:t> </w:t>
            </w:r>
          </w:p>
        </w:tc>
        <w:tc>
          <w:tcPr>
            <w:tcW w:w="1218" w:type="dxa"/>
            <w:tcBorders>
              <w:top w:val="nil"/>
              <w:left w:val="nil"/>
              <w:bottom w:val="single" w:sz="6" w:space="0" w:color="000000"/>
              <w:right w:val="single" w:sz="6" w:space="0" w:color="000000"/>
            </w:tcBorders>
            <w:shd w:val="clear" w:color="auto" w:fill="auto"/>
            <w:vAlign w:val="center"/>
            <w:hideMark/>
          </w:tcPr>
          <w:p w14:paraId="39A9A94B" w14:textId="77777777" w:rsidR="002F5D49" w:rsidRPr="006D4FD0" w:rsidRDefault="002F5D49" w:rsidP="002F5D49">
            <w:pPr>
              <w:jc w:val="center"/>
              <w:textAlignment w:val="baseline"/>
              <w:rPr>
                <w:sz w:val="22"/>
                <w:szCs w:val="22"/>
              </w:rPr>
            </w:pPr>
            <w:r w:rsidRPr="006D4FD0">
              <w:rPr>
                <w:sz w:val="22"/>
                <w:szCs w:val="22"/>
              </w:rPr>
              <w:t>3/19/2020-5/19/2020 </w:t>
            </w:r>
          </w:p>
        </w:tc>
        <w:tc>
          <w:tcPr>
            <w:tcW w:w="1218" w:type="dxa"/>
            <w:tcBorders>
              <w:top w:val="nil"/>
              <w:left w:val="nil"/>
              <w:bottom w:val="single" w:sz="6" w:space="0" w:color="000000"/>
              <w:right w:val="single" w:sz="6" w:space="0" w:color="000000"/>
            </w:tcBorders>
            <w:shd w:val="clear" w:color="auto" w:fill="auto"/>
            <w:vAlign w:val="center"/>
            <w:hideMark/>
          </w:tcPr>
          <w:p w14:paraId="3CD0630F" w14:textId="77777777" w:rsidR="002F5D49" w:rsidRPr="006D4FD0" w:rsidRDefault="002F5D49" w:rsidP="002F5D49">
            <w:pPr>
              <w:jc w:val="center"/>
              <w:textAlignment w:val="baseline"/>
              <w:rPr>
                <w:sz w:val="22"/>
                <w:szCs w:val="22"/>
              </w:rPr>
            </w:pPr>
            <w:r w:rsidRPr="006D4FD0">
              <w:rPr>
                <w:sz w:val="22"/>
                <w:szCs w:val="22"/>
              </w:rPr>
              <w:t>3/19/2020-6/1/2020 </w:t>
            </w:r>
          </w:p>
        </w:tc>
        <w:tc>
          <w:tcPr>
            <w:tcW w:w="1472" w:type="dxa"/>
            <w:tcBorders>
              <w:top w:val="nil"/>
              <w:left w:val="nil"/>
              <w:bottom w:val="single" w:sz="6" w:space="0" w:color="000000"/>
              <w:right w:val="single" w:sz="6" w:space="0" w:color="000000"/>
            </w:tcBorders>
            <w:vAlign w:val="center"/>
          </w:tcPr>
          <w:p w14:paraId="217514DC" w14:textId="77777777" w:rsidR="002F5D49" w:rsidRPr="006D4FD0" w:rsidRDefault="002F5D49" w:rsidP="002F5D49">
            <w:pPr>
              <w:jc w:val="center"/>
              <w:textAlignment w:val="baseline"/>
              <w:rPr>
                <w:sz w:val="22"/>
                <w:szCs w:val="22"/>
              </w:rPr>
            </w:pPr>
            <w:r w:rsidRPr="006D4FD0">
              <w:rPr>
                <w:sz w:val="22"/>
                <w:szCs w:val="22"/>
              </w:rPr>
              <w:t>9/8/2020 </w:t>
            </w:r>
          </w:p>
        </w:tc>
      </w:tr>
    </w:tbl>
    <w:p w14:paraId="67C2344E" w14:textId="24C082BF" w:rsidR="00524B3C" w:rsidRPr="009204B1" w:rsidRDefault="00524B3C" w:rsidP="00524B3C">
      <w:pPr>
        <w:rPr>
          <w:rStyle w:val="eop"/>
          <w:color w:val="000000"/>
          <w:sz w:val="22"/>
          <w:szCs w:val="22"/>
          <w:shd w:val="clear" w:color="auto" w:fill="FFFFFF"/>
        </w:rPr>
      </w:pPr>
      <w:r w:rsidRPr="00A14B7A">
        <w:rPr>
          <w:sz w:val="22"/>
          <w:szCs w:val="22"/>
        </w:rPr>
        <w:lastRenderedPageBreak/>
        <w:t>We collect</w:t>
      </w:r>
      <w:r>
        <w:rPr>
          <w:sz w:val="22"/>
          <w:szCs w:val="22"/>
        </w:rPr>
        <w:t>ed</w:t>
      </w:r>
      <w:r w:rsidRPr="00A14B7A">
        <w:rPr>
          <w:sz w:val="22"/>
          <w:szCs w:val="22"/>
        </w:rPr>
        <w:t xml:space="preserve"> information on statewide and city/county orders from searching multiple publicly available databases, and state/city website</w:t>
      </w:r>
      <w:r>
        <w:rPr>
          <w:sz w:val="22"/>
          <w:szCs w:val="22"/>
        </w:rPr>
        <w:t>s</w:t>
      </w:r>
      <w:r w:rsidRPr="00A14B7A">
        <w:rPr>
          <w:sz w:val="22"/>
          <w:szCs w:val="22"/>
        </w:rPr>
        <w:t xml:space="preserve"> listing these orders and reviewing state/city order</w:t>
      </w:r>
      <w:r>
        <w:rPr>
          <w:sz w:val="22"/>
          <w:szCs w:val="22"/>
        </w:rPr>
        <w:t>.</w:t>
      </w:r>
      <w:r w:rsidRPr="00A14B7A">
        <w:rPr>
          <w:sz w:val="22"/>
          <w:szCs w:val="22"/>
        </w:rPr>
        <w:t xml:space="preserve"> </w:t>
      </w:r>
      <w:r w:rsidRPr="009204B1">
        <w:rPr>
          <w:rStyle w:val="normaltextrun"/>
          <w:color w:val="000000"/>
          <w:sz w:val="22"/>
          <w:szCs w:val="22"/>
          <w:shd w:val="clear" w:color="auto" w:fill="FFFFFF"/>
        </w:rPr>
        <w:t>*Masks mandated for certain businesses, no broad state-wide mask mandate</w:t>
      </w:r>
      <w:r>
        <w:rPr>
          <w:rStyle w:val="normaltextrun"/>
          <w:color w:val="000000"/>
          <w:sz w:val="22"/>
          <w:szCs w:val="22"/>
          <w:shd w:val="clear" w:color="auto" w:fill="FFFFFF"/>
        </w:rPr>
        <w:t xml:space="preserve">. </w:t>
      </w:r>
    </w:p>
    <w:p w14:paraId="205D796B" w14:textId="77777777" w:rsidR="00524B3C" w:rsidRDefault="00524B3C" w:rsidP="00524B3C">
      <w:pPr>
        <w:rPr>
          <w:rStyle w:val="eop"/>
          <w:rFonts w:ascii="Calibri" w:hAnsi="Calibri" w:cs="Calibri"/>
          <w:color w:val="000000"/>
          <w:sz w:val="22"/>
          <w:szCs w:val="22"/>
          <w:shd w:val="clear" w:color="auto" w:fill="FFFFFF"/>
        </w:rPr>
      </w:pPr>
    </w:p>
    <w:p w14:paraId="3D07B29F" w14:textId="77777777" w:rsidR="00524B3C" w:rsidRDefault="00524B3C" w:rsidP="00524B3C">
      <w:pPr>
        <w:rPr>
          <w:rStyle w:val="eop"/>
          <w:rFonts w:ascii="Calibri" w:hAnsi="Calibri" w:cs="Calibri"/>
          <w:color w:val="000000"/>
          <w:sz w:val="22"/>
          <w:szCs w:val="22"/>
          <w:shd w:val="clear" w:color="auto" w:fill="FFFFFF"/>
        </w:rPr>
      </w:pPr>
      <w:r>
        <w:rPr>
          <w:rStyle w:val="eop"/>
          <w:rFonts w:ascii="Calibri" w:hAnsi="Calibri" w:cs="Calibri"/>
          <w:color w:val="000000"/>
          <w:sz w:val="22"/>
          <w:szCs w:val="22"/>
          <w:shd w:val="clear" w:color="auto" w:fill="FFFFFF"/>
        </w:rPr>
        <w:br w:type="page"/>
      </w:r>
    </w:p>
    <w:p w14:paraId="6B5C52CE" w14:textId="77777777" w:rsidR="00524B3C" w:rsidRPr="00381003" w:rsidRDefault="00524B3C" w:rsidP="00524B3C">
      <w:pPr>
        <w:pStyle w:val="Heading1"/>
        <w:rPr>
          <w:rStyle w:val="eop"/>
          <w:rFonts w:ascii="Times New Roman" w:hAnsi="Times New Roman" w:cs="Times New Roman"/>
          <w:b/>
          <w:color w:val="000000"/>
          <w:sz w:val="24"/>
          <w:szCs w:val="24"/>
          <w:shd w:val="clear" w:color="auto" w:fill="FFFFFF"/>
        </w:rPr>
      </w:pPr>
      <w:bookmarkStart w:id="4" w:name="_Toc68877757"/>
      <w:r w:rsidRPr="00381003">
        <w:rPr>
          <w:rStyle w:val="eop"/>
          <w:rFonts w:ascii="Times New Roman" w:hAnsi="Times New Roman" w:cs="Times New Roman"/>
          <w:b/>
          <w:bCs/>
          <w:color w:val="000000"/>
          <w:sz w:val="24"/>
          <w:szCs w:val="24"/>
          <w:shd w:val="clear" w:color="auto" w:fill="FFFFFF"/>
        </w:rPr>
        <w:lastRenderedPageBreak/>
        <w:t>Appendix B: Counterfactual Assumption</w:t>
      </w:r>
      <w:r>
        <w:rPr>
          <w:rStyle w:val="eop"/>
          <w:rFonts w:ascii="Times New Roman" w:hAnsi="Times New Roman" w:cs="Times New Roman"/>
          <w:b/>
          <w:bCs/>
          <w:color w:val="000000"/>
          <w:sz w:val="24"/>
          <w:szCs w:val="24"/>
          <w:shd w:val="clear" w:color="auto" w:fill="FFFFFF"/>
        </w:rPr>
        <w:t xml:space="preserve"> &amp; Re-Opening Citations</w:t>
      </w:r>
      <w:bookmarkEnd w:id="4"/>
    </w:p>
    <w:p w14:paraId="4FE188E5" w14:textId="77777777" w:rsidR="00524B3C" w:rsidRDefault="00524B3C" w:rsidP="00524B3C">
      <w:pPr>
        <w:rPr>
          <w:rStyle w:val="eop"/>
          <w:rFonts w:ascii="Calibri" w:hAnsi="Calibri" w:cs="Calibri"/>
          <w:color w:val="000000"/>
          <w:sz w:val="22"/>
          <w:szCs w:val="22"/>
          <w:shd w:val="clear" w:color="auto" w:fill="FFFFFF"/>
        </w:rPr>
      </w:pPr>
    </w:p>
    <w:p w14:paraId="451C954D" w14:textId="06D7F722" w:rsidR="00524B3C" w:rsidRPr="007132B8" w:rsidRDefault="00524B3C" w:rsidP="00772C8D">
      <w:pPr>
        <w:pStyle w:val="Heading2"/>
        <w:rPr>
          <w:rFonts w:ascii="Times New Roman" w:hAnsi="Times New Roman" w:cs="Times New Roman"/>
          <w:color w:val="auto"/>
          <w:sz w:val="24"/>
          <w:szCs w:val="24"/>
        </w:rPr>
      </w:pPr>
      <w:bookmarkStart w:id="5" w:name="_Toc68877758"/>
      <w:r w:rsidRPr="00030930">
        <w:rPr>
          <w:rStyle w:val="eop"/>
          <w:rFonts w:ascii="Times New Roman" w:hAnsi="Times New Roman" w:cs="Times New Roman"/>
          <w:color w:val="auto"/>
          <w:sz w:val="24"/>
          <w:szCs w:val="24"/>
          <w:shd w:val="clear" w:color="auto" w:fill="FFFFFF"/>
        </w:rPr>
        <w:t>Appendix</w:t>
      </w:r>
      <w:r w:rsidR="00772C8D">
        <w:rPr>
          <w:rStyle w:val="eop"/>
          <w:rFonts w:ascii="Times New Roman" w:hAnsi="Times New Roman" w:cs="Times New Roman"/>
          <w:color w:val="auto"/>
          <w:sz w:val="24"/>
          <w:szCs w:val="24"/>
          <w:shd w:val="clear" w:color="auto" w:fill="FFFFFF"/>
        </w:rPr>
        <w:t xml:space="preserve"> Table</w:t>
      </w:r>
      <w:r w:rsidRPr="007132B8">
        <w:rPr>
          <w:rFonts w:ascii="Times New Roman" w:hAnsi="Times New Roman" w:cs="Times New Roman"/>
          <w:color w:val="auto"/>
          <w:sz w:val="24"/>
          <w:szCs w:val="24"/>
        </w:rPr>
        <w:t xml:space="preserve"> B2: Citations </w:t>
      </w:r>
      <w:r>
        <w:rPr>
          <w:rFonts w:ascii="Times New Roman" w:hAnsi="Times New Roman" w:cs="Times New Roman"/>
          <w:color w:val="auto"/>
          <w:sz w:val="24"/>
          <w:szCs w:val="24"/>
        </w:rPr>
        <w:t xml:space="preserve">for </w:t>
      </w:r>
      <w:r w:rsidRPr="007132B8">
        <w:rPr>
          <w:rFonts w:ascii="Times New Roman" w:hAnsi="Times New Roman" w:cs="Times New Roman"/>
          <w:color w:val="auto"/>
          <w:sz w:val="24"/>
          <w:szCs w:val="24"/>
        </w:rPr>
        <w:t>Counterfactual Assumption that Cities Would Have Kept Indoor Dining Closed if Not Preempted</w:t>
      </w:r>
      <w:r>
        <w:rPr>
          <w:rFonts w:ascii="Times New Roman" w:hAnsi="Times New Roman" w:cs="Times New Roman"/>
          <w:color w:val="auto"/>
          <w:sz w:val="24"/>
          <w:szCs w:val="24"/>
        </w:rPr>
        <w:t>, Comparison Cities</w:t>
      </w:r>
      <w:bookmarkEnd w:id="5"/>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2"/>
        <w:gridCol w:w="1350"/>
        <w:gridCol w:w="6210"/>
        <w:gridCol w:w="4042"/>
      </w:tblGrid>
      <w:tr w:rsidR="00524B3C" w:rsidRPr="0067034D" w14:paraId="198DD85A" w14:textId="77777777" w:rsidTr="00C83046">
        <w:tc>
          <w:tcPr>
            <w:tcW w:w="12944" w:type="dxa"/>
            <w:gridSpan w:val="4"/>
            <w:tcBorders>
              <w:top w:val="single" w:sz="6" w:space="0" w:color="000000"/>
              <w:left w:val="single" w:sz="6" w:space="0" w:color="000000"/>
              <w:bottom w:val="single" w:sz="6" w:space="0" w:color="000000"/>
              <w:right w:val="single" w:sz="6" w:space="0" w:color="000000"/>
            </w:tcBorders>
            <w:shd w:val="clear" w:color="auto" w:fill="002060"/>
            <w:vAlign w:val="center"/>
            <w:hideMark/>
          </w:tcPr>
          <w:p w14:paraId="749880B0" w14:textId="77777777" w:rsidR="00524B3C" w:rsidRPr="0067034D" w:rsidRDefault="00524B3C" w:rsidP="00C83046">
            <w:pPr>
              <w:jc w:val="center"/>
              <w:textAlignment w:val="baseline"/>
              <w:rPr>
                <w:rFonts w:ascii="Segoe UI" w:hAnsi="Segoe UI" w:cs="Segoe UI"/>
                <w:sz w:val="22"/>
                <w:szCs w:val="22"/>
              </w:rPr>
            </w:pPr>
            <w:r w:rsidRPr="0067034D">
              <w:rPr>
                <w:rFonts w:ascii="Calibri" w:hAnsi="Calibri" w:cs="Calibri"/>
                <w:b/>
                <w:bCs/>
                <w:sz w:val="22"/>
                <w:szCs w:val="22"/>
              </w:rPr>
              <w:t>Evidence of Preemption</w:t>
            </w:r>
            <w:r w:rsidRPr="0067034D">
              <w:rPr>
                <w:rFonts w:ascii="Calibri" w:hAnsi="Calibri" w:cs="Calibri"/>
                <w:sz w:val="22"/>
                <w:szCs w:val="22"/>
              </w:rPr>
              <w:t> </w:t>
            </w:r>
          </w:p>
        </w:tc>
      </w:tr>
      <w:tr w:rsidR="00524B3C" w:rsidRPr="0067034D" w14:paraId="2C696337" w14:textId="77777777" w:rsidTr="00C83046">
        <w:tc>
          <w:tcPr>
            <w:tcW w:w="1342" w:type="dxa"/>
            <w:tcBorders>
              <w:top w:val="nil"/>
              <w:left w:val="single" w:sz="6" w:space="0" w:color="000000"/>
              <w:bottom w:val="single" w:sz="6" w:space="0" w:color="000000"/>
              <w:right w:val="single" w:sz="6" w:space="0" w:color="000000"/>
            </w:tcBorders>
            <w:shd w:val="clear" w:color="auto" w:fill="D5DCE4"/>
            <w:vAlign w:val="center"/>
            <w:hideMark/>
          </w:tcPr>
          <w:p w14:paraId="71B1A446" w14:textId="77777777" w:rsidR="00524B3C" w:rsidRPr="0067034D" w:rsidRDefault="00524B3C" w:rsidP="00C83046">
            <w:pPr>
              <w:jc w:val="center"/>
              <w:textAlignment w:val="baseline"/>
              <w:rPr>
                <w:rFonts w:ascii="Segoe UI" w:hAnsi="Segoe UI" w:cs="Segoe UI"/>
                <w:sz w:val="22"/>
                <w:szCs w:val="22"/>
              </w:rPr>
            </w:pPr>
            <w:r w:rsidRPr="0067034D">
              <w:rPr>
                <w:rFonts w:ascii="Calibri" w:hAnsi="Calibri" w:cs="Calibri"/>
                <w:b/>
                <w:bCs/>
                <w:sz w:val="22"/>
                <w:szCs w:val="22"/>
              </w:rPr>
              <w:t>City</w:t>
            </w:r>
            <w:r w:rsidRPr="0067034D">
              <w:rPr>
                <w:rFonts w:ascii="Calibri" w:hAnsi="Calibri" w:cs="Calibri"/>
                <w:sz w:val="22"/>
                <w:szCs w:val="22"/>
              </w:rPr>
              <w:t> </w:t>
            </w:r>
          </w:p>
        </w:tc>
        <w:tc>
          <w:tcPr>
            <w:tcW w:w="1350" w:type="dxa"/>
            <w:tcBorders>
              <w:top w:val="nil"/>
              <w:left w:val="nil"/>
              <w:bottom w:val="single" w:sz="6" w:space="0" w:color="000000"/>
              <w:right w:val="single" w:sz="6" w:space="0" w:color="000000"/>
            </w:tcBorders>
            <w:shd w:val="clear" w:color="auto" w:fill="D5DCE4"/>
            <w:vAlign w:val="center"/>
            <w:hideMark/>
          </w:tcPr>
          <w:p w14:paraId="46F7F862" w14:textId="77777777" w:rsidR="00524B3C" w:rsidRPr="0067034D" w:rsidRDefault="00524B3C" w:rsidP="00C83046">
            <w:pPr>
              <w:jc w:val="center"/>
              <w:textAlignment w:val="baseline"/>
              <w:rPr>
                <w:rFonts w:ascii="Segoe UI" w:hAnsi="Segoe UI" w:cs="Segoe UI"/>
                <w:sz w:val="22"/>
                <w:szCs w:val="22"/>
              </w:rPr>
            </w:pPr>
            <w:r w:rsidRPr="0067034D">
              <w:rPr>
                <w:rFonts w:ascii="Calibri" w:hAnsi="Calibri" w:cs="Calibri"/>
                <w:b/>
                <w:bCs/>
                <w:sz w:val="22"/>
                <w:szCs w:val="22"/>
              </w:rPr>
              <w:t>State</w:t>
            </w:r>
            <w:r w:rsidRPr="0067034D">
              <w:rPr>
                <w:rFonts w:ascii="Calibri" w:hAnsi="Calibri" w:cs="Calibri"/>
                <w:sz w:val="22"/>
                <w:szCs w:val="22"/>
              </w:rPr>
              <w:t> </w:t>
            </w:r>
          </w:p>
        </w:tc>
        <w:tc>
          <w:tcPr>
            <w:tcW w:w="6210" w:type="dxa"/>
            <w:tcBorders>
              <w:top w:val="nil"/>
              <w:left w:val="nil"/>
              <w:bottom w:val="single" w:sz="6" w:space="0" w:color="000000"/>
              <w:right w:val="single" w:sz="6" w:space="0" w:color="000000"/>
            </w:tcBorders>
            <w:shd w:val="clear" w:color="auto" w:fill="D5DCE4"/>
            <w:vAlign w:val="center"/>
            <w:hideMark/>
          </w:tcPr>
          <w:p w14:paraId="32009142" w14:textId="77777777" w:rsidR="00524B3C" w:rsidRPr="0067034D" w:rsidRDefault="00524B3C" w:rsidP="00C83046">
            <w:pPr>
              <w:jc w:val="center"/>
              <w:textAlignment w:val="baseline"/>
              <w:rPr>
                <w:rFonts w:ascii="Segoe UI" w:hAnsi="Segoe UI" w:cs="Segoe UI"/>
                <w:sz w:val="22"/>
                <w:szCs w:val="22"/>
              </w:rPr>
            </w:pPr>
            <w:r w:rsidRPr="0067034D">
              <w:rPr>
                <w:rFonts w:ascii="Calibri" w:hAnsi="Calibri" w:cs="Calibri"/>
                <w:b/>
                <w:bCs/>
                <w:sz w:val="22"/>
                <w:szCs w:val="22"/>
              </w:rPr>
              <w:t>Preempted City Policy</w:t>
            </w:r>
            <w:r w:rsidRPr="0067034D">
              <w:rPr>
                <w:rFonts w:ascii="Calibri" w:hAnsi="Calibri" w:cs="Calibri"/>
                <w:sz w:val="22"/>
                <w:szCs w:val="22"/>
              </w:rPr>
              <w:t> </w:t>
            </w:r>
          </w:p>
        </w:tc>
        <w:tc>
          <w:tcPr>
            <w:tcW w:w="4042" w:type="dxa"/>
            <w:tcBorders>
              <w:top w:val="nil"/>
              <w:left w:val="nil"/>
              <w:bottom w:val="single" w:sz="6" w:space="0" w:color="000000"/>
              <w:right w:val="single" w:sz="6" w:space="0" w:color="000000"/>
            </w:tcBorders>
            <w:shd w:val="clear" w:color="auto" w:fill="D5DCE4"/>
            <w:vAlign w:val="center"/>
            <w:hideMark/>
          </w:tcPr>
          <w:p w14:paraId="5AD159A8" w14:textId="77777777" w:rsidR="00524B3C" w:rsidRPr="0067034D" w:rsidRDefault="00524B3C" w:rsidP="00C83046">
            <w:pPr>
              <w:jc w:val="center"/>
              <w:textAlignment w:val="baseline"/>
              <w:rPr>
                <w:rFonts w:ascii="Segoe UI" w:hAnsi="Segoe UI" w:cs="Segoe UI"/>
                <w:sz w:val="22"/>
                <w:szCs w:val="22"/>
              </w:rPr>
            </w:pPr>
            <w:r w:rsidRPr="0067034D">
              <w:rPr>
                <w:rFonts w:ascii="Calibri" w:hAnsi="Calibri" w:cs="Calibri"/>
                <w:b/>
                <w:bCs/>
                <w:sz w:val="22"/>
                <w:szCs w:val="22"/>
              </w:rPr>
              <w:t>State Preemption  </w:t>
            </w:r>
            <w:r w:rsidRPr="0067034D">
              <w:rPr>
                <w:rFonts w:ascii="Calibri" w:hAnsi="Calibri" w:cs="Calibri"/>
                <w:sz w:val="22"/>
                <w:szCs w:val="22"/>
              </w:rPr>
              <w:t> </w:t>
            </w:r>
          </w:p>
        </w:tc>
      </w:tr>
      <w:tr w:rsidR="00524B3C" w:rsidRPr="000468BC" w14:paraId="2991A008" w14:textId="77777777" w:rsidTr="00C83046">
        <w:tc>
          <w:tcPr>
            <w:tcW w:w="1342" w:type="dxa"/>
            <w:tcBorders>
              <w:top w:val="nil"/>
              <w:left w:val="single" w:sz="6" w:space="0" w:color="000000"/>
              <w:bottom w:val="single" w:sz="6" w:space="0" w:color="000000"/>
              <w:right w:val="single" w:sz="6" w:space="0" w:color="000000"/>
            </w:tcBorders>
            <w:shd w:val="clear" w:color="auto" w:fill="auto"/>
            <w:vAlign w:val="center"/>
            <w:hideMark/>
          </w:tcPr>
          <w:p w14:paraId="620FFF02" w14:textId="77777777" w:rsidR="00524B3C" w:rsidRPr="009204B1" w:rsidRDefault="00524B3C" w:rsidP="00C83046">
            <w:pPr>
              <w:jc w:val="center"/>
              <w:textAlignment w:val="baseline"/>
              <w:rPr>
                <w:sz w:val="22"/>
                <w:szCs w:val="22"/>
              </w:rPr>
            </w:pPr>
            <w:r w:rsidRPr="009204B1">
              <w:rPr>
                <w:b/>
                <w:bCs/>
                <w:sz w:val="22"/>
                <w:szCs w:val="22"/>
              </w:rPr>
              <w:t>Phoenix</w:t>
            </w:r>
            <w:r w:rsidRPr="009204B1">
              <w:rPr>
                <w:sz w:val="22"/>
                <w:szCs w:val="22"/>
              </w:rPr>
              <w:t> </w:t>
            </w:r>
          </w:p>
        </w:tc>
        <w:tc>
          <w:tcPr>
            <w:tcW w:w="1350" w:type="dxa"/>
            <w:tcBorders>
              <w:top w:val="nil"/>
              <w:left w:val="nil"/>
              <w:bottom w:val="single" w:sz="6" w:space="0" w:color="000000"/>
              <w:right w:val="single" w:sz="6" w:space="0" w:color="000000"/>
            </w:tcBorders>
            <w:shd w:val="clear" w:color="auto" w:fill="auto"/>
            <w:vAlign w:val="center"/>
            <w:hideMark/>
          </w:tcPr>
          <w:p w14:paraId="1AB6DB40" w14:textId="77777777" w:rsidR="00524B3C" w:rsidRPr="009204B1" w:rsidRDefault="00524B3C" w:rsidP="00C83046">
            <w:pPr>
              <w:jc w:val="center"/>
              <w:textAlignment w:val="baseline"/>
              <w:rPr>
                <w:sz w:val="22"/>
                <w:szCs w:val="22"/>
              </w:rPr>
            </w:pPr>
            <w:r w:rsidRPr="009204B1">
              <w:rPr>
                <w:b/>
                <w:bCs/>
                <w:sz w:val="22"/>
                <w:szCs w:val="22"/>
              </w:rPr>
              <w:t>Arizona</w:t>
            </w:r>
            <w:r w:rsidRPr="009204B1">
              <w:rPr>
                <w:sz w:val="22"/>
                <w:szCs w:val="22"/>
              </w:rPr>
              <w:t> </w:t>
            </w:r>
          </w:p>
        </w:tc>
        <w:tc>
          <w:tcPr>
            <w:tcW w:w="6210" w:type="dxa"/>
            <w:tcBorders>
              <w:top w:val="nil"/>
              <w:left w:val="nil"/>
              <w:bottom w:val="single" w:sz="6" w:space="0" w:color="000000"/>
              <w:right w:val="single" w:sz="6" w:space="0" w:color="000000"/>
            </w:tcBorders>
            <w:shd w:val="clear" w:color="auto" w:fill="auto"/>
            <w:vAlign w:val="center"/>
            <w:hideMark/>
          </w:tcPr>
          <w:p w14:paraId="7405F2D3" w14:textId="77777777" w:rsidR="00524B3C" w:rsidRPr="0067034D" w:rsidRDefault="00D462AA" w:rsidP="00C83046">
            <w:pPr>
              <w:textAlignment w:val="baseline"/>
              <w:rPr>
                <w:color w:val="0070C0"/>
                <w:sz w:val="22"/>
                <w:szCs w:val="22"/>
              </w:rPr>
            </w:pPr>
            <w:hyperlink r:id="rId10" w:tgtFrame="_blank" w:history="1">
              <w:r w:rsidR="00524B3C" w:rsidRPr="0067034D">
                <w:rPr>
                  <w:color w:val="0070C0"/>
                  <w:sz w:val="22"/>
                  <w:szCs w:val="22"/>
                  <w:u w:val="single"/>
                </w:rPr>
                <w:t>Mayor Gallego Tweet </w:t>
              </w:r>
            </w:hyperlink>
            <w:r w:rsidR="00524B3C" w:rsidRPr="0067034D">
              <w:rPr>
                <w:color w:val="0070C0"/>
                <w:sz w:val="22"/>
                <w:szCs w:val="22"/>
              </w:rPr>
              <w:t> </w:t>
            </w:r>
          </w:p>
          <w:p w14:paraId="23417AEC" w14:textId="77777777" w:rsidR="00524B3C" w:rsidRPr="0067034D" w:rsidRDefault="00D462AA" w:rsidP="00C83046">
            <w:pPr>
              <w:textAlignment w:val="baseline"/>
              <w:rPr>
                <w:color w:val="0070C0"/>
                <w:sz w:val="22"/>
                <w:szCs w:val="22"/>
              </w:rPr>
            </w:pPr>
            <w:hyperlink r:id="rId11" w:tgtFrame="_blank" w:history="1">
              <w:r w:rsidR="00524B3C" w:rsidRPr="0067034D">
                <w:rPr>
                  <w:color w:val="0070C0"/>
                  <w:sz w:val="22"/>
                  <w:szCs w:val="22"/>
                  <w:u w:val="single"/>
                </w:rPr>
                <w:t xml:space="preserve">Mayor Gallego Statement </w:t>
              </w:r>
              <w:proofErr w:type="gramStart"/>
              <w:r w:rsidR="00524B3C" w:rsidRPr="0067034D">
                <w:rPr>
                  <w:color w:val="0070C0"/>
                  <w:sz w:val="22"/>
                  <w:szCs w:val="22"/>
                  <w:u w:val="single"/>
                </w:rPr>
                <w:t>On</w:t>
              </w:r>
              <w:proofErr w:type="gramEnd"/>
              <w:r w:rsidR="00524B3C" w:rsidRPr="0067034D">
                <w:rPr>
                  <w:color w:val="0070C0"/>
                  <w:sz w:val="22"/>
                  <w:szCs w:val="22"/>
                  <w:u w:val="single"/>
                </w:rPr>
                <w:t xml:space="preserve"> Stay-at-Home Order</w:t>
              </w:r>
            </w:hyperlink>
            <w:r w:rsidR="00524B3C" w:rsidRPr="0067034D">
              <w:rPr>
                <w:color w:val="0070C0"/>
                <w:sz w:val="22"/>
                <w:szCs w:val="22"/>
              </w:rPr>
              <w:t>  </w:t>
            </w:r>
          </w:p>
        </w:tc>
        <w:tc>
          <w:tcPr>
            <w:tcW w:w="4042" w:type="dxa"/>
            <w:tcBorders>
              <w:top w:val="nil"/>
              <w:left w:val="nil"/>
              <w:bottom w:val="single" w:sz="6" w:space="0" w:color="000000"/>
              <w:right w:val="single" w:sz="6" w:space="0" w:color="000000"/>
            </w:tcBorders>
            <w:shd w:val="clear" w:color="auto" w:fill="auto"/>
            <w:vAlign w:val="center"/>
            <w:hideMark/>
          </w:tcPr>
          <w:p w14:paraId="2215635D" w14:textId="77777777" w:rsidR="00524B3C" w:rsidRPr="0067034D" w:rsidRDefault="00D462AA" w:rsidP="00C83046">
            <w:pPr>
              <w:textAlignment w:val="baseline"/>
              <w:rPr>
                <w:color w:val="0070C0"/>
                <w:sz w:val="22"/>
                <w:szCs w:val="22"/>
              </w:rPr>
            </w:pPr>
            <w:hyperlink r:id="rId12" w:tgtFrame="_blank" w:history="1">
              <w:r w:rsidR="00524B3C" w:rsidRPr="0067034D">
                <w:rPr>
                  <w:color w:val="0070C0"/>
                  <w:sz w:val="22"/>
                  <w:szCs w:val="22"/>
                  <w:u w:val="single"/>
                </w:rPr>
                <w:t>Arizona Executive Order</w:t>
              </w:r>
            </w:hyperlink>
            <w:r w:rsidR="00524B3C" w:rsidRPr="0067034D">
              <w:rPr>
                <w:color w:val="0070C0"/>
                <w:sz w:val="22"/>
                <w:szCs w:val="22"/>
              </w:rPr>
              <w:t> </w:t>
            </w:r>
          </w:p>
        </w:tc>
      </w:tr>
      <w:tr w:rsidR="00524B3C" w:rsidRPr="000468BC" w14:paraId="21B384FC" w14:textId="77777777" w:rsidTr="00C83046">
        <w:tc>
          <w:tcPr>
            <w:tcW w:w="1342" w:type="dxa"/>
            <w:tcBorders>
              <w:top w:val="nil"/>
              <w:left w:val="single" w:sz="6" w:space="0" w:color="000000"/>
              <w:bottom w:val="single" w:sz="6" w:space="0" w:color="000000"/>
              <w:right w:val="single" w:sz="6" w:space="0" w:color="000000"/>
            </w:tcBorders>
            <w:shd w:val="clear" w:color="auto" w:fill="auto"/>
            <w:vAlign w:val="center"/>
            <w:hideMark/>
          </w:tcPr>
          <w:p w14:paraId="52B5240E" w14:textId="77777777" w:rsidR="00524B3C" w:rsidRPr="009204B1" w:rsidRDefault="00524B3C" w:rsidP="00C83046">
            <w:pPr>
              <w:jc w:val="center"/>
              <w:textAlignment w:val="baseline"/>
              <w:rPr>
                <w:sz w:val="22"/>
                <w:szCs w:val="22"/>
              </w:rPr>
            </w:pPr>
            <w:r w:rsidRPr="009204B1">
              <w:rPr>
                <w:b/>
                <w:bCs/>
                <w:sz w:val="22"/>
                <w:szCs w:val="22"/>
              </w:rPr>
              <w:t>Austin</w:t>
            </w:r>
            <w:r w:rsidRPr="009204B1">
              <w:rPr>
                <w:sz w:val="22"/>
                <w:szCs w:val="22"/>
              </w:rPr>
              <w:t> </w:t>
            </w:r>
          </w:p>
        </w:tc>
        <w:tc>
          <w:tcPr>
            <w:tcW w:w="1350" w:type="dxa"/>
            <w:tcBorders>
              <w:top w:val="nil"/>
              <w:left w:val="nil"/>
              <w:bottom w:val="single" w:sz="6" w:space="0" w:color="000000"/>
              <w:right w:val="single" w:sz="6" w:space="0" w:color="000000"/>
            </w:tcBorders>
            <w:shd w:val="clear" w:color="auto" w:fill="auto"/>
            <w:vAlign w:val="center"/>
            <w:hideMark/>
          </w:tcPr>
          <w:p w14:paraId="0A34FC10" w14:textId="77777777" w:rsidR="00524B3C" w:rsidRPr="009204B1" w:rsidRDefault="00524B3C" w:rsidP="00C83046">
            <w:pPr>
              <w:jc w:val="center"/>
              <w:textAlignment w:val="baseline"/>
              <w:rPr>
                <w:sz w:val="22"/>
                <w:szCs w:val="22"/>
              </w:rPr>
            </w:pPr>
            <w:r w:rsidRPr="009204B1">
              <w:rPr>
                <w:b/>
                <w:bCs/>
                <w:sz w:val="22"/>
                <w:szCs w:val="22"/>
              </w:rPr>
              <w:t>Texas</w:t>
            </w:r>
            <w:r w:rsidRPr="009204B1">
              <w:rPr>
                <w:sz w:val="22"/>
                <w:szCs w:val="22"/>
              </w:rPr>
              <w:t> </w:t>
            </w:r>
          </w:p>
        </w:tc>
        <w:tc>
          <w:tcPr>
            <w:tcW w:w="6210" w:type="dxa"/>
            <w:tcBorders>
              <w:top w:val="nil"/>
              <w:left w:val="nil"/>
              <w:bottom w:val="single" w:sz="6" w:space="0" w:color="000000"/>
              <w:right w:val="single" w:sz="6" w:space="0" w:color="000000"/>
            </w:tcBorders>
            <w:shd w:val="clear" w:color="auto" w:fill="auto"/>
            <w:vAlign w:val="center"/>
            <w:hideMark/>
          </w:tcPr>
          <w:p w14:paraId="2DB6B686" w14:textId="77777777" w:rsidR="00524B3C" w:rsidRPr="0067034D" w:rsidRDefault="00D462AA" w:rsidP="00C83046">
            <w:pPr>
              <w:textAlignment w:val="baseline"/>
              <w:rPr>
                <w:color w:val="0070C0"/>
                <w:sz w:val="22"/>
                <w:szCs w:val="22"/>
              </w:rPr>
            </w:pPr>
            <w:hyperlink r:id="rId13" w:tgtFrame="_blank" w:history="1">
              <w:r w:rsidR="00524B3C" w:rsidRPr="0067034D">
                <w:rPr>
                  <w:color w:val="0070C0"/>
                  <w:sz w:val="22"/>
                  <w:szCs w:val="22"/>
                  <w:u w:val="single"/>
                </w:rPr>
                <w:t>Interview with Mayor Adler</w:t>
              </w:r>
            </w:hyperlink>
            <w:r w:rsidR="00524B3C" w:rsidRPr="0067034D">
              <w:rPr>
                <w:color w:val="0070C0"/>
                <w:sz w:val="22"/>
                <w:szCs w:val="22"/>
              </w:rPr>
              <w:t> </w:t>
            </w:r>
          </w:p>
          <w:p w14:paraId="5584FBCF" w14:textId="77777777" w:rsidR="00524B3C" w:rsidRPr="0067034D" w:rsidRDefault="00D462AA" w:rsidP="00C83046">
            <w:pPr>
              <w:textAlignment w:val="baseline"/>
              <w:rPr>
                <w:color w:val="0070C0"/>
                <w:sz w:val="22"/>
                <w:szCs w:val="22"/>
              </w:rPr>
            </w:pPr>
            <w:hyperlink r:id="rId14" w:tgtFrame="_blank" w:history="1">
              <w:r w:rsidR="00524B3C" w:rsidRPr="0067034D">
                <w:rPr>
                  <w:color w:val="0070C0"/>
                  <w:sz w:val="22"/>
                  <w:szCs w:val="22"/>
                  <w:u w:val="single"/>
                </w:rPr>
                <w:t>April 13, 2020 Executive Order </w:t>
              </w:r>
            </w:hyperlink>
            <w:r w:rsidR="00524B3C" w:rsidRPr="0067034D">
              <w:rPr>
                <w:color w:val="0070C0"/>
                <w:sz w:val="22"/>
                <w:szCs w:val="22"/>
              </w:rPr>
              <w:t> </w:t>
            </w:r>
          </w:p>
          <w:p w14:paraId="69BD18D3" w14:textId="77777777" w:rsidR="00524B3C" w:rsidRPr="0067034D" w:rsidRDefault="00D462AA" w:rsidP="00C83046">
            <w:pPr>
              <w:textAlignment w:val="baseline"/>
              <w:rPr>
                <w:color w:val="0070C0"/>
                <w:sz w:val="22"/>
                <w:szCs w:val="22"/>
              </w:rPr>
            </w:pPr>
            <w:hyperlink r:id="rId15" w:tgtFrame="_blank" w:history="1">
              <w:r w:rsidR="00524B3C" w:rsidRPr="0067034D">
                <w:rPr>
                  <w:color w:val="0070C0"/>
                  <w:sz w:val="22"/>
                  <w:szCs w:val="22"/>
                  <w:u w:val="single"/>
                </w:rPr>
                <w:t>May 8, 2020 Executive Order </w:t>
              </w:r>
            </w:hyperlink>
            <w:r w:rsidR="00524B3C" w:rsidRPr="0067034D">
              <w:rPr>
                <w:color w:val="0070C0"/>
                <w:sz w:val="22"/>
                <w:szCs w:val="22"/>
              </w:rPr>
              <w:t>   </w:t>
            </w:r>
          </w:p>
        </w:tc>
        <w:tc>
          <w:tcPr>
            <w:tcW w:w="4042" w:type="dxa"/>
            <w:vMerge w:val="restart"/>
            <w:tcBorders>
              <w:top w:val="nil"/>
              <w:left w:val="nil"/>
              <w:bottom w:val="single" w:sz="6" w:space="0" w:color="000000"/>
              <w:right w:val="single" w:sz="6" w:space="0" w:color="000000"/>
            </w:tcBorders>
            <w:shd w:val="clear" w:color="auto" w:fill="auto"/>
            <w:vAlign w:val="center"/>
            <w:hideMark/>
          </w:tcPr>
          <w:p w14:paraId="166E54AF" w14:textId="77777777" w:rsidR="00524B3C" w:rsidRPr="0067034D" w:rsidRDefault="00D462AA" w:rsidP="00C83046">
            <w:pPr>
              <w:textAlignment w:val="baseline"/>
              <w:rPr>
                <w:color w:val="0070C0"/>
                <w:sz w:val="22"/>
                <w:szCs w:val="22"/>
              </w:rPr>
            </w:pPr>
            <w:hyperlink r:id="rId16" w:tgtFrame="_blank" w:history="1">
              <w:r w:rsidR="00524B3C" w:rsidRPr="0067034D">
                <w:rPr>
                  <w:color w:val="0070C0"/>
                  <w:sz w:val="22"/>
                  <w:szCs w:val="22"/>
                  <w:u w:val="single"/>
                </w:rPr>
                <w:t>Texas Executive Order</w:t>
              </w:r>
            </w:hyperlink>
            <w:r w:rsidR="00524B3C" w:rsidRPr="0067034D">
              <w:rPr>
                <w:color w:val="0070C0"/>
                <w:sz w:val="22"/>
                <w:szCs w:val="22"/>
              </w:rPr>
              <w:t> </w:t>
            </w:r>
          </w:p>
        </w:tc>
      </w:tr>
      <w:tr w:rsidR="00524B3C" w:rsidRPr="000468BC" w14:paraId="21424B97" w14:textId="77777777" w:rsidTr="00C83046">
        <w:tc>
          <w:tcPr>
            <w:tcW w:w="1342" w:type="dxa"/>
            <w:tcBorders>
              <w:top w:val="nil"/>
              <w:left w:val="single" w:sz="6" w:space="0" w:color="000000"/>
              <w:bottom w:val="single" w:sz="6" w:space="0" w:color="000000"/>
              <w:right w:val="single" w:sz="6" w:space="0" w:color="000000"/>
            </w:tcBorders>
            <w:shd w:val="clear" w:color="auto" w:fill="auto"/>
            <w:vAlign w:val="center"/>
            <w:hideMark/>
          </w:tcPr>
          <w:p w14:paraId="7F016EFE" w14:textId="77777777" w:rsidR="00524B3C" w:rsidRPr="009204B1" w:rsidRDefault="00524B3C" w:rsidP="00C83046">
            <w:pPr>
              <w:jc w:val="center"/>
              <w:textAlignment w:val="baseline"/>
              <w:rPr>
                <w:sz w:val="22"/>
                <w:szCs w:val="22"/>
              </w:rPr>
            </w:pPr>
            <w:r w:rsidRPr="009204B1">
              <w:rPr>
                <w:b/>
                <w:bCs/>
                <w:sz w:val="22"/>
                <w:szCs w:val="22"/>
              </w:rPr>
              <w:t>Dallas</w:t>
            </w:r>
            <w:r w:rsidRPr="009204B1">
              <w:rPr>
                <w:sz w:val="22"/>
                <w:szCs w:val="22"/>
              </w:rPr>
              <w:t> </w:t>
            </w:r>
          </w:p>
        </w:tc>
        <w:tc>
          <w:tcPr>
            <w:tcW w:w="1350" w:type="dxa"/>
            <w:tcBorders>
              <w:top w:val="nil"/>
              <w:left w:val="nil"/>
              <w:bottom w:val="single" w:sz="6" w:space="0" w:color="000000"/>
              <w:right w:val="single" w:sz="6" w:space="0" w:color="000000"/>
            </w:tcBorders>
            <w:shd w:val="clear" w:color="auto" w:fill="auto"/>
            <w:vAlign w:val="center"/>
            <w:hideMark/>
          </w:tcPr>
          <w:p w14:paraId="750BEFFF" w14:textId="77777777" w:rsidR="00524B3C" w:rsidRPr="009204B1" w:rsidRDefault="00524B3C" w:rsidP="00C83046">
            <w:pPr>
              <w:jc w:val="center"/>
              <w:textAlignment w:val="baseline"/>
              <w:rPr>
                <w:sz w:val="22"/>
                <w:szCs w:val="22"/>
              </w:rPr>
            </w:pPr>
            <w:r w:rsidRPr="009204B1">
              <w:rPr>
                <w:b/>
                <w:bCs/>
                <w:sz w:val="22"/>
                <w:szCs w:val="22"/>
              </w:rPr>
              <w:t>Texas</w:t>
            </w:r>
            <w:r w:rsidRPr="009204B1">
              <w:rPr>
                <w:sz w:val="22"/>
                <w:szCs w:val="22"/>
              </w:rPr>
              <w:t> </w:t>
            </w:r>
          </w:p>
        </w:tc>
        <w:tc>
          <w:tcPr>
            <w:tcW w:w="6210" w:type="dxa"/>
            <w:tcBorders>
              <w:top w:val="nil"/>
              <w:left w:val="nil"/>
              <w:bottom w:val="single" w:sz="6" w:space="0" w:color="000000"/>
              <w:right w:val="single" w:sz="6" w:space="0" w:color="000000"/>
            </w:tcBorders>
            <w:shd w:val="clear" w:color="auto" w:fill="auto"/>
            <w:vAlign w:val="center"/>
            <w:hideMark/>
          </w:tcPr>
          <w:p w14:paraId="6602EEDD" w14:textId="77777777" w:rsidR="00524B3C" w:rsidRPr="0067034D" w:rsidRDefault="00D462AA" w:rsidP="00C83046">
            <w:pPr>
              <w:textAlignment w:val="baseline"/>
              <w:rPr>
                <w:color w:val="0070C0"/>
                <w:sz w:val="22"/>
                <w:szCs w:val="22"/>
              </w:rPr>
            </w:pPr>
            <w:hyperlink r:id="rId17" w:tgtFrame="_blank" w:history="1">
              <w:r w:rsidR="00524B3C" w:rsidRPr="0067034D">
                <w:rPr>
                  <w:color w:val="0070C0"/>
                  <w:sz w:val="22"/>
                  <w:szCs w:val="22"/>
                  <w:u w:val="single"/>
                </w:rPr>
                <w:t>Letter to Honorable Clay Jenkins of Dallas County</w:t>
              </w:r>
            </w:hyperlink>
            <w:r w:rsidR="00524B3C" w:rsidRPr="0067034D">
              <w:rPr>
                <w:color w:val="0070C0"/>
                <w:sz w:val="22"/>
                <w:szCs w:val="22"/>
              </w:rPr>
              <w:t> </w:t>
            </w:r>
          </w:p>
          <w:p w14:paraId="19927D6A" w14:textId="77777777" w:rsidR="00524B3C" w:rsidRPr="0067034D" w:rsidRDefault="00D462AA" w:rsidP="00C83046">
            <w:pPr>
              <w:textAlignment w:val="baseline"/>
              <w:rPr>
                <w:color w:val="0070C0"/>
                <w:sz w:val="22"/>
                <w:szCs w:val="22"/>
              </w:rPr>
            </w:pPr>
            <w:hyperlink r:id="rId18" w:tgtFrame="_blank" w:history="1">
              <w:r w:rsidR="00524B3C" w:rsidRPr="0067034D">
                <w:rPr>
                  <w:color w:val="0070C0"/>
                  <w:sz w:val="22"/>
                  <w:szCs w:val="22"/>
                  <w:u w:val="single"/>
                </w:rPr>
                <w:t>Dallas County April 23, 2020 Executive Order </w:t>
              </w:r>
            </w:hyperlink>
            <w:r w:rsidR="00524B3C" w:rsidRPr="0067034D">
              <w:rPr>
                <w:color w:val="0070C0"/>
                <w:sz w:val="22"/>
                <w:szCs w:val="22"/>
              </w:rPr>
              <w:t>  </w:t>
            </w:r>
          </w:p>
          <w:p w14:paraId="23E1F8EB" w14:textId="77777777" w:rsidR="00524B3C" w:rsidRPr="0067034D" w:rsidRDefault="00D462AA" w:rsidP="00C83046">
            <w:pPr>
              <w:textAlignment w:val="baseline"/>
              <w:rPr>
                <w:color w:val="0070C0"/>
                <w:sz w:val="22"/>
                <w:szCs w:val="22"/>
              </w:rPr>
            </w:pPr>
            <w:hyperlink r:id="rId19" w:tgtFrame="_blank" w:history="1">
              <w:r w:rsidR="00524B3C" w:rsidRPr="0067034D">
                <w:rPr>
                  <w:color w:val="0070C0"/>
                  <w:sz w:val="22"/>
                  <w:szCs w:val="22"/>
                  <w:u w:val="single"/>
                </w:rPr>
                <w:t>Dallas County May 4, 2020 Executive Order</w:t>
              </w:r>
            </w:hyperlink>
            <w:r w:rsidR="00524B3C" w:rsidRPr="0067034D">
              <w:rPr>
                <w:color w:val="0070C0"/>
                <w:sz w:val="22"/>
                <w:szCs w:val="22"/>
              </w:rPr>
              <w:t>  </w:t>
            </w:r>
          </w:p>
        </w:tc>
        <w:tc>
          <w:tcPr>
            <w:tcW w:w="4042" w:type="dxa"/>
            <w:vMerge/>
            <w:tcBorders>
              <w:top w:val="nil"/>
              <w:left w:val="nil"/>
              <w:bottom w:val="single" w:sz="6" w:space="0" w:color="000000"/>
              <w:right w:val="single" w:sz="6" w:space="0" w:color="000000"/>
            </w:tcBorders>
            <w:shd w:val="clear" w:color="auto" w:fill="auto"/>
            <w:vAlign w:val="center"/>
            <w:hideMark/>
          </w:tcPr>
          <w:p w14:paraId="2F1705B2" w14:textId="77777777" w:rsidR="00524B3C" w:rsidRPr="0067034D" w:rsidRDefault="00524B3C" w:rsidP="00C83046">
            <w:pPr>
              <w:rPr>
                <w:color w:val="0070C0"/>
                <w:sz w:val="22"/>
                <w:szCs w:val="22"/>
              </w:rPr>
            </w:pPr>
          </w:p>
        </w:tc>
      </w:tr>
      <w:tr w:rsidR="00524B3C" w:rsidRPr="000468BC" w14:paraId="5825C337" w14:textId="77777777" w:rsidTr="00C83046">
        <w:tc>
          <w:tcPr>
            <w:tcW w:w="1342" w:type="dxa"/>
            <w:tcBorders>
              <w:top w:val="nil"/>
              <w:left w:val="single" w:sz="6" w:space="0" w:color="000000"/>
              <w:bottom w:val="single" w:sz="6" w:space="0" w:color="000000"/>
              <w:right w:val="single" w:sz="6" w:space="0" w:color="000000"/>
            </w:tcBorders>
            <w:shd w:val="clear" w:color="auto" w:fill="auto"/>
            <w:vAlign w:val="center"/>
            <w:hideMark/>
          </w:tcPr>
          <w:p w14:paraId="075AB61A" w14:textId="77777777" w:rsidR="00524B3C" w:rsidRPr="009204B1" w:rsidRDefault="00524B3C" w:rsidP="00C83046">
            <w:pPr>
              <w:jc w:val="center"/>
              <w:textAlignment w:val="baseline"/>
              <w:rPr>
                <w:sz w:val="22"/>
                <w:szCs w:val="22"/>
              </w:rPr>
            </w:pPr>
            <w:r w:rsidRPr="009204B1">
              <w:rPr>
                <w:b/>
                <w:bCs/>
                <w:sz w:val="22"/>
                <w:szCs w:val="22"/>
              </w:rPr>
              <w:t>San Antonio</w:t>
            </w:r>
            <w:r w:rsidRPr="009204B1">
              <w:rPr>
                <w:sz w:val="22"/>
                <w:szCs w:val="22"/>
              </w:rPr>
              <w:t> </w:t>
            </w:r>
          </w:p>
        </w:tc>
        <w:tc>
          <w:tcPr>
            <w:tcW w:w="1350" w:type="dxa"/>
            <w:tcBorders>
              <w:top w:val="nil"/>
              <w:left w:val="nil"/>
              <w:bottom w:val="single" w:sz="6" w:space="0" w:color="000000"/>
              <w:right w:val="single" w:sz="6" w:space="0" w:color="000000"/>
            </w:tcBorders>
            <w:shd w:val="clear" w:color="auto" w:fill="auto"/>
            <w:vAlign w:val="center"/>
            <w:hideMark/>
          </w:tcPr>
          <w:p w14:paraId="3E08B98B" w14:textId="77777777" w:rsidR="00524B3C" w:rsidRPr="009204B1" w:rsidRDefault="00524B3C" w:rsidP="00C83046">
            <w:pPr>
              <w:jc w:val="center"/>
              <w:textAlignment w:val="baseline"/>
              <w:rPr>
                <w:sz w:val="22"/>
                <w:szCs w:val="22"/>
              </w:rPr>
            </w:pPr>
            <w:r w:rsidRPr="009204B1">
              <w:rPr>
                <w:b/>
                <w:bCs/>
                <w:sz w:val="22"/>
                <w:szCs w:val="22"/>
              </w:rPr>
              <w:t>Texas</w:t>
            </w:r>
            <w:r w:rsidRPr="009204B1">
              <w:rPr>
                <w:sz w:val="22"/>
                <w:szCs w:val="22"/>
              </w:rPr>
              <w:t> </w:t>
            </w:r>
          </w:p>
        </w:tc>
        <w:tc>
          <w:tcPr>
            <w:tcW w:w="6210" w:type="dxa"/>
            <w:tcBorders>
              <w:top w:val="nil"/>
              <w:left w:val="nil"/>
              <w:bottom w:val="single" w:sz="6" w:space="0" w:color="000000"/>
              <w:right w:val="single" w:sz="6" w:space="0" w:color="000000"/>
            </w:tcBorders>
            <w:shd w:val="clear" w:color="auto" w:fill="auto"/>
            <w:vAlign w:val="center"/>
            <w:hideMark/>
          </w:tcPr>
          <w:p w14:paraId="6FC2E8E1" w14:textId="77777777" w:rsidR="00524B3C" w:rsidRPr="0067034D" w:rsidRDefault="00D462AA" w:rsidP="00C83046">
            <w:pPr>
              <w:textAlignment w:val="baseline"/>
              <w:rPr>
                <w:color w:val="0070C0"/>
                <w:sz w:val="22"/>
                <w:szCs w:val="22"/>
              </w:rPr>
            </w:pPr>
            <w:hyperlink r:id="rId20" w:tgtFrame="_blank" w:history="1">
              <w:r w:rsidR="00524B3C" w:rsidRPr="0067034D">
                <w:rPr>
                  <w:color w:val="0070C0"/>
                  <w:sz w:val="22"/>
                  <w:szCs w:val="22"/>
                  <w:u w:val="single"/>
                </w:rPr>
                <w:t>Texas City and County Leaders ask Gov Greg Abbott for authority to implement local stay-at-home orders</w:t>
              </w:r>
            </w:hyperlink>
            <w:r w:rsidR="00524B3C" w:rsidRPr="0067034D">
              <w:rPr>
                <w:color w:val="0070C0"/>
                <w:sz w:val="22"/>
                <w:szCs w:val="22"/>
              </w:rPr>
              <w:t>  </w:t>
            </w:r>
          </w:p>
          <w:p w14:paraId="236CE259" w14:textId="77777777" w:rsidR="00524B3C" w:rsidRPr="0067034D" w:rsidRDefault="00D462AA" w:rsidP="00C83046">
            <w:pPr>
              <w:textAlignment w:val="baseline"/>
              <w:rPr>
                <w:color w:val="0070C0"/>
                <w:sz w:val="22"/>
                <w:szCs w:val="22"/>
              </w:rPr>
            </w:pPr>
            <w:hyperlink r:id="rId21" w:tgtFrame="_blank" w:history="1">
              <w:r w:rsidR="00524B3C" w:rsidRPr="0067034D">
                <w:rPr>
                  <w:color w:val="0070C0"/>
                  <w:sz w:val="22"/>
                  <w:szCs w:val="22"/>
                  <w:u w:val="single"/>
                </w:rPr>
                <w:t>Executive Order NW-05 OF County Judge Nelson W. Wolff, Issued April 6, 2020 (bexar.org)</w:t>
              </w:r>
            </w:hyperlink>
            <w:r w:rsidR="00524B3C" w:rsidRPr="0067034D">
              <w:rPr>
                <w:color w:val="0070C0"/>
                <w:sz w:val="22"/>
                <w:szCs w:val="22"/>
              </w:rPr>
              <w:t> </w:t>
            </w:r>
          </w:p>
          <w:p w14:paraId="2334254F" w14:textId="77777777" w:rsidR="00524B3C" w:rsidRPr="0067034D" w:rsidRDefault="00D462AA" w:rsidP="00C83046">
            <w:pPr>
              <w:textAlignment w:val="baseline"/>
              <w:rPr>
                <w:color w:val="0070C0"/>
                <w:sz w:val="22"/>
                <w:szCs w:val="22"/>
              </w:rPr>
            </w:pPr>
            <w:hyperlink r:id="rId22" w:tgtFrame="_blank" w:history="1">
              <w:r w:rsidR="00524B3C" w:rsidRPr="0067034D">
                <w:rPr>
                  <w:color w:val="0070C0"/>
                  <w:sz w:val="22"/>
                  <w:szCs w:val="22"/>
                  <w:u w:val="single"/>
                </w:rPr>
                <w:t>Executive Order NW-07 OF County Judge Nelson W. Wolff Issued April 29, 2020 (bexar.org)</w:t>
              </w:r>
            </w:hyperlink>
            <w:r w:rsidR="00524B3C" w:rsidRPr="0067034D">
              <w:rPr>
                <w:color w:val="0070C0"/>
                <w:sz w:val="22"/>
                <w:szCs w:val="22"/>
              </w:rPr>
              <w:t>  </w:t>
            </w:r>
          </w:p>
        </w:tc>
        <w:tc>
          <w:tcPr>
            <w:tcW w:w="4042" w:type="dxa"/>
            <w:vMerge/>
            <w:tcBorders>
              <w:top w:val="nil"/>
              <w:left w:val="nil"/>
              <w:bottom w:val="single" w:sz="6" w:space="0" w:color="000000"/>
              <w:right w:val="single" w:sz="6" w:space="0" w:color="000000"/>
            </w:tcBorders>
            <w:shd w:val="clear" w:color="auto" w:fill="auto"/>
            <w:vAlign w:val="center"/>
            <w:hideMark/>
          </w:tcPr>
          <w:p w14:paraId="22880B49" w14:textId="77777777" w:rsidR="00524B3C" w:rsidRPr="0067034D" w:rsidRDefault="00524B3C" w:rsidP="00C83046">
            <w:pPr>
              <w:rPr>
                <w:color w:val="0070C0"/>
                <w:sz w:val="22"/>
                <w:szCs w:val="22"/>
              </w:rPr>
            </w:pPr>
          </w:p>
        </w:tc>
      </w:tr>
      <w:tr w:rsidR="00524B3C" w:rsidRPr="000468BC" w14:paraId="1D27B243" w14:textId="77777777" w:rsidTr="00C83046">
        <w:tc>
          <w:tcPr>
            <w:tcW w:w="1342" w:type="dxa"/>
            <w:tcBorders>
              <w:top w:val="nil"/>
              <w:left w:val="single" w:sz="6" w:space="0" w:color="000000"/>
              <w:bottom w:val="single" w:sz="6" w:space="0" w:color="000000"/>
              <w:right w:val="single" w:sz="6" w:space="0" w:color="000000"/>
            </w:tcBorders>
            <w:shd w:val="clear" w:color="auto" w:fill="auto"/>
            <w:vAlign w:val="center"/>
            <w:hideMark/>
          </w:tcPr>
          <w:p w14:paraId="3BBEEAB3" w14:textId="77777777" w:rsidR="00524B3C" w:rsidRPr="009204B1" w:rsidRDefault="00524B3C" w:rsidP="00C83046">
            <w:pPr>
              <w:jc w:val="center"/>
              <w:textAlignment w:val="baseline"/>
              <w:rPr>
                <w:sz w:val="22"/>
                <w:szCs w:val="22"/>
              </w:rPr>
            </w:pPr>
            <w:r w:rsidRPr="009204B1">
              <w:rPr>
                <w:b/>
                <w:bCs/>
                <w:sz w:val="22"/>
                <w:szCs w:val="22"/>
              </w:rPr>
              <w:t>Houston</w:t>
            </w:r>
            <w:r w:rsidRPr="009204B1">
              <w:rPr>
                <w:sz w:val="22"/>
                <w:szCs w:val="22"/>
              </w:rPr>
              <w:t> </w:t>
            </w:r>
          </w:p>
        </w:tc>
        <w:tc>
          <w:tcPr>
            <w:tcW w:w="1350" w:type="dxa"/>
            <w:tcBorders>
              <w:top w:val="nil"/>
              <w:left w:val="nil"/>
              <w:bottom w:val="single" w:sz="6" w:space="0" w:color="000000"/>
              <w:right w:val="single" w:sz="6" w:space="0" w:color="000000"/>
            </w:tcBorders>
            <w:shd w:val="clear" w:color="auto" w:fill="auto"/>
            <w:vAlign w:val="center"/>
            <w:hideMark/>
          </w:tcPr>
          <w:p w14:paraId="263EA713" w14:textId="77777777" w:rsidR="00524B3C" w:rsidRPr="009204B1" w:rsidRDefault="00524B3C" w:rsidP="00C83046">
            <w:pPr>
              <w:jc w:val="center"/>
              <w:textAlignment w:val="baseline"/>
              <w:rPr>
                <w:sz w:val="22"/>
                <w:szCs w:val="22"/>
              </w:rPr>
            </w:pPr>
            <w:r w:rsidRPr="009204B1">
              <w:rPr>
                <w:b/>
                <w:bCs/>
                <w:sz w:val="22"/>
                <w:szCs w:val="22"/>
              </w:rPr>
              <w:t>Texas</w:t>
            </w:r>
            <w:r w:rsidRPr="009204B1">
              <w:rPr>
                <w:sz w:val="22"/>
                <w:szCs w:val="22"/>
              </w:rPr>
              <w:t> </w:t>
            </w:r>
          </w:p>
        </w:tc>
        <w:tc>
          <w:tcPr>
            <w:tcW w:w="6210" w:type="dxa"/>
            <w:tcBorders>
              <w:top w:val="nil"/>
              <w:left w:val="nil"/>
              <w:bottom w:val="single" w:sz="6" w:space="0" w:color="000000"/>
              <w:right w:val="single" w:sz="6" w:space="0" w:color="000000"/>
            </w:tcBorders>
            <w:shd w:val="clear" w:color="auto" w:fill="auto"/>
            <w:vAlign w:val="center"/>
            <w:hideMark/>
          </w:tcPr>
          <w:p w14:paraId="4C9C59C5" w14:textId="77777777" w:rsidR="00524B3C" w:rsidRPr="0067034D" w:rsidRDefault="00D462AA" w:rsidP="00C83046">
            <w:pPr>
              <w:textAlignment w:val="baseline"/>
              <w:rPr>
                <w:color w:val="0070C0"/>
                <w:sz w:val="22"/>
                <w:szCs w:val="22"/>
              </w:rPr>
            </w:pPr>
            <w:hyperlink r:id="rId23" w:tgtFrame="_blank" w:history="1">
              <w:r w:rsidR="00524B3C" w:rsidRPr="0067034D">
                <w:rPr>
                  <w:color w:val="0070C0"/>
                  <w:sz w:val="22"/>
                  <w:szCs w:val="22"/>
                  <w:u w:val="single"/>
                </w:rPr>
                <w:t>Mayor Turner's letter to Governor Abbott</w:t>
              </w:r>
            </w:hyperlink>
            <w:r w:rsidR="00524B3C" w:rsidRPr="0067034D">
              <w:rPr>
                <w:color w:val="0070C0"/>
                <w:sz w:val="22"/>
                <w:szCs w:val="22"/>
              </w:rPr>
              <w:t> </w:t>
            </w:r>
          </w:p>
          <w:p w14:paraId="252CBA8D" w14:textId="77777777" w:rsidR="00524B3C" w:rsidRPr="0067034D" w:rsidRDefault="00D462AA" w:rsidP="00C83046">
            <w:pPr>
              <w:textAlignment w:val="baseline"/>
              <w:rPr>
                <w:color w:val="0070C0"/>
                <w:sz w:val="22"/>
                <w:szCs w:val="22"/>
              </w:rPr>
            </w:pPr>
            <w:hyperlink r:id="rId24" w:tgtFrame="_blank" w:history="1">
              <w:r w:rsidR="00524B3C" w:rsidRPr="0067034D">
                <w:rPr>
                  <w:color w:val="0070C0"/>
                  <w:sz w:val="22"/>
                  <w:szCs w:val="22"/>
                  <w:u w:val="single"/>
                </w:rPr>
                <w:t>Harris County April 4, 2020 Executive Order</w:t>
              </w:r>
            </w:hyperlink>
            <w:r w:rsidR="00524B3C" w:rsidRPr="0067034D">
              <w:rPr>
                <w:color w:val="0070C0"/>
                <w:sz w:val="22"/>
                <w:szCs w:val="22"/>
                <w:u w:val="single"/>
              </w:rPr>
              <w:t> </w:t>
            </w:r>
            <w:r w:rsidR="00524B3C" w:rsidRPr="0067034D">
              <w:rPr>
                <w:color w:val="0070C0"/>
                <w:sz w:val="22"/>
                <w:szCs w:val="22"/>
              </w:rPr>
              <w:t> </w:t>
            </w:r>
          </w:p>
          <w:p w14:paraId="3FFD80D9" w14:textId="77777777" w:rsidR="00524B3C" w:rsidRPr="0067034D" w:rsidRDefault="00D462AA" w:rsidP="00C83046">
            <w:pPr>
              <w:textAlignment w:val="baseline"/>
              <w:rPr>
                <w:color w:val="0070C0"/>
                <w:sz w:val="22"/>
                <w:szCs w:val="22"/>
              </w:rPr>
            </w:pPr>
            <w:hyperlink r:id="rId25" w:tgtFrame="_blank" w:history="1">
              <w:r w:rsidR="00524B3C" w:rsidRPr="0067034D">
                <w:rPr>
                  <w:color w:val="0070C0"/>
                  <w:sz w:val="22"/>
                  <w:szCs w:val="22"/>
                  <w:u w:val="single"/>
                </w:rPr>
                <w:t>Harris County May 1, 2020 Executive Order </w:t>
              </w:r>
            </w:hyperlink>
            <w:r w:rsidR="00524B3C" w:rsidRPr="0067034D">
              <w:rPr>
                <w:color w:val="0070C0"/>
                <w:sz w:val="22"/>
                <w:szCs w:val="22"/>
                <w:u w:val="single"/>
              </w:rPr>
              <w:t> v/2020/20200501Order.pdf</w:t>
            </w:r>
            <w:r w:rsidR="00524B3C" w:rsidRPr="0067034D">
              <w:rPr>
                <w:color w:val="0070C0"/>
                <w:sz w:val="22"/>
                <w:szCs w:val="22"/>
              </w:rPr>
              <w:t> </w:t>
            </w:r>
          </w:p>
        </w:tc>
        <w:tc>
          <w:tcPr>
            <w:tcW w:w="4042" w:type="dxa"/>
            <w:vMerge/>
            <w:tcBorders>
              <w:top w:val="nil"/>
              <w:left w:val="nil"/>
              <w:bottom w:val="single" w:sz="6" w:space="0" w:color="000000"/>
              <w:right w:val="single" w:sz="6" w:space="0" w:color="000000"/>
            </w:tcBorders>
            <w:shd w:val="clear" w:color="auto" w:fill="auto"/>
            <w:vAlign w:val="center"/>
            <w:hideMark/>
          </w:tcPr>
          <w:p w14:paraId="7B44E590" w14:textId="77777777" w:rsidR="00524B3C" w:rsidRPr="0067034D" w:rsidRDefault="00524B3C" w:rsidP="00C83046">
            <w:pPr>
              <w:rPr>
                <w:color w:val="0070C0"/>
                <w:sz w:val="22"/>
                <w:szCs w:val="22"/>
              </w:rPr>
            </w:pPr>
          </w:p>
        </w:tc>
      </w:tr>
      <w:tr w:rsidR="00524B3C" w:rsidRPr="000468BC" w14:paraId="328B43FE" w14:textId="77777777" w:rsidTr="00C83046">
        <w:tc>
          <w:tcPr>
            <w:tcW w:w="1342" w:type="dxa"/>
            <w:tcBorders>
              <w:top w:val="nil"/>
              <w:left w:val="single" w:sz="6" w:space="0" w:color="000000"/>
              <w:bottom w:val="single" w:sz="6" w:space="0" w:color="000000"/>
              <w:right w:val="single" w:sz="6" w:space="0" w:color="000000"/>
            </w:tcBorders>
            <w:shd w:val="clear" w:color="auto" w:fill="auto"/>
            <w:vAlign w:val="center"/>
            <w:hideMark/>
          </w:tcPr>
          <w:p w14:paraId="16EE6C04" w14:textId="77777777" w:rsidR="00524B3C" w:rsidRPr="009204B1" w:rsidRDefault="00524B3C" w:rsidP="00C83046">
            <w:pPr>
              <w:jc w:val="center"/>
              <w:textAlignment w:val="baseline"/>
              <w:rPr>
                <w:sz w:val="22"/>
                <w:szCs w:val="22"/>
              </w:rPr>
            </w:pPr>
            <w:r w:rsidRPr="009204B1">
              <w:rPr>
                <w:b/>
                <w:bCs/>
                <w:sz w:val="22"/>
                <w:szCs w:val="22"/>
              </w:rPr>
              <w:t>Atlanta</w:t>
            </w:r>
            <w:r w:rsidRPr="009204B1">
              <w:rPr>
                <w:sz w:val="22"/>
                <w:szCs w:val="22"/>
              </w:rPr>
              <w:t> </w:t>
            </w:r>
          </w:p>
        </w:tc>
        <w:tc>
          <w:tcPr>
            <w:tcW w:w="1350" w:type="dxa"/>
            <w:tcBorders>
              <w:top w:val="nil"/>
              <w:left w:val="nil"/>
              <w:bottom w:val="single" w:sz="6" w:space="0" w:color="000000"/>
              <w:right w:val="single" w:sz="6" w:space="0" w:color="000000"/>
            </w:tcBorders>
            <w:shd w:val="clear" w:color="auto" w:fill="auto"/>
            <w:vAlign w:val="center"/>
            <w:hideMark/>
          </w:tcPr>
          <w:p w14:paraId="53B2875B" w14:textId="77777777" w:rsidR="00524B3C" w:rsidRPr="009204B1" w:rsidRDefault="00524B3C" w:rsidP="00C83046">
            <w:pPr>
              <w:jc w:val="center"/>
              <w:textAlignment w:val="baseline"/>
              <w:rPr>
                <w:sz w:val="22"/>
                <w:szCs w:val="22"/>
              </w:rPr>
            </w:pPr>
            <w:r w:rsidRPr="009204B1">
              <w:rPr>
                <w:b/>
                <w:bCs/>
                <w:sz w:val="22"/>
                <w:szCs w:val="22"/>
              </w:rPr>
              <w:t>Georgia</w:t>
            </w:r>
            <w:r w:rsidRPr="009204B1">
              <w:rPr>
                <w:sz w:val="22"/>
                <w:szCs w:val="22"/>
              </w:rPr>
              <w:t> </w:t>
            </w:r>
          </w:p>
        </w:tc>
        <w:tc>
          <w:tcPr>
            <w:tcW w:w="6210" w:type="dxa"/>
            <w:tcBorders>
              <w:top w:val="nil"/>
              <w:left w:val="nil"/>
              <w:bottom w:val="single" w:sz="6" w:space="0" w:color="000000"/>
              <w:right w:val="single" w:sz="6" w:space="0" w:color="000000"/>
            </w:tcBorders>
            <w:shd w:val="clear" w:color="auto" w:fill="auto"/>
            <w:vAlign w:val="center"/>
            <w:hideMark/>
          </w:tcPr>
          <w:p w14:paraId="02FF86DA" w14:textId="77777777" w:rsidR="00524B3C" w:rsidRPr="0067034D" w:rsidRDefault="00D462AA" w:rsidP="00C83046">
            <w:pPr>
              <w:textAlignment w:val="baseline"/>
              <w:rPr>
                <w:color w:val="0070C0"/>
                <w:sz w:val="22"/>
                <w:szCs w:val="22"/>
              </w:rPr>
            </w:pPr>
            <w:hyperlink r:id="rId26" w:history="1">
              <w:r w:rsidR="00524B3C" w:rsidRPr="0067034D">
                <w:rPr>
                  <w:rStyle w:val="Hyperlink"/>
                  <w:sz w:val="22"/>
                  <w:szCs w:val="22"/>
                </w:rPr>
                <w:t xml:space="preserve">Atlanta </w:t>
              </w:r>
              <w:proofErr w:type="gramStart"/>
              <w:r w:rsidR="00524B3C" w:rsidRPr="0067034D">
                <w:rPr>
                  <w:rStyle w:val="Hyperlink"/>
                  <w:sz w:val="22"/>
                  <w:szCs w:val="22"/>
                </w:rPr>
                <w:t>Isn't</w:t>
              </w:r>
              <w:proofErr w:type="gramEnd"/>
              <w:r w:rsidR="00524B3C" w:rsidRPr="0067034D">
                <w:rPr>
                  <w:rStyle w:val="Hyperlink"/>
                  <w:sz w:val="22"/>
                  <w:szCs w:val="22"/>
                </w:rPr>
                <w:t xml:space="preserve"> Ready to Reopen-And Neither is Georgia-Keisha Lance Bottoms in The Atlantic</w:t>
              </w:r>
            </w:hyperlink>
          </w:p>
        </w:tc>
        <w:tc>
          <w:tcPr>
            <w:tcW w:w="4042" w:type="dxa"/>
            <w:tcBorders>
              <w:top w:val="nil"/>
              <w:left w:val="nil"/>
              <w:bottom w:val="single" w:sz="6" w:space="0" w:color="000000"/>
              <w:right w:val="single" w:sz="6" w:space="0" w:color="000000"/>
            </w:tcBorders>
            <w:shd w:val="clear" w:color="auto" w:fill="auto"/>
            <w:vAlign w:val="center"/>
            <w:hideMark/>
          </w:tcPr>
          <w:p w14:paraId="1FE5160A" w14:textId="77777777" w:rsidR="00524B3C" w:rsidRPr="0067034D" w:rsidRDefault="00D462AA" w:rsidP="00C83046">
            <w:pPr>
              <w:textAlignment w:val="baseline"/>
              <w:rPr>
                <w:color w:val="0070C0"/>
                <w:sz w:val="22"/>
                <w:szCs w:val="22"/>
              </w:rPr>
            </w:pPr>
            <w:hyperlink r:id="rId27" w:tgtFrame="_blank" w:history="1">
              <w:r w:rsidR="00524B3C" w:rsidRPr="0067034D">
                <w:rPr>
                  <w:color w:val="0070C0"/>
                  <w:sz w:val="22"/>
                  <w:szCs w:val="22"/>
                  <w:u w:val="single"/>
                </w:rPr>
                <w:t>2020 Executive Orders | Governor Brian P. Kemp Office of the Governor (georgia.gov)</w:t>
              </w:r>
            </w:hyperlink>
            <w:r w:rsidR="00524B3C" w:rsidRPr="0067034D">
              <w:rPr>
                <w:color w:val="0070C0"/>
                <w:sz w:val="22"/>
                <w:szCs w:val="22"/>
              </w:rPr>
              <w:t> (See Executive Order 7/15/20 </w:t>
            </w:r>
            <w:proofErr w:type="spellStart"/>
            <w:r w:rsidR="00524B3C" w:rsidRPr="0067034D">
              <w:rPr>
                <w:color w:val="0070C0"/>
                <w:sz w:val="22"/>
                <w:szCs w:val="22"/>
              </w:rPr>
              <w:t>Pg</w:t>
            </w:r>
            <w:proofErr w:type="spellEnd"/>
            <w:r w:rsidR="00524B3C" w:rsidRPr="0067034D">
              <w:rPr>
                <w:color w:val="0070C0"/>
                <w:sz w:val="22"/>
                <w:szCs w:val="22"/>
              </w:rPr>
              <w:t> 32)  </w:t>
            </w:r>
          </w:p>
        </w:tc>
      </w:tr>
      <w:tr w:rsidR="00524B3C" w:rsidRPr="000468BC" w14:paraId="14DD1EA2" w14:textId="77777777" w:rsidTr="00C83046">
        <w:tc>
          <w:tcPr>
            <w:tcW w:w="1342" w:type="dxa"/>
            <w:tcBorders>
              <w:top w:val="nil"/>
              <w:left w:val="single" w:sz="6" w:space="0" w:color="000000"/>
              <w:bottom w:val="single" w:sz="6" w:space="0" w:color="000000"/>
              <w:right w:val="single" w:sz="6" w:space="0" w:color="000000"/>
            </w:tcBorders>
            <w:shd w:val="clear" w:color="auto" w:fill="auto"/>
            <w:vAlign w:val="center"/>
            <w:hideMark/>
          </w:tcPr>
          <w:p w14:paraId="23BC4742" w14:textId="77777777" w:rsidR="00524B3C" w:rsidRPr="009204B1" w:rsidRDefault="00524B3C" w:rsidP="00C83046">
            <w:pPr>
              <w:jc w:val="center"/>
              <w:textAlignment w:val="baseline"/>
              <w:rPr>
                <w:sz w:val="22"/>
                <w:szCs w:val="22"/>
              </w:rPr>
            </w:pPr>
            <w:r w:rsidRPr="009204B1">
              <w:rPr>
                <w:b/>
                <w:bCs/>
                <w:sz w:val="22"/>
                <w:szCs w:val="22"/>
              </w:rPr>
              <w:t>Charleston</w:t>
            </w:r>
            <w:r w:rsidRPr="009204B1">
              <w:rPr>
                <w:sz w:val="22"/>
                <w:szCs w:val="22"/>
              </w:rPr>
              <w:t> </w:t>
            </w:r>
          </w:p>
        </w:tc>
        <w:tc>
          <w:tcPr>
            <w:tcW w:w="1350" w:type="dxa"/>
            <w:tcBorders>
              <w:top w:val="nil"/>
              <w:left w:val="nil"/>
              <w:bottom w:val="single" w:sz="6" w:space="0" w:color="000000"/>
              <w:right w:val="single" w:sz="6" w:space="0" w:color="000000"/>
            </w:tcBorders>
            <w:shd w:val="clear" w:color="auto" w:fill="auto"/>
            <w:vAlign w:val="center"/>
            <w:hideMark/>
          </w:tcPr>
          <w:p w14:paraId="09067C9B" w14:textId="77777777" w:rsidR="00524B3C" w:rsidRPr="009204B1" w:rsidRDefault="00524B3C" w:rsidP="00C83046">
            <w:pPr>
              <w:jc w:val="center"/>
              <w:textAlignment w:val="baseline"/>
              <w:rPr>
                <w:sz w:val="22"/>
                <w:szCs w:val="22"/>
              </w:rPr>
            </w:pPr>
            <w:r w:rsidRPr="009204B1">
              <w:rPr>
                <w:b/>
                <w:bCs/>
                <w:sz w:val="22"/>
                <w:szCs w:val="22"/>
              </w:rPr>
              <w:t>South Carolina</w:t>
            </w:r>
            <w:r w:rsidRPr="009204B1">
              <w:rPr>
                <w:sz w:val="22"/>
                <w:szCs w:val="22"/>
              </w:rPr>
              <w:t> </w:t>
            </w:r>
          </w:p>
        </w:tc>
        <w:tc>
          <w:tcPr>
            <w:tcW w:w="6210" w:type="dxa"/>
            <w:tcBorders>
              <w:top w:val="nil"/>
              <w:left w:val="nil"/>
              <w:bottom w:val="single" w:sz="6" w:space="0" w:color="000000"/>
              <w:right w:val="single" w:sz="6" w:space="0" w:color="000000"/>
            </w:tcBorders>
            <w:shd w:val="clear" w:color="auto" w:fill="auto"/>
            <w:vAlign w:val="center"/>
            <w:hideMark/>
          </w:tcPr>
          <w:p w14:paraId="58E700AD" w14:textId="77777777" w:rsidR="00524B3C" w:rsidRPr="0067034D" w:rsidRDefault="00D462AA" w:rsidP="00C83046">
            <w:pPr>
              <w:textAlignment w:val="baseline"/>
              <w:rPr>
                <w:color w:val="0070C0"/>
                <w:sz w:val="22"/>
                <w:szCs w:val="22"/>
              </w:rPr>
            </w:pPr>
            <w:hyperlink r:id="rId28" w:tgtFrame="_blank" w:history="1">
              <w:r w:rsidR="00524B3C" w:rsidRPr="0067034D">
                <w:rPr>
                  <w:color w:val="0070C0"/>
                  <w:sz w:val="22"/>
                  <w:szCs w:val="22"/>
                  <w:u w:val="single"/>
                </w:rPr>
                <w:t>2020-070-Emergency-Ordinance---Stay-at-Home (charleston-sc.gov)</w:t>
              </w:r>
            </w:hyperlink>
            <w:r w:rsidR="00524B3C" w:rsidRPr="0067034D">
              <w:rPr>
                <w:color w:val="0070C0"/>
                <w:sz w:val="22"/>
                <w:szCs w:val="22"/>
              </w:rPr>
              <w:t> </w:t>
            </w:r>
          </w:p>
        </w:tc>
        <w:tc>
          <w:tcPr>
            <w:tcW w:w="4042" w:type="dxa"/>
            <w:tcBorders>
              <w:top w:val="nil"/>
              <w:left w:val="nil"/>
              <w:bottom w:val="single" w:sz="6" w:space="0" w:color="000000"/>
              <w:right w:val="single" w:sz="6" w:space="0" w:color="000000"/>
            </w:tcBorders>
            <w:shd w:val="clear" w:color="auto" w:fill="auto"/>
            <w:vAlign w:val="center"/>
            <w:hideMark/>
          </w:tcPr>
          <w:p w14:paraId="3111D9CB" w14:textId="77777777" w:rsidR="00524B3C" w:rsidRPr="0067034D" w:rsidRDefault="00D462AA" w:rsidP="00C83046">
            <w:pPr>
              <w:textAlignment w:val="baseline"/>
              <w:rPr>
                <w:color w:val="0070C0"/>
                <w:sz w:val="22"/>
                <w:szCs w:val="22"/>
              </w:rPr>
            </w:pPr>
            <w:hyperlink r:id="rId29" w:tgtFrame="_blank" w:history="1">
              <w:r w:rsidR="00524B3C" w:rsidRPr="0067034D">
                <w:rPr>
                  <w:color w:val="0070C0"/>
                  <w:sz w:val="22"/>
                  <w:szCs w:val="22"/>
                  <w:u w:val="single"/>
                </w:rPr>
                <w:t>2020-05-08 FILED Executive Order No. 2020-34 - Authorization of Limited Indoor Dining Services &amp; Rescission of Boating Restrictions.pdf</w:t>
              </w:r>
            </w:hyperlink>
            <w:r w:rsidR="00524B3C" w:rsidRPr="0067034D">
              <w:rPr>
                <w:color w:val="0070C0"/>
                <w:sz w:val="22"/>
                <w:szCs w:val="22"/>
              </w:rPr>
              <w:t> </w:t>
            </w:r>
          </w:p>
        </w:tc>
      </w:tr>
    </w:tbl>
    <w:p w14:paraId="01ECF72F" w14:textId="1FBB51A1" w:rsidR="00524B3C" w:rsidRPr="009204B1" w:rsidRDefault="00524B3C" w:rsidP="00524B3C">
      <w:pPr>
        <w:rPr>
          <w:rStyle w:val="eop"/>
          <w:color w:val="000000"/>
          <w:sz w:val="22"/>
          <w:szCs w:val="22"/>
          <w:shd w:val="clear" w:color="auto" w:fill="FFFFFF"/>
        </w:rPr>
      </w:pPr>
      <w:r w:rsidRPr="00A14B7A">
        <w:rPr>
          <w:sz w:val="22"/>
          <w:szCs w:val="22"/>
        </w:rPr>
        <w:t>We collect</w:t>
      </w:r>
      <w:r>
        <w:rPr>
          <w:sz w:val="22"/>
          <w:szCs w:val="22"/>
        </w:rPr>
        <w:t>ed</w:t>
      </w:r>
      <w:r w:rsidRPr="00A14B7A">
        <w:rPr>
          <w:sz w:val="22"/>
          <w:szCs w:val="22"/>
        </w:rPr>
        <w:t xml:space="preserve"> information on statewide and city/county orders from searching multiple publicly available databases, and state/city website</w:t>
      </w:r>
      <w:r>
        <w:rPr>
          <w:sz w:val="22"/>
          <w:szCs w:val="22"/>
        </w:rPr>
        <w:t>s</w:t>
      </w:r>
      <w:r w:rsidRPr="00A14B7A">
        <w:rPr>
          <w:sz w:val="22"/>
          <w:szCs w:val="22"/>
        </w:rPr>
        <w:t xml:space="preserve"> listing these orders and reviewing state/city order</w:t>
      </w:r>
      <w:r>
        <w:rPr>
          <w:sz w:val="22"/>
          <w:szCs w:val="22"/>
        </w:rPr>
        <w:t>s.</w:t>
      </w:r>
      <w:r w:rsidRPr="00A14B7A">
        <w:rPr>
          <w:sz w:val="22"/>
          <w:szCs w:val="22"/>
        </w:rPr>
        <w:t xml:space="preserve"> </w:t>
      </w:r>
      <w:r>
        <w:rPr>
          <w:sz w:val="22"/>
          <w:szCs w:val="22"/>
        </w:rPr>
        <w:t xml:space="preserve">We identified public statements by searching news articles, twitter posts, and state/city websites. </w:t>
      </w:r>
    </w:p>
    <w:p w14:paraId="7AD380BD" w14:textId="77777777" w:rsidR="00524B3C" w:rsidRDefault="00524B3C" w:rsidP="00524B3C"/>
    <w:p w14:paraId="1EFEDB7C" w14:textId="77777777" w:rsidR="00524B3C" w:rsidRDefault="00524B3C" w:rsidP="00524B3C"/>
    <w:p w14:paraId="3236E22A" w14:textId="23A6ADDA" w:rsidR="00524B3C" w:rsidRPr="00E20A0E" w:rsidRDefault="00524B3C" w:rsidP="00524B3C">
      <w:pPr>
        <w:pStyle w:val="Heading2"/>
        <w:rPr>
          <w:rFonts w:ascii="Times New Roman" w:hAnsi="Times New Roman" w:cs="Times New Roman"/>
          <w:color w:val="auto"/>
          <w:sz w:val="24"/>
          <w:szCs w:val="24"/>
        </w:rPr>
      </w:pPr>
      <w:bookmarkStart w:id="6" w:name="_Toc68877759"/>
      <w:r w:rsidRPr="00E20A0E">
        <w:rPr>
          <w:rFonts w:ascii="Times New Roman" w:hAnsi="Times New Roman" w:cs="Times New Roman"/>
          <w:color w:val="auto"/>
          <w:sz w:val="24"/>
          <w:szCs w:val="24"/>
        </w:rPr>
        <w:t>Appendix</w:t>
      </w:r>
      <w:r w:rsidR="00772C8D">
        <w:rPr>
          <w:rFonts w:ascii="Times New Roman" w:hAnsi="Times New Roman" w:cs="Times New Roman"/>
          <w:color w:val="auto"/>
          <w:sz w:val="24"/>
          <w:szCs w:val="24"/>
        </w:rPr>
        <w:t xml:space="preserve"> Table</w:t>
      </w:r>
      <w:r w:rsidRPr="00E20A0E">
        <w:rPr>
          <w:rFonts w:ascii="Times New Roman" w:hAnsi="Times New Roman" w:cs="Times New Roman"/>
          <w:color w:val="auto"/>
          <w:sz w:val="24"/>
          <w:szCs w:val="24"/>
        </w:rPr>
        <w:t xml:space="preserve"> B3: Information and Evidence for City and State Indoor Dining Reopening Orders</w:t>
      </w:r>
      <w:r>
        <w:rPr>
          <w:rFonts w:ascii="Times New Roman" w:hAnsi="Times New Roman" w:cs="Times New Roman"/>
          <w:color w:val="auto"/>
          <w:sz w:val="24"/>
          <w:szCs w:val="24"/>
        </w:rPr>
        <w:t>, Treatment Cities</w:t>
      </w:r>
      <w:bookmarkEnd w:id="6"/>
    </w:p>
    <w:tbl>
      <w:tblPr>
        <w:tblW w:w="128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290"/>
        <w:gridCol w:w="4582"/>
        <w:gridCol w:w="2880"/>
        <w:gridCol w:w="2693"/>
      </w:tblGrid>
      <w:tr w:rsidR="00524B3C" w:rsidRPr="00092727" w14:paraId="560A6F8F" w14:textId="77777777" w:rsidTr="00C83046">
        <w:tc>
          <w:tcPr>
            <w:tcW w:w="12855" w:type="dxa"/>
            <w:gridSpan w:val="5"/>
            <w:tcBorders>
              <w:top w:val="single" w:sz="6" w:space="0" w:color="000000"/>
              <w:left w:val="single" w:sz="6" w:space="0" w:color="000000"/>
              <w:bottom w:val="single" w:sz="6" w:space="0" w:color="000000"/>
              <w:right w:val="single" w:sz="6" w:space="0" w:color="000000"/>
            </w:tcBorders>
            <w:shd w:val="clear" w:color="auto" w:fill="002060"/>
            <w:hideMark/>
          </w:tcPr>
          <w:p w14:paraId="7E8F2EFC" w14:textId="77777777" w:rsidR="00524B3C" w:rsidRPr="001A1987" w:rsidRDefault="00524B3C" w:rsidP="00C83046">
            <w:pPr>
              <w:jc w:val="center"/>
              <w:textAlignment w:val="baseline"/>
              <w:rPr>
                <w:rFonts w:ascii="Segoe UI" w:hAnsi="Segoe UI" w:cs="Segoe UI"/>
                <w:sz w:val="22"/>
                <w:szCs w:val="22"/>
              </w:rPr>
            </w:pPr>
            <w:r w:rsidRPr="001A1987">
              <w:rPr>
                <w:rFonts w:ascii="Calibri" w:hAnsi="Calibri" w:cs="Calibri"/>
                <w:b/>
                <w:bCs/>
                <w:sz w:val="22"/>
                <w:szCs w:val="22"/>
              </w:rPr>
              <w:t>Opening Date References for Treatment Cities</w:t>
            </w:r>
            <w:r w:rsidRPr="001A1987">
              <w:rPr>
                <w:rFonts w:ascii="Calibri" w:hAnsi="Calibri" w:cs="Calibri"/>
                <w:sz w:val="22"/>
                <w:szCs w:val="22"/>
              </w:rPr>
              <w:t> </w:t>
            </w:r>
          </w:p>
        </w:tc>
      </w:tr>
      <w:tr w:rsidR="00524B3C" w:rsidRPr="00092727" w14:paraId="3BE519E5" w14:textId="77777777" w:rsidTr="00C83046">
        <w:tc>
          <w:tcPr>
            <w:tcW w:w="1410" w:type="dxa"/>
            <w:tcBorders>
              <w:top w:val="nil"/>
              <w:left w:val="single" w:sz="6" w:space="0" w:color="000000"/>
              <w:bottom w:val="single" w:sz="6" w:space="0" w:color="000000"/>
              <w:right w:val="single" w:sz="6" w:space="0" w:color="000000"/>
            </w:tcBorders>
            <w:shd w:val="clear" w:color="auto" w:fill="D5DCE4" w:themeFill="text2" w:themeFillTint="33"/>
            <w:vAlign w:val="center"/>
            <w:hideMark/>
          </w:tcPr>
          <w:p w14:paraId="69669E15" w14:textId="77777777" w:rsidR="00524B3C" w:rsidRPr="0067034D" w:rsidRDefault="00524B3C" w:rsidP="00C83046">
            <w:pPr>
              <w:jc w:val="center"/>
              <w:textAlignment w:val="baseline"/>
              <w:rPr>
                <w:rFonts w:asciiTheme="minorHAnsi" w:hAnsiTheme="minorHAnsi"/>
                <w:sz w:val="22"/>
                <w:szCs w:val="22"/>
              </w:rPr>
            </w:pPr>
            <w:r w:rsidRPr="0067034D">
              <w:rPr>
                <w:rFonts w:asciiTheme="minorHAnsi" w:hAnsiTheme="minorHAnsi"/>
                <w:b/>
                <w:bCs/>
                <w:sz w:val="22"/>
                <w:szCs w:val="22"/>
              </w:rPr>
              <w:t>City</w:t>
            </w:r>
            <w:r w:rsidRPr="0067034D">
              <w:rPr>
                <w:rFonts w:asciiTheme="minorHAnsi" w:hAnsiTheme="minorHAnsi"/>
                <w:sz w:val="22"/>
                <w:szCs w:val="22"/>
              </w:rPr>
              <w:t> </w:t>
            </w:r>
          </w:p>
        </w:tc>
        <w:tc>
          <w:tcPr>
            <w:tcW w:w="1290" w:type="dxa"/>
            <w:tcBorders>
              <w:top w:val="nil"/>
              <w:left w:val="nil"/>
              <w:bottom w:val="single" w:sz="6" w:space="0" w:color="000000"/>
              <w:right w:val="single" w:sz="6" w:space="0" w:color="000000"/>
            </w:tcBorders>
            <w:shd w:val="clear" w:color="auto" w:fill="D5DCE4" w:themeFill="text2" w:themeFillTint="33"/>
            <w:vAlign w:val="center"/>
            <w:hideMark/>
          </w:tcPr>
          <w:p w14:paraId="20CB835E" w14:textId="77777777" w:rsidR="00524B3C" w:rsidRPr="0067034D" w:rsidRDefault="00524B3C" w:rsidP="00C83046">
            <w:pPr>
              <w:jc w:val="center"/>
              <w:textAlignment w:val="baseline"/>
              <w:rPr>
                <w:rFonts w:asciiTheme="minorHAnsi" w:hAnsiTheme="minorHAnsi"/>
                <w:sz w:val="22"/>
                <w:szCs w:val="22"/>
              </w:rPr>
            </w:pPr>
            <w:r w:rsidRPr="0067034D">
              <w:rPr>
                <w:rFonts w:asciiTheme="minorHAnsi" w:hAnsiTheme="minorHAnsi"/>
                <w:b/>
                <w:bCs/>
                <w:sz w:val="22"/>
                <w:szCs w:val="22"/>
              </w:rPr>
              <w:t>State</w:t>
            </w:r>
            <w:r w:rsidRPr="0067034D">
              <w:rPr>
                <w:rFonts w:asciiTheme="minorHAnsi" w:hAnsiTheme="minorHAnsi"/>
                <w:sz w:val="22"/>
                <w:szCs w:val="22"/>
              </w:rPr>
              <w:t> </w:t>
            </w:r>
          </w:p>
        </w:tc>
        <w:tc>
          <w:tcPr>
            <w:tcW w:w="4582" w:type="dxa"/>
            <w:tcBorders>
              <w:top w:val="nil"/>
              <w:left w:val="nil"/>
              <w:bottom w:val="single" w:sz="6" w:space="0" w:color="000000"/>
              <w:right w:val="single" w:sz="6" w:space="0" w:color="000000"/>
            </w:tcBorders>
            <w:shd w:val="clear" w:color="auto" w:fill="D5DCE4" w:themeFill="text2" w:themeFillTint="33"/>
            <w:vAlign w:val="center"/>
            <w:hideMark/>
          </w:tcPr>
          <w:p w14:paraId="3A7B6AAA" w14:textId="77777777" w:rsidR="00524B3C" w:rsidRPr="0067034D" w:rsidRDefault="00524B3C" w:rsidP="00C83046">
            <w:pPr>
              <w:jc w:val="center"/>
              <w:textAlignment w:val="baseline"/>
              <w:rPr>
                <w:rFonts w:asciiTheme="minorHAnsi" w:hAnsiTheme="minorHAnsi"/>
                <w:sz w:val="22"/>
                <w:szCs w:val="22"/>
              </w:rPr>
            </w:pPr>
            <w:r w:rsidRPr="0067034D">
              <w:rPr>
                <w:rFonts w:asciiTheme="minorHAnsi" w:hAnsiTheme="minorHAnsi"/>
                <w:b/>
                <w:bCs/>
                <w:sz w:val="22"/>
                <w:szCs w:val="22"/>
              </w:rPr>
              <w:t>Detail</w:t>
            </w:r>
            <w:r w:rsidRPr="0067034D">
              <w:rPr>
                <w:rFonts w:asciiTheme="minorHAnsi" w:hAnsiTheme="minorHAnsi"/>
                <w:sz w:val="22"/>
                <w:szCs w:val="22"/>
              </w:rPr>
              <w:t> </w:t>
            </w:r>
          </w:p>
        </w:tc>
        <w:tc>
          <w:tcPr>
            <w:tcW w:w="2880" w:type="dxa"/>
            <w:tcBorders>
              <w:top w:val="nil"/>
              <w:left w:val="nil"/>
              <w:bottom w:val="single" w:sz="6" w:space="0" w:color="000000"/>
              <w:right w:val="single" w:sz="6" w:space="0" w:color="000000"/>
            </w:tcBorders>
            <w:shd w:val="clear" w:color="auto" w:fill="D5DCE4" w:themeFill="text2" w:themeFillTint="33"/>
            <w:vAlign w:val="center"/>
            <w:hideMark/>
          </w:tcPr>
          <w:p w14:paraId="2BB7DA78" w14:textId="77777777" w:rsidR="00524B3C" w:rsidRPr="0067034D" w:rsidRDefault="00524B3C" w:rsidP="00C83046">
            <w:pPr>
              <w:jc w:val="center"/>
              <w:textAlignment w:val="baseline"/>
              <w:rPr>
                <w:rFonts w:asciiTheme="minorHAnsi" w:hAnsiTheme="minorHAnsi"/>
                <w:sz w:val="22"/>
                <w:szCs w:val="22"/>
              </w:rPr>
            </w:pPr>
            <w:r w:rsidRPr="0067034D">
              <w:rPr>
                <w:rFonts w:asciiTheme="minorHAnsi" w:hAnsiTheme="minorHAnsi"/>
                <w:b/>
                <w:bCs/>
                <w:sz w:val="22"/>
                <w:szCs w:val="22"/>
              </w:rPr>
              <w:t>City Evidence</w:t>
            </w:r>
            <w:r w:rsidRPr="0067034D">
              <w:rPr>
                <w:rFonts w:asciiTheme="minorHAnsi" w:hAnsiTheme="minorHAnsi"/>
                <w:sz w:val="22"/>
                <w:szCs w:val="22"/>
              </w:rPr>
              <w:t> </w:t>
            </w:r>
          </w:p>
        </w:tc>
        <w:tc>
          <w:tcPr>
            <w:tcW w:w="2693" w:type="dxa"/>
            <w:tcBorders>
              <w:top w:val="nil"/>
              <w:left w:val="nil"/>
              <w:bottom w:val="single" w:sz="6" w:space="0" w:color="000000"/>
              <w:right w:val="single" w:sz="6" w:space="0" w:color="000000"/>
            </w:tcBorders>
            <w:shd w:val="clear" w:color="auto" w:fill="D5DCE4" w:themeFill="text2" w:themeFillTint="33"/>
            <w:vAlign w:val="center"/>
            <w:hideMark/>
          </w:tcPr>
          <w:p w14:paraId="4744F7D9" w14:textId="77777777" w:rsidR="00524B3C" w:rsidRPr="0067034D" w:rsidRDefault="00524B3C" w:rsidP="00C83046">
            <w:pPr>
              <w:jc w:val="center"/>
              <w:textAlignment w:val="baseline"/>
              <w:rPr>
                <w:rFonts w:asciiTheme="minorHAnsi" w:hAnsiTheme="minorHAnsi"/>
                <w:sz w:val="22"/>
                <w:szCs w:val="22"/>
              </w:rPr>
            </w:pPr>
            <w:r w:rsidRPr="0067034D">
              <w:rPr>
                <w:rFonts w:asciiTheme="minorHAnsi" w:hAnsiTheme="minorHAnsi"/>
                <w:b/>
                <w:bCs/>
                <w:sz w:val="22"/>
                <w:szCs w:val="22"/>
              </w:rPr>
              <w:t>State Evidence</w:t>
            </w:r>
            <w:r w:rsidRPr="0067034D">
              <w:rPr>
                <w:rFonts w:asciiTheme="minorHAnsi" w:hAnsiTheme="minorHAnsi"/>
                <w:sz w:val="22"/>
                <w:szCs w:val="22"/>
              </w:rPr>
              <w:t> </w:t>
            </w:r>
          </w:p>
        </w:tc>
      </w:tr>
      <w:tr w:rsidR="00524B3C" w:rsidRPr="00092727" w14:paraId="39D94328" w14:textId="77777777" w:rsidTr="00C83046">
        <w:tc>
          <w:tcPr>
            <w:tcW w:w="1410" w:type="dxa"/>
            <w:tcBorders>
              <w:top w:val="nil"/>
              <w:left w:val="single" w:sz="6" w:space="0" w:color="000000"/>
              <w:bottom w:val="single" w:sz="6" w:space="0" w:color="000000"/>
              <w:right w:val="single" w:sz="6" w:space="0" w:color="000000"/>
            </w:tcBorders>
            <w:shd w:val="clear" w:color="auto" w:fill="auto"/>
            <w:vAlign w:val="center"/>
            <w:hideMark/>
          </w:tcPr>
          <w:p w14:paraId="5F1F4CC4" w14:textId="77777777" w:rsidR="00524B3C" w:rsidRPr="001A1987" w:rsidRDefault="00524B3C" w:rsidP="00C83046">
            <w:pPr>
              <w:jc w:val="center"/>
              <w:textAlignment w:val="baseline"/>
              <w:rPr>
                <w:b/>
                <w:bCs/>
                <w:sz w:val="22"/>
                <w:szCs w:val="22"/>
              </w:rPr>
            </w:pPr>
            <w:r w:rsidRPr="001A1987">
              <w:rPr>
                <w:b/>
                <w:bCs/>
                <w:sz w:val="22"/>
                <w:szCs w:val="22"/>
              </w:rPr>
              <w:t>Indianapolis</w:t>
            </w:r>
          </w:p>
        </w:tc>
        <w:tc>
          <w:tcPr>
            <w:tcW w:w="1290" w:type="dxa"/>
            <w:tcBorders>
              <w:top w:val="nil"/>
              <w:left w:val="nil"/>
              <w:bottom w:val="single" w:sz="6" w:space="0" w:color="000000"/>
              <w:right w:val="single" w:sz="6" w:space="0" w:color="000000"/>
            </w:tcBorders>
            <w:shd w:val="clear" w:color="auto" w:fill="auto"/>
            <w:vAlign w:val="center"/>
            <w:hideMark/>
          </w:tcPr>
          <w:p w14:paraId="4ED0EE98" w14:textId="77777777" w:rsidR="00524B3C" w:rsidRPr="001A1987" w:rsidRDefault="00524B3C" w:rsidP="00C83046">
            <w:pPr>
              <w:jc w:val="center"/>
              <w:textAlignment w:val="baseline"/>
              <w:rPr>
                <w:b/>
                <w:bCs/>
                <w:sz w:val="22"/>
                <w:szCs w:val="22"/>
              </w:rPr>
            </w:pPr>
            <w:r w:rsidRPr="001A1987">
              <w:rPr>
                <w:b/>
                <w:bCs/>
                <w:sz w:val="22"/>
                <w:szCs w:val="22"/>
              </w:rPr>
              <w:t>Indiana</w:t>
            </w:r>
          </w:p>
        </w:tc>
        <w:tc>
          <w:tcPr>
            <w:tcW w:w="4582" w:type="dxa"/>
            <w:tcBorders>
              <w:top w:val="nil"/>
              <w:left w:val="nil"/>
              <w:bottom w:val="single" w:sz="6" w:space="0" w:color="000000"/>
              <w:right w:val="single" w:sz="6" w:space="0" w:color="000000"/>
            </w:tcBorders>
            <w:shd w:val="clear" w:color="auto" w:fill="auto"/>
            <w:hideMark/>
          </w:tcPr>
          <w:p w14:paraId="405E0C91" w14:textId="77777777" w:rsidR="00524B3C" w:rsidRPr="00092727" w:rsidRDefault="00524B3C" w:rsidP="00C83046">
            <w:pPr>
              <w:textAlignment w:val="baseline"/>
              <w:rPr>
                <w:sz w:val="22"/>
                <w:szCs w:val="22"/>
              </w:rPr>
            </w:pPr>
            <w:r w:rsidRPr="00092727">
              <w:rPr>
                <w:sz w:val="22"/>
                <w:szCs w:val="22"/>
              </w:rPr>
              <w:t>Governor Holcomb permitted indoor dining to resume throughout Indiana on 5/11/2020. Indianapolis waited until 6/1/2020 to resume indoor dining despite being eligible to reopen indoor dining on 5/11. </w:t>
            </w:r>
          </w:p>
        </w:tc>
        <w:tc>
          <w:tcPr>
            <w:tcW w:w="2880" w:type="dxa"/>
            <w:tcBorders>
              <w:top w:val="nil"/>
              <w:left w:val="nil"/>
              <w:bottom w:val="single" w:sz="6" w:space="0" w:color="000000"/>
              <w:right w:val="single" w:sz="6" w:space="0" w:color="000000"/>
            </w:tcBorders>
            <w:shd w:val="clear" w:color="auto" w:fill="auto"/>
            <w:vAlign w:val="center"/>
            <w:hideMark/>
          </w:tcPr>
          <w:p w14:paraId="7314FE39" w14:textId="77777777" w:rsidR="00524B3C" w:rsidRPr="001A1987" w:rsidRDefault="00D462AA" w:rsidP="00C83046">
            <w:pPr>
              <w:textAlignment w:val="baseline"/>
              <w:rPr>
                <w:color w:val="4472C4" w:themeColor="accent1"/>
                <w:sz w:val="22"/>
                <w:szCs w:val="22"/>
              </w:rPr>
            </w:pPr>
            <w:hyperlink r:id="rId30" w:tgtFrame="_blank" w:history="1">
              <w:r w:rsidR="00524B3C" w:rsidRPr="001A1987">
                <w:rPr>
                  <w:color w:val="4472C4" w:themeColor="accent1"/>
                  <w:sz w:val="22"/>
                  <w:szCs w:val="22"/>
                  <w:u w:val="single"/>
                </w:rPr>
                <w:t>Mayor Joe Hogsett Statement on Reopening Indianapolis </w:t>
              </w:r>
            </w:hyperlink>
            <w:r w:rsidR="00524B3C" w:rsidRPr="001A1987">
              <w:rPr>
                <w:color w:val="4472C4" w:themeColor="accent1"/>
                <w:sz w:val="22"/>
                <w:szCs w:val="22"/>
              </w:rPr>
              <w:t>  </w:t>
            </w:r>
          </w:p>
          <w:p w14:paraId="0769D1F6" w14:textId="77777777" w:rsidR="00524B3C" w:rsidRPr="001A1987" w:rsidRDefault="00524B3C" w:rsidP="00C83046">
            <w:pPr>
              <w:textAlignment w:val="baseline"/>
              <w:rPr>
                <w:color w:val="4472C4" w:themeColor="accent1"/>
                <w:sz w:val="22"/>
                <w:szCs w:val="22"/>
              </w:rPr>
            </w:pPr>
            <w:r w:rsidRPr="001A1987">
              <w:rPr>
                <w:color w:val="4472C4" w:themeColor="accent1"/>
                <w:sz w:val="22"/>
                <w:szCs w:val="22"/>
              </w:rPr>
              <w:t> </w:t>
            </w:r>
          </w:p>
        </w:tc>
        <w:tc>
          <w:tcPr>
            <w:tcW w:w="2693" w:type="dxa"/>
            <w:tcBorders>
              <w:top w:val="nil"/>
              <w:left w:val="nil"/>
              <w:bottom w:val="single" w:sz="6" w:space="0" w:color="000000"/>
              <w:right w:val="single" w:sz="6" w:space="0" w:color="000000"/>
            </w:tcBorders>
            <w:shd w:val="clear" w:color="auto" w:fill="auto"/>
            <w:vAlign w:val="center"/>
            <w:hideMark/>
          </w:tcPr>
          <w:p w14:paraId="01A88A96" w14:textId="77777777" w:rsidR="00524B3C" w:rsidRPr="001A1987" w:rsidRDefault="00D462AA" w:rsidP="00C83046">
            <w:pPr>
              <w:textAlignment w:val="baseline"/>
              <w:rPr>
                <w:color w:val="4472C4" w:themeColor="accent1"/>
                <w:sz w:val="22"/>
                <w:szCs w:val="22"/>
              </w:rPr>
            </w:pPr>
            <w:hyperlink r:id="rId31" w:tgtFrame="_blank" w:history="1">
              <w:r w:rsidR="00524B3C" w:rsidRPr="001A1987">
                <w:rPr>
                  <w:color w:val="4472C4" w:themeColor="accent1"/>
                  <w:sz w:val="22"/>
                  <w:szCs w:val="22"/>
                  <w:u w:val="single"/>
                </w:rPr>
                <w:t xml:space="preserve">Back </w:t>
              </w:r>
              <w:proofErr w:type="gramStart"/>
              <w:r w:rsidR="00524B3C" w:rsidRPr="001A1987">
                <w:rPr>
                  <w:color w:val="4472C4" w:themeColor="accent1"/>
                  <w:sz w:val="22"/>
                  <w:szCs w:val="22"/>
                  <w:u w:val="single"/>
                </w:rPr>
                <w:t>On</w:t>
              </w:r>
              <w:proofErr w:type="gramEnd"/>
              <w:r w:rsidR="00524B3C" w:rsidRPr="001A1987">
                <w:rPr>
                  <w:color w:val="4472C4" w:themeColor="accent1"/>
                  <w:sz w:val="22"/>
                  <w:szCs w:val="22"/>
                  <w:u w:val="single"/>
                </w:rPr>
                <w:t xml:space="preserve"> Track Indiana: Governor Holcomb's Indiana COVID-19 Update (May 1, 2020)</w:t>
              </w:r>
            </w:hyperlink>
            <w:r w:rsidR="00524B3C" w:rsidRPr="001A1987">
              <w:rPr>
                <w:color w:val="4472C4" w:themeColor="accent1"/>
                <w:sz w:val="22"/>
                <w:szCs w:val="22"/>
              </w:rPr>
              <w:t> </w:t>
            </w:r>
          </w:p>
        </w:tc>
      </w:tr>
      <w:tr w:rsidR="00524B3C" w:rsidRPr="00092727" w14:paraId="49C38777" w14:textId="77777777" w:rsidTr="00C83046">
        <w:tc>
          <w:tcPr>
            <w:tcW w:w="1410" w:type="dxa"/>
            <w:tcBorders>
              <w:top w:val="nil"/>
              <w:left w:val="single" w:sz="6" w:space="0" w:color="000000"/>
              <w:bottom w:val="single" w:sz="6" w:space="0" w:color="000000"/>
              <w:right w:val="single" w:sz="6" w:space="0" w:color="000000"/>
            </w:tcBorders>
            <w:shd w:val="clear" w:color="auto" w:fill="auto"/>
            <w:vAlign w:val="center"/>
            <w:hideMark/>
          </w:tcPr>
          <w:p w14:paraId="5EF224E1" w14:textId="77777777" w:rsidR="00524B3C" w:rsidRPr="001A1987" w:rsidRDefault="00524B3C" w:rsidP="00C83046">
            <w:pPr>
              <w:jc w:val="center"/>
              <w:textAlignment w:val="baseline"/>
              <w:rPr>
                <w:b/>
                <w:bCs/>
                <w:sz w:val="22"/>
                <w:szCs w:val="22"/>
              </w:rPr>
            </w:pPr>
            <w:r w:rsidRPr="001A1987">
              <w:rPr>
                <w:b/>
                <w:bCs/>
                <w:sz w:val="22"/>
                <w:szCs w:val="22"/>
              </w:rPr>
              <w:t>Philadelphia</w:t>
            </w:r>
          </w:p>
        </w:tc>
        <w:tc>
          <w:tcPr>
            <w:tcW w:w="1290" w:type="dxa"/>
            <w:tcBorders>
              <w:top w:val="nil"/>
              <w:left w:val="nil"/>
              <w:bottom w:val="single" w:sz="6" w:space="0" w:color="000000"/>
              <w:right w:val="single" w:sz="6" w:space="0" w:color="000000"/>
            </w:tcBorders>
            <w:shd w:val="clear" w:color="auto" w:fill="auto"/>
            <w:vAlign w:val="center"/>
            <w:hideMark/>
          </w:tcPr>
          <w:p w14:paraId="0A7DBEC2" w14:textId="77777777" w:rsidR="00524B3C" w:rsidRPr="001A1987" w:rsidRDefault="00524B3C" w:rsidP="00C83046">
            <w:pPr>
              <w:jc w:val="center"/>
              <w:textAlignment w:val="baseline"/>
              <w:rPr>
                <w:b/>
                <w:bCs/>
                <w:sz w:val="22"/>
                <w:szCs w:val="22"/>
              </w:rPr>
            </w:pPr>
            <w:r w:rsidRPr="001A1987">
              <w:rPr>
                <w:b/>
                <w:bCs/>
                <w:sz w:val="22"/>
                <w:szCs w:val="22"/>
              </w:rPr>
              <w:t>Pennsylvania</w:t>
            </w:r>
          </w:p>
        </w:tc>
        <w:tc>
          <w:tcPr>
            <w:tcW w:w="4582" w:type="dxa"/>
            <w:tcBorders>
              <w:top w:val="nil"/>
              <w:left w:val="nil"/>
              <w:bottom w:val="single" w:sz="6" w:space="0" w:color="000000"/>
              <w:right w:val="single" w:sz="6" w:space="0" w:color="000000"/>
            </w:tcBorders>
            <w:shd w:val="clear" w:color="auto" w:fill="auto"/>
            <w:hideMark/>
          </w:tcPr>
          <w:p w14:paraId="150BC4FD" w14:textId="77777777" w:rsidR="00524B3C" w:rsidRPr="00092727" w:rsidRDefault="00524B3C" w:rsidP="00C83046">
            <w:pPr>
              <w:textAlignment w:val="baseline"/>
              <w:rPr>
                <w:sz w:val="22"/>
                <w:szCs w:val="22"/>
              </w:rPr>
            </w:pPr>
            <w:r w:rsidRPr="00092727">
              <w:rPr>
                <w:sz w:val="22"/>
                <w:szCs w:val="22"/>
              </w:rPr>
              <w:t>PA permitted Philadelphia County to resume indoor dining on 6/26/2020 when the city entered the green phase. Philadelphia waited until 7/3/2020 to enter the green phase for most activities, but the city waited until 9/8/2020 to resume indoor dining. </w:t>
            </w:r>
          </w:p>
        </w:tc>
        <w:tc>
          <w:tcPr>
            <w:tcW w:w="2880" w:type="dxa"/>
            <w:tcBorders>
              <w:top w:val="nil"/>
              <w:left w:val="nil"/>
              <w:bottom w:val="single" w:sz="6" w:space="0" w:color="000000"/>
              <w:right w:val="single" w:sz="6" w:space="0" w:color="000000"/>
            </w:tcBorders>
            <w:shd w:val="clear" w:color="auto" w:fill="auto"/>
            <w:vAlign w:val="center"/>
            <w:hideMark/>
          </w:tcPr>
          <w:p w14:paraId="7F90CD56" w14:textId="77777777" w:rsidR="00524B3C" w:rsidRPr="001A1987" w:rsidRDefault="00D462AA" w:rsidP="00C83046">
            <w:pPr>
              <w:textAlignment w:val="baseline"/>
              <w:rPr>
                <w:color w:val="4472C4" w:themeColor="accent1"/>
                <w:sz w:val="22"/>
                <w:szCs w:val="22"/>
              </w:rPr>
            </w:pPr>
            <w:hyperlink r:id="rId32" w:anchor=":~:text=When%20Philadelphia%20enters%20the%20green,.%20Schools%20and%20colleges." w:tgtFrame="_blank" w:history="1">
              <w:r w:rsidR="00524B3C" w:rsidRPr="001A1987">
                <w:rPr>
                  <w:color w:val="4472C4" w:themeColor="accent1"/>
                  <w:sz w:val="22"/>
                  <w:szCs w:val="22"/>
                  <w:u w:val="single"/>
                </w:rPr>
                <w:t>What the green phase means for Philadelphia | Department of Public Health | City of Philadelphia</w:t>
              </w:r>
            </w:hyperlink>
            <w:r w:rsidR="00524B3C" w:rsidRPr="001A1987">
              <w:rPr>
                <w:color w:val="4472C4" w:themeColor="accent1"/>
                <w:sz w:val="22"/>
                <w:szCs w:val="22"/>
              </w:rPr>
              <w:t> </w:t>
            </w:r>
          </w:p>
          <w:p w14:paraId="71225B9E" w14:textId="77777777" w:rsidR="00524B3C" w:rsidRPr="001A1987" w:rsidRDefault="00D462AA" w:rsidP="00C83046">
            <w:pPr>
              <w:textAlignment w:val="baseline"/>
              <w:rPr>
                <w:color w:val="4472C4" w:themeColor="accent1"/>
                <w:sz w:val="22"/>
                <w:szCs w:val="22"/>
              </w:rPr>
            </w:pPr>
            <w:hyperlink r:id="rId33" w:anchor=":~:text=Indoor%20dining%20is%20back%20in,while%20gradually%20and%20safely%20reopening" w:tgtFrame="_blank" w:history="1">
              <w:r w:rsidR="00524B3C" w:rsidRPr="001A1987">
                <w:rPr>
                  <w:color w:val="4472C4" w:themeColor="accent1"/>
                  <w:sz w:val="22"/>
                  <w:szCs w:val="22"/>
                  <w:u w:val="single"/>
                </w:rPr>
                <w:t>Philadelphia to Reopen Indoor Dining Sept 8, 2020</w:t>
              </w:r>
            </w:hyperlink>
            <w:r w:rsidR="00524B3C" w:rsidRPr="001A1987">
              <w:rPr>
                <w:color w:val="4472C4" w:themeColor="accent1"/>
                <w:sz w:val="22"/>
                <w:szCs w:val="22"/>
              </w:rPr>
              <w:t> </w:t>
            </w:r>
          </w:p>
        </w:tc>
        <w:tc>
          <w:tcPr>
            <w:tcW w:w="2693" w:type="dxa"/>
            <w:tcBorders>
              <w:top w:val="nil"/>
              <w:left w:val="nil"/>
              <w:bottom w:val="single" w:sz="6" w:space="0" w:color="000000"/>
              <w:right w:val="single" w:sz="6" w:space="0" w:color="000000"/>
            </w:tcBorders>
            <w:shd w:val="clear" w:color="auto" w:fill="auto"/>
            <w:vAlign w:val="center"/>
            <w:hideMark/>
          </w:tcPr>
          <w:p w14:paraId="4E21B482" w14:textId="77777777" w:rsidR="00524B3C" w:rsidRPr="001A1987" w:rsidRDefault="00D462AA" w:rsidP="00C83046">
            <w:pPr>
              <w:textAlignment w:val="baseline"/>
              <w:rPr>
                <w:color w:val="4472C4" w:themeColor="accent1"/>
                <w:sz w:val="22"/>
                <w:szCs w:val="22"/>
              </w:rPr>
            </w:pPr>
            <w:hyperlink r:id="rId34" w:tgtFrame="_blank" w:history="1">
              <w:r w:rsidR="00524B3C" w:rsidRPr="001A1987">
                <w:rPr>
                  <w:color w:val="4472C4" w:themeColor="accent1"/>
                  <w:sz w:val="22"/>
                  <w:szCs w:val="22"/>
                  <w:u w:val="single"/>
                </w:rPr>
                <w:t>Gov. Wolf: 12 More Counties to Go Green on June 26 (pa.gov)</w:t>
              </w:r>
            </w:hyperlink>
            <w:r w:rsidR="00524B3C" w:rsidRPr="001A1987">
              <w:rPr>
                <w:color w:val="4472C4" w:themeColor="accent1"/>
                <w:sz w:val="22"/>
                <w:szCs w:val="22"/>
              </w:rPr>
              <w:t> </w:t>
            </w:r>
          </w:p>
          <w:p w14:paraId="7E16BFA8" w14:textId="77777777" w:rsidR="00524B3C" w:rsidRPr="001A1987" w:rsidRDefault="00D462AA" w:rsidP="00C83046">
            <w:pPr>
              <w:textAlignment w:val="baseline"/>
              <w:rPr>
                <w:color w:val="4472C4" w:themeColor="accent1"/>
                <w:sz w:val="22"/>
                <w:szCs w:val="22"/>
              </w:rPr>
            </w:pPr>
            <w:hyperlink r:id="rId35" w:tgtFrame="_blank" w:history="1">
              <w:r w:rsidR="00524B3C" w:rsidRPr="001A1987">
                <w:rPr>
                  <w:color w:val="4472C4" w:themeColor="accent1"/>
                  <w:sz w:val="22"/>
                  <w:szCs w:val="22"/>
                  <w:u w:val="single"/>
                </w:rPr>
                <w:t>Process to Reopen Pennsylvania (pa.gov)</w:t>
              </w:r>
            </w:hyperlink>
            <w:r w:rsidR="00524B3C" w:rsidRPr="001A1987">
              <w:rPr>
                <w:color w:val="4472C4" w:themeColor="accent1"/>
                <w:sz w:val="22"/>
                <w:szCs w:val="22"/>
              </w:rPr>
              <w:t> </w:t>
            </w:r>
          </w:p>
        </w:tc>
      </w:tr>
      <w:tr w:rsidR="00524B3C" w:rsidRPr="00092727" w14:paraId="410DF379" w14:textId="77777777" w:rsidTr="00C83046">
        <w:tc>
          <w:tcPr>
            <w:tcW w:w="1410" w:type="dxa"/>
            <w:tcBorders>
              <w:top w:val="nil"/>
              <w:left w:val="single" w:sz="6" w:space="0" w:color="000000"/>
              <w:bottom w:val="single" w:sz="6" w:space="0" w:color="000000"/>
              <w:right w:val="single" w:sz="6" w:space="0" w:color="000000"/>
            </w:tcBorders>
            <w:shd w:val="clear" w:color="auto" w:fill="auto"/>
            <w:vAlign w:val="center"/>
            <w:hideMark/>
          </w:tcPr>
          <w:p w14:paraId="6D30CEBF" w14:textId="77777777" w:rsidR="00524B3C" w:rsidRPr="001A1987" w:rsidRDefault="00524B3C" w:rsidP="00C83046">
            <w:pPr>
              <w:jc w:val="center"/>
              <w:textAlignment w:val="baseline"/>
              <w:rPr>
                <w:b/>
                <w:bCs/>
                <w:sz w:val="22"/>
                <w:szCs w:val="22"/>
              </w:rPr>
            </w:pPr>
            <w:r w:rsidRPr="001A1987">
              <w:rPr>
                <w:b/>
                <w:bCs/>
                <w:sz w:val="22"/>
                <w:szCs w:val="22"/>
              </w:rPr>
              <w:t>San Francisco</w:t>
            </w:r>
          </w:p>
        </w:tc>
        <w:tc>
          <w:tcPr>
            <w:tcW w:w="1290" w:type="dxa"/>
            <w:tcBorders>
              <w:top w:val="nil"/>
              <w:left w:val="nil"/>
              <w:bottom w:val="single" w:sz="6" w:space="0" w:color="000000"/>
              <w:right w:val="single" w:sz="6" w:space="0" w:color="000000"/>
            </w:tcBorders>
            <w:shd w:val="clear" w:color="auto" w:fill="auto"/>
            <w:vAlign w:val="center"/>
            <w:hideMark/>
          </w:tcPr>
          <w:p w14:paraId="04787285" w14:textId="77777777" w:rsidR="00524B3C" w:rsidRPr="001A1987" w:rsidRDefault="00524B3C" w:rsidP="00C83046">
            <w:pPr>
              <w:jc w:val="center"/>
              <w:textAlignment w:val="baseline"/>
              <w:rPr>
                <w:b/>
                <w:bCs/>
                <w:sz w:val="22"/>
                <w:szCs w:val="22"/>
              </w:rPr>
            </w:pPr>
            <w:r w:rsidRPr="001A1987">
              <w:rPr>
                <w:b/>
                <w:bCs/>
                <w:sz w:val="22"/>
                <w:szCs w:val="22"/>
              </w:rPr>
              <w:t>California</w:t>
            </w:r>
          </w:p>
        </w:tc>
        <w:tc>
          <w:tcPr>
            <w:tcW w:w="4582" w:type="dxa"/>
            <w:tcBorders>
              <w:top w:val="nil"/>
              <w:left w:val="nil"/>
              <w:bottom w:val="single" w:sz="6" w:space="0" w:color="000000"/>
              <w:right w:val="single" w:sz="6" w:space="0" w:color="000000"/>
            </w:tcBorders>
            <w:shd w:val="clear" w:color="auto" w:fill="auto"/>
            <w:hideMark/>
          </w:tcPr>
          <w:p w14:paraId="1BCE18FB" w14:textId="0D211BB2" w:rsidR="00524B3C" w:rsidRPr="00092727" w:rsidRDefault="00524B3C" w:rsidP="00C83046">
            <w:pPr>
              <w:textAlignment w:val="baseline"/>
              <w:rPr>
                <w:sz w:val="22"/>
                <w:szCs w:val="22"/>
              </w:rPr>
            </w:pPr>
            <w:r w:rsidRPr="00092727">
              <w:rPr>
                <w:sz w:val="22"/>
                <w:szCs w:val="22"/>
              </w:rPr>
              <w:t>Governor Newsom issued county guidance preempting counties from enacting less restrictive policies than those directed by the state's mandate. While the city of San Francisco met statewide guidelines (red phase) for re-opening indoor dining</w:t>
            </w:r>
            <w:r w:rsidR="00124987">
              <w:rPr>
                <w:sz w:val="22"/>
                <w:szCs w:val="22"/>
              </w:rPr>
              <w:t xml:space="preserve"> on 8/28</w:t>
            </w:r>
            <w:r w:rsidRPr="00092727">
              <w:rPr>
                <w:sz w:val="22"/>
                <w:szCs w:val="22"/>
              </w:rPr>
              <w:t>, the city chose to keep indoor dining closed. On 9/30 the city issued guidance allowing indoor dining at 25%. </w:t>
            </w:r>
          </w:p>
        </w:tc>
        <w:tc>
          <w:tcPr>
            <w:tcW w:w="2880" w:type="dxa"/>
            <w:tcBorders>
              <w:top w:val="nil"/>
              <w:left w:val="nil"/>
              <w:bottom w:val="single" w:sz="6" w:space="0" w:color="000000"/>
              <w:right w:val="single" w:sz="6" w:space="0" w:color="000000"/>
            </w:tcBorders>
            <w:shd w:val="clear" w:color="auto" w:fill="auto"/>
            <w:vAlign w:val="center"/>
            <w:hideMark/>
          </w:tcPr>
          <w:p w14:paraId="4CA125A8" w14:textId="77777777" w:rsidR="00524B3C" w:rsidRPr="001A1987" w:rsidRDefault="00D462AA" w:rsidP="00C83046">
            <w:pPr>
              <w:textAlignment w:val="baseline"/>
              <w:rPr>
                <w:color w:val="4472C4" w:themeColor="accent1"/>
                <w:sz w:val="22"/>
                <w:szCs w:val="22"/>
              </w:rPr>
            </w:pPr>
            <w:hyperlink r:id="rId36" w:tgtFrame="_blank" w:history="1">
              <w:r w:rsidR="00524B3C" w:rsidRPr="001A1987">
                <w:rPr>
                  <w:color w:val="4472C4" w:themeColor="accent1"/>
                  <w:sz w:val="22"/>
                  <w:szCs w:val="22"/>
                  <w:u w:val="single"/>
                </w:rPr>
                <w:t>San Francisco to Move Forward with Reopening More Businesses and Activities on September 30 | Office of the Mayor (sfmayor.org)</w:t>
              </w:r>
            </w:hyperlink>
            <w:r w:rsidR="00524B3C" w:rsidRPr="001A1987">
              <w:rPr>
                <w:color w:val="4472C4" w:themeColor="accent1"/>
                <w:sz w:val="22"/>
                <w:szCs w:val="22"/>
              </w:rPr>
              <w:t> </w:t>
            </w:r>
          </w:p>
          <w:p w14:paraId="5D2E7B04" w14:textId="77777777" w:rsidR="00524B3C" w:rsidRPr="001A1987" w:rsidRDefault="00524B3C" w:rsidP="00C83046">
            <w:pPr>
              <w:textAlignment w:val="baseline"/>
              <w:rPr>
                <w:color w:val="4472C4" w:themeColor="accent1"/>
                <w:sz w:val="22"/>
                <w:szCs w:val="22"/>
              </w:rPr>
            </w:pPr>
            <w:r w:rsidRPr="001A1987">
              <w:rPr>
                <w:color w:val="4472C4" w:themeColor="accent1"/>
                <w:sz w:val="22"/>
                <w:szCs w:val="22"/>
              </w:rPr>
              <w:t> </w:t>
            </w:r>
          </w:p>
        </w:tc>
        <w:tc>
          <w:tcPr>
            <w:tcW w:w="2693" w:type="dxa"/>
            <w:tcBorders>
              <w:top w:val="nil"/>
              <w:left w:val="nil"/>
              <w:bottom w:val="single" w:sz="6" w:space="0" w:color="000000"/>
              <w:right w:val="single" w:sz="6" w:space="0" w:color="000000"/>
            </w:tcBorders>
            <w:shd w:val="clear" w:color="auto" w:fill="auto"/>
            <w:vAlign w:val="center"/>
            <w:hideMark/>
          </w:tcPr>
          <w:p w14:paraId="5B323240" w14:textId="77777777" w:rsidR="00524B3C" w:rsidRPr="001A1987" w:rsidRDefault="00D462AA" w:rsidP="00C83046">
            <w:pPr>
              <w:textAlignment w:val="baseline"/>
              <w:rPr>
                <w:color w:val="4472C4" w:themeColor="accent1"/>
                <w:sz w:val="22"/>
                <w:szCs w:val="22"/>
              </w:rPr>
            </w:pPr>
            <w:hyperlink r:id="rId37" w:history="1">
              <w:r w:rsidR="00524B3C" w:rsidRPr="001A1987">
                <w:rPr>
                  <w:rStyle w:val="Hyperlink"/>
                  <w:color w:val="4472C4" w:themeColor="accent1"/>
                  <w:sz w:val="22"/>
                  <w:szCs w:val="22"/>
                </w:rPr>
                <w:t>CA Phased Re-opening Order</w:t>
              </w:r>
            </w:hyperlink>
          </w:p>
          <w:p w14:paraId="2FBEAD5F" w14:textId="77777777" w:rsidR="00524B3C" w:rsidRPr="001A1987" w:rsidRDefault="00D462AA" w:rsidP="00C83046">
            <w:pPr>
              <w:textAlignment w:val="baseline"/>
              <w:rPr>
                <w:color w:val="4472C4" w:themeColor="accent1"/>
                <w:sz w:val="22"/>
                <w:szCs w:val="22"/>
              </w:rPr>
            </w:pPr>
            <w:hyperlink r:id="rId38" w:history="1">
              <w:r w:rsidR="00524B3C" w:rsidRPr="001A1987">
                <w:rPr>
                  <w:rStyle w:val="Hyperlink"/>
                  <w:color w:val="4472C4" w:themeColor="accent1"/>
                  <w:sz w:val="22"/>
                  <w:szCs w:val="22"/>
                </w:rPr>
                <w:t>Dashboard for County Phases, as of August 28, 2020</w:t>
              </w:r>
            </w:hyperlink>
            <w:r w:rsidR="00524B3C" w:rsidRPr="001A1987">
              <w:rPr>
                <w:color w:val="4472C4" w:themeColor="accent1"/>
                <w:sz w:val="22"/>
                <w:szCs w:val="22"/>
              </w:rPr>
              <w:t xml:space="preserve"> </w:t>
            </w:r>
          </w:p>
        </w:tc>
      </w:tr>
      <w:tr w:rsidR="00524B3C" w:rsidRPr="00092727" w14:paraId="2505042A" w14:textId="77777777" w:rsidTr="00C83046">
        <w:tc>
          <w:tcPr>
            <w:tcW w:w="1410" w:type="dxa"/>
            <w:tcBorders>
              <w:top w:val="nil"/>
              <w:left w:val="single" w:sz="6" w:space="0" w:color="000000"/>
              <w:bottom w:val="single" w:sz="6" w:space="0" w:color="000000"/>
              <w:right w:val="single" w:sz="6" w:space="0" w:color="000000"/>
            </w:tcBorders>
            <w:shd w:val="clear" w:color="auto" w:fill="auto"/>
            <w:vAlign w:val="center"/>
            <w:hideMark/>
          </w:tcPr>
          <w:p w14:paraId="4F423A41" w14:textId="77777777" w:rsidR="00524B3C" w:rsidRPr="001A1987" w:rsidRDefault="00524B3C" w:rsidP="00C83046">
            <w:pPr>
              <w:jc w:val="center"/>
              <w:textAlignment w:val="baseline"/>
              <w:rPr>
                <w:b/>
                <w:bCs/>
                <w:sz w:val="22"/>
                <w:szCs w:val="22"/>
              </w:rPr>
            </w:pPr>
            <w:r w:rsidRPr="001A1987">
              <w:rPr>
                <w:b/>
                <w:bCs/>
                <w:sz w:val="22"/>
                <w:szCs w:val="22"/>
              </w:rPr>
              <w:t>Milwaukee</w:t>
            </w:r>
          </w:p>
        </w:tc>
        <w:tc>
          <w:tcPr>
            <w:tcW w:w="1290" w:type="dxa"/>
            <w:tcBorders>
              <w:top w:val="nil"/>
              <w:left w:val="nil"/>
              <w:bottom w:val="single" w:sz="6" w:space="0" w:color="000000"/>
              <w:right w:val="single" w:sz="6" w:space="0" w:color="000000"/>
            </w:tcBorders>
            <w:shd w:val="clear" w:color="auto" w:fill="auto"/>
            <w:vAlign w:val="center"/>
            <w:hideMark/>
          </w:tcPr>
          <w:p w14:paraId="3AC1AC86" w14:textId="77777777" w:rsidR="00524B3C" w:rsidRPr="001A1987" w:rsidRDefault="00524B3C" w:rsidP="00C83046">
            <w:pPr>
              <w:jc w:val="center"/>
              <w:textAlignment w:val="baseline"/>
              <w:rPr>
                <w:b/>
                <w:bCs/>
                <w:sz w:val="22"/>
                <w:szCs w:val="22"/>
              </w:rPr>
            </w:pPr>
            <w:r w:rsidRPr="001A1987">
              <w:rPr>
                <w:b/>
                <w:bCs/>
                <w:sz w:val="22"/>
                <w:szCs w:val="22"/>
              </w:rPr>
              <w:t>Wisconsin</w:t>
            </w:r>
          </w:p>
        </w:tc>
        <w:tc>
          <w:tcPr>
            <w:tcW w:w="4582" w:type="dxa"/>
            <w:tcBorders>
              <w:top w:val="nil"/>
              <w:left w:val="nil"/>
              <w:bottom w:val="single" w:sz="6" w:space="0" w:color="000000"/>
              <w:right w:val="single" w:sz="6" w:space="0" w:color="000000"/>
            </w:tcBorders>
            <w:shd w:val="clear" w:color="auto" w:fill="auto"/>
            <w:hideMark/>
          </w:tcPr>
          <w:p w14:paraId="33047383" w14:textId="39D47B41" w:rsidR="00524B3C" w:rsidRPr="00092727" w:rsidRDefault="00524B3C" w:rsidP="00C83046">
            <w:pPr>
              <w:textAlignment w:val="baseline"/>
              <w:rPr>
                <w:sz w:val="22"/>
                <w:szCs w:val="22"/>
              </w:rPr>
            </w:pPr>
            <w:r w:rsidRPr="00092727">
              <w:rPr>
                <w:sz w:val="22"/>
                <w:szCs w:val="22"/>
              </w:rPr>
              <w:t>Wisconsin’s Safer </w:t>
            </w:r>
            <w:proofErr w:type="gramStart"/>
            <w:r w:rsidRPr="00092727">
              <w:rPr>
                <w:sz w:val="22"/>
                <w:szCs w:val="22"/>
              </w:rPr>
              <w:t>At</w:t>
            </w:r>
            <w:proofErr w:type="gramEnd"/>
            <w:r w:rsidRPr="00092727">
              <w:rPr>
                <w:sz w:val="22"/>
                <w:szCs w:val="22"/>
              </w:rPr>
              <w:t> Home order went into effect on March 25, 2020, it prohibited nonessential travel and limited gatherings.  On </w:t>
            </w:r>
            <w:proofErr w:type="gramStart"/>
            <w:r w:rsidRPr="00092727">
              <w:rPr>
                <w:sz w:val="22"/>
                <w:szCs w:val="22"/>
              </w:rPr>
              <w:t>April 20th</w:t>
            </w:r>
            <w:proofErr w:type="gramEnd"/>
            <w:r w:rsidRPr="00092727">
              <w:rPr>
                <w:sz w:val="22"/>
                <w:szCs w:val="22"/>
              </w:rPr>
              <w:t> the governor issued the "Badger Bounce Back" plan to continue the emergency order and determine phased re-opening plans. On </w:t>
            </w:r>
            <w:proofErr w:type="gramStart"/>
            <w:r w:rsidRPr="00092727">
              <w:rPr>
                <w:sz w:val="22"/>
                <w:szCs w:val="22"/>
              </w:rPr>
              <w:t>May 13th</w:t>
            </w:r>
            <w:proofErr w:type="gramEnd"/>
            <w:r w:rsidRPr="00092727">
              <w:rPr>
                <w:sz w:val="22"/>
                <w:szCs w:val="22"/>
              </w:rPr>
              <w:t> the Wisconsin state supreme court struck down the executive order. On May 14th Milwaukee issued their own order, and though allowed by the state to </w:t>
            </w:r>
            <w:proofErr w:type="gramStart"/>
            <w:r w:rsidRPr="00092727">
              <w:rPr>
                <w:sz w:val="22"/>
                <w:szCs w:val="22"/>
              </w:rPr>
              <w:t>open up</w:t>
            </w:r>
            <w:proofErr w:type="gramEnd"/>
            <w:r w:rsidRPr="00092727">
              <w:rPr>
                <w:sz w:val="22"/>
                <w:szCs w:val="22"/>
              </w:rPr>
              <w:t> as of 5/14, did not re-open indoor dining until 6/5. </w:t>
            </w:r>
          </w:p>
        </w:tc>
        <w:tc>
          <w:tcPr>
            <w:tcW w:w="2880" w:type="dxa"/>
            <w:tcBorders>
              <w:top w:val="nil"/>
              <w:left w:val="nil"/>
              <w:bottom w:val="single" w:sz="6" w:space="0" w:color="000000"/>
              <w:right w:val="single" w:sz="6" w:space="0" w:color="000000"/>
            </w:tcBorders>
            <w:shd w:val="clear" w:color="auto" w:fill="auto"/>
            <w:vAlign w:val="center"/>
            <w:hideMark/>
          </w:tcPr>
          <w:p w14:paraId="4CD03278" w14:textId="77777777" w:rsidR="00524B3C" w:rsidRPr="001A1987" w:rsidRDefault="00D462AA" w:rsidP="00C83046">
            <w:pPr>
              <w:textAlignment w:val="baseline"/>
              <w:rPr>
                <w:color w:val="4472C4" w:themeColor="accent1"/>
                <w:sz w:val="22"/>
                <w:szCs w:val="22"/>
              </w:rPr>
            </w:pPr>
            <w:hyperlink r:id="rId39" w:tgtFrame="_blank" w:history="1">
              <w:r w:rsidR="00524B3C" w:rsidRPr="001A1987">
                <w:rPr>
                  <w:color w:val="4472C4" w:themeColor="accent1"/>
                  <w:sz w:val="22"/>
                  <w:szCs w:val="22"/>
                  <w:u w:val="single"/>
                </w:rPr>
                <w:t>Milwaukee May 14 Order</w:t>
              </w:r>
            </w:hyperlink>
            <w:r w:rsidR="00524B3C" w:rsidRPr="001A1987">
              <w:rPr>
                <w:color w:val="4472C4" w:themeColor="accent1"/>
                <w:sz w:val="22"/>
                <w:szCs w:val="22"/>
              </w:rPr>
              <w:t> </w:t>
            </w:r>
          </w:p>
          <w:p w14:paraId="6A2D032D" w14:textId="77777777" w:rsidR="00524B3C" w:rsidRPr="001A1987" w:rsidRDefault="00D462AA" w:rsidP="00C83046">
            <w:pPr>
              <w:textAlignment w:val="baseline"/>
              <w:rPr>
                <w:color w:val="4472C4" w:themeColor="accent1"/>
                <w:sz w:val="22"/>
                <w:szCs w:val="22"/>
              </w:rPr>
            </w:pPr>
            <w:hyperlink r:id="rId40" w:tgtFrame="_blank" w:history="1">
              <w:r w:rsidR="00524B3C" w:rsidRPr="001A1987">
                <w:rPr>
                  <w:color w:val="4472C4" w:themeColor="accent1"/>
                  <w:sz w:val="22"/>
                  <w:szCs w:val="22"/>
                  <w:u w:val="single"/>
                </w:rPr>
                <w:t>Milwaukee Phase 3 Order</w:t>
              </w:r>
            </w:hyperlink>
            <w:r w:rsidR="00524B3C" w:rsidRPr="001A1987">
              <w:rPr>
                <w:color w:val="4472C4" w:themeColor="accent1"/>
                <w:sz w:val="22"/>
                <w:szCs w:val="22"/>
              </w:rPr>
              <w:t>  </w:t>
            </w:r>
          </w:p>
          <w:p w14:paraId="5BDFD087" w14:textId="77777777" w:rsidR="00524B3C" w:rsidRPr="001A1987" w:rsidRDefault="00D462AA" w:rsidP="00C83046">
            <w:pPr>
              <w:textAlignment w:val="baseline"/>
              <w:rPr>
                <w:color w:val="4472C4" w:themeColor="accent1"/>
                <w:sz w:val="22"/>
                <w:szCs w:val="22"/>
              </w:rPr>
            </w:pPr>
            <w:hyperlink r:id="rId41" w:tgtFrame="_blank" w:history="1">
              <w:r w:rsidR="00524B3C" w:rsidRPr="001A1987">
                <w:rPr>
                  <w:color w:val="4472C4" w:themeColor="accent1"/>
                  <w:sz w:val="22"/>
                  <w:szCs w:val="22"/>
                  <w:u w:val="single"/>
                </w:rPr>
                <w:t>Milwaukee Phase 4 Order</w:t>
              </w:r>
            </w:hyperlink>
            <w:r w:rsidR="00524B3C" w:rsidRPr="001A1987">
              <w:rPr>
                <w:color w:val="4472C4" w:themeColor="accent1"/>
                <w:sz w:val="22"/>
                <w:szCs w:val="22"/>
              </w:rPr>
              <w:t> </w:t>
            </w:r>
          </w:p>
        </w:tc>
        <w:tc>
          <w:tcPr>
            <w:tcW w:w="2693" w:type="dxa"/>
            <w:tcBorders>
              <w:top w:val="nil"/>
              <w:left w:val="nil"/>
              <w:bottom w:val="single" w:sz="6" w:space="0" w:color="000000"/>
              <w:right w:val="single" w:sz="6" w:space="0" w:color="000000"/>
            </w:tcBorders>
            <w:shd w:val="clear" w:color="auto" w:fill="auto"/>
            <w:vAlign w:val="center"/>
            <w:hideMark/>
          </w:tcPr>
          <w:p w14:paraId="344FBC8F" w14:textId="77777777" w:rsidR="00524B3C" w:rsidRPr="001A1987" w:rsidRDefault="00D462AA" w:rsidP="00C83046">
            <w:pPr>
              <w:textAlignment w:val="baseline"/>
              <w:rPr>
                <w:color w:val="4472C4" w:themeColor="accent1"/>
                <w:sz w:val="22"/>
                <w:szCs w:val="22"/>
              </w:rPr>
            </w:pPr>
            <w:hyperlink r:id="rId42" w:tgtFrame="_blank" w:history="1">
              <w:r w:rsidR="00524B3C" w:rsidRPr="001A1987">
                <w:rPr>
                  <w:color w:val="4472C4" w:themeColor="accent1"/>
                  <w:sz w:val="22"/>
                  <w:szCs w:val="22"/>
                  <w:u w:val="single"/>
                </w:rPr>
                <w:t>Wisconsin Safer at Home Order</w:t>
              </w:r>
            </w:hyperlink>
            <w:r w:rsidR="00524B3C" w:rsidRPr="001A1987">
              <w:rPr>
                <w:color w:val="4472C4" w:themeColor="accent1"/>
                <w:sz w:val="22"/>
                <w:szCs w:val="22"/>
              </w:rPr>
              <w:t> </w:t>
            </w:r>
          </w:p>
          <w:p w14:paraId="72019AE7" w14:textId="77777777" w:rsidR="00524B3C" w:rsidRPr="001A1987" w:rsidRDefault="00D462AA" w:rsidP="00C83046">
            <w:pPr>
              <w:textAlignment w:val="baseline"/>
              <w:rPr>
                <w:color w:val="4472C4" w:themeColor="accent1"/>
                <w:sz w:val="22"/>
                <w:szCs w:val="22"/>
              </w:rPr>
            </w:pPr>
            <w:hyperlink r:id="rId43" w:tgtFrame="_blank" w:history="1">
              <w:r w:rsidR="00524B3C" w:rsidRPr="001A1987">
                <w:rPr>
                  <w:color w:val="4472C4" w:themeColor="accent1"/>
                  <w:sz w:val="22"/>
                  <w:szCs w:val="22"/>
                  <w:u w:val="single"/>
                </w:rPr>
                <w:t>Wisconsin Supreme Court Strikes Down Stay-at-Home Order</w:t>
              </w:r>
            </w:hyperlink>
            <w:r w:rsidR="00524B3C" w:rsidRPr="001A1987">
              <w:rPr>
                <w:color w:val="4472C4" w:themeColor="accent1"/>
                <w:sz w:val="22"/>
                <w:szCs w:val="22"/>
              </w:rPr>
              <w:t> </w:t>
            </w:r>
          </w:p>
          <w:p w14:paraId="42A091C5" w14:textId="77777777" w:rsidR="00524B3C" w:rsidRPr="001A1987" w:rsidRDefault="00524B3C" w:rsidP="00C83046">
            <w:pPr>
              <w:textAlignment w:val="baseline"/>
              <w:rPr>
                <w:color w:val="4472C4" w:themeColor="accent1"/>
                <w:sz w:val="22"/>
                <w:szCs w:val="22"/>
              </w:rPr>
            </w:pPr>
            <w:r w:rsidRPr="001A1987">
              <w:rPr>
                <w:color w:val="4472C4" w:themeColor="accent1"/>
                <w:sz w:val="22"/>
                <w:szCs w:val="22"/>
              </w:rPr>
              <w:t> </w:t>
            </w:r>
          </w:p>
        </w:tc>
      </w:tr>
    </w:tbl>
    <w:p w14:paraId="4C7D91AE" w14:textId="7037515F" w:rsidR="00524B3C" w:rsidRPr="00030930" w:rsidRDefault="00524B3C" w:rsidP="00524B3C">
      <w:pPr>
        <w:rPr>
          <w:color w:val="000000"/>
          <w:sz w:val="22"/>
          <w:szCs w:val="22"/>
          <w:shd w:val="clear" w:color="auto" w:fill="FFFFFF"/>
        </w:rPr>
        <w:sectPr w:rsidR="00524B3C" w:rsidRPr="00030930" w:rsidSect="00C83046">
          <w:pgSz w:w="15840" w:h="12240" w:orient="landscape"/>
          <w:pgMar w:top="1440" w:right="1440" w:bottom="1440" w:left="1440" w:header="720" w:footer="720" w:gutter="0"/>
          <w:cols w:space="720"/>
          <w:docGrid w:linePitch="360"/>
        </w:sectPr>
      </w:pPr>
      <w:r w:rsidRPr="00A14B7A">
        <w:rPr>
          <w:sz w:val="22"/>
          <w:szCs w:val="22"/>
        </w:rPr>
        <w:t>We collect</w:t>
      </w:r>
      <w:r>
        <w:rPr>
          <w:sz w:val="22"/>
          <w:szCs w:val="22"/>
        </w:rPr>
        <w:t>ed</w:t>
      </w:r>
      <w:r w:rsidRPr="00A14B7A">
        <w:rPr>
          <w:sz w:val="22"/>
          <w:szCs w:val="22"/>
        </w:rPr>
        <w:t xml:space="preserve"> information on statewide and city/county orders from searching multiple publicly available databases, and state/city website</w:t>
      </w:r>
      <w:r>
        <w:rPr>
          <w:sz w:val="22"/>
          <w:szCs w:val="22"/>
        </w:rPr>
        <w:t>s</w:t>
      </w:r>
      <w:r w:rsidRPr="00A14B7A">
        <w:rPr>
          <w:sz w:val="22"/>
          <w:szCs w:val="22"/>
        </w:rPr>
        <w:t xml:space="preserve"> listing these orders and reviewing state/city order</w:t>
      </w:r>
      <w:r>
        <w:rPr>
          <w:sz w:val="22"/>
          <w:szCs w:val="22"/>
        </w:rPr>
        <w:t>s.</w:t>
      </w:r>
      <w:r w:rsidRPr="00A14B7A">
        <w:rPr>
          <w:sz w:val="22"/>
          <w:szCs w:val="22"/>
        </w:rPr>
        <w:t xml:space="preserve"> </w:t>
      </w:r>
      <w:r>
        <w:rPr>
          <w:sz w:val="22"/>
          <w:szCs w:val="22"/>
        </w:rPr>
        <w:t xml:space="preserve">We identified public statements by searching news articles, twitter posts, and state/city websites. </w:t>
      </w:r>
    </w:p>
    <w:p w14:paraId="084A9290" w14:textId="77777777" w:rsidR="00524B3C" w:rsidRDefault="00524B3C" w:rsidP="00524B3C">
      <w:pPr>
        <w:pStyle w:val="Heading1"/>
        <w:rPr>
          <w:rFonts w:ascii="Times New Roman" w:hAnsi="Times New Roman" w:cs="Times New Roman"/>
          <w:b/>
          <w:bCs/>
          <w:color w:val="auto"/>
          <w:sz w:val="24"/>
          <w:szCs w:val="24"/>
        </w:rPr>
      </w:pPr>
      <w:bookmarkStart w:id="7" w:name="_Toc68877760"/>
      <w:r>
        <w:rPr>
          <w:rFonts w:ascii="Times New Roman" w:hAnsi="Times New Roman" w:cs="Times New Roman"/>
          <w:b/>
          <w:bCs/>
          <w:color w:val="auto"/>
          <w:sz w:val="24"/>
          <w:szCs w:val="24"/>
        </w:rPr>
        <w:lastRenderedPageBreak/>
        <w:t>Appendix C: Model Specification</w:t>
      </w:r>
      <w:bookmarkEnd w:id="7"/>
    </w:p>
    <w:p w14:paraId="0A3D2090" w14:textId="77777777" w:rsidR="00C54603" w:rsidRDefault="00C54603" w:rsidP="00C54603">
      <w:pPr>
        <w:pStyle w:val="Heading2"/>
        <w:rPr>
          <w:rFonts w:ascii="Times New Roman" w:hAnsi="Times New Roman" w:cs="Times New Roman"/>
          <w:color w:val="auto"/>
          <w:sz w:val="24"/>
          <w:szCs w:val="24"/>
        </w:rPr>
      </w:pPr>
    </w:p>
    <w:p w14:paraId="02D39139" w14:textId="0F0EE69B" w:rsidR="00C54603" w:rsidRDefault="00C54603" w:rsidP="00C54603">
      <w:pPr>
        <w:pStyle w:val="Heading2"/>
        <w:rPr>
          <w:rFonts w:ascii="Times New Roman" w:hAnsi="Times New Roman" w:cs="Times New Roman"/>
          <w:color w:val="auto"/>
          <w:sz w:val="24"/>
          <w:szCs w:val="24"/>
        </w:rPr>
      </w:pPr>
      <w:bookmarkStart w:id="8" w:name="_Toc68877761"/>
      <w:r>
        <w:rPr>
          <w:rFonts w:ascii="Times New Roman" w:hAnsi="Times New Roman" w:cs="Times New Roman"/>
          <w:color w:val="auto"/>
          <w:sz w:val="24"/>
          <w:szCs w:val="24"/>
        </w:rPr>
        <w:t>Appendix C1: Model Specification and Description</w:t>
      </w:r>
      <w:bookmarkEnd w:id="8"/>
    </w:p>
    <w:p w14:paraId="5DA44AB9" w14:textId="77777777" w:rsidR="00C54603" w:rsidRDefault="00C54603" w:rsidP="00C54603">
      <w:pPr>
        <w:spacing w:line="480" w:lineRule="auto"/>
      </w:pPr>
    </w:p>
    <w:p w14:paraId="0954BD05" w14:textId="5AB78962" w:rsidR="00524B3C" w:rsidRDefault="00524B3C" w:rsidP="00524B3C">
      <w:pPr>
        <w:spacing w:line="480" w:lineRule="auto"/>
      </w:pPr>
      <w:r>
        <w:t xml:space="preserve">The </w:t>
      </w:r>
      <w:r w:rsidR="00767C9C">
        <w:t xml:space="preserve">main </w:t>
      </w:r>
      <w:r>
        <w:t>model specification is as follows:</w:t>
      </w:r>
    </w:p>
    <w:p w14:paraId="12E41195" w14:textId="63DA1CFA" w:rsidR="00524B3C" w:rsidRPr="006F0AA0" w:rsidRDefault="00D462AA" w:rsidP="00524B3C">
      <w:pPr>
        <w:spacing w:line="480" w:lineRule="auto"/>
        <w:ind w:firstLine="720"/>
      </w:pPr>
      <m:oMathPara>
        <m:oMath>
          <m:sSub>
            <m:sSubPr>
              <m:ctrlPr>
                <w:rPr>
                  <w:rFonts w:ascii="Cambria Math" w:hAnsi="Cambria Math"/>
                  <w:i/>
                </w:rPr>
              </m:ctrlPr>
            </m:sSubPr>
            <m:e>
              <m:r>
                <m:rPr>
                  <m:sty m:val="p"/>
                </m:rPr>
                <w:rPr>
                  <w:rFonts w:ascii="Cambria Math" w:hAnsi="Cambria Math"/>
                </w:rPr>
                <m:t>log⁡</m:t>
              </m:r>
              <m:r>
                <w:rPr>
                  <w:rFonts w:ascii="Cambria Math" w:hAnsi="Cambria Math"/>
                </w:rPr>
                <m:t>(daily cases)</m:t>
              </m:r>
            </m:e>
            <m:sub>
              <m:r>
                <w:rPr>
                  <w:rFonts w:ascii="Cambria Math" w:hAnsi="Cambria Math"/>
                </w:rPr>
                <m:t>ik</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Post</m:t>
              </m:r>
            </m:e>
            <m:sub>
              <m:r>
                <w:rPr>
                  <w:rFonts w:ascii="Cambria Math" w:hAnsi="Cambria Math"/>
                </w:rPr>
                <m:t>ik</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Dining Close</m:t>
          </m:r>
          <m:sSub>
            <m:sSubPr>
              <m:ctrlPr>
                <w:rPr>
                  <w:rFonts w:ascii="Cambria Math" w:hAnsi="Cambria Math"/>
                  <w:i/>
                </w:rPr>
              </m:ctrlPr>
            </m:sSubPr>
            <m:e>
              <m:r>
                <w:rPr>
                  <w:rFonts w:ascii="Cambria Math" w:hAnsi="Cambria Math"/>
                </w:rPr>
                <m:t>d</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DiningClose</m:t>
              </m:r>
              <m:sSub>
                <m:sSubPr>
                  <m:ctrlPr>
                    <w:rPr>
                      <w:rFonts w:ascii="Cambria Math" w:hAnsi="Cambria Math"/>
                      <w:i/>
                    </w:rPr>
                  </m:ctrlPr>
                </m:sSubPr>
                <m:e>
                  <m:r>
                    <w:rPr>
                      <w:rFonts w:ascii="Cambria Math" w:hAnsi="Cambria Math"/>
                    </w:rPr>
                    <m:t>d</m:t>
                  </m:r>
                </m:e>
                <m:sub>
                  <m:r>
                    <w:rPr>
                      <w:rFonts w:ascii="Cambria Math" w:hAnsi="Cambria Math"/>
                    </w:rPr>
                    <m:t>k</m:t>
                  </m:r>
                </m:sub>
              </m:sSub>
              <m:r>
                <w:rPr>
                  <w:rFonts w:ascii="Cambria Math" w:hAnsi="Cambria Math"/>
                </w:rPr>
                <m:t>*Post</m:t>
              </m:r>
            </m:e>
            <m:sub>
              <m:r>
                <w:rPr>
                  <w:rFonts w:ascii="Cambria Math" w:hAnsi="Cambria Math"/>
                </w:rPr>
                <m:t>ik</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X</m:t>
              </m:r>
            </m:e>
            <m:sub>
              <m:r>
                <w:rPr>
                  <w:rFonts w:ascii="Cambria Math" w:hAnsi="Cambria Math"/>
                </w:rPr>
                <m:t>ik</m:t>
              </m:r>
            </m:sub>
          </m:sSub>
          <m:r>
            <w:rPr>
              <w:rFonts w:ascii="Cambria Math" w:hAnsi="Cambria Math"/>
            </w:rPr>
            <m:t>+</m:t>
          </m:r>
          <m:sSub>
            <m:sSubPr>
              <m:ctrlPr>
                <w:rPr>
                  <w:rFonts w:ascii="Cambria Math" w:hAnsi="Cambria Math"/>
                  <w:i/>
                  <w:iCs/>
                </w:rPr>
              </m:ctrlPr>
            </m:sSubPr>
            <m:e>
              <m:r>
                <w:rPr>
                  <w:rFonts w:ascii="Cambria Math" w:hAnsi="Cambria Math"/>
                </w:rPr>
                <m:t>ln(population)</m:t>
              </m:r>
            </m:e>
            <m:sub>
              <m:r>
                <w:rPr>
                  <w:rFonts w:ascii="Cambria Math" w:hAnsi="Cambria Math"/>
                </w:rPr>
                <m:t>k</m:t>
              </m:r>
            </m:sub>
          </m:sSub>
        </m:oMath>
      </m:oMathPara>
    </w:p>
    <w:p w14:paraId="30AC4630" w14:textId="3F9B9232" w:rsidR="00046F08" w:rsidRPr="00494007" w:rsidRDefault="00524B3C" w:rsidP="00C54603">
      <w:pPr>
        <w:spacing w:line="480" w:lineRule="auto"/>
        <w:rPr>
          <w:rFonts w:eastAsiaTheme="minorEastAsia"/>
        </w:rPr>
      </w:pPr>
      <w:r>
        <w:t xml:space="preserve">Where we model the daily count of cases in each </w:t>
      </w:r>
      <w:r w:rsidRPr="00093785">
        <w:rPr>
          <w:i/>
          <w:iCs/>
        </w:rPr>
        <w:t>k</w:t>
      </w:r>
      <w:r>
        <w:t xml:space="preserve">th city on the </w:t>
      </w:r>
      <w:proofErr w:type="spellStart"/>
      <w:r w:rsidRPr="00093785">
        <w:rPr>
          <w:i/>
          <w:iCs/>
        </w:rPr>
        <w:t>i</w:t>
      </w:r>
      <w:r>
        <w:t>th</w:t>
      </w:r>
      <w:proofErr w:type="spellEnd"/>
      <w:r>
        <w:t xml:space="preserve"> day. For the treatment group the </w:t>
      </w:r>
      <w:r w:rsidRPr="00B538B9">
        <w:t xml:space="preserve">dummy variable </w:t>
      </w:r>
      <w:r w:rsidRPr="00B538B9">
        <w:rPr>
          <w:i/>
        </w:rPr>
        <w:t>Post</w:t>
      </w:r>
      <w:r>
        <w:t xml:space="preserve"> is coded as </w:t>
      </w:r>
      <w:r w:rsidRPr="00B538B9">
        <w:t>1</w:t>
      </w:r>
      <w:r>
        <w:t xml:space="preserve"> for days beginning 14</w:t>
      </w:r>
      <w:r w:rsidRPr="00B538B9">
        <w:t xml:space="preserve"> days post </w:t>
      </w:r>
      <w:r>
        <w:t>tim</w:t>
      </w:r>
      <w:r w:rsidR="002F56C6">
        <w:t>e-</w:t>
      </w:r>
      <w:r>
        <w:t>zero (with time</w:t>
      </w:r>
      <w:r w:rsidR="002F56C6">
        <w:t>-</w:t>
      </w:r>
      <w:r>
        <w:t>zero being the day the state reopened but the city remained closed), and 0 otherwise. For the comparison group, the variable Post is coded as 1 for days beginning 14 days post time</w:t>
      </w:r>
      <w:r w:rsidR="000F4DC4">
        <w:t>-</w:t>
      </w:r>
      <w:r>
        <w:t>zero (with time zero being the date the city re-opened indoor dining because it was preempted by the state), and 0 otherwise.</w:t>
      </w:r>
      <w:r w:rsidRPr="00B538B9">
        <w:t xml:space="preserve"> The </w:t>
      </w:r>
      <w:r>
        <w:rPr>
          <w:i/>
        </w:rPr>
        <w:t>Dining Closed</w:t>
      </w:r>
      <w:r w:rsidRPr="00B538B9">
        <w:t xml:space="preserve"> </w:t>
      </w:r>
      <w:r>
        <w:t xml:space="preserve">dummy variable is 1 in treatment cities (that </w:t>
      </w:r>
      <w:r w:rsidRPr="00B538B9">
        <w:t>kept indoor dining closed</w:t>
      </w:r>
      <w:r>
        <w:t>) and 0 in c</w:t>
      </w:r>
      <w:r w:rsidR="00AF4934">
        <w:t>omparison</w:t>
      </w:r>
      <w:r>
        <w:t xml:space="preserve"> cities (that </w:t>
      </w:r>
      <w:r w:rsidRPr="00B538B9">
        <w:t>attempted to keep indoor dining from opening but w</w:t>
      </w:r>
      <w:r>
        <w:t>ere</w:t>
      </w:r>
      <w:r w:rsidRPr="00B538B9">
        <w:t xml:space="preserve"> preempted from doing so</w:t>
      </w:r>
      <w:r>
        <w:t>).</w:t>
      </w:r>
      <w:r w:rsidRPr="00B538B9" w:rsidDel="00F8303A">
        <w:t xml:space="preserve"> </w:t>
      </w:r>
      <w:r w:rsidRPr="00B538B9">
        <w:rPr>
          <w:rFonts w:eastAsia="Cambria Math"/>
        </w:rPr>
        <w:t xml:space="preserve">Our main </w:t>
      </w:r>
      <w:r>
        <w:rPr>
          <w:rFonts w:eastAsia="Cambria Math"/>
        </w:rPr>
        <w:t>coefficient</w:t>
      </w:r>
      <w:r w:rsidRPr="00B538B9">
        <w:rPr>
          <w:rFonts w:eastAsia="Cambria Math"/>
        </w:rPr>
        <w:t xml:space="preserve"> of interest is </w:t>
      </w:r>
      <m:oMath>
        <m:sSub>
          <m:sSubPr>
            <m:ctrlPr>
              <w:rPr>
                <w:rFonts w:ascii="Cambria Math" w:hAnsi="Cambria Math"/>
                <w:i/>
              </w:rPr>
            </m:ctrlPr>
          </m:sSubPr>
          <m:e>
            <m:r>
              <w:rPr>
                <w:rFonts w:ascii="Cambria Math" w:hAnsi="Cambria Math"/>
              </w:rPr>
              <m:t>β</m:t>
            </m:r>
          </m:e>
          <m:sub>
            <m:r>
              <w:rPr>
                <w:rFonts w:ascii="Cambria Math" w:hAnsi="Cambria Math"/>
              </w:rPr>
              <m:t>3</m:t>
            </m:r>
          </m:sub>
        </m:sSub>
      </m:oMath>
      <w:r>
        <w:t xml:space="preserve">: by exponentiating </w:t>
      </w:r>
      <m:oMath>
        <m:sSub>
          <m:sSubPr>
            <m:ctrlPr>
              <w:rPr>
                <w:rFonts w:ascii="Cambria Math" w:hAnsi="Cambria Math"/>
                <w:i/>
              </w:rPr>
            </m:ctrlPr>
          </m:sSubPr>
          <m:e>
            <m:r>
              <w:rPr>
                <w:rFonts w:ascii="Cambria Math" w:hAnsi="Cambria Math"/>
              </w:rPr>
              <m:t>β</m:t>
            </m:r>
          </m:e>
          <m:sub>
            <m:r>
              <w:rPr>
                <w:rFonts w:ascii="Cambria Math" w:hAnsi="Cambria Math"/>
              </w:rPr>
              <m:t>3</m:t>
            </m:r>
          </m:sub>
        </m:sSub>
      </m:oMath>
      <w:r>
        <w:t xml:space="preserve"> we obtain the incidence rate ratio representing the </w:t>
      </w:r>
      <w:r w:rsidR="00A14C03">
        <w:t>association between</w:t>
      </w:r>
      <w:r w:rsidRPr="00B538B9">
        <w:t xml:space="preserve"> keeping indoor dining closed compared with </w:t>
      </w:r>
      <w:r>
        <w:t>re-</w:t>
      </w:r>
      <w:r w:rsidRPr="00B538B9">
        <w:t xml:space="preserve">opening indoor dining. </w:t>
      </w:r>
      <m:oMath>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X</m:t>
            </m:r>
          </m:e>
          <m:sub>
            <m:r>
              <w:rPr>
                <w:rFonts w:ascii="Cambria Math" w:hAnsi="Cambria Math"/>
              </w:rPr>
              <m:t>ik</m:t>
            </m:r>
          </m:sub>
        </m:sSub>
      </m:oMath>
      <w:r w:rsidRPr="00B538B9">
        <w:rPr>
          <w:rFonts w:eastAsiaTheme="minorEastAsia"/>
        </w:rPr>
        <w:t xml:space="preserve"> represents other </w:t>
      </w:r>
      <w:r>
        <w:rPr>
          <w:rFonts w:eastAsiaTheme="minorEastAsia"/>
        </w:rPr>
        <w:t xml:space="preserve">time-varying </w:t>
      </w:r>
      <w:r w:rsidRPr="00B538B9">
        <w:t>local mitigation &amp; reopening policies</w:t>
      </w:r>
      <w:r w:rsidRPr="00B538B9">
        <w:rPr>
          <w:rFonts w:eastAsiaTheme="minorEastAsia"/>
        </w:rPr>
        <w:t xml:space="preserve"> that may act as potential confounders</w:t>
      </w:r>
      <w:r>
        <w:rPr>
          <w:rFonts w:eastAsiaTheme="minorEastAsia"/>
        </w:rPr>
        <w:t>: stay at home orders,</w:t>
      </w:r>
      <w:r w:rsidRPr="00B538B9">
        <w:rPr>
          <w:rFonts w:eastAsiaTheme="minorEastAsia"/>
        </w:rPr>
        <w:t xml:space="preserve"> mask mandates</w:t>
      </w:r>
      <w:r>
        <w:rPr>
          <w:rFonts w:eastAsiaTheme="minorEastAsia"/>
        </w:rPr>
        <w:t>, and city/state eviction bans, with a 14-day lag from</w:t>
      </w:r>
      <w:r w:rsidR="00A14C03">
        <w:rPr>
          <w:rFonts w:eastAsiaTheme="minorEastAsia"/>
        </w:rPr>
        <w:t xml:space="preserve"> the</w:t>
      </w:r>
      <w:r>
        <w:rPr>
          <w:rFonts w:eastAsiaTheme="minorEastAsia"/>
        </w:rPr>
        <w:t xml:space="preserve"> date of policy implementation</w:t>
      </w:r>
      <w:r w:rsidR="00C54603">
        <w:rPr>
          <w:rFonts w:eastAsiaTheme="minorEastAsia"/>
        </w:rPr>
        <w:t>.</w:t>
      </w:r>
      <w:r w:rsidR="00F5417E">
        <w:rPr>
          <w:rFonts w:eastAsiaTheme="minorEastAsia"/>
        </w:rPr>
        <w:t xml:space="preserve"> </w:t>
      </w:r>
      <w:r w:rsidR="00046F08">
        <w:rPr>
          <w:rFonts w:eastAsiaTheme="minorEastAsia"/>
        </w:rPr>
        <w:t>We use a negative binomial model</w:t>
      </w:r>
      <w:r w:rsidR="00244F02">
        <w:rPr>
          <w:rFonts w:eastAsiaTheme="minorEastAsia"/>
        </w:rPr>
        <w:t>, with city population as the offset and</w:t>
      </w:r>
      <w:r w:rsidR="00046F08">
        <w:rPr>
          <w:rFonts w:eastAsiaTheme="minorEastAsia"/>
        </w:rPr>
        <w:t xml:space="preserve"> </w:t>
      </w:r>
      <w:r w:rsidR="00F5417E">
        <w:rPr>
          <w:rFonts w:eastAsiaTheme="minorEastAsia"/>
        </w:rPr>
        <w:t xml:space="preserve">with </w:t>
      </w:r>
      <w:r w:rsidR="00F5417E" w:rsidRPr="009E6EAE">
        <w:t>robust standard errors clustered at the city level.</w:t>
      </w:r>
    </w:p>
    <w:p w14:paraId="0D71FC66" w14:textId="77777777" w:rsidR="00524B3C" w:rsidRPr="000F5CAF" w:rsidRDefault="00524B3C" w:rsidP="00C54603">
      <w:pPr>
        <w:spacing w:line="480" w:lineRule="auto"/>
      </w:pPr>
      <w:r>
        <w:br w:type="page"/>
      </w:r>
    </w:p>
    <w:p w14:paraId="68EC9411" w14:textId="77777777" w:rsidR="00524B3C" w:rsidRPr="00E20A0E" w:rsidRDefault="00524B3C" w:rsidP="00524B3C">
      <w:pPr>
        <w:pStyle w:val="Heading1"/>
        <w:rPr>
          <w:rFonts w:ascii="Times New Roman" w:hAnsi="Times New Roman" w:cs="Times New Roman"/>
          <w:b/>
          <w:bCs/>
          <w:color w:val="auto"/>
          <w:sz w:val="24"/>
          <w:szCs w:val="24"/>
        </w:rPr>
      </w:pPr>
      <w:bookmarkStart w:id="9" w:name="_Toc68877762"/>
      <w:r w:rsidRPr="00E20A0E">
        <w:rPr>
          <w:rFonts w:ascii="Times New Roman" w:hAnsi="Times New Roman" w:cs="Times New Roman"/>
          <w:b/>
          <w:bCs/>
          <w:color w:val="auto"/>
          <w:sz w:val="24"/>
          <w:szCs w:val="24"/>
        </w:rPr>
        <w:lastRenderedPageBreak/>
        <w:t xml:space="preserve">Appendix </w:t>
      </w:r>
      <w:r>
        <w:rPr>
          <w:rFonts w:ascii="Times New Roman" w:hAnsi="Times New Roman" w:cs="Times New Roman"/>
          <w:b/>
          <w:bCs/>
          <w:color w:val="auto"/>
          <w:sz w:val="24"/>
          <w:szCs w:val="24"/>
        </w:rPr>
        <w:t>D</w:t>
      </w:r>
      <w:r w:rsidRPr="00E20A0E">
        <w:rPr>
          <w:rFonts w:ascii="Times New Roman" w:hAnsi="Times New Roman" w:cs="Times New Roman"/>
          <w:b/>
          <w:bCs/>
          <w:color w:val="auto"/>
          <w:sz w:val="24"/>
          <w:szCs w:val="24"/>
        </w:rPr>
        <w:t>: Robustness Checks</w:t>
      </w:r>
      <w:bookmarkEnd w:id="9"/>
      <w:r w:rsidRPr="00E20A0E">
        <w:rPr>
          <w:rFonts w:ascii="Times New Roman" w:hAnsi="Times New Roman" w:cs="Times New Roman"/>
          <w:b/>
          <w:bCs/>
          <w:color w:val="auto"/>
          <w:sz w:val="24"/>
          <w:szCs w:val="24"/>
        </w:rPr>
        <w:t xml:space="preserve"> </w:t>
      </w:r>
    </w:p>
    <w:p w14:paraId="56F94729" w14:textId="77777777" w:rsidR="00524B3C" w:rsidRPr="00C61B64" w:rsidRDefault="00524B3C" w:rsidP="00524B3C">
      <w:pPr>
        <w:rPr>
          <w:b/>
          <w:bCs/>
        </w:rPr>
      </w:pPr>
    </w:p>
    <w:p w14:paraId="3ADB0661" w14:textId="49B18CF1" w:rsidR="006B2F42" w:rsidRDefault="006B2F42" w:rsidP="00524B3C">
      <w:pPr>
        <w:pStyle w:val="Heading2"/>
        <w:rPr>
          <w:rFonts w:ascii="Times New Roman" w:hAnsi="Times New Roman" w:cs="Times New Roman"/>
          <w:color w:val="auto"/>
          <w:sz w:val="24"/>
          <w:szCs w:val="24"/>
        </w:rPr>
      </w:pPr>
      <w:bookmarkStart w:id="10" w:name="_Toc68877763"/>
      <w:r>
        <w:rPr>
          <w:rFonts w:ascii="Times New Roman" w:hAnsi="Times New Roman" w:cs="Times New Roman"/>
          <w:color w:val="auto"/>
          <w:sz w:val="24"/>
          <w:szCs w:val="24"/>
        </w:rPr>
        <w:t>Appendix D1: Description of sensitivity analysis</w:t>
      </w:r>
      <w:bookmarkEnd w:id="10"/>
    </w:p>
    <w:p w14:paraId="6E2B2787" w14:textId="77777777" w:rsidR="00E22398" w:rsidRPr="00E22398" w:rsidRDefault="00E22398" w:rsidP="00C54603"/>
    <w:p w14:paraId="614767F5" w14:textId="692BB5A6" w:rsidR="006F4FAA" w:rsidRDefault="00E22398" w:rsidP="006F4FAA">
      <w:pPr>
        <w:spacing w:line="480" w:lineRule="auto"/>
        <w:jc w:val="both"/>
      </w:pPr>
      <w:r>
        <w:t xml:space="preserve">As detailed in the main manuscript, we conducted </w:t>
      </w:r>
      <w:r w:rsidR="00604683">
        <w:t>six</w:t>
      </w:r>
      <w:r>
        <w:t xml:space="preserve"> sets of sensitivity analyses to test for robustness of our model to alternative specifications: </w:t>
      </w:r>
      <w:r w:rsidR="0088457F">
        <w:t>we</w:t>
      </w:r>
      <w:r w:rsidR="006F4FAA">
        <w:t>:</w:t>
      </w:r>
      <w:r w:rsidR="006F4FAA" w:rsidRPr="00A63FBA">
        <w:t xml:space="preserve"> (1) </w:t>
      </w:r>
      <w:r w:rsidR="006F4FAA">
        <w:t>extended</w:t>
      </w:r>
      <w:r w:rsidR="006F4FAA" w:rsidRPr="00A63FBA">
        <w:t xml:space="preserve"> the </w:t>
      </w:r>
      <w:r w:rsidR="006F4FAA">
        <w:t>duration of follow-up to 12 weeks and varied</w:t>
      </w:r>
      <w:r w:rsidR="006F4FAA" w:rsidRPr="00A63FBA">
        <w:t xml:space="preserve"> the pre-specified 2-week lag, (2) </w:t>
      </w:r>
      <w:r w:rsidR="006F4FAA">
        <w:t>excluded</w:t>
      </w:r>
      <w:r w:rsidR="006F4FAA" w:rsidRPr="00A63FBA">
        <w:t xml:space="preserve"> various cities, (3) </w:t>
      </w:r>
      <w:r w:rsidR="006F4FAA">
        <w:t>included</w:t>
      </w:r>
      <w:r w:rsidR="006F4FAA" w:rsidRPr="00A63FBA">
        <w:t xml:space="preserve"> calendar fixed-effects, (4) </w:t>
      </w:r>
      <w:r w:rsidR="006F4FAA">
        <w:t>used</w:t>
      </w:r>
      <w:r w:rsidR="006F4FAA" w:rsidRPr="00A63FBA">
        <w:t xml:space="preserve"> the dates treatment cities actually re-opened indoor dining rather than the dates the state allowed the treatment cities to re-open, (5) </w:t>
      </w:r>
      <w:r w:rsidR="006F4FAA">
        <w:t>used</w:t>
      </w:r>
      <w:r w:rsidR="006F4FAA" w:rsidRPr="00A63FBA">
        <w:t xml:space="preserve"> an event study model, an alternative specification of the </w:t>
      </w:r>
      <w:proofErr w:type="spellStart"/>
      <w:r w:rsidR="006F4FAA" w:rsidRPr="00A63FBA">
        <w:t>DiD</w:t>
      </w:r>
      <w:proofErr w:type="spellEnd"/>
      <w:r w:rsidR="006F4FAA" w:rsidRPr="00A63FBA">
        <w:t xml:space="preserve"> model, and (6) </w:t>
      </w:r>
      <w:r w:rsidR="006F4FAA">
        <w:t>repeated</w:t>
      </w:r>
      <w:r w:rsidR="006F4FAA" w:rsidRPr="00A63FBA">
        <w:t xml:space="preserve"> the analysis using death rates instead of case rates. </w:t>
      </w:r>
    </w:p>
    <w:p w14:paraId="6856E6D1" w14:textId="4A122976" w:rsidR="00F4659B" w:rsidRDefault="00F4659B" w:rsidP="006F4FAA">
      <w:pPr>
        <w:spacing w:line="480" w:lineRule="auto"/>
        <w:ind w:firstLine="720"/>
      </w:pPr>
      <w:r w:rsidRPr="00494007">
        <w:rPr>
          <w:u w:val="single"/>
        </w:rPr>
        <w:t>First</w:t>
      </w:r>
      <w:r>
        <w:t>, the main analysis</w:t>
      </w:r>
      <w:r w:rsidR="00944139">
        <w:t xml:space="preserve"> </w:t>
      </w:r>
      <w:r w:rsidR="002C3741">
        <w:t>includes a 6</w:t>
      </w:r>
      <w:r w:rsidR="00604683">
        <w:t>-</w:t>
      </w:r>
      <w:r w:rsidR="002C3741">
        <w:t>week</w:t>
      </w:r>
      <w:r w:rsidR="006F4FAA">
        <w:t xml:space="preserve"> </w:t>
      </w:r>
      <w:r w:rsidR="002C3741">
        <w:t>(</w:t>
      </w:r>
      <w:r w:rsidR="00EF7190">
        <w:t xml:space="preserve">2-week lag + 4-weeks post lag) </w:t>
      </w:r>
      <w:r w:rsidR="006F4FAA">
        <w:t>follow-up</w:t>
      </w:r>
      <w:r w:rsidR="00EF7190">
        <w:t xml:space="preserve"> period, and</w:t>
      </w:r>
      <w:r w:rsidR="000F345C">
        <w:t xml:space="preserve"> we tested extending the </w:t>
      </w:r>
      <w:r w:rsidR="00D46E3B">
        <w:t xml:space="preserve">follow-up period </w:t>
      </w:r>
      <w:r w:rsidR="000F345C">
        <w:t>to 12 weeks.</w:t>
      </w:r>
      <w:r w:rsidR="00EF7190">
        <w:t xml:space="preserve"> Our main analysis also</w:t>
      </w:r>
      <w:r>
        <w:t xml:space="preserve"> uses a 2-week lag to account for delays from infection to case reporting</w:t>
      </w:r>
      <w:r w:rsidR="00EF7190">
        <w:t>, and w</w:t>
      </w:r>
      <w:r>
        <w:t xml:space="preserve">e considered alternative lag periods of 9-days, 3-weeks, and 4-weeks. </w:t>
      </w:r>
      <w:r w:rsidRPr="00494007">
        <w:rPr>
          <w:u w:val="single"/>
        </w:rPr>
        <w:t>Second</w:t>
      </w:r>
      <w:r>
        <w:t>, w</w:t>
      </w:r>
      <w:r w:rsidRPr="00B538B9">
        <w:t>e limit</w:t>
      </w:r>
      <w:r>
        <w:t>ed</w:t>
      </w:r>
      <w:r w:rsidRPr="00B538B9">
        <w:t xml:space="preserve"> our analysis to only the cities in the BCHC</w:t>
      </w:r>
      <w:r>
        <w:t>,</w:t>
      </w:r>
      <w:r w:rsidRPr="00B538B9">
        <w:t xml:space="preserve"> to te</w:t>
      </w:r>
      <w:r>
        <w:t xml:space="preserve">st if city selection impacts estimated </w:t>
      </w:r>
      <w:r w:rsidR="0030713B">
        <w:t>impacts</w:t>
      </w:r>
      <w:r>
        <w:t xml:space="preserve">. We additionally tested removing San Francisco (state allowed the </w:t>
      </w:r>
      <w:r w:rsidR="00604683">
        <w:t>city</w:t>
      </w:r>
      <w:r>
        <w:t xml:space="preserve"> to open 8/31) from the analysis, to test if patterns of declined cases after delaying re-opening were explained by seasonal differences. </w:t>
      </w:r>
      <w:r w:rsidRPr="00494007">
        <w:rPr>
          <w:u w:val="single"/>
        </w:rPr>
        <w:t>Third</w:t>
      </w:r>
      <w:r>
        <w:t xml:space="preserve">, to control for any time varying between city seasonal or disease dynamic effects we also included a calendar week fixed effect in the main model. </w:t>
      </w:r>
      <w:r w:rsidRPr="00494007">
        <w:rPr>
          <w:rFonts w:eastAsiaTheme="minorHAnsi"/>
          <w:u w:val="single"/>
        </w:rPr>
        <w:t>Fourth</w:t>
      </w:r>
      <w:r>
        <w:rPr>
          <w:rFonts w:eastAsiaTheme="minorHAnsi"/>
          <w:noProof/>
        </w:rPr>
        <w:t xml:space="preserve">, </w:t>
      </w:r>
      <w:r>
        <w:t xml:space="preserve">to further assesses if changes in case rates appeared to be related to re-opening indoor dining, we compared case rates in treatment cities before and after the cities </w:t>
      </w:r>
      <w:proofErr w:type="gramStart"/>
      <w:r>
        <w:t>actually reopened</w:t>
      </w:r>
      <w:proofErr w:type="gramEnd"/>
      <w:r>
        <w:t>,</w:t>
      </w:r>
      <w:r w:rsidRPr="002C2A3D">
        <w:t xml:space="preserve"> using the city-specific dates of re-opening</w:t>
      </w:r>
      <w:r>
        <w:t xml:space="preserve"> rather than the dates the state allowed the treatment cities to re-open</w:t>
      </w:r>
      <w:r w:rsidRPr="002C2A3D">
        <w:t xml:space="preserve"> </w:t>
      </w:r>
      <w:r>
        <w:t>(dates in the column, “</w:t>
      </w:r>
      <w:r w:rsidRPr="00527EA6">
        <w:t>Indoor Dining Reopen Date-City</w:t>
      </w:r>
      <w:r>
        <w:t xml:space="preserve">” in Appendix Exhibit A1), but do not conduct any formal tests. </w:t>
      </w:r>
    </w:p>
    <w:p w14:paraId="52FB69F3" w14:textId="26A1B1BE" w:rsidR="00C11D0C" w:rsidRDefault="00F4659B" w:rsidP="009A440B">
      <w:pPr>
        <w:spacing w:line="480" w:lineRule="auto"/>
        <w:ind w:firstLine="720"/>
      </w:pPr>
      <w:r w:rsidRPr="00EB07EA">
        <w:rPr>
          <w:u w:val="single"/>
        </w:rPr>
        <w:lastRenderedPageBreak/>
        <w:t>Fifth</w:t>
      </w:r>
      <w:r>
        <w:t>, w</w:t>
      </w:r>
      <w:r w:rsidR="00905C57">
        <w:t>e employ an event study</w:t>
      </w:r>
      <w:r w:rsidR="00A111A1">
        <w:t xml:space="preserve"> </w:t>
      </w:r>
      <w:r w:rsidR="00EA7672">
        <w:t>specification</w:t>
      </w:r>
      <w:r w:rsidR="00905C57">
        <w:t xml:space="preserve">, which is </w:t>
      </w:r>
      <w:proofErr w:type="gramStart"/>
      <w:r w:rsidR="00905C57">
        <w:t>similar to</w:t>
      </w:r>
      <w:proofErr w:type="gramEnd"/>
      <w:r w:rsidR="00905C57">
        <w:t xml:space="preserve"> our main difference-in-differences model, to examine whether the effects of re-opening indoor dining differ in the weeks following re-opening. The event-study specification has been used recently to examine the effect of eviction moratoriums and mask mandates</w:t>
      </w:r>
      <w:r w:rsidR="004A3C7E">
        <w:t xml:space="preserve">, and </w:t>
      </w:r>
      <w:proofErr w:type="gramStart"/>
      <w:r w:rsidR="004A3C7E">
        <w:t>on-premise</w:t>
      </w:r>
      <w:proofErr w:type="gramEnd"/>
      <w:r w:rsidR="004A3C7E">
        <w:t xml:space="preserve"> dining</w:t>
      </w:r>
      <w:r w:rsidR="00905C57">
        <w:t xml:space="preserve"> on COVID-19 incidence</w:t>
      </w:r>
      <w:r w:rsidR="000078F4">
        <w:fldChar w:fldCharType="begin">
          <w:fldData xml:space="preserve">PEVuZE5vdGU+PENpdGU+PEF1dGhvcj5MeXU8L0F1dGhvcj48WWVhcj4yMDIwPC9ZZWFyPjxSZWNO
dW0+MzkwNTwvUmVjTnVtPjxEaXNwbGF5VGV4dD48c3R5bGUgZmFjZT0ic3VwZXJzY3JpcHQiPjEt
Mzwvc3R5bGU+PC9EaXNwbGF5VGV4dD48cmVjb3JkPjxyZWMtbnVtYmVyPjM5MDU8L3JlYy1udW1i
ZXI+PGZvcmVpZ24ta2V5cz48a2V5IGFwcD0iRU4iIGRiLWlkPSIyZHB4ZXc5ZjlkZmVhcmU5Mjk4
djB4dmRkd3R2YTA1ZDJwZHciIHRpbWVzdGFtcD0iMTYwNzAzNjY5MCI+MzkwNTwva2V5PjwvZm9y
ZWlnbi1rZXlzPjxyZWYtdHlwZSBuYW1lPSJKb3VybmFsIEFydGljbGUiPjE3PC9yZWYtdHlwZT48
Y29udHJpYnV0b3JzPjxhdXRob3JzPjxhdXRob3I+THl1LCBXZWk8L2F1dGhvcj48YXV0aG9yPldl
aGJ5LCBHZW9yZ2UgTDwvYXV0aG9yPjwvYXV0aG9ycz48L2NvbnRyaWJ1dG9ycz48dGl0bGVzPjx0
aXRsZT5Db21tdW5pdHkgVXNlIE9mIEZhY2UgTWFza3MgQW5kIENPVklELTE5OiBFdmlkZW5jZSBG
cm9tIEEgTmF0dXJhbCBFeHBlcmltZW50IE9mIFN0YXRlIE1hbmRhdGVzIEluIFRoZSBVUzogU3R1
ZHkgZXhhbWluZXMgaW1wYWN0IG9uIENPVklELTE5IGdyb3d0aCByYXRlcyBhc3NvY2lhdGVkIHdp
dGggc3RhdGUgZ292ZXJubWVudCBtYW5kYXRlcyByZXF1aXJpbmcgZmFjZSBtYXNrIHVzZSBpbiBw
dWJsaWM8L3RpdGxlPjxzZWNvbmRhcnktdGl0bGU+SGVhbHRoIEFmZmFpcnM8L3NlY29uZGFyeS10
aXRsZT48L3RpdGxlcz48cGVyaW9kaWNhbD48ZnVsbC10aXRsZT5IZWFsdGggYWZmYWlyczwvZnVs
bC10aXRsZT48L3BlcmlvZGljYWw+PHBhZ2VzPjE0MTktMTQyNTwvcGFnZXM+PHZvbHVtZT4zOTwv
dm9sdW1lPjxudW1iZXI+ODwvbnVtYmVyPjxkYXRlcz48eWVhcj4yMDIwPC95ZWFyPjwvZGF0ZXM+
PGlzYm4+MDI3OC0yNzE1PC9pc2JuPjx1cmxzPjwvdXJscz48ZWxlY3Ryb25pYy1yZXNvdXJjZS1u
dW0+aHR0cHM6Ly9kb2kub3JnLzEwLjEzNzcvaGx0aGFmZi4yMDIwLjAwODE4PC9lbGVjdHJvbmlj
LXJlc291cmNlLW51bT48L3JlY29yZD48L0NpdGU+PENpdGU+PEF1dGhvcj5MZWlmaGVpdDwvQXV0
aG9yPjxZZWFyPjIwMjA8L1llYXI+PFJlY051bT4zOTY2PC9SZWNOdW0+PHJlY29yZD48cmVjLW51
bWJlcj4zOTY2PC9yZWMtbnVtYmVyPjxmb3JlaWduLWtleXM+PGtleSBhcHA9IkVOIiBkYi1pZD0i
MmRweGV3OWY5ZGZlYXJlOTI5OHYweHZkZHd0dmEwNWQycGR3IiB0aW1lc3RhbXA9IjE2MTAzOTQx
MDEiPjM5NjY8L2tleT48L2ZvcmVpZ24ta2V5cz48cmVmLXR5cGUgbmFtZT0iSm91cm5hbCBBcnRp
Y2xlIj4xNzwvcmVmLXR5cGU+PGNvbnRyaWJ1dG9ycz48YXV0aG9ycz48YXV0aG9yPkxlaWZoZWl0
LCBLYXRocnluIE08L2F1dGhvcj48YXV0aG9yPkxpbnRvbiwgU2Ficml5YSBMPC9hdXRob3I+PGF1
dGhvcj5SYWlmbWFuLCBKdWxpYTwvYXV0aG9yPjxhdXRob3I+U2Nod2FydHosIEdhYnJpZWw8L2F1
dGhvcj48YXV0aG9yPkJlbmZlciwgRW1pbHkgQTwvYXV0aG9yPjxhdXRob3I+WmltbWVybWFuLCBG
cmVkZXJpY2sgSjwvYXV0aG9yPjxhdXRob3I+UG9sbGFjaywgQ3JhaWc8L2F1dGhvcj48L2F1dGhv
cnM+PC9jb250cmlidXRvcnM+PHRpdGxlcz48dGl0bGU+RXhwaXJpbmcgRXZpY3Rpb24gTW9yYXRv
cml1bXMgYW5kIENPVklELTE5IEluY2lkZW5jZSBhbmQgTW9ydGFsaXR5PC90aXRsZT48c2Vjb25k
YXJ5LXRpdGxlPkF2YWlsYWJsZSBhdCBTU1JOIDM3Mzk1NzY8L3NlY29uZGFyeS10aXRsZT48L3Rp
dGxlcz48cGVyaW9kaWNhbD48ZnVsbC10aXRsZT5BdmFpbGFibGUgYXQgU1NSTiAzNzM5NTc2PC9m
dWxsLXRpdGxlPjwvcGVyaW9kaWNhbD48ZGF0ZXM+PHllYXI+MjAyMDwveWVhcj48L2RhdGVzPjx1
cmxzPjwvdXJscz48L3JlY29yZD48L0NpdGU+PENpdGU+PEF1dGhvcj5HdXkgSnI8L0F1dGhvcj48
WWVhcj4yMDIxPC9ZZWFyPjxSZWNOdW0+NDAzNjwvUmVjTnVtPjxyZWNvcmQ+PHJlYy1udW1iZXI+
NDAzNjwvcmVjLW51bWJlcj48Zm9yZWlnbi1rZXlzPjxrZXkgYXBwPSJFTiIgZGItaWQ9IjJkcHhl
dzlmOWRmZWFyZTkyOTh2MHh2ZGR3dHZhMDVkMnBkdyIgdGltZXN0YW1wPSIxNjE3NTM1MTI3Ij40
MDM2PC9rZXk+PC9mb3JlaWduLWtleXM+PHJlZi10eXBlIG5hbWU9IkpvdXJuYWwgQXJ0aWNsZSI+
MTc8L3JlZi10eXBlPjxjb250cmlidXRvcnM+PGF1dGhvcnM+PGF1dGhvcj5HdXkgSnIsIEdlcnkg
UDwvYXV0aG9yPjxhdXRob3I+TGVlLCBGbG9yZW5jZSBDPC9hdXRob3I+PGF1dGhvcj5TdW5zaGlu
ZSwgR3JlZ29yeTwvYXV0aG9yPjxhdXRob3I+TWNDb3JkLCBSdXNzZWxsPC9hdXRob3I+PGF1dGhv
cj5Ib3dhcmQtV2lsbGlhbXMsIE1hcmE8L2F1dGhvcj48YXV0aG9yPktvbXBhbml5ZXRzLCBMeXVk
bXlsYTwvYXV0aG9yPjxhdXRob3I+RHVucGh5LCBDaHJpc3RvcGhlcjwvYXV0aG9yPjxhdXRob3I+
R2FraCwgTWF4aW08L2F1dGhvcj48YXV0aG9yPldlYmVyLCBSZWdlbjwvYXV0aG9yPjxhdXRob3I+
U2F1YmVyLVNjaGF0eiwgRXJpbjwvYXV0aG9yPjwvYXV0aG9ycz48L2NvbnRyaWJ1dG9ycz48dGl0
bGVzPjx0aXRsZT5Bc3NvY2lhdGlvbiBvZiBTdGF0ZS1Jc3N1ZWQgTWFzayBNYW5kYXRlcyBhbmQg
QWxsb3dpbmcgT24tUHJlbWlzZXMgUmVzdGF1cmFudCBEaW5pbmcgd2l0aCBDb3VudHktTGV2ZWwg
Q09WSUQtMTkgQ2FzZSBhbmQgRGVhdGggR3Jvd3RoIFJhdGVz4oCUVW5pdGVkIFN0YXRlcywgTWFy
Y2ggMeKAk0RlY2VtYmVyIDMxLCAyMDIwPC90aXRsZT48c2Vjb25kYXJ5LXRpdGxlPk1vcmJpZGl0
eSBhbmQgTW9ydGFsaXR5IFdlZWtseSBSZXBvcnQ8L3NlY29uZGFyeS10aXRsZT48L3RpdGxlcz48
cGVyaW9kaWNhbD48ZnVsbC10aXRsZT5Nb3JiaWRpdHkgYW5kIE1vcnRhbGl0eSBXZWVrbHkgUmVw
b3J0PC9mdWxsLXRpdGxlPjwvcGVyaW9kaWNhbD48cGFnZXM+MzUwPC9wYWdlcz48dm9sdW1lPjcw
PC92b2x1bWU+PG51bWJlcj4xMDwvbnVtYmVyPjxkYXRlcz48eWVhcj4yMDIxPC95ZWFyPjwvZGF0
ZXM+PHVybHM+PC91cmxzPjwvcmVjb3JkPjwvQ2l0ZT48L0VuZE5vdGU+AG==
</w:fldData>
        </w:fldChar>
      </w:r>
      <w:r w:rsidR="000078F4">
        <w:instrText xml:space="preserve"> ADDIN EN.CITE </w:instrText>
      </w:r>
      <w:r w:rsidR="000078F4">
        <w:fldChar w:fldCharType="begin">
          <w:fldData xml:space="preserve">PEVuZE5vdGU+PENpdGU+PEF1dGhvcj5MeXU8L0F1dGhvcj48WWVhcj4yMDIwPC9ZZWFyPjxSZWNO
dW0+MzkwNTwvUmVjTnVtPjxEaXNwbGF5VGV4dD48c3R5bGUgZmFjZT0ic3VwZXJzY3JpcHQiPjEt
Mzwvc3R5bGU+PC9EaXNwbGF5VGV4dD48cmVjb3JkPjxyZWMtbnVtYmVyPjM5MDU8L3JlYy1udW1i
ZXI+PGZvcmVpZ24ta2V5cz48a2V5IGFwcD0iRU4iIGRiLWlkPSIyZHB4ZXc5ZjlkZmVhcmU5Mjk4
djB4dmRkd3R2YTA1ZDJwZHciIHRpbWVzdGFtcD0iMTYwNzAzNjY5MCI+MzkwNTwva2V5PjwvZm9y
ZWlnbi1rZXlzPjxyZWYtdHlwZSBuYW1lPSJKb3VybmFsIEFydGljbGUiPjE3PC9yZWYtdHlwZT48
Y29udHJpYnV0b3JzPjxhdXRob3JzPjxhdXRob3I+THl1LCBXZWk8L2F1dGhvcj48YXV0aG9yPldl
aGJ5LCBHZW9yZ2UgTDwvYXV0aG9yPjwvYXV0aG9ycz48L2NvbnRyaWJ1dG9ycz48dGl0bGVzPjx0
aXRsZT5Db21tdW5pdHkgVXNlIE9mIEZhY2UgTWFza3MgQW5kIENPVklELTE5OiBFdmlkZW5jZSBG
cm9tIEEgTmF0dXJhbCBFeHBlcmltZW50IE9mIFN0YXRlIE1hbmRhdGVzIEluIFRoZSBVUzogU3R1
ZHkgZXhhbWluZXMgaW1wYWN0IG9uIENPVklELTE5IGdyb3d0aCByYXRlcyBhc3NvY2lhdGVkIHdp
dGggc3RhdGUgZ292ZXJubWVudCBtYW5kYXRlcyByZXF1aXJpbmcgZmFjZSBtYXNrIHVzZSBpbiBw
dWJsaWM8L3RpdGxlPjxzZWNvbmRhcnktdGl0bGU+SGVhbHRoIEFmZmFpcnM8L3NlY29uZGFyeS10
aXRsZT48L3RpdGxlcz48cGVyaW9kaWNhbD48ZnVsbC10aXRsZT5IZWFsdGggYWZmYWlyczwvZnVs
bC10aXRsZT48L3BlcmlvZGljYWw+PHBhZ2VzPjE0MTktMTQyNTwvcGFnZXM+PHZvbHVtZT4zOTwv
dm9sdW1lPjxudW1iZXI+ODwvbnVtYmVyPjxkYXRlcz48eWVhcj4yMDIwPC95ZWFyPjwvZGF0ZXM+
PGlzYm4+MDI3OC0yNzE1PC9pc2JuPjx1cmxzPjwvdXJscz48ZWxlY3Ryb25pYy1yZXNvdXJjZS1u
dW0+aHR0cHM6Ly9kb2kub3JnLzEwLjEzNzcvaGx0aGFmZi4yMDIwLjAwODE4PC9lbGVjdHJvbmlj
LXJlc291cmNlLW51bT48L3JlY29yZD48L0NpdGU+PENpdGU+PEF1dGhvcj5MZWlmaGVpdDwvQXV0
aG9yPjxZZWFyPjIwMjA8L1llYXI+PFJlY051bT4zOTY2PC9SZWNOdW0+PHJlY29yZD48cmVjLW51
bWJlcj4zOTY2PC9yZWMtbnVtYmVyPjxmb3JlaWduLWtleXM+PGtleSBhcHA9IkVOIiBkYi1pZD0i
MmRweGV3OWY5ZGZlYXJlOTI5OHYweHZkZHd0dmEwNWQycGR3IiB0aW1lc3RhbXA9IjE2MTAzOTQx
MDEiPjM5NjY8L2tleT48L2ZvcmVpZ24ta2V5cz48cmVmLXR5cGUgbmFtZT0iSm91cm5hbCBBcnRp
Y2xlIj4xNzwvcmVmLXR5cGU+PGNvbnRyaWJ1dG9ycz48YXV0aG9ycz48YXV0aG9yPkxlaWZoZWl0
LCBLYXRocnluIE08L2F1dGhvcj48YXV0aG9yPkxpbnRvbiwgU2Ficml5YSBMPC9hdXRob3I+PGF1
dGhvcj5SYWlmbWFuLCBKdWxpYTwvYXV0aG9yPjxhdXRob3I+U2Nod2FydHosIEdhYnJpZWw8L2F1
dGhvcj48YXV0aG9yPkJlbmZlciwgRW1pbHkgQTwvYXV0aG9yPjxhdXRob3I+WmltbWVybWFuLCBG
cmVkZXJpY2sgSjwvYXV0aG9yPjxhdXRob3I+UG9sbGFjaywgQ3JhaWc8L2F1dGhvcj48L2F1dGhv
cnM+PC9jb250cmlidXRvcnM+PHRpdGxlcz48dGl0bGU+RXhwaXJpbmcgRXZpY3Rpb24gTW9yYXRv
cml1bXMgYW5kIENPVklELTE5IEluY2lkZW5jZSBhbmQgTW9ydGFsaXR5PC90aXRsZT48c2Vjb25k
YXJ5LXRpdGxlPkF2YWlsYWJsZSBhdCBTU1JOIDM3Mzk1NzY8L3NlY29uZGFyeS10aXRsZT48L3Rp
dGxlcz48cGVyaW9kaWNhbD48ZnVsbC10aXRsZT5BdmFpbGFibGUgYXQgU1NSTiAzNzM5NTc2PC9m
dWxsLXRpdGxlPjwvcGVyaW9kaWNhbD48ZGF0ZXM+PHllYXI+MjAyMDwveWVhcj48L2RhdGVzPjx1
cmxzPjwvdXJscz48L3JlY29yZD48L0NpdGU+PENpdGU+PEF1dGhvcj5HdXkgSnI8L0F1dGhvcj48
WWVhcj4yMDIxPC9ZZWFyPjxSZWNOdW0+NDAzNjwvUmVjTnVtPjxyZWNvcmQ+PHJlYy1udW1iZXI+
NDAzNjwvcmVjLW51bWJlcj48Zm9yZWlnbi1rZXlzPjxrZXkgYXBwPSJFTiIgZGItaWQ9IjJkcHhl
dzlmOWRmZWFyZTkyOTh2MHh2ZGR3dHZhMDVkMnBkdyIgdGltZXN0YW1wPSIxNjE3NTM1MTI3Ij40
MDM2PC9rZXk+PC9mb3JlaWduLWtleXM+PHJlZi10eXBlIG5hbWU9IkpvdXJuYWwgQXJ0aWNsZSI+
MTc8L3JlZi10eXBlPjxjb250cmlidXRvcnM+PGF1dGhvcnM+PGF1dGhvcj5HdXkgSnIsIEdlcnkg
UDwvYXV0aG9yPjxhdXRob3I+TGVlLCBGbG9yZW5jZSBDPC9hdXRob3I+PGF1dGhvcj5TdW5zaGlu
ZSwgR3JlZ29yeTwvYXV0aG9yPjxhdXRob3I+TWNDb3JkLCBSdXNzZWxsPC9hdXRob3I+PGF1dGhv
cj5Ib3dhcmQtV2lsbGlhbXMsIE1hcmE8L2F1dGhvcj48YXV0aG9yPktvbXBhbml5ZXRzLCBMeXVk
bXlsYTwvYXV0aG9yPjxhdXRob3I+RHVucGh5LCBDaHJpc3RvcGhlcjwvYXV0aG9yPjxhdXRob3I+
R2FraCwgTWF4aW08L2F1dGhvcj48YXV0aG9yPldlYmVyLCBSZWdlbjwvYXV0aG9yPjxhdXRob3I+
U2F1YmVyLVNjaGF0eiwgRXJpbjwvYXV0aG9yPjwvYXV0aG9ycz48L2NvbnRyaWJ1dG9ycz48dGl0
bGVzPjx0aXRsZT5Bc3NvY2lhdGlvbiBvZiBTdGF0ZS1Jc3N1ZWQgTWFzayBNYW5kYXRlcyBhbmQg
QWxsb3dpbmcgT24tUHJlbWlzZXMgUmVzdGF1cmFudCBEaW5pbmcgd2l0aCBDb3VudHktTGV2ZWwg
Q09WSUQtMTkgQ2FzZSBhbmQgRGVhdGggR3Jvd3RoIFJhdGVz4oCUVW5pdGVkIFN0YXRlcywgTWFy
Y2ggMeKAk0RlY2VtYmVyIDMxLCAyMDIwPC90aXRsZT48c2Vjb25kYXJ5LXRpdGxlPk1vcmJpZGl0
eSBhbmQgTW9ydGFsaXR5IFdlZWtseSBSZXBvcnQ8L3NlY29uZGFyeS10aXRsZT48L3RpdGxlcz48
cGVyaW9kaWNhbD48ZnVsbC10aXRsZT5Nb3JiaWRpdHkgYW5kIE1vcnRhbGl0eSBXZWVrbHkgUmVw
b3J0PC9mdWxsLXRpdGxlPjwvcGVyaW9kaWNhbD48cGFnZXM+MzUwPC9wYWdlcz48dm9sdW1lPjcw
PC92b2x1bWU+PG51bWJlcj4xMDwvbnVtYmVyPjxkYXRlcz48eWVhcj4yMDIxPC95ZWFyPjwvZGF0
ZXM+PHVybHM+PC91cmxzPjwvcmVjb3JkPjwvQ2l0ZT48L0VuZE5vdGU+AG==
</w:fldData>
        </w:fldChar>
      </w:r>
      <w:r w:rsidR="000078F4">
        <w:instrText xml:space="preserve"> ADDIN EN.CITE.DATA </w:instrText>
      </w:r>
      <w:r w:rsidR="000078F4">
        <w:fldChar w:fldCharType="end"/>
      </w:r>
      <w:r w:rsidR="000078F4">
        <w:fldChar w:fldCharType="separate"/>
      </w:r>
      <w:r w:rsidR="000078F4" w:rsidRPr="000078F4">
        <w:rPr>
          <w:noProof/>
          <w:vertAlign w:val="superscript"/>
        </w:rPr>
        <w:t>1-3</w:t>
      </w:r>
      <w:r w:rsidR="000078F4">
        <w:fldChar w:fldCharType="end"/>
      </w:r>
      <w:r w:rsidR="00905C57">
        <w:t xml:space="preserve">. We estimated the impact of re-opening, rather than keeping indoor dining closed as the treatment, because we expected a change in trend after re-opening. </w:t>
      </w:r>
      <w:r w:rsidR="0057150C">
        <w:t>Though the model allows for estimation of changing growth rates by week, it does not take advantage of our counterfactual comparison group</w:t>
      </w:r>
      <w:r w:rsidR="00227595">
        <w:t>, because it</w:t>
      </w:r>
      <w:r w:rsidR="0034235E">
        <w:t xml:space="preserve"> uses the date of re-opening for all cities, rather than comparing cities that re-opened to those that remained closed</w:t>
      </w:r>
      <w:r w:rsidR="0010072F">
        <w:t xml:space="preserve">, so may be </w:t>
      </w:r>
      <w:r w:rsidR="00054824">
        <w:t xml:space="preserve">subject to additional </w:t>
      </w:r>
      <w:r w:rsidR="0069770A">
        <w:t>selection</w:t>
      </w:r>
      <w:r w:rsidR="00054824">
        <w:t xml:space="preserve"> </w:t>
      </w:r>
      <w:r w:rsidR="0069770A">
        <w:t xml:space="preserve">bias. </w:t>
      </w:r>
      <w:r w:rsidR="0034235E">
        <w:t xml:space="preserve"> </w:t>
      </w:r>
      <w:r w:rsidR="00C11D0C">
        <w:t xml:space="preserve"> </w:t>
      </w:r>
    </w:p>
    <w:p w14:paraId="21660456" w14:textId="729ED918" w:rsidR="00905C57" w:rsidRDefault="00905C57" w:rsidP="009A440B">
      <w:pPr>
        <w:spacing w:line="480" w:lineRule="auto"/>
        <w:ind w:firstLine="720"/>
      </w:pPr>
      <w:r>
        <w:t xml:space="preserve">We estimate the following model, using city-level daily data: </w:t>
      </w:r>
    </w:p>
    <w:p w14:paraId="61C10AA4" w14:textId="77777777" w:rsidR="00905C57" w:rsidRDefault="00905C57" w:rsidP="00905C57">
      <w:pPr>
        <w:rPr>
          <w:b/>
          <w:bCs/>
          <w:sz w:val="22"/>
          <w:szCs w:val="22"/>
        </w:rPr>
      </w:pPr>
    </w:p>
    <w:p w14:paraId="45C226A5" w14:textId="7FC68D5C" w:rsidR="00905C57" w:rsidRPr="006F0AA0" w:rsidRDefault="00D462AA" w:rsidP="00905C57">
      <w:pPr>
        <w:spacing w:line="480" w:lineRule="auto"/>
        <w:ind w:firstLine="720"/>
      </w:pPr>
      <m:oMathPara>
        <m:oMath>
          <m:sSub>
            <m:sSubPr>
              <m:ctrlPr>
                <w:rPr>
                  <w:rFonts w:ascii="Cambria Math" w:hAnsi="Cambria Math"/>
                  <w:i/>
                </w:rPr>
              </m:ctrlPr>
            </m:sSubPr>
            <m:e>
              <m:r>
                <m:rPr>
                  <m:sty m:val="p"/>
                </m:rPr>
                <w:rPr>
                  <w:rFonts w:ascii="Cambria Math" w:hAnsi="Cambria Math"/>
                </w:rPr>
                <m:t>log⁡</m:t>
              </m:r>
              <m:r>
                <w:rPr>
                  <w:rFonts w:ascii="Cambria Math" w:hAnsi="Cambria Math"/>
                </w:rPr>
                <m:t>(daily cases)</m:t>
              </m:r>
            </m:e>
            <m:sub>
              <m:r>
                <w:rPr>
                  <w:rFonts w:ascii="Cambria Math" w:hAnsi="Cambria Math"/>
                </w:rPr>
                <m:t>ik</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Pre_week4</m:t>
              </m:r>
            </m:e>
            <m:sub>
              <m:r>
                <w:rPr>
                  <w:rFonts w:ascii="Cambria Math" w:hAnsi="Cambria Math"/>
                </w:rPr>
                <m:t>ik</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Pre_week3</m:t>
              </m:r>
            </m:e>
            <m:sub>
              <m:r>
                <w:rPr>
                  <w:rFonts w:ascii="Cambria Math" w:hAnsi="Cambria Math"/>
                </w:rPr>
                <m:t>ik</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Pre_week2</m:t>
              </m:r>
            </m:e>
            <m:sub>
              <m:r>
                <w:rPr>
                  <w:rFonts w:ascii="Cambria Math" w:hAnsi="Cambria Math"/>
                </w:rPr>
                <m:t>ik</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Post_week1</m:t>
              </m:r>
            </m:e>
            <m:sub>
              <m:r>
                <w:rPr>
                  <w:rFonts w:ascii="Cambria Math" w:hAnsi="Cambria Math"/>
                </w:rPr>
                <m:t>ik</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5</m:t>
              </m:r>
            </m:sub>
          </m:sSub>
          <m:sSub>
            <m:sSubPr>
              <m:ctrlPr>
                <w:rPr>
                  <w:rFonts w:ascii="Cambria Math" w:hAnsi="Cambria Math"/>
                  <w:i/>
                </w:rPr>
              </m:ctrlPr>
            </m:sSubPr>
            <m:e>
              <m:r>
                <w:rPr>
                  <w:rFonts w:ascii="Cambria Math" w:hAnsi="Cambria Math"/>
                </w:rPr>
                <m:t>Post_week2</m:t>
              </m:r>
            </m:e>
            <m:sub>
              <m:r>
                <w:rPr>
                  <w:rFonts w:ascii="Cambria Math" w:hAnsi="Cambria Math"/>
                </w:rPr>
                <m:t>ik</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6</m:t>
              </m:r>
            </m:sub>
          </m:sSub>
          <m:sSub>
            <m:sSubPr>
              <m:ctrlPr>
                <w:rPr>
                  <w:rFonts w:ascii="Cambria Math" w:hAnsi="Cambria Math"/>
                  <w:i/>
                </w:rPr>
              </m:ctrlPr>
            </m:sSubPr>
            <m:e>
              <m:r>
                <w:rPr>
                  <w:rFonts w:ascii="Cambria Math" w:hAnsi="Cambria Math"/>
                </w:rPr>
                <m:t>Post_week3</m:t>
              </m:r>
            </m:e>
            <m:sub>
              <m:r>
                <w:rPr>
                  <w:rFonts w:ascii="Cambria Math" w:hAnsi="Cambria Math"/>
                </w:rPr>
                <m:t>ik</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7</m:t>
              </m:r>
            </m:sub>
          </m:sSub>
          <m:sSub>
            <m:sSubPr>
              <m:ctrlPr>
                <w:rPr>
                  <w:rFonts w:ascii="Cambria Math" w:hAnsi="Cambria Math"/>
                  <w:i/>
                </w:rPr>
              </m:ctrlPr>
            </m:sSubPr>
            <m:e>
              <m:r>
                <w:rPr>
                  <w:rFonts w:ascii="Cambria Math" w:hAnsi="Cambria Math"/>
                </w:rPr>
                <m:t>Post_week4</m:t>
              </m:r>
            </m:e>
            <m:sub>
              <m:r>
                <w:rPr>
                  <w:rFonts w:ascii="Cambria Math" w:hAnsi="Cambria Math"/>
                </w:rPr>
                <m:t>ik</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8</m:t>
              </m:r>
            </m:sub>
          </m:sSub>
          <m:sSub>
            <m:sSubPr>
              <m:ctrlPr>
                <w:rPr>
                  <w:rFonts w:ascii="Cambria Math" w:hAnsi="Cambria Math"/>
                  <w:i/>
                </w:rPr>
              </m:ctrlPr>
            </m:sSubPr>
            <m:e>
              <m:r>
                <w:rPr>
                  <w:rFonts w:ascii="Cambria Math" w:hAnsi="Cambria Math"/>
                </w:rPr>
                <m:t>Post_week5</m:t>
              </m:r>
            </m:e>
            <m:sub>
              <m:r>
                <w:rPr>
                  <w:rFonts w:ascii="Cambria Math" w:hAnsi="Cambria Math"/>
                </w:rPr>
                <m:t>ik</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9</m:t>
              </m:r>
            </m:sub>
          </m:sSub>
          <m:sSub>
            <m:sSubPr>
              <m:ctrlPr>
                <w:rPr>
                  <w:rFonts w:ascii="Cambria Math" w:hAnsi="Cambria Math"/>
                  <w:i/>
                </w:rPr>
              </m:ctrlPr>
            </m:sSubPr>
            <m:e>
              <m:r>
                <w:rPr>
                  <w:rFonts w:ascii="Cambria Math" w:hAnsi="Cambria Math"/>
                </w:rPr>
                <m:t>Post_week6</m:t>
              </m:r>
            </m:e>
            <m:sub>
              <m:r>
                <w:rPr>
                  <w:rFonts w:ascii="Cambria Math" w:hAnsi="Cambria Math"/>
                </w:rPr>
                <m:t>ik</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10</m:t>
              </m:r>
            </m:sub>
          </m:sSub>
          <m:sSub>
            <m:sSubPr>
              <m:ctrlPr>
                <w:rPr>
                  <w:rFonts w:ascii="Cambria Math" w:hAnsi="Cambria Math"/>
                  <w:i/>
                </w:rPr>
              </m:ctrlPr>
            </m:sSubPr>
            <m:e>
              <m:r>
                <w:rPr>
                  <w:rFonts w:ascii="Cambria Math" w:hAnsi="Cambria Math"/>
                </w:rPr>
                <m:t>Post_week7</m:t>
              </m:r>
            </m:e>
            <m:sub>
              <m:r>
                <w:rPr>
                  <w:rFonts w:ascii="Cambria Math" w:hAnsi="Cambria Math"/>
                </w:rPr>
                <m:t>ik</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11</m:t>
              </m:r>
            </m:sub>
          </m:sSub>
          <m:sSub>
            <m:sSubPr>
              <m:ctrlPr>
                <w:rPr>
                  <w:rFonts w:ascii="Cambria Math" w:hAnsi="Cambria Math"/>
                  <w:i/>
                </w:rPr>
              </m:ctrlPr>
            </m:sSubPr>
            <m:e>
              <m:r>
                <w:rPr>
                  <w:rFonts w:ascii="Cambria Math" w:hAnsi="Cambria Math"/>
                </w:rPr>
                <m:t>Post_week8</m:t>
              </m:r>
            </m:e>
            <m:sub>
              <m:r>
                <w:rPr>
                  <w:rFonts w:ascii="Cambria Math" w:hAnsi="Cambria Math"/>
                </w:rPr>
                <m:t>ik</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12</m:t>
              </m:r>
            </m:sub>
          </m:sSub>
          <m:sSub>
            <m:sSubPr>
              <m:ctrlPr>
                <w:rPr>
                  <w:rFonts w:ascii="Cambria Math" w:hAnsi="Cambria Math"/>
                  <w:i/>
                </w:rPr>
              </m:ctrlPr>
            </m:sSubPr>
            <m:e>
              <m:r>
                <w:rPr>
                  <w:rFonts w:ascii="Cambria Math" w:hAnsi="Cambria Math"/>
                </w:rPr>
                <m:t>X</m:t>
              </m:r>
            </m:e>
            <m:sub>
              <m:r>
                <w:rPr>
                  <w:rFonts w:ascii="Cambria Math" w:hAnsi="Cambria Math"/>
                </w:rPr>
                <m:t>ik</m:t>
              </m:r>
            </m:sub>
          </m:sSub>
          <m:r>
            <w:rPr>
              <w:rFonts w:ascii="Cambria Math" w:hAnsi="Cambria Math"/>
            </w:rPr>
            <m:t>+</m:t>
          </m:r>
          <m:sSub>
            <m:sSubPr>
              <m:ctrlPr>
                <w:rPr>
                  <w:rFonts w:ascii="Cambria Math" w:hAnsi="Cambria Math"/>
                  <w:i/>
                  <w:iCs/>
                </w:rPr>
              </m:ctrlPr>
            </m:sSubPr>
            <m:e>
              <m:r>
                <w:rPr>
                  <w:rFonts w:ascii="Cambria Math" w:hAnsi="Cambria Math"/>
                </w:rPr>
                <m:t>ln(population)</m:t>
              </m:r>
            </m:e>
            <m:sub>
              <m:r>
                <w:rPr>
                  <w:rFonts w:ascii="Cambria Math" w:hAnsi="Cambria Math"/>
                </w:rPr>
                <m:t>k</m:t>
              </m:r>
            </m:sub>
          </m:sSub>
        </m:oMath>
      </m:oMathPara>
    </w:p>
    <w:p w14:paraId="44516574" w14:textId="77777777" w:rsidR="00905C57" w:rsidRDefault="00905C57" w:rsidP="00905C57">
      <w:pPr>
        <w:rPr>
          <w:b/>
          <w:bCs/>
          <w:sz w:val="22"/>
          <w:szCs w:val="22"/>
        </w:rPr>
      </w:pPr>
    </w:p>
    <w:p w14:paraId="01ADE0FF" w14:textId="77777777" w:rsidR="00905C57" w:rsidRDefault="00905C57" w:rsidP="00905C57">
      <w:pPr>
        <w:rPr>
          <w:b/>
          <w:bCs/>
          <w:sz w:val="22"/>
          <w:szCs w:val="22"/>
        </w:rPr>
      </w:pPr>
    </w:p>
    <w:p w14:paraId="0118C8F3" w14:textId="680A2ADE" w:rsidR="00706F0A" w:rsidRDefault="00950A27" w:rsidP="00706F0A">
      <w:pPr>
        <w:spacing w:line="480" w:lineRule="auto"/>
        <w:ind w:firstLine="720"/>
      </w:pPr>
      <w:r>
        <w:t>We measured a</w:t>
      </w:r>
      <w:r w:rsidRPr="00950A27">
        <w:t>ssociations between the</w:t>
      </w:r>
      <w:r>
        <w:t xml:space="preserve"> re-opening</w:t>
      </w:r>
      <w:r w:rsidRPr="00950A27">
        <w:t xml:space="preserve"> and COVID-19 </w:t>
      </w:r>
      <w:r>
        <w:t xml:space="preserve">case rates </w:t>
      </w:r>
      <w:r w:rsidRPr="00950A27">
        <w:t>using a reference period (</w:t>
      </w:r>
      <w:r>
        <w:t>1 week</w:t>
      </w:r>
      <w:r w:rsidRPr="00950A27">
        <w:t xml:space="preserve"> before</w:t>
      </w:r>
      <w:r>
        <w:t xml:space="preserve"> re-opening</w:t>
      </w:r>
      <w:r w:rsidR="007775E3">
        <w:t xml:space="preserve"> </w:t>
      </w:r>
      <w:r w:rsidR="007D7D99">
        <w:fldChar w:fldCharType="begin"/>
      </w:r>
      <w:r w:rsidR="00E83CF6">
        <w:instrText xml:space="preserve"> ADDIN EN.CITE &lt;EndNote&gt;&lt;Cite&gt;&lt;Author&gt;Lyu&lt;/Author&gt;&lt;Year&gt;2020&lt;/Year&gt;&lt;RecNum&gt;3905&lt;/RecNum&gt;&lt;DisplayText&gt;&lt;style face="superscript"&gt;1&lt;/style&gt;&lt;/DisplayText&gt;&lt;record&gt;&lt;rec-number&gt;3905&lt;/rec-number&gt;&lt;foreign-keys&gt;&lt;key app="EN" db-id="2dpxew9f9dfeare9298v0xvddwtva05d2pdw" timestamp="1607036690"&gt;3905&lt;/key&gt;&lt;/foreign-keys&gt;&lt;ref-type name="Journal Article"&gt;17&lt;/ref-type&gt;&lt;contributors&gt;&lt;authors&gt;&lt;author&gt;Lyu, Wei&lt;/author&gt;&lt;author&gt;Wehby, George L&lt;/author&gt;&lt;/authors&gt;&lt;/contributors&gt;&lt;titles&gt;&lt;title&gt;Community Use Of Face Masks And COVID-19: Evidence From A Natural Experiment Of State Mandates In The US: Study examines impact on COVID-19 growth rates associated with state government mandates requiring face mask use in public&lt;/title&gt;&lt;secondary-title&gt;Health Affairs&lt;/secondary-title&gt;&lt;/titles&gt;&lt;periodical&gt;&lt;full-title&gt;Health affairs&lt;/full-title&gt;&lt;/periodical&gt;&lt;pages&gt;1419-1425&lt;/pages&gt;&lt;volume&gt;39&lt;/volume&gt;&lt;number&gt;8&lt;/number&gt;&lt;dates&gt;&lt;year&gt;2020&lt;/year&gt;&lt;/dates&gt;&lt;isbn&gt;0278-2715&lt;/isbn&gt;&lt;urls&gt;&lt;/urls&gt;&lt;electronic-resource-num&gt;https://doi.org/10.1377/hlthaff.2020.00818&lt;/electronic-resource-num&gt;&lt;/record&gt;&lt;/Cite&gt;&lt;/EndNote&gt;</w:instrText>
      </w:r>
      <w:r w:rsidR="007D7D99">
        <w:fldChar w:fldCharType="separate"/>
      </w:r>
      <w:r w:rsidR="00E83CF6" w:rsidRPr="00E83CF6">
        <w:rPr>
          <w:noProof/>
          <w:vertAlign w:val="superscript"/>
        </w:rPr>
        <w:t>1</w:t>
      </w:r>
      <w:r w:rsidR="007D7D99">
        <w:fldChar w:fldCharType="end"/>
      </w:r>
      <w:r w:rsidRPr="00950A27">
        <w:t xml:space="preserve">) compared with </w:t>
      </w:r>
      <w:r w:rsidR="00B477A9">
        <w:t>11</w:t>
      </w:r>
      <w:r w:rsidRPr="00950A27">
        <w:t xml:space="preserve"> mutually exclusive </w:t>
      </w:r>
      <w:r w:rsidR="0069770A">
        <w:t>weeks</w:t>
      </w:r>
      <w:r w:rsidRPr="00950A27">
        <w:t xml:space="preserve"> relative to implementatio</w:t>
      </w:r>
      <w:r>
        <w:t>n</w:t>
      </w:r>
      <w:r w:rsidR="00D37818">
        <w:t xml:space="preserve">. </w:t>
      </w:r>
      <w:r w:rsidR="00905C57">
        <w:t xml:space="preserve"> The coefficients on the post weeks represent the</w:t>
      </w:r>
      <w:r w:rsidR="00B477A9">
        <w:t xml:space="preserve"> </w:t>
      </w:r>
      <w:r w:rsidR="008C0FF0">
        <w:t>impact of</w:t>
      </w:r>
      <w:r w:rsidR="00905C57">
        <w:t xml:space="preserve"> re-opening indoor dining during each of those post re-opening weeks, compared to the week before re-opening. We expect the</w:t>
      </w:r>
      <w:r w:rsidR="008C0FF0">
        <w:t xml:space="preserve"> associations </w:t>
      </w:r>
      <w:r w:rsidR="00905C57">
        <w:t xml:space="preserve">to grow over time if there is increasing use of indoor dining and if indoor dining increases infection risk. </w:t>
      </w:r>
      <w:r w:rsidR="00686C39">
        <w:t>The pre-week variables capture differences in pre-reopening COVID-19 trends before cities re-opened indoor dining.</w:t>
      </w:r>
    </w:p>
    <w:p w14:paraId="15741568" w14:textId="35CD6AF0" w:rsidR="00905C57" w:rsidRDefault="00706F0A" w:rsidP="00975507">
      <w:pPr>
        <w:spacing w:line="480" w:lineRule="auto"/>
        <w:ind w:firstLine="720"/>
      </w:pPr>
      <w:r>
        <w:lastRenderedPageBreak/>
        <w:t>To control for the time-varying</w:t>
      </w:r>
      <w:r w:rsidR="00130ADB">
        <w:t xml:space="preserve"> impacts</w:t>
      </w:r>
      <w:r>
        <w:t xml:space="preserve"> of other NPIs, we added</w:t>
      </w:r>
      <w:r w:rsidR="00EA59FD" w:rsidRPr="00B538B9">
        <w:t xml:space="preserve"> </w:t>
      </w:r>
      <m:oMath>
        <m:sSub>
          <m:sSubPr>
            <m:ctrlPr>
              <w:rPr>
                <w:rFonts w:ascii="Cambria Math" w:hAnsi="Cambria Math"/>
                <w:i/>
              </w:rPr>
            </m:ctrlPr>
          </m:sSubPr>
          <m:e>
            <m:r>
              <w:rPr>
                <w:rFonts w:ascii="Cambria Math" w:hAnsi="Cambria Math"/>
              </w:rPr>
              <m:t>β</m:t>
            </m:r>
          </m:e>
          <m:sub>
            <m:r>
              <w:rPr>
                <w:rFonts w:ascii="Cambria Math" w:hAnsi="Cambria Math"/>
              </w:rPr>
              <m:t>12</m:t>
            </m:r>
          </m:sub>
        </m:sSub>
        <m:sSub>
          <m:sSubPr>
            <m:ctrlPr>
              <w:rPr>
                <w:rFonts w:ascii="Cambria Math" w:hAnsi="Cambria Math"/>
                <w:i/>
              </w:rPr>
            </m:ctrlPr>
          </m:sSubPr>
          <m:e>
            <m:r>
              <w:rPr>
                <w:rFonts w:ascii="Cambria Math" w:hAnsi="Cambria Math"/>
              </w:rPr>
              <m:t>X</m:t>
            </m:r>
          </m:e>
          <m:sub>
            <m:r>
              <w:rPr>
                <w:rFonts w:ascii="Cambria Math" w:hAnsi="Cambria Math"/>
              </w:rPr>
              <m:t>ik</m:t>
            </m:r>
          </m:sub>
        </m:sSub>
      </m:oMath>
      <w:r w:rsidR="00EA59FD" w:rsidRPr="00B538B9">
        <w:rPr>
          <w:rFonts w:eastAsiaTheme="minorEastAsia"/>
        </w:rPr>
        <w:t xml:space="preserve"> </w:t>
      </w:r>
      <w:r>
        <w:rPr>
          <w:rFonts w:eastAsiaTheme="minorEastAsia"/>
        </w:rPr>
        <w:t xml:space="preserve">to the model, </w:t>
      </w:r>
      <w:r w:rsidR="00EA59FD" w:rsidRPr="00B538B9">
        <w:rPr>
          <w:rFonts w:eastAsiaTheme="minorEastAsia"/>
        </w:rPr>
        <w:t>represent</w:t>
      </w:r>
      <w:r>
        <w:rPr>
          <w:rFonts w:eastAsiaTheme="minorEastAsia"/>
        </w:rPr>
        <w:t>ing</w:t>
      </w:r>
      <w:r w:rsidR="00EA59FD" w:rsidRPr="00B538B9">
        <w:rPr>
          <w:rFonts w:eastAsiaTheme="minorEastAsia"/>
        </w:rPr>
        <w:t xml:space="preserve"> other </w:t>
      </w:r>
      <w:r w:rsidR="00EA59FD">
        <w:rPr>
          <w:rFonts w:eastAsiaTheme="minorEastAsia"/>
        </w:rPr>
        <w:t xml:space="preserve">time-varying </w:t>
      </w:r>
      <w:r w:rsidR="00EA59FD" w:rsidRPr="00B538B9">
        <w:t>local mitigation &amp; reopening policies</w:t>
      </w:r>
      <w:r w:rsidR="00EA59FD" w:rsidRPr="00B538B9">
        <w:rPr>
          <w:rFonts w:eastAsiaTheme="minorEastAsia"/>
        </w:rPr>
        <w:t xml:space="preserve"> that may act as potential confounders</w:t>
      </w:r>
      <w:r w:rsidR="00EA59FD">
        <w:rPr>
          <w:rFonts w:eastAsiaTheme="minorEastAsia"/>
        </w:rPr>
        <w:t>: stay</w:t>
      </w:r>
      <w:r w:rsidR="00130ADB">
        <w:rPr>
          <w:rFonts w:eastAsiaTheme="minorEastAsia"/>
        </w:rPr>
        <w:t>-</w:t>
      </w:r>
      <w:r w:rsidR="00EA59FD">
        <w:rPr>
          <w:rFonts w:eastAsiaTheme="minorEastAsia"/>
        </w:rPr>
        <w:t>at</w:t>
      </w:r>
      <w:r w:rsidR="00130ADB">
        <w:rPr>
          <w:rFonts w:eastAsiaTheme="minorEastAsia"/>
        </w:rPr>
        <w:t>-</w:t>
      </w:r>
      <w:r w:rsidR="00EA59FD">
        <w:rPr>
          <w:rFonts w:eastAsiaTheme="minorEastAsia"/>
        </w:rPr>
        <w:t>home orders,</w:t>
      </w:r>
      <w:r w:rsidR="00EA59FD" w:rsidRPr="00B538B9">
        <w:rPr>
          <w:rFonts w:eastAsiaTheme="minorEastAsia"/>
        </w:rPr>
        <w:t xml:space="preserve"> mask mandates</w:t>
      </w:r>
      <w:r w:rsidR="00EA59FD">
        <w:rPr>
          <w:rFonts w:eastAsiaTheme="minorEastAsia"/>
        </w:rPr>
        <w:t>, and city/state eviction bans, with a 14-day lag from date of policy implementation</w:t>
      </w:r>
      <w:r w:rsidR="00FF4CBA">
        <w:rPr>
          <w:rFonts w:eastAsiaTheme="minorEastAsia"/>
        </w:rPr>
        <w:t>. These are included</w:t>
      </w:r>
      <w:r>
        <w:rPr>
          <w:rFonts w:eastAsiaTheme="minorEastAsia"/>
        </w:rPr>
        <w:t xml:space="preserve"> as ordinal variables (instead of binary ones), </w:t>
      </w:r>
      <w:r w:rsidR="00905C57">
        <w:t xml:space="preserve">using the count of weeks since the NPI was </w:t>
      </w:r>
      <w:r w:rsidR="00905C57" w:rsidRPr="002C2A3D">
        <w:t>implemented</w:t>
      </w:r>
      <w:r w:rsidR="00905C57">
        <w:t xml:space="preserve"> (1-5, with &gt;4 weeks after implementation coded as 5). If a city never enacted the policy, or enacted the policy outside of the study period, we code the variable as zero for all </w:t>
      </w:r>
      <w:r w:rsidR="00975507">
        <w:t>observations. Finally</w:t>
      </w:r>
      <w:r w:rsidR="00034E4B">
        <w:t>, w</w:t>
      </w:r>
      <w:r w:rsidR="00905C57">
        <w:t xml:space="preserve">e </w:t>
      </w:r>
      <w:r w:rsidR="00905C57" w:rsidRPr="00A1311D">
        <w:t>add a control for calendar date, to control for any secular time trends in the mean outcome</w:t>
      </w:r>
      <w:r w:rsidR="004C1273">
        <w:fldChar w:fldCharType="begin"/>
      </w:r>
      <w:r w:rsidR="000078F4">
        <w:instrText xml:space="preserve"> ADDIN EN.CITE &lt;EndNote&gt;&lt;Cite&gt;&lt;Author&gt;Strumpf&lt;/Author&gt;&lt;Year&gt;2017&lt;/Year&gt;&lt;RecNum&gt;3970&lt;/RecNum&gt;&lt;DisplayText&gt;&lt;style face="superscript"&gt;4&lt;/style&gt;&lt;/DisplayText&gt;&lt;record&gt;&lt;rec-number&gt;3970&lt;/rec-number&gt;&lt;foreign-keys&gt;&lt;key app="EN" db-id="2dpxew9f9dfeare9298v0xvddwtva05d2pdw" timestamp="1610475471"&gt;3970&lt;/key&gt;&lt;/foreign-keys&gt;&lt;ref-type name="Book Section"&gt;5&lt;/ref-type&gt;&lt;contributors&gt;&lt;authors&gt;&lt;author&gt;Strumpf, Erin C&lt;/author&gt;&lt;author&gt;Harper, Sam&lt;/author&gt;&lt;author&gt;Kaufman, Jay S&lt;/author&gt;&lt;/authors&gt;&lt;secondary-authors&gt;&lt;author&gt;Oakes, J Michael&lt;/author&gt;&lt;/secondary-authors&gt;&lt;/contributors&gt;&lt;titles&gt;&lt;title&gt;Fixed effects and difference in differences&lt;/title&gt;&lt;secondary-title&gt;Methods in Social Epidemiology&lt;/secondary-title&gt;&lt;/titles&gt;&lt;pages&gt;342-368&lt;/pages&gt;&lt;section&gt;14&lt;/section&gt;&lt;dates&gt;&lt;year&gt;2017&lt;/year&gt;&lt;/dates&gt;&lt;pub-location&gt;San Francisco&lt;/pub-location&gt;&lt;publisher&gt;Jossey-Bass&lt;/publisher&gt;&lt;urls&gt;&lt;/urls&gt;&lt;/record&gt;&lt;/Cite&gt;&lt;/EndNote&gt;</w:instrText>
      </w:r>
      <w:r w:rsidR="004C1273">
        <w:fldChar w:fldCharType="separate"/>
      </w:r>
      <w:r w:rsidR="000078F4" w:rsidRPr="000078F4">
        <w:rPr>
          <w:noProof/>
          <w:vertAlign w:val="superscript"/>
        </w:rPr>
        <w:t>4</w:t>
      </w:r>
      <w:r w:rsidR="004C1273">
        <w:fldChar w:fldCharType="end"/>
      </w:r>
      <w:r w:rsidR="00905C57">
        <w:t xml:space="preserve">, </w:t>
      </w:r>
      <w:r w:rsidR="00905C57">
        <w:rPr>
          <w:rFonts w:eastAsiaTheme="minorHAnsi"/>
          <w:noProof/>
        </w:rPr>
        <w:t>and applied an unconditional fixed effect negative binomial approach using city dummies</w:t>
      </w:r>
      <w:r w:rsidR="004C1273">
        <w:rPr>
          <w:rFonts w:eastAsiaTheme="minorHAnsi"/>
          <w:noProof/>
        </w:rPr>
        <w:fldChar w:fldCharType="begin"/>
      </w:r>
      <w:r w:rsidR="000078F4">
        <w:rPr>
          <w:rFonts w:eastAsiaTheme="minorHAnsi"/>
          <w:noProof/>
        </w:rPr>
        <w:instrText xml:space="preserve"> ADDIN EN.CITE &lt;EndNote&gt;&lt;Cite&gt;&lt;Author&gt;Allison&lt;/Author&gt;&lt;Year&gt;2002&lt;/Year&gt;&lt;RecNum&gt;3968&lt;/RecNum&gt;&lt;DisplayText&gt;&lt;style face="superscript"&gt;5&lt;/style&gt;&lt;/DisplayText&gt;&lt;record&gt;&lt;rec-number&gt;3968&lt;/rec-number&gt;&lt;foreign-keys&gt;&lt;key app="EN" db-id="2dpxew9f9dfeare9298v0xvddwtva05d2pdw" timestamp="1610474993"&gt;3968&lt;/key&gt;&lt;/foreign-keys&gt;&lt;ref-type name="Journal Article"&gt;17&lt;/ref-type&gt;&lt;contributors&gt;&lt;authors&gt;&lt;author&gt;Allison, Paul D&lt;/author&gt;&lt;author&gt;Waterman, Richard P&lt;/author&gt;&lt;/authors&gt;&lt;/contributors&gt;&lt;titles&gt;&lt;title&gt;Fixed–effects negative binomial regression models&lt;/title&gt;&lt;secondary-title&gt;Sociological methodology&lt;/secondary-title&gt;&lt;/titles&gt;&lt;periodical&gt;&lt;full-title&gt;Sociological methodology&lt;/full-title&gt;&lt;/periodical&gt;&lt;pages&gt;247-265&lt;/pages&gt;&lt;volume&gt;32&lt;/volume&gt;&lt;number&gt;1&lt;/number&gt;&lt;dates&gt;&lt;year&gt;2002&lt;/year&gt;&lt;/dates&gt;&lt;isbn&gt;0081-1750&lt;/isbn&gt;&lt;urls&gt;&lt;/urls&gt;&lt;/record&gt;&lt;/Cite&gt;&lt;/EndNote&gt;</w:instrText>
      </w:r>
      <w:r w:rsidR="004C1273">
        <w:rPr>
          <w:rFonts w:eastAsiaTheme="minorHAnsi"/>
          <w:noProof/>
        </w:rPr>
        <w:fldChar w:fldCharType="separate"/>
      </w:r>
      <w:r w:rsidR="000078F4" w:rsidRPr="000078F4">
        <w:rPr>
          <w:rFonts w:eastAsiaTheme="minorHAnsi"/>
          <w:noProof/>
          <w:vertAlign w:val="superscript"/>
        </w:rPr>
        <w:t>5</w:t>
      </w:r>
      <w:r w:rsidR="004C1273">
        <w:rPr>
          <w:rFonts w:eastAsiaTheme="minorHAnsi"/>
          <w:noProof/>
        </w:rPr>
        <w:fldChar w:fldCharType="end"/>
      </w:r>
      <w:r w:rsidR="00905C57">
        <w:t xml:space="preserve"> to control for time-invariant between city factors. </w:t>
      </w:r>
      <w:r w:rsidR="00905C57">
        <w:rPr>
          <w:rFonts w:eastAsiaTheme="minorHAnsi"/>
          <w:noProof/>
        </w:rPr>
        <w:t xml:space="preserve">We tested extending the study </w:t>
      </w:r>
      <w:r w:rsidR="00905C57" w:rsidRPr="00781B65">
        <w:rPr>
          <w:rFonts w:eastAsiaTheme="minorHAnsi"/>
          <w:noProof/>
        </w:rPr>
        <w:t>period</w:t>
      </w:r>
      <w:r w:rsidR="00905C57">
        <w:rPr>
          <w:rFonts w:eastAsiaTheme="minorHAnsi"/>
          <w:noProof/>
        </w:rPr>
        <w:t xml:space="preserve"> to</w:t>
      </w:r>
      <w:r w:rsidR="00905C57" w:rsidRPr="00781B65">
        <w:rPr>
          <w:rFonts w:eastAsiaTheme="minorHAnsi"/>
          <w:noProof/>
        </w:rPr>
        <w:t xml:space="preserve"> 12 </w:t>
      </w:r>
      <w:r w:rsidR="00905C57">
        <w:rPr>
          <w:rFonts w:eastAsiaTheme="minorHAnsi"/>
          <w:noProof/>
        </w:rPr>
        <w:t>weeks after re-opening</w:t>
      </w:r>
      <w:r w:rsidR="00034E4B">
        <w:rPr>
          <w:rFonts w:eastAsiaTheme="minorHAnsi"/>
          <w:noProof/>
        </w:rPr>
        <w:t xml:space="preserve"> (alternative specification 1)</w:t>
      </w:r>
      <w:r w:rsidR="00905C57">
        <w:rPr>
          <w:rFonts w:eastAsiaTheme="minorHAnsi"/>
          <w:noProof/>
        </w:rPr>
        <w:t>, and to setting the NPI confouders as ordinal variations without the 4+ week limitation</w:t>
      </w:r>
      <w:r w:rsidR="00A104B4">
        <w:rPr>
          <w:rFonts w:eastAsiaTheme="minorHAnsi"/>
          <w:noProof/>
        </w:rPr>
        <w:t xml:space="preserve"> (i.e. NPI ordinal variables can go above 5 after 5 weeks post implementation; alternative specification 2)</w:t>
      </w:r>
      <w:r w:rsidR="00905C57">
        <w:rPr>
          <w:rFonts w:eastAsiaTheme="minorHAnsi"/>
          <w:noProof/>
        </w:rPr>
        <w:t>.</w:t>
      </w:r>
      <w:r w:rsidR="00CB452E">
        <w:rPr>
          <w:rFonts w:eastAsiaTheme="minorHAnsi"/>
          <w:noProof/>
        </w:rPr>
        <w:t xml:space="preserve"> </w:t>
      </w:r>
    </w:p>
    <w:p w14:paraId="67984D57" w14:textId="4D2CEEDA" w:rsidR="006B2F42" w:rsidRDefault="00F4659B" w:rsidP="00C02B5C">
      <w:pPr>
        <w:spacing w:line="480" w:lineRule="auto"/>
        <w:ind w:firstLine="720"/>
      </w:pPr>
      <w:r w:rsidRPr="0049422B">
        <w:rPr>
          <w:u w:val="single"/>
        </w:rPr>
        <w:t>Sixth</w:t>
      </w:r>
      <w:r>
        <w:t xml:space="preserve"> and last, we repeated our main analysis but includ</w:t>
      </w:r>
      <w:r w:rsidR="004851DA">
        <w:t>ed</w:t>
      </w:r>
      <w:r>
        <w:t xml:space="preserve"> death rates as our outcome rather than case rates. We considered a main analysis with a 5-week lag (2</w:t>
      </w:r>
      <w:r w:rsidR="00975507">
        <w:t>-</w:t>
      </w:r>
      <w:r>
        <w:t>week case + 3</w:t>
      </w:r>
      <w:r w:rsidR="00975507">
        <w:t>-</w:t>
      </w:r>
      <w:r>
        <w:t>week lag after cases) and a 6-week lag. We limit this analysis to the 2 weeks before and 9-weeks after re-opening. Pre-period trends did not appea</w:t>
      </w:r>
      <w:r w:rsidR="00C02B5C">
        <w:t>r</w:t>
      </w:r>
      <w:r>
        <w:t xml:space="preserve"> parallel for deaths, so we only present descriptive mortality results for this analysis.</w:t>
      </w:r>
    </w:p>
    <w:p w14:paraId="3A704E2A" w14:textId="77777777" w:rsidR="005608B5" w:rsidRDefault="005608B5">
      <w:pPr>
        <w:spacing w:after="160" w:line="259" w:lineRule="auto"/>
        <w:rPr>
          <w:rFonts w:eastAsiaTheme="majorEastAsia"/>
        </w:rPr>
      </w:pPr>
      <w:r>
        <w:br w:type="page"/>
      </w:r>
    </w:p>
    <w:p w14:paraId="342BDAD1" w14:textId="7B5FF3CC" w:rsidR="00524B3C" w:rsidRPr="006E3C8E" w:rsidRDefault="00524B3C" w:rsidP="00524B3C">
      <w:pPr>
        <w:pStyle w:val="Heading2"/>
        <w:rPr>
          <w:rFonts w:ascii="Times New Roman" w:hAnsi="Times New Roman" w:cs="Times New Roman"/>
          <w:color w:val="auto"/>
          <w:sz w:val="24"/>
          <w:szCs w:val="24"/>
        </w:rPr>
      </w:pPr>
      <w:bookmarkStart w:id="11" w:name="_Toc68877764"/>
      <w:r w:rsidRPr="006E3C8E">
        <w:rPr>
          <w:rFonts w:ascii="Times New Roman" w:hAnsi="Times New Roman" w:cs="Times New Roman"/>
          <w:color w:val="auto"/>
          <w:sz w:val="24"/>
          <w:szCs w:val="24"/>
        </w:rPr>
        <w:lastRenderedPageBreak/>
        <w:t xml:space="preserve">Appendix </w:t>
      </w:r>
      <w:r w:rsidR="00772C8D">
        <w:rPr>
          <w:rFonts w:ascii="Times New Roman" w:hAnsi="Times New Roman" w:cs="Times New Roman"/>
          <w:color w:val="auto"/>
          <w:sz w:val="24"/>
          <w:szCs w:val="24"/>
        </w:rPr>
        <w:t xml:space="preserve">Table </w:t>
      </w:r>
      <w:r>
        <w:rPr>
          <w:rFonts w:ascii="Times New Roman" w:hAnsi="Times New Roman" w:cs="Times New Roman"/>
          <w:color w:val="auto"/>
          <w:sz w:val="24"/>
          <w:szCs w:val="24"/>
        </w:rPr>
        <w:t>D</w:t>
      </w:r>
      <w:r w:rsidR="009A440B">
        <w:rPr>
          <w:rFonts w:ascii="Times New Roman" w:hAnsi="Times New Roman" w:cs="Times New Roman"/>
          <w:color w:val="auto"/>
          <w:sz w:val="24"/>
          <w:szCs w:val="24"/>
        </w:rPr>
        <w:t>2</w:t>
      </w:r>
      <w:r w:rsidRPr="006E3C8E">
        <w:rPr>
          <w:rFonts w:ascii="Times New Roman" w:hAnsi="Times New Roman" w:cs="Times New Roman"/>
          <w:color w:val="auto"/>
          <w:sz w:val="24"/>
          <w:szCs w:val="24"/>
        </w:rPr>
        <w:t xml:space="preserve">: Robustness Checks: </w:t>
      </w:r>
      <w:r>
        <w:rPr>
          <w:rFonts w:ascii="Times New Roman" w:hAnsi="Times New Roman" w:cs="Times New Roman"/>
          <w:color w:val="auto"/>
          <w:sz w:val="24"/>
          <w:szCs w:val="24"/>
        </w:rPr>
        <w:t>Alternative lags, periods, cities, and calendar week fixed effects</w:t>
      </w:r>
      <w:bookmarkEnd w:id="11"/>
    </w:p>
    <w:tbl>
      <w:tblPr>
        <w:tblStyle w:val="TableGrid"/>
        <w:tblW w:w="0" w:type="auto"/>
        <w:tblBorders>
          <w:left w:val="none" w:sz="0" w:space="0" w:color="auto"/>
          <w:right w:val="none" w:sz="0" w:space="0" w:color="auto"/>
        </w:tblBorders>
        <w:tblLook w:val="04A0" w:firstRow="1" w:lastRow="0" w:firstColumn="1" w:lastColumn="0" w:noHBand="0" w:noVBand="1"/>
      </w:tblPr>
      <w:tblGrid>
        <w:gridCol w:w="3415"/>
        <w:gridCol w:w="2340"/>
      </w:tblGrid>
      <w:tr w:rsidR="00524B3C" w14:paraId="06200C8F" w14:textId="77777777" w:rsidTr="00C83046">
        <w:tc>
          <w:tcPr>
            <w:tcW w:w="5755" w:type="dxa"/>
            <w:gridSpan w:val="2"/>
            <w:shd w:val="clear" w:color="auto" w:fill="E7E6E6" w:themeFill="background2"/>
          </w:tcPr>
          <w:p w14:paraId="1176657C" w14:textId="77777777" w:rsidR="00524B3C" w:rsidRPr="000C2029" w:rsidRDefault="00524B3C" w:rsidP="00C83046">
            <w:pPr>
              <w:jc w:val="center"/>
              <w:rPr>
                <w:b/>
                <w:bCs/>
              </w:rPr>
            </w:pPr>
            <w:r>
              <w:rPr>
                <w:b/>
                <w:bCs/>
              </w:rPr>
              <w:t>Incidence Rate Ratios</w:t>
            </w:r>
          </w:p>
        </w:tc>
      </w:tr>
      <w:tr w:rsidR="00554183" w14:paraId="7E5BE134" w14:textId="77777777" w:rsidTr="00B36039">
        <w:trPr>
          <w:trHeight w:val="503"/>
        </w:trPr>
        <w:tc>
          <w:tcPr>
            <w:tcW w:w="3415" w:type="dxa"/>
          </w:tcPr>
          <w:p w14:paraId="34011A1B" w14:textId="26882D34" w:rsidR="00554183" w:rsidRPr="00C023A7" w:rsidRDefault="00554183" w:rsidP="00C83046">
            <w:pPr>
              <w:rPr>
                <w:i/>
                <w:iCs/>
              </w:rPr>
            </w:pPr>
            <w:r>
              <w:rPr>
                <w:i/>
                <w:iCs/>
              </w:rPr>
              <w:t>Main Model</w:t>
            </w:r>
            <w:r w:rsidR="0029519E">
              <w:rPr>
                <w:i/>
                <w:iCs/>
              </w:rPr>
              <w:t xml:space="preserve"> (adjusted)</w:t>
            </w:r>
          </w:p>
        </w:tc>
        <w:tc>
          <w:tcPr>
            <w:tcW w:w="2340" w:type="dxa"/>
          </w:tcPr>
          <w:p w14:paraId="29535E78" w14:textId="08EE8A4D" w:rsidR="00554183" w:rsidRPr="00600DB2" w:rsidRDefault="00B36039" w:rsidP="00C83046">
            <w:pPr>
              <w:jc w:val="center"/>
              <w:rPr>
                <w:sz w:val="22"/>
                <w:szCs w:val="22"/>
              </w:rPr>
            </w:pPr>
            <w:r w:rsidRPr="004C6DBE">
              <w:rPr>
                <w:sz w:val="22"/>
                <w:szCs w:val="22"/>
              </w:rPr>
              <w:t>0.</w:t>
            </w:r>
            <w:r>
              <w:rPr>
                <w:sz w:val="22"/>
                <w:szCs w:val="22"/>
              </w:rPr>
              <w:t>570</w:t>
            </w:r>
            <w:r w:rsidRPr="004C6DBE">
              <w:rPr>
                <w:sz w:val="22"/>
                <w:szCs w:val="22"/>
                <w:vertAlign w:val="superscript"/>
              </w:rPr>
              <w:t>***</w:t>
            </w:r>
            <w:r>
              <w:rPr>
                <w:sz w:val="22"/>
                <w:szCs w:val="22"/>
              </w:rPr>
              <w:t xml:space="preserve"> (</w:t>
            </w:r>
            <w:r w:rsidRPr="004C6DBE">
              <w:rPr>
                <w:sz w:val="22"/>
                <w:szCs w:val="22"/>
              </w:rPr>
              <w:t>0.</w:t>
            </w:r>
            <w:r>
              <w:rPr>
                <w:sz w:val="22"/>
                <w:szCs w:val="22"/>
              </w:rPr>
              <w:t>37</w:t>
            </w:r>
            <w:r w:rsidRPr="004C6DBE">
              <w:rPr>
                <w:sz w:val="22"/>
                <w:szCs w:val="22"/>
              </w:rPr>
              <w:t>, 0.</w:t>
            </w:r>
            <w:r>
              <w:rPr>
                <w:sz w:val="22"/>
                <w:szCs w:val="22"/>
              </w:rPr>
              <w:t>87</w:t>
            </w:r>
            <w:r w:rsidRPr="004C6DBE">
              <w:rPr>
                <w:sz w:val="22"/>
                <w:szCs w:val="22"/>
              </w:rPr>
              <w:t>)</w:t>
            </w:r>
          </w:p>
        </w:tc>
      </w:tr>
      <w:tr w:rsidR="005F4A31" w14:paraId="701A1906" w14:textId="77777777" w:rsidTr="00C83046">
        <w:tc>
          <w:tcPr>
            <w:tcW w:w="3415" w:type="dxa"/>
          </w:tcPr>
          <w:p w14:paraId="0CFBB55B" w14:textId="4CAC1AD9" w:rsidR="005F4A31" w:rsidRPr="00C023A7" w:rsidRDefault="005F4A31" w:rsidP="005F4A31">
            <w:pPr>
              <w:rPr>
                <w:i/>
                <w:iCs/>
              </w:rPr>
            </w:pPr>
            <w:r w:rsidRPr="00C023A7">
              <w:rPr>
                <w:i/>
                <w:iCs/>
              </w:rPr>
              <w:t>Sensitivity Model 5</w:t>
            </w:r>
            <w:r>
              <w:t xml:space="preserve">: </w:t>
            </w:r>
            <w:r w:rsidR="00D46E3B">
              <w:t>Extend</w:t>
            </w:r>
            <w:r w:rsidRPr="005A33FE">
              <w:t xml:space="preserve"> </w:t>
            </w:r>
            <w:r w:rsidR="00D46E3B">
              <w:t>follow-up</w:t>
            </w:r>
            <w:r w:rsidRPr="005A33FE">
              <w:t xml:space="preserve"> to 12 weeks</w:t>
            </w:r>
          </w:p>
        </w:tc>
        <w:tc>
          <w:tcPr>
            <w:tcW w:w="2340" w:type="dxa"/>
          </w:tcPr>
          <w:p w14:paraId="2F69276C" w14:textId="35A22C66" w:rsidR="005F4A31" w:rsidRPr="00A23346" w:rsidRDefault="005F4A31" w:rsidP="005F4A31">
            <w:pPr>
              <w:jc w:val="center"/>
              <w:rPr>
                <w:sz w:val="22"/>
                <w:szCs w:val="22"/>
              </w:rPr>
            </w:pPr>
            <w:r w:rsidRPr="00F5730B">
              <w:rPr>
                <w:sz w:val="22"/>
                <w:szCs w:val="22"/>
              </w:rPr>
              <w:t>0.1</w:t>
            </w:r>
            <w:r>
              <w:rPr>
                <w:sz w:val="22"/>
                <w:szCs w:val="22"/>
              </w:rPr>
              <w:t>78</w:t>
            </w:r>
            <w:r w:rsidRPr="00A45375">
              <w:rPr>
                <w:sz w:val="22"/>
                <w:szCs w:val="22"/>
                <w:vertAlign w:val="superscript"/>
              </w:rPr>
              <w:t>***</w:t>
            </w:r>
            <w:r>
              <w:rPr>
                <w:sz w:val="22"/>
                <w:szCs w:val="22"/>
              </w:rPr>
              <w:t>(</w:t>
            </w:r>
            <w:r w:rsidRPr="0056213B">
              <w:rPr>
                <w:sz w:val="22"/>
                <w:szCs w:val="22"/>
              </w:rPr>
              <w:t>0.1</w:t>
            </w:r>
            <w:r>
              <w:rPr>
                <w:sz w:val="22"/>
                <w:szCs w:val="22"/>
              </w:rPr>
              <w:t xml:space="preserve">1, </w:t>
            </w:r>
            <w:r w:rsidRPr="0013125D">
              <w:rPr>
                <w:sz w:val="22"/>
                <w:szCs w:val="22"/>
              </w:rPr>
              <w:t>0.</w:t>
            </w:r>
            <w:r>
              <w:rPr>
                <w:sz w:val="22"/>
                <w:szCs w:val="22"/>
              </w:rPr>
              <w:t>28)</w:t>
            </w:r>
          </w:p>
        </w:tc>
      </w:tr>
      <w:tr w:rsidR="005F4A31" w14:paraId="26E75EB9" w14:textId="77777777" w:rsidTr="00C83046">
        <w:tc>
          <w:tcPr>
            <w:tcW w:w="3415" w:type="dxa"/>
          </w:tcPr>
          <w:p w14:paraId="168E7A81" w14:textId="77777777" w:rsidR="005F4A31" w:rsidRDefault="005F4A31" w:rsidP="005F4A31">
            <w:r w:rsidRPr="00C023A7">
              <w:rPr>
                <w:i/>
                <w:iCs/>
              </w:rPr>
              <w:t>Sensitivity Model 1</w:t>
            </w:r>
            <w:r>
              <w:t xml:space="preserve">: </w:t>
            </w:r>
            <w:r w:rsidRPr="00AF27E3">
              <w:t>no lag for other NPIs</w:t>
            </w:r>
          </w:p>
        </w:tc>
        <w:tc>
          <w:tcPr>
            <w:tcW w:w="2340" w:type="dxa"/>
          </w:tcPr>
          <w:p w14:paraId="72FE754F" w14:textId="1BB46542" w:rsidR="005F4A31" w:rsidRPr="00A23346" w:rsidRDefault="005F4A31" w:rsidP="005F4A31">
            <w:pPr>
              <w:jc w:val="center"/>
              <w:rPr>
                <w:sz w:val="22"/>
                <w:szCs w:val="22"/>
              </w:rPr>
            </w:pPr>
            <w:r w:rsidRPr="00A23346">
              <w:rPr>
                <w:sz w:val="22"/>
                <w:szCs w:val="22"/>
              </w:rPr>
              <w:t>0.556</w:t>
            </w:r>
            <w:r w:rsidRPr="00A23346">
              <w:rPr>
                <w:sz w:val="22"/>
                <w:szCs w:val="22"/>
                <w:vertAlign w:val="superscript"/>
              </w:rPr>
              <w:t xml:space="preserve">** </w:t>
            </w:r>
            <w:r w:rsidRPr="00A23346">
              <w:rPr>
                <w:sz w:val="22"/>
                <w:szCs w:val="22"/>
              </w:rPr>
              <w:t>(0.33, 0.95)</w:t>
            </w:r>
          </w:p>
        </w:tc>
      </w:tr>
      <w:tr w:rsidR="005F4A31" w14:paraId="71B63258" w14:textId="77777777" w:rsidTr="00C83046">
        <w:tc>
          <w:tcPr>
            <w:tcW w:w="3415" w:type="dxa"/>
          </w:tcPr>
          <w:p w14:paraId="15299EF9" w14:textId="77777777" w:rsidR="005F4A31" w:rsidRDefault="005F4A31" w:rsidP="005F4A31">
            <w:r w:rsidRPr="00C023A7">
              <w:rPr>
                <w:i/>
                <w:iCs/>
              </w:rPr>
              <w:t>Sensitivity Model 2</w:t>
            </w:r>
            <w:r>
              <w:t xml:space="preserve">: </w:t>
            </w:r>
            <w:r w:rsidRPr="00AF27E3">
              <w:t>9</w:t>
            </w:r>
            <w:r>
              <w:t>-</w:t>
            </w:r>
            <w:r w:rsidRPr="00AF27E3">
              <w:t>day lag</w:t>
            </w:r>
          </w:p>
        </w:tc>
        <w:tc>
          <w:tcPr>
            <w:tcW w:w="2340" w:type="dxa"/>
          </w:tcPr>
          <w:p w14:paraId="78C48009" w14:textId="64316001" w:rsidR="005F4A31" w:rsidRPr="00A23346" w:rsidRDefault="005F4A31" w:rsidP="005F4A31">
            <w:pPr>
              <w:jc w:val="center"/>
              <w:rPr>
                <w:sz w:val="22"/>
                <w:szCs w:val="22"/>
              </w:rPr>
            </w:pPr>
            <w:r w:rsidRPr="00A23346">
              <w:rPr>
                <w:sz w:val="22"/>
                <w:szCs w:val="22"/>
              </w:rPr>
              <w:t>0.681</w:t>
            </w:r>
            <w:r w:rsidRPr="00A23346">
              <w:rPr>
                <w:sz w:val="22"/>
                <w:szCs w:val="22"/>
                <w:vertAlign w:val="superscript"/>
              </w:rPr>
              <w:t>*</w:t>
            </w:r>
            <w:r>
              <w:rPr>
                <w:sz w:val="22"/>
                <w:szCs w:val="22"/>
                <w:vertAlign w:val="superscript"/>
              </w:rPr>
              <w:t>*</w:t>
            </w:r>
            <w:r w:rsidRPr="00A23346">
              <w:rPr>
                <w:sz w:val="22"/>
                <w:szCs w:val="22"/>
              </w:rPr>
              <w:t xml:space="preserve"> (0.46, 0.99)</w:t>
            </w:r>
          </w:p>
          <w:p w14:paraId="2570C159" w14:textId="77777777" w:rsidR="005F4A31" w:rsidRPr="00A23346" w:rsidRDefault="005F4A31" w:rsidP="005F4A31">
            <w:pPr>
              <w:jc w:val="center"/>
              <w:rPr>
                <w:sz w:val="22"/>
                <w:szCs w:val="22"/>
              </w:rPr>
            </w:pPr>
          </w:p>
        </w:tc>
      </w:tr>
      <w:tr w:rsidR="005F4A31" w14:paraId="0992F4F3" w14:textId="77777777" w:rsidTr="00C83046">
        <w:tc>
          <w:tcPr>
            <w:tcW w:w="3415" w:type="dxa"/>
          </w:tcPr>
          <w:p w14:paraId="75B650F4" w14:textId="77777777" w:rsidR="005F4A31" w:rsidRDefault="005F4A31" w:rsidP="005F4A31">
            <w:r w:rsidRPr="00C023A7">
              <w:rPr>
                <w:i/>
                <w:iCs/>
              </w:rPr>
              <w:t>Sensitivity Model 3:</w:t>
            </w:r>
            <w:r>
              <w:t xml:space="preserve"> </w:t>
            </w:r>
            <w:r w:rsidRPr="00AF27E3">
              <w:t>increase lag to 3 weeks (</w:t>
            </w:r>
            <w:r>
              <w:t>3 weeks</w:t>
            </w:r>
            <w:r w:rsidRPr="00AF27E3">
              <w:t>)</w:t>
            </w:r>
          </w:p>
        </w:tc>
        <w:tc>
          <w:tcPr>
            <w:tcW w:w="2340" w:type="dxa"/>
          </w:tcPr>
          <w:p w14:paraId="6E4C8B90" w14:textId="7757E8ED" w:rsidR="005F4A31" w:rsidRPr="004C6DBE" w:rsidRDefault="005F4A31" w:rsidP="005F4A31">
            <w:pPr>
              <w:jc w:val="center"/>
              <w:rPr>
                <w:sz w:val="22"/>
                <w:szCs w:val="22"/>
              </w:rPr>
            </w:pPr>
            <w:r w:rsidRPr="00FB4312">
              <w:rPr>
                <w:sz w:val="22"/>
                <w:szCs w:val="22"/>
              </w:rPr>
              <w:t>0.</w:t>
            </w:r>
            <w:r>
              <w:rPr>
                <w:sz w:val="22"/>
                <w:szCs w:val="22"/>
              </w:rPr>
              <w:t>416</w:t>
            </w:r>
            <w:r w:rsidRPr="00A45375">
              <w:rPr>
                <w:sz w:val="22"/>
                <w:szCs w:val="22"/>
                <w:vertAlign w:val="superscript"/>
              </w:rPr>
              <w:t>**</w:t>
            </w:r>
            <w:r>
              <w:rPr>
                <w:sz w:val="22"/>
                <w:szCs w:val="22"/>
                <w:vertAlign w:val="superscript"/>
              </w:rPr>
              <w:t>*</w:t>
            </w:r>
            <w:r w:rsidRPr="00FB4312">
              <w:rPr>
                <w:sz w:val="22"/>
                <w:szCs w:val="22"/>
              </w:rPr>
              <w:t xml:space="preserve"> </w:t>
            </w:r>
            <w:r>
              <w:rPr>
                <w:sz w:val="22"/>
                <w:szCs w:val="22"/>
              </w:rPr>
              <w:t>(</w:t>
            </w:r>
            <w:r w:rsidRPr="00704C65">
              <w:rPr>
                <w:sz w:val="22"/>
                <w:szCs w:val="22"/>
              </w:rPr>
              <w:t>0.</w:t>
            </w:r>
            <w:r>
              <w:rPr>
                <w:sz w:val="22"/>
                <w:szCs w:val="22"/>
              </w:rPr>
              <w:t>24, 0.72)</w:t>
            </w:r>
          </w:p>
        </w:tc>
      </w:tr>
      <w:tr w:rsidR="005F4A31" w14:paraId="5FBE5457" w14:textId="77777777" w:rsidTr="00C83046">
        <w:tc>
          <w:tcPr>
            <w:tcW w:w="3415" w:type="dxa"/>
          </w:tcPr>
          <w:p w14:paraId="65CBB576" w14:textId="77777777" w:rsidR="005F4A31" w:rsidRDefault="005F4A31" w:rsidP="005F4A31">
            <w:r w:rsidRPr="00C023A7">
              <w:rPr>
                <w:i/>
                <w:iCs/>
              </w:rPr>
              <w:t>Sensitivity Model 4</w:t>
            </w:r>
            <w:r>
              <w:t xml:space="preserve">: </w:t>
            </w:r>
            <w:r w:rsidRPr="0045003D">
              <w:t>increase lag to 4 weeks (28 days)</w:t>
            </w:r>
          </w:p>
        </w:tc>
        <w:tc>
          <w:tcPr>
            <w:tcW w:w="2340" w:type="dxa"/>
          </w:tcPr>
          <w:p w14:paraId="52FD6FFE" w14:textId="578E58B9" w:rsidR="005F4A31" w:rsidRPr="004C6DBE" w:rsidRDefault="005F4A31" w:rsidP="005F4A31">
            <w:pPr>
              <w:jc w:val="center"/>
              <w:rPr>
                <w:sz w:val="22"/>
                <w:szCs w:val="22"/>
              </w:rPr>
            </w:pPr>
            <w:r w:rsidRPr="00FB4312">
              <w:rPr>
                <w:sz w:val="22"/>
                <w:szCs w:val="22"/>
              </w:rPr>
              <w:t>0.2</w:t>
            </w:r>
            <w:r>
              <w:rPr>
                <w:sz w:val="22"/>
                <w:szCs w:val="22"/>
              </w:rPr>
              <w:t>91</w:t>
            </w:r>
            <w:r w:rsidRPr="00A45375">
              <w:rPr>
                <w:sz w:val="22"/>
                <w:szCs w:val="22"/>
                <w:vertAlign w:val="superscript"/>
              </w:rPr>
              <w:t>***</w:t>
            </w:r>
            <w:r w:rsidRPr="00FB4312">
              <w:rPr>
                <w:sz w:val="22"/>
                <w:szCs w:val="22"/>
              </w:rPr>
              <w:t xml:space="preserve"> </w:t>
            </w:r>
            <w:r>
              <w:rPr>
                <w:sz w:val="22"/>
                <w:szCs w:val="22"/>
              </w:rPr>
              <w:t>(</w:t>
            </w:r>
            <w:r w:rsidRPr="00113811">
              <w:rPr>
                <w:sz w:val="22"/>
                <w:szCs w:val="22"/>
              </w:rPr>
              <w:t>0.</w:t>
            </w:r>
            <w:r>
              <w:rPr>
                <w:sz w:val="22"/>
                <w:szCs w:val="22"/>
              </w:rPr>
              <w:t xml:space="preserve">16, </w:t>
            </w:r>
            <w:r w:rsidRPr="00363C7B">
              <w:rPr>
                <w:sz w:val="22"/>
                <w:szCs w:val="22"/>
              </w:rPr>
              <w:t>0.</w:t>
            </w:r>
            <w:r>
              <w:rPr>
                <w:sz w:val="22"/>
                <w:szCs w:val="22"/>
              </w:rPr>
              <w:t>52)</w:t>
            </w:r>
          </w:p>
        </w:tc>
      </w:tr>
      <w:tr w:rsidR="005F4A31" w14:paraId="7E403FF5" w14:textId="77777777" w:rsidTr="00C83046">
        <w:tc>
          <w:tcPr>
            <w:tcW w:w="3415" w:type="dxa"/>
          </w:tcPr>
          <w:p w14:paraId="461FAAC3" w14:textId="77777777" w:rsidR="005F4A31" w:rsidRPr="005A33FE" w:rsidRDefault="005F4A31" w:rsidP="005F4A31">
            <w:r w:rsidRPr="00C023A7">
              <w:rPr>
                <w:i/>
                <w:iCs/>
              </w:rPr>
              <w:t>Sensitivity Model 6</w:t>
            </w:r>
            <w:r>
              <w:t xml:space="preserve">: </w:t>
            </w:r>
            <w:r w:rsidRPr="009E0236">
              <w:t xml:space="preserve">remove the non </w:t>
            </w:r>
            <w:r>
              <w:t>BCHC</w:t>
            </w:r>
            <w:r w:rsidRPr="009E0236">
              <w:t xml:space="preserve"> cities</w:t>
            </w:r>
          </w:p>
        </w:tc>
        <w:tc>
          <w:tcPr>
            <w:tcW w:w="2340" w:type="dxa"/>
          </w:tcPr>
          <w:p w14:paraId="47E6D9D9" w14:textId="6A142939" w:rsidR="005F4A31" w:rsidRPr="004C6DBE" w:rsidRDefault="005F4A31" w:rsidP="005F4A31">
            <w:pPr>
              <w:jc w:val="center"/>
              <w:rPr>
                <w:sz w:val="22"/>
                <w:szCs w:val="22"/>
              </w:rPr>
            </w:pPr>
            <w:r w:rsidRPr="00F5730B">
              <w:rPr>
                <w:sz w:val="22"/>
                <w:szCs w:val="22"/>
              </w:rPr>
              <w:t>0.</w:t>
            </w:r>
            <w:r>
              <w:rPr>
                <w:sz w:val="22"/>
                <w:szCs w:val="22"/>
              </w:rPr>
              <w:t>525</w:t>
            </w:r>
            <w:r w:rsidRPr="00D91D78">
              <w:rPr>
                <w:sz w:val="22"/>
                <w:szCs w:val="22"/>
                <w:vertAlign w:val="superscript"/>
              </w:rPr>
              <w:t>*</w:t>
            </w:r>
            <w:r>
              <w:rPr>
                <w:sz w:val="22"/>
                <w:szCs w:val="22"/>
                <w:vertAlign w:val="superscript"/>
              </w:rPr>
              <w:t>**</w:t>
            </w:r>
            <w:r w:rsidRPr="00F5730B">
              <w:rPr>
                <w:sz w:val="22"/>
                <w:szCs w:val="22"/>
              </w:rPr>
              <w:t xml:space="preserve"> </w:t>
            </w:r>
            <w:r>
              <w:rPr>
                <w:sz w:val="22"/>
                <w:szCs w:val="22"/>
              </w:rPr>
              <w:t>(</w:t>
            </w:r>
            <w:r w:rsidRPr="00FB3B1C">
              <w:rPr>
                <w:sz w:val="22"/>
                <w:szCs w:val="22"/>
              </w:rPr>
              <w:t>0.</w:t>
            </w:r>
            <w:r>
              <w:rPr>
                <w:sz w:val="22"/>
                <w:szCs w:val="22"/>
              </w:rPr>
              <w:t xml:space="preserve">34, </w:t>
            </w:r>
            <w:r w:rsidRPr="00FB3B1C">
              <w:rPr>
                <w:sz w:val="22"/>
                <w:szCs w:val="22"/>
              </w:rPr>
              <w:t>0.</w:t>
            </w:r>
            <w:r>
              <w:rPr>
                <w:sz w:val="22"/>
                <w:szCs w:val="22"/>
              </w:rPr>
              <w:t>8)</w:t>
            </w:r>
          </w:p>
        </w:tc>
      </w:tr>
      <w:tr w:rsidR="005F4A31" w14:paraId="3979BEF5" w14:textId="77777777" w:rsidTr="00C83046">
        <w:tc>
          <w:tcPr>
            <w:tcW w:w="3415" w:type="dxa"/>
          </w:tcPr>
          <w:p w14:paraId="01E289F3" w14:textId="77777777" w:rsidR="005F4A31" w:rsidRPr="00777C5C" w:rsidRDefault="005F4A31" w:rsidP="005F4A31">
            <w:r>
              <w:rPr>
                <w:i/>
                <w:iCs/>
              </w:rPr>
              <w:t xml:space="preserve">Sensitivity Model 7: </w:t>
            </w:r>
            <w:r>
              <w:t>Remove CA (Early fall re-opening)</w:t>
            </w:r>
          </w:p>
        </w:tc>
        <w:tc>
          <w:tcPr>
            <w:tcW w:w="2340" w:type="dxa"/>
          </w:tcPr>
          <w:p w14:paraId="6AD2F123" w14:textId="39DEEDCF" w:rsidR="005F4A31" w:rsidRPr="00F5730B" w:rsidRDefault="005F4A31" w:rsidP="005F4A31">
            <w:pPr>
              <w:jc w:val="center"/>
              <w:rPr>
                <w:sz w:val="22"/>
                <w:szCs w:val="22"/>
              </w:rPr>
            </w:pPr>
            <w:r>
              <w:rPr>
                <w:sz w:val="22"/>
                <w:szCs w:val="22"/>
              </w:rPr>
              <w:t>0.440</w:t>
            </w:r>
            <w:r w:rsidRPr="00D91D78">
              <w:rPr>
                <w:sz w:val="22"/>
                <w:szCs w:val="22"/>
                <w:vertAlign w:val="superscript"/>
              </w:rPr>
              <w:t>*</w:t>
            </w:r>
            <w:r>
              <w:rPr>
                <w:sz w:val="22"/>
                <w:szCs w:val="22"/>
                <w:vertAlign w:val="superscript"/>
              </w:rPr>
              <w:t>**</w:t>
            </w:r>
            <w:r w:rsidRPr="00F5730B">
              <w:rPr>
                <w:sz w:val="22"/>
                <w:szCs w:val="22"/>
              </w:rPr>
              <w:t xml:space="preserve"> </w:t>
            </w:r>
            <w:r>
              <w:rPr>
                <w:sz w:val="22"/>
                <w:szCs w:val="22"/>
              </w:rPr>
              <w:t>(0.26, 0.75)</w:t>
            </w:r>
          </w:p>
        </w:tc>
      </w:tr>
      <w:tr w:rsidR="005F4A31" w14:paraId="25B40270" w14:textId="77777777" w:rsidTr="00C83046">
        <w:tc>
          <w:tcPr>
            <w:tcW w:w="3415" w:type="dxa"/>
          </w:tcPr>
          <w:p w14:paraId="0E9F957F" w14:textId="77777777" w:rsidR="005F4A31" w:rsidRDefault="005F4A31" w:rsidP="005F4A31">
            <w:pPr>
              <w:rPr>
                <w:i/>
                <w:iCs/>
              </w:rPr>
            </w:pPr>
            <w:r>
              <w:rPr>
                <w:i/>
                <w:iCs/>
              </w:rPr>
              <w:t xml:space="preserve">Sensitivity Model 8: </w:t>
            </w:r>
            <w:r w:rsidRPr="00A9427E">
              <w:t>Adding Calendar week fixed effects</w:t>
            </w:r>
          </w:p>
        </w:tc>
        <w:tc>
          <w:tcPr>
            <w:tcW w:w="2340" w:type="dxa"/>
          </w:tcPr>
          <w:p w14:paraId="1B36F079" w14:textId="524EA871" w:rsidR="005F4A31" w:rsidRDefault="005F4A31" w:rsidP="005F4A31">
            <w:pPr>
              <w:jc w:val="center"/>
              <w:rPr>
                <w:sz w:val="22"/>
                <w:szCs w:val="22"/>
              </w:rPr>
            </w:pPr>
            <w:r w:rsidRPr="002B79A6">
              <w:rPr>
                <w:sz w:val="22"/>
                <w:szCs w:val="22"/>
              </w:rPr>
              <w:t>0.430</w:t>
            </w:r>
            <w:r w:rsidRPr="002B79A6">
              <w:rPr>
                <w:sz w:val="22"/>
                <w:szCs w:val="22"/>
                <w:vertAlign w:val="superscript"/>
              </w:rPr>
              <w:t>**</w:t>
            </w:r>
            <w:r w:rsidRPr="002B79A6">
              <w:rPr>
                <w:sz w:val="22"/>
                <w:szCs w:val="22"/>
              </w:rPr>
              <w:t xml:space="preserve"> (0.22, 0.93)</w:t>
            </w:r>
          </w:p>
        </w:tc>
      </w:tr>
    </w:tbl>
    <w:p w14:paraId="05CE4A2C" w14:textId="65380B48" w:rsidR="00524B3C" w:rsidRPr="00C0706B" w:rsidRDefault="00524B3C" w:rsidP="00524B3C">
      <w:pPr>
        <w:rPr>
          <w:vertAlign w:val="superscript"/>
        </w:rPr>
      </w:pPr>
      <w:r>
        <w:t xml:space="preserve">Results come from a negative binomial model with city population model as an offset, robust standard errors clustered at the city level, and a two-week case lag. Models adjusted for mask mandates, stay at home orders, and eviction moratoriums. </w:t>
      </w:r>
      <w:r w:rsidRPr="00F5730B">
        <w:t>*p&lt;0.1; **p&lt;0.05; ***p&lt;0.01</w:t>
      </w:r>
    </w:p>
    <w:p w14:paraId="56003866" w14:textId="4A5EBA1D" w:rsidR="00524B3C" w:rsidRDefault="00524B3C">
      <w:pPr>
        <w:spacing w:after="160" w:line="259" w:lineRule="auto"/>
      </w:pPr>
      <w:r>
        <w:br w:type="page"/>
      </w:r>
    </w:p>
    <w:p w14:paraId="0D1F34B5" w14:textId="2C7358B2" w:rsidR="00524B3C" w:rsidRPr="006A11C9" w:rsidRDefault="00524B3C" w:rsidP="00524B3C">
      <w:pPr>
        <w:pStyle w:val="Heading2"/>
        <w:rPr>
          <w:rFonts w:ascii="Times New Roman" w:hAnsi="Times New Roman" w:cs="Times New Roman"/>
          <w:color w:val="auto"/>
          <w:sz w:val="24"/>
          <w:szCs w:val="24"/>
        </w:rPr>
      </w:pPr>
      <w:bookmarkStart w:id="12" w:name="_Toc68877765"/>
      <w:r w:rsidRPr="006A11C9">
        <w:rPr>
          <w:rFonts w:ascii="Times New Roman" w:hAnsi="Times New Roman" w:cs="Times New Roman"/>
          <w:color w:val="auto"/>
          <w:sz w:val="24"/>
          <w:szCs w:val="24"/>
        </w:rPr>
        <w:lastRenderedPageBreak/>
        <w:t xml:space="preserve">Appendix </w:t>
      </w:r>
      <w:r w:rsidR="00772C8D">
        <w:rPr>
          <w:rFonts w:ascii="Times New Roman" w:hAnsi="Times New Roman" w:cs="Times New Roman"/>
          <w:color w:val="auto"/>
          <w:sz w:val="24"/>
          <w:szCs w:val="24"/>
        </w:rPr>
        <w:t xml:space="preserve">Table </w:t>
      </w:r>
      <w:r>
        <w:rPr>
          <w:rFonts w:ascii="Times New Roman" w:hAnsi="Times New Roman" w:cs="Times New Roman"/>
          <w:color w:val="auto"/>
          <w:sz w:val="24"/>
          <w:szCs w:val="24"/>
        </w:rPr>
        <w:t>D3</w:t>
      </w:r>
      <w:r w:rsidRPr="006A11C9">
        <w:rPr>
          <w:rFonts w:ascii="Times New Roman" w:hAnsi="Times New Roman" w:cs="Times New Roman"/>
          <w:color w:val="auto"/>
          <w:sz w:val="24"/>
          <w:szCs w:val="24"/>
        </w:rPr>
        <w:t>: Event Study</w:t>
      </w:r>
      <w:r>
        <w:rPr>
          <w:rFonts w:ascii="Times New Roman" w:hAnsi="Times New Roman" w:cs="Times New Roman"/>
          <w:color w:val="auto"/>
          <w:sz w:val="24"/>
          <w:szCs w:val="24"/>
        </w:rPr>
        <w:t xml:space="preserve"> Adjusted Incidence Rate Ratios</w:t>
      </w:r>
      <w:bookmarkEnd w:id="12"/>
      <w:r w:rsidRPr="006A11C9">
        <w:rPr>
          <w:rFonts w:ascii="Times New Roman" w:hAnsi="Times New Roman" w:cs="Times New Roman"/>
          <w:color w:val="auto"/>
          <w:sz w:val="24"/>
          <w:szCs w:val="24"/>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160"/>
        <w:gridCol w:w="2340"/>
        <w:gridCol w:w="2340"/>
        <w:gridCol w:w="2510"/>
      </w:tblGrid>
      <w:tr w:rsidR="00524B3C" w14:paraId="40A82D92" w14:textId="77777777" w:rsidTr="00C83046">
        <w:tc>
          <w:tcPr>
            <w:tcW w:w="2160" w:type="dxa"/>
            <w:shd w:val="clear" w:color="auto" w:fill="D0CECE" w:themeFill="background2" w:themeFillShade="E6"/>
          </w:tcPr>
          <w:p w14:paraId="0135B523" w14:textId="77777777" w:rsidR="00524B3C" w:rsidRPr="00FC1B57" w:rsidRDefault="00524B3C" w:rsidP="00C83046">
            <w:pPr>
              <w:spacing w:line="480" w:lineRule="auto"/>
              <w:rPr>
                <w:b/>
                <w:bCs/>
              </w:rPr>
            </w:pPr>
          </w:p>
        </w:tc>
        <w:tc>
          <w:tcPr>
            <w:tcW w:w="2340" w:type="dxa"/>
            <w:shd w:val="clear" w:color="auto" w:fill="D0CECE" w:themeFill="background2" w:themeFillShade="E6"/>
          </w:tcPr>
          <w:p w14:paraId="0472A7BB" w14:textId="77777777" w:rsidR="00524B3C" w:rsidRPr="00FC1B57" w:rsidRDefault="00524B3C" w:rsidP="00C83046">
            <w:pPr>
              <w:spacing w:line="480" w:lineRule="auto"/>
              <w:rPr>
                <w:b/>
                <w:bCs/>
              </w:rPr>
            </w:pPr>
          </w:p>
        </w:tc>
        <w:tc>
          <w:tcPr>
            <w:tcW w:w="4850" w:type="dxa"/>
            <w:gridSpan w:val="2"/>
            <w:shd w:val="clear" w:color="auto" w:fill="D0CECE" w:themeFill="background2" w:themeFillShade="E6"/>
          </w:tcPr>
          <w:p w14:paraId="3D996443" w14:textId="77777777" w:rsidR="00524B3C" w:rsidRPr="00FC1B57" w:rsidRDefault="00524B3C" w:rsidP="00C83046">
            <w:pPr>
              <w:spacing w:line="480" w:lineRule="auto"/>
              <w:jc w:val="center"/>
              <w:rPr>
                <w:b/>
                <w:bCs/>
              </w:rPr>
            </w:pPr>
            <w:r w:rsidRPr="00FC1B57">
              <w:rPr>
                <w:b/>
                <w:bCs/>
              </w:rPr>
              <w:t>Alternative Specifications</w:t>
            </w:r>
          </w:p>
        </w:tc>
      </w:tr>
      <w:tr w:rsidR="00524B3C" w14:paraId="38A3A373" w14:textId="77777777" w:rsidTr="00C83046">
        <w:tc>
          <w:tcPr>
            <w:tcW w:w="2160" w:type="dxa"/>
            <w:shd w:val="clear" w:color="auto" w:fill="D0CECE" w:themeFill="background2" w:themeFillShade="E6"/>
          </w:tcPr>
          <w:p w14:paraId="0EE922B8" w14:textId="77777777" w:rsidR="00524B3C" w:rsidRPr="00FC1B57" w:rsidRDefault="00524B3C" w:rsidP="00C83046">
            <w:pPr>
              <w:spacing w:line="480" w:lineRule="auto"/>
              <w:rPr>
                <w:b/>
                <w:bCs/>
              </w:rPr>
            </w:pPr>
          </w:p>
        </w:tc>
        <w:tc>
          <w:tcPr>
            <w:tcW w:w="2340" w:type="dxa"/>
            <w:shd w:val="clear" w:color="auto" w:fill="D0CECE" w:themeFill="background2" w:themeFillShade="E6"/>
          </w:tcPr>
          <w:p w14:paraId="20E596CE" w14:textId="77777777" w:rsidR="00524B3C" w:rsidRPr="00FC1B57" w:rsidRDefault="00524B3C" w:rsidP="00C83046">
            <w:pPr>
              <w:spacing w:line="480" w:lineRule="auto"/>
              <w:jc w:val="center"/>
              <w:rPr>
                <w:b/>
                <w:bCs/>
              </w:rPr>
            </w:pPr>
            <w:r w:rsidRPr="00FC1B57">
              <w:rPr>
                <w:b/>
                <w:bCs/>
              </w:rPr>
              <w:t>Main Model</w:t>
            </w:r>
          </w:p>
        </w:tc>
        <w:tc>
          <w:tcPr>
            <w:tcW w:w="2340" w:type="dxa"/>
            <w:shd w:val="clear" w:color="auto" w:fill="D0CECE" w:themeFill="background2" w:themeFillShade="E6"/>
          </w:tcPr>
          <w:p w14:paraId="22D72BE3" w14:textId="77777777" w:rsidR="00524B3C" w:rsidRPr="00FC1B57" w:rsidRDefault="00524B3C" w:rsidP="00C83046">
            <w:pPr>
              <w:spacing w:line="480" w:lineRule="auto"/>
              <w:jc w:val="center"/>
              <w:rPr>
                <w:b/>
                <w:bCs/>
              </w:rPr>
            </w:pPr>
            <w:r w:rsidRPr="00FC1B57">
              <w:rPr>
                <w:b/>
                <w:bCs/>
              </w:rPr>
              <w:t>1</w:t>
            </w:r>
          </w:p>
        </w:tc>
        <w:tc>
          <w:tcPr>
            <w:tcW w:w="2510" w:type="dxa"/>
            <w:shd w:val="clear" w:color="auto" w:fill="D0CECE" w:themeFill="background2" w:themeFillShade="E6"/>
          </w:tcPr>
          <w:p w14:paraId="33BB6F25" w14:textId="77777777" w:rsidR="00524B3C" w:rsidRPr="00FC1B57" w:rsidRDefault="00524B3C" w:rsidP="00C83046">
            <w:pPr>
              <w:spacing w:line="480" w:lineRule="auto"/>
              <w:jc w:val="center"/>
              <w:rPr>
                <w:b/>
                <w:bCs/>
              </w:rPr>
            </w:pPr>
            <w:r w:rsidRPr="00FC1B57">
              <w:rPr>
                <w:b/>
                <w:bCs/>
              </w:rPr>
              <w:t>2</w:t>
            </w:r>
          </w:p>
        </w:tc>
      </w:tr>
      <w:tr w:rsidR="00524B3C" w14:paraId="606C318F" w14:textId="77777777" w:rsidTr="00C83046">
        <w:tc>
          <w:tcPr>
            <w:tcW w:w="2160" w:type="dxa"/>
            <w:shd w:val="clear" w:color="auto" w:fill="D0CECE" w:themeFill="background2" w:themeFillShade="E6"/>
          </w:tcPr>
          <w:p w14:paraId="78C257C7" w14:textId="77777777" w:rsidR="00524B3C" w:rsidRPr="00FC1B57" w:rsidRDefault="00524B3C" w:rsidP="00C83046">
            <w:pPr>
              <w:spacing w:line="480" w:lineRule="auto"/>
              <w:jc w:val="center"/>
              <w:rPr>
                <w:b/>
                <w:bCs/>
              </w:rPr>
            </w:pPr>
            <w:r w:rsidRPr="00FC1B57">
              <w:rPr>
                <w:b/>
                <w:bCs/>
              </w:rPr>
              <w:t>Weeks since lifted</w:t>
            </w:r>
          </w:p>
        </w:tc>
        <w:tc>
          <w:tcPr>
            <w:tcW w:w="2340" w:type="dxa"/>
            <w:shd w:val="clear" w:color="auto" w:fill="D0CECE" w:themeFill="background2" w:themeFillShade="E6"/>
          </w:tcPr>
          <w:p w14:paraId="52AE67CD" w14:textId="77777777" w:rsidR="00524B3C" w:rsidRPr="00FC1B57" w:rsidRDefault="00524B3C" w:rsidP="00C83046">
            <w:pPr>
              <w:spacing w:line="480" w:lineRule="auto"/>
              <w:jc w:val="center"/>
              <w:rPr>
                <w:b/>
                <w:bCs/>
              </w:rPr>
            </w:pPr>
            <w:r w:rsidRPr="00FC1B57">
              <w:rPr>
                <w:b/>
                <w:bCs/>
              </w:rPr>
              <w:t>IRR(CI)</w:t>
            </w:r>
          </w:p>
        </w:tc>
        <w:tc>
          <w:tcPr>
            <w:tcW w:w="2340" w:type="dxa"/>
            <w:shd w:val="clear" w:color="auto" w:fill="D0CECE" w:themeFill="background2" w:themeFillShade="E6"/>
          </w:tcPr>
          <w:p w14:paraId="07D0FCB7" w14:textId="77777777" w:rsidR="00524B3C" w:rsidRPr="00FC1B57" w:rsidRDefault="00524B3C" w:rsidP="00C83046">
            <w:pPr>
              <w:spacing w:line="480" w:lineRule="auto"/>
              <w:jc w:val="center"/>
              <w:rPr>
                <w:b/>
                <w:bCs/>
              </w:rPr>
            </w:pPr>
            <w:r w:rsidRPr="00FC1B57">
              <w:rPr>
                <w:b/>
                <w:bCs/>
              </w:rPr>
              <w:t>IRR(CI)</w:t>
            </w:r>
          </w:p>
        </w:tc>
        <w:tc>
          <w:tcPr>
            <w:tcW w:w="2510" w:type="dxa"/>
            <w:shd w:val="clear" w:color="auto" w:fill="D0CECE" w:themeFill="background2" w:themeFillShade="E6"/>
          </w:tcPr>
          <w:p w14:paraId="777BB8C4" w14:textId="77777777" w:rsidR="00524B3C" w:rsidRPr="00FC1B57" w:rsidRDefault="00524B3C" w:rsidP="00C83046">
            <w:pPr>
              <w:spacing w:line="480" w:lineRule="auto"/>
              <w:jc w:val="center"/>
              <w:rPr>
                <w:b/>
                <w:bCs/>
              </w:rPr>
            </w:pPr>
            <w:r w:rsidRPr="00FC1B57">
              <w:rPr>
                <w:b/>
                <w:bCs/>
              </w:rPr>
              <w:t>IRR(CI)</w:t>
            </w:r>
          </w:p>
        </w:tc>
      </w:tr>
      <w:tr w:rsidR="00D373F4" w14:paraId="0C87D9DC" w14:textId="77777777" w:rsidTr="006878E3">
        <w:tc>
          <w:tcPr>
            <w:tcW w:w="2160" w:type="dxa"/>
          </w:tcPr>
          <w:p w14:paraId="6908C562" w14:textId="12A0F135" w:rsidR="00D373F4" w:rsidRPr="006878E3" w:rsidRDefault="00D373F4" w:rsidP="00D373F4">
            <w:pPr>
              <w:spacing w:line="480" w:lineRule="auto"/>
              <w:jc w:val="center"/>
            </w:pPr>
            <w:r w:rsidRPr="006878E3">
              <w:t>-4</w:t>
            </w:r>
          </w:p>
        </w:tc>
        <w:tc>
          <w:tcPr>
            <w:tcW w:w="2340" w:type="dxa"/>
            <w:vAlign w:val="bottom"/>
          </w:tcPr>
          <w:p w14:paraId="108932CC" w14:textId="6009CC5B" w:rsidR="00D373F4" w:rsidRPr="006878E3" w:rsidRDefault="00D373F4" w:rsidP="00D373F4">
            <w:pPr>
              <w:spacing w:line="480" w:lineRule="auto"/>
              <w:jc w:val="center"/>
            </w:pPr>
            <w:r w:rsidRPr="006878E3">
              <w:rPr>
                <w:color w:val="000000"/>
                <w:sz w:val="22"/>
                <w:szCs w:val="22"/>
              </w:rPr>
              <w:t>0.5</w:t>
            </w:r>
            <w:r w:rsidR="00E26259">
              <w:rPr>
                <w:color w:val="000000"/>
                <w:sz w:val="22"/>
                <w:szCs w:val="22"/>
              </w:rPr>
              <w:t xml:space="preserve">9 </w:t>
            </w:r>
            <w:r w:rsidRPr="006878E3">
              <w:rPr>
                <w:color w:val="000000"/>
                <w:sz w:val="22"/>
                <w:szCs w:val="22"/>
              </w:rPr>
              <w:t>(</w:t>
            </w:r>
            <w:r w:rsidR="00EA00B4" w:rsidRPr="006878E3">
              <w:rPr>
                <w:color w:val="000000"/>
                <w:sz w:val="22"/>
                <w:szCs w:val="22"/>
              </w:rPr>
              <w:t>0.81, 1.23)</w:t>
            </w:r>
          </w:p>
        </w:tc>
        <w:tc>
          <w:tcPr>
            <w:tcW w:w="2340" w:type="dxa"/>
          </w:tcPr>
          <w:p w14:paraId="7A6E68B0" w14:textId="51DF36B1" w:rsidR="00D373F4" w:rsidRPr="001D5F10" w:rsidRDefault="00E26259" w:rsidP="00D373F4">
            <w:pPr>
              <w:spacing w:line="480" w:lineRule="auto"/>
              <w:jc w:val="center"/>
            </w:pPr>
            <w:r>
              <w:t xml:space="preserve">0.61 </w:t>
            </w:r>
            <w:r w:rsidR="00A14B76">
              <w:t>(0.33, 1.11)</w:t>
            </w:r>
          </w:p>
        </w:tc>
        <w:tc>
          <w:tcPr>
            <w:tcW w:w="2510" w:type="dxa"/>
          </w:tcPr>
          <w:p w14:paraId="78B32B0F" w14:textId="58EB5E91" w:rsidR="00D373F4" w:rsidRPr="009555D5" w:rsidRDefault="00A14B76" w:rsidP="00D373F4">
            <w:pPr>
              <w:spacing w:line="480" w:lineRule="auto"/>
              <w:jc w:val="center"/>
            </w:pPr>
            <w:r>
              <w:t>0.53 (</w:t>
            </w:r>
            <w:r w:rsidR="00B649D0">
              <w:t>0.27, 1.02</w:t>
            </w:r>
            <w:r w:rsidR="00927657">
              <w:t>)</w:t>
            </w:r>
          </w:p>
        </w:tc>
      </w:tr>
      <w:tr w:rsidR="00D373F4" w14:paraId="1C3728FE" w14:textId="77777777" w:rsidTr="006878E3">
        <w:tc>
          <w:tcPr>
            <w:tcW w:w="2160" w:type="dxa"/>
          </w:tcPr>
          <w:p w14:paraId="4329D6DD" w14:textId="3ED96EA9" w:rsidR="00D373F4" w:rsidRPr="006878E3" w:rsidRDefault="00D373F4" w:rsidP="00D373F4">
            <w:pPr>
              <w:spacing w:line="480" w:lineRule="auto"/>
              <w:jc w:val="center"/>
            </w:pPr>
            <w:r w:rsidRPr="006878E3">
              <w:t>-3</w:t>
            </w:r>
          </w:p>
        </w:tc>
        <w:tc>
          <w:tcPr>
            <w:tcW w:w="2340" w:type="dxa"/>
            <w:vAlign w:val="bottom"/>
          </w:tcPr>
          <w:p w14:paraId="3724AFC2" w14:textId="72F1ACAD" w:rsidR="00D373F4" w:rsidRPr="006878E3" w:rsidRDefault="00D373F4" w:rsidP="00D373F4">
            <w:pPr>
              <w:spacing w:line="480" w:lineRule="auto"/>
              <w:jc w:val="center"/>
            </w:pPr>
            <w:r w:rsidRPr="006878E3">
              <w:rPr>
                <w:color w:val="000000"/>
                <w:sz w:val="22"/>
                <w:szCs w:val="22"/>
              </w:rPr>
              <w:t>0.81</w:t>
            </w:r>
            <w:r w:rsidR="00E26259">
              <w:rPr>
                <w:color w:val="000000"/>
                <w:sz w:val="22"/>
                <w:szCs w:val="22"/>
              </w:rPr>
              <w:t xml:space="preserve"> </w:t>
            </w:r>
            <w:r w:rsidR="00EA00B4" w:rsidRPr="006878E3">
              <w:rPr>
                <w:color w:val="000000"/>
                <w:sz w:val="22"/>
                <w:szCs w:val="22"/>
              </w:rPr>
              <w:t>(</w:t>
            </w:r>
            <w:r w:rsidR="005E3EFD" w:rsidRPr="006878E3">
              <w:rPr>
                <w:color w:val="000000"/>
                <w:sz w:val="22"/>
                <w:szCs w:val="22"/>
              </w:rPr>
              <w:t>0.5, 1.24)</w:t>
            </w:r>
          </w:p>
        </w:tc>
        <w:tc>
          <w:tcPr>
            <w:tcW w:w="2340" w:type="dxa"/>
          </w:tcPr>
          <w:p w14:paraId="1577664B" w14:textId="2BFD1F27" w:rsidR="00D373F4" w:rsidRPr="001D5F10" w:rsidRDefault="006B2294" w:rsidP="00D373F4">
            <w:pPr>
              <w:spacing w:line="480" w:lineRule="auto"/>
              <w:jc w:val="center"/>
            </w:pPr>
            <w:r>
              <w:t>0.84</w:t>
            </w:r>
            <w:r w:rsidR="000468B6">
              <w:t xml:space="preserve"> (0.5, 1.41)</w:t>
            </w:r>
          </w:p>
        </w:tc>
        <w:tc>
          <w:tcPr>
            <w:tcW w:w="2510" w:type="dxa"/>
          </w:tcPr>
          <w:p w14:paraId="209C034B" w14:textId="3938C179" w:rsidR="00D373F4" w:rsidRPr="009555D5" w:rsidRDefault="00A14B76" w:rsidP="00D373F4">
            <w:pPr>
              <w:spacing w:line="480" w:lineRule="auto"/>
              <w:jc w:val="center"/>
            </w:pPr>
            <w:r>
              <w:t>0.78</w:t>
            </w:r>
            <w:r w:rsidR="00927657">
              <w:t xml:space="preserve"> (0.</w:t>
            </w:r>
            <w:r w:rsidR="00B649D0">
              <w:t>44, 1.37</w:t>
            </w:r>
            <w:r w:rsidR="00927657">
              <w:t>)</w:t>
            </w:r>
          </w:p>
        </w:tc>
      </w:tr>
      <w:tr w:rsidR="00D373F4" w14:paraId="169B51FC" w14:textId="77777777" w:rsidTr="006878E3">
        <w:tc>
          <w:tcPr>
            <w:tcW w:w="2160" w:type="dxa"/>
          </w:tcPr>
          <w:p w14:paraId="71691203" w14:textId="2CDDCD42" w:rsidR="00D373F4" w:rsidRPr="006878E3" w:rsidRDefault="00D373F4" w:rsidP="00D373F4">
            <w:pPr>
              <w:spacing w:line="480" w:lineRule="auto"/>
              <w:jc w:val="center"/>
            </w:pPr>
            <w:r w:rsidRPr="006878E3">
              <w:t>-2</w:t>
            </w:r>
          </w:p>
        </w:tc>
        <w:tc>
          <w:tcPr>
            <w:tcW w:w="2340" w:type="dxa"/>
            <w:vAlign w:val="bottom"/>
          </w:tcPr>
          <w:p w14:paraId="66E4FE0A" w14:textId="16A265C3" w:rsidR="00D373F4" w:rsidRPr="006878E3" w:rsidRDefault="00D373F4" w:rsidP="00D373F4">
            <w:pPr>
              <w:spacing w:line="480" w:lineRule="auto"/>
              <w:jc w:val="center"/>
            </w:pPr>
            <w:r w:rsidRPr="006878E3">
              <w:rPr>
                <w:color w:val="000000"/>
                <w:sz w:val="22"/>
                <w:szCs w:val="22"/>
              </w:rPr>
              <w:t>1.00</w:t>
            </w:r>
            <w:r w:rsidR="005E3EFD" w:rsidRPr="006878E3">
              <w:rPr>
                <w:color w:val="000000"/>
                <w:sz w:val="22"/>
                <w:szCs w:val="22"/>
              </w:rPr>
              <w:t xml:space="preserve"> (0.34, 1.0)</w:t>
            </w:r>
          </w:p>
        </w:tc>
        <w:tc>
          <w:tcPr>
            <w:tcW w:w="2340" w:type="dxa"/>
          </w:tcPr>
          <w:p w14:paraId="79F2B6B2" w14:textId="6376CE6A" w:rsidR="00D373F4" w:rsidRPr="001D5F10" w:rsidRDefault="006B2294" w:rsidP="00D373F4">
            <w:pPr>
              <w:spacing w:line="480" w:lineRule="auto"/>
              <w:jc w:val="center"/>
            </w:pPr>
            <w:r>
              <w:t>0.97</w:t>
            </w:r>
            <w:r w:rsidR="000468B6">
              <w:t xml:space="preserve"> (0.78, 1.22)</w:t>
            </w:r>
          </w:p>
        </w:tc>
        <w:tc>
          <w:tcPr>
            <w:tcW w:w="2510" w:type="dxa"/>
          </w:tcPr>
          <w:p w14:paraId="6F57CE89" w14:textId="3BFECE4C" w:rsidR="00D373F4" w:rsidRPr="009555D5" w:rsidRDefault="00A14B76" w:rsidP="00D373F4">
            <w:pPr>
              <w:spacing w:line="480" w:lineRule="auto"/>
              <w:jc w:val="center"/>
            </w:pPr>
            <w:r>
              <w:t>0.97</w:t>
            </w:r>
            <w:r w:rsidR="00927657">
              <w:t xml:space="preserve"> </w:t>
            </w:r>
            <w:r w:rsidR="006B131F">
              <w:t>(0.</w:t>
            </w:r>
            <w:r w:rsidR="00B649D0">
              <w:t>7</w:t>
            </w:r>
            <w:r w:rsidR="0004216A">
              <w:t>9</w:t>
            </w:r>
            <w:r w:rsidR="00B649D0">
              <w:t>, 1.18</w:t>
            </w:r>
            <w:r w:rsidR="006B131F">
              <w:t>)</w:t>
            </w:r>
          </w:p>
        </w:tc>
      </w:tr>
      <w:tr w:rsidR="00A94275" w14:paraId="2A15357F" w14:textId="77777777" w:rsidTr="00C83046">
        <w:tc>
          <w:tcPr>
            <w:tcW w:w="2160" w:type="dxa"/>
          </w:tcPr>
          <w:p w14:paraId="301401BC" w14:textId="55F9C7C8" w:rsidR="00A94275" w:rsidRPr="006878E3" w:rsidRDefault="00D373F4" w:rsidP="00C83046">
            <w:pPr>
              <w:spacing w:line="480" w:lineRule="auto"/>
              <w:jc w:val="center"/>
            </w:pPr>
            <w:r w:rsidRPr="006878E3">
              <w:t>-1</w:t>
            </w:r>
          </w:p>
        </w:tc>
        <w:tc>
          <w:tcPr>
            <w:tcW w:w="2340" w:type="dxa"/>
          </w:tcPr>
          <w:p w14:paraId="0A935E0B" w14:textId="68343D26" w:rsidR="00A94275" w:rsidRPr="006878E3" w:rsidRDefault="00D373F4" w:rsidP="00C83046">
            <w:pPr>
              <w:spacing w:line="480" w:lineRule="auto"/>
              <w:jc w:val="center"/>
            </w:pPr>
            <w:r w:rsidRPr="004D59C2">
              <w:t>Ref</w:t>
            </w:r>
          </w:p>
        </w:tc>
        <w:tc>
          <w:tcPr>
            <w:tcW w:w="2340" w:type="dxa"/>
          </w:tcPr>
          <w:p w14:paraId="528B902E" w14:textId="3161951F" w:rsidR="00A94275" w:rsidRPr="001D5F10" w:rsidRDefault="00D373F4" w:rsidP="006541B3">
            <w:pPr>
              <w:spacing w:line="480" w:lineRule="auto"/>
              <w:jc w:val="center"/>
            </w:pPr>
            <w:r>
              <w:t>Ref</w:t>
            </w:r>
          </w:p>
        </w:tc>
        <w:tc>
          <w:tcPr>
            <w:tcW w:w="2510" w:type="dxa"/>
          </w:tcPr>
          <w:p w14:paraId="4F2719CA" w14:textId="5C61AEAC" w:rsidR="00A94275" w:rsidRPr="009555D5" w:rsidRDefault="00D373F4" w:rsidP="00C83046">
            <w:pPr>
              <w:spacing w:line="480" w:lineRule="auto"/>
              <w:jc w:val="center"/>
            </w:pPr>
            <w:r>
              <w:t>Ref</w:t>
            </w:r>
          </w:p>
        </w:tc>
      </w:tr>
      <w:tr w:rsidR="00524B3C" w14:paraId="226414F4" w14:textId="77777777" w:rsidTr="00C83046">
        <w:tc>
          <w:tcPr>
            <w:tcW w:w="2160" w:type="dxa"/>
          </w:tcPr>
          <w:p w14:paraId="31B62C9E" w14:textId="77777777" w:rsidR="00524B3C" w:rsidRDefault="00524B3C" w:rsidP="00C83046">
            <w:pPr>
              <w:spacing w:line="480" w:lineRule="auto"/>
              <w:jc w:val="center"/>
            </w:pPr>
            <w:r>
              <w:t>1</w:t>
            </w:r>
          </w:p>
        </w:tc>
        <w:tc>
          <w:tcPr>
            <w:tcW w:w="2340" w:type="dxa"/>
          </w:tcPr>
          <w:p w14:paraId="34DA71EE" w14:textId="46690A42" w:rsidR="00524B3C" w:rsidRDefault="00374051" w:rsidP="00C83046">
            <w:pPr>
              <w:spacing w:line="480" w:lineRule="auto"/>
              <w:jc w:val="center"/>
            </w:pPr>
            <w:r w:rsidRPr="00374051">
              <w:t>1.</w:t>
            </w:r>
            <w:r w:rsidR="0013450D">
              <w:t>18</w:t>
            </w:r>
            <w:r w:rsidR="006318C4">
              <w:t xml:space="preserve"> </w:t>
            </w:r>
            <w:r w:rsidR="00524B3C">
              <w:t>(</w:t>
            </w:r>
            <w:r w:rsidR="007F053C" w:rsidRPr="007F053C">
              <w:t>0.8</w:t>
            </w:r>
            <w:r w:rsidR="00AA372B">
              <w:t>2</w:t>
            </w:r>
            <w:r w:rsidR="007F053C">
              <w:t>,</w:t>
            </w:r>
            <w:r w:rsidR="007F053C" w:rsidRPr="007F053C">
              <w:t xml:space="preserve"> 1.</w:t>
            </w:r>
            <w:r w:rsidR="00AA372B">
              <w:t>69</w:t>
            </w:r>
            <w:r w:rsidR="00524B3C">
              <w:t>)</w:t>
            </w:r>
          </w:p>
        </w:tc>
        <w:tc>
          <w:tcPr>
            <w:tcW w:w="2340" w:type="dxa"/>
          </w:tcPr>
          <w:p w14:paraId="3B518AB5" w14:textId="26979F3F" w:rsidR="00524B3C" w:rsidRDefault="00524B3C" w:rsidP="006541B3">
            <w:pPr>
              <w:spacing w:line="480" w:lineRule="auto"/>
              <w:jc w:val="center"/>
            </w:pPr>
            <w:r w:rsidRPr="001D5F10">
              <w:t>1.1</w:t>
            </w:r>
            <w:r>
              <w:t>7</w:t>
            </w:r>
            <w:r w:rsidRPr="001D5F10">
              <w:t xml:space="preserve"> </w:t>
            </w:r>
            <w:r>
              <w:t>(</w:t>
            </w:r>
            <w:r w:rsidR="005B5C84" w:rsidRPr="005B5C84">
              <w:t>0.8</w:t>
            </w:r>
            <w:r w:rsidR="005B5C84">
              <w:t>2,</w:t>
            </w:r>
            <w:r w:rsidR="005B5C84" w:rsidRPr="005B5C84">
              <w:t xml:space="preserve"> 1.66</w:t>
            </w:r>
            <w:r>
              <w:t>)</w:t>
            </w:r>
          </w:p>
        </w:tc>
        <w:tc>
          <w:tcPr>
            <w:tcW w:w="2510" w:type="dxa"/>
          </w:tcPr>
          <w:p w14:paraId="42431406" w14:textId="55BE210B" w:rsidR="00524B3C" w:rsidRDefault="00524B3C" w:rsidP="00C83046">
            <w:pPr>
              <w:spacing w:line="480" w:lineRule="auto"/>
              <w:jc w:val="center"/>
            </w:pPr>
            <w:r w:rsidRPr="009555D5">
              <w:t xml:space="preserve">1.47 </w:t>
            </w:r>
            <w:r>
              <w:t>(</w:t>
            </w:r>
            <w:r w:rsidR="00215877" w:rsidRPr="00215877">
              <w:t>0.9</w:t>
            </w:r>
            <w:r w:rsidR="00215877">
              <w:t>4,</w:t>
            </w:r>
            <w:r w:rsidR="00215877" w:rsidRPr="00215877">
              <w:t xml:space="preserve"> 2.32</w:t>
            </w:r>
            <w:r>
              <w:t>)</w:t>
            </w:r>
          </w:p>
        </w:tc>
      </w:tr>
      <w:tr w:rsidR="00524B3C" w14:paraId="7FDAD460" w14:textId="77777777" w:rsidTr="00C83046">
        <w:tc>
          <w:tcPr>
            <w:tcW w:w="2160" w:type="dxa"/>
          </w:tcPr>
          <w:p w14:paraId="7484A842" w14:textId="77777777" w:rsidR="00524B3C" w:rsidRDefault="00524B3C" w:rsidP="00C83046">
            <w:pPr>
              <w:spacing w:line="480" w:lineRule="auto"/>
              <w:jc w:val="center"/>
            </w:pPr>
            <w:r>
              <w:t>2</w:t>
            </w:r>
          </w:p>
        </w:tc>
        <w:tc>
          <w:tcPr>
            <w:tcW w:w="2340" w:type="dxa"/>
          </w:tcPr>
          <w:p w14:paraId="2037E117" w14:textId="601FD10B" w:rsidR="00524B3C" w:rsidRDefault="00524B3C" w:rsidP="00C83046">
            <w:pPr>
              <w:spacing w:line="480" w:lineRule="auto"/>
              <w:jc w:val="center"/>
            </w:pPr>
            <w:r>
              <w:t>1.</w:t>
            </w:r>
            <w:r w:rsidR="0013450D">
              <w:t>25</w:t>
            </w:r>
            <w:r w:rsidRPr="00934880">
              <w:t xml:space="preserve"> </w:t>
            </w:r>
            <w:r>
              <w:t>(</w:t>
            </w:r>
            <w:r w:rsidR="007F053C" w:rsidRPr="007F053C">
              <w:t>0.</w:t>
            </w:r>
            <w:r w:rsidR="00AA372B">
              <w:t>66</w:t>
            </w:r>
            <w:r w:rsidR="007F053C">
              <w:t>,</w:t>
            </w:r>
            <w:r w:rsidR="007F053C" w:rsidRPr="007F053C">
              <w:t xml:space="preserve"> 2.</w:t>
            </w:r>
            <w:r w:rsidR="00AA372B">
              <w:t>35</w:t>
            </w:r>
            <w:r>
              <w:t>)</w:t>
            </w:r>
          </w:p>
        </w:tc>
        <w:tc>
          <w:tcPr>
            <w:tcW w:w="2340" w:type="dxa"/>
          </w:tcPr>
          <w:p w14:paraId="1AC3059A" w14:textId="2C9A1253" w:rsidR="00524B3C" w:rsidRDefault="00524B3C" w:rsidP="006541B3">
            <w:pPr>
              <w:spacing w:line="480" w:lineRule="auto"/>
              <w:jc w:val="center"/>
            </w:pPr>
            <w:r w:rsidRPr="006157DB">
              <w:t xml:space="preserve">1.19 </w:t>
            </w:r>
            <w:r>
              <w:t>(</w:t>
            </w:r>
            <w:r w:rsidR="005B5C84" w:rsidRPr="005B5C84">
              <w:t>0.64</w:t>
            </w:r>
            <w:r w:rsidR="005B5C84">
              <w:t xml:space="preserve">, </w:t>
            </w:r>
            <w:r w:rsidR="005B5C84" w:rsidRPr="005B5C84">
              <w:t>2.2</w:t>
            </w:r>
            <w:r w:rsidR="005B5C84">
              <w:t>2</w:t>
            </w:r>
            <w:r>
              <w:t>)</w:t>
            </w:r>
          </w:p>
        </w:tc>
        <w:tc>
          <w:tcPr>
            <w:tcW w:w="2510" w:type="dxa"/>
          </w:tcPr>
          <w:p w14:paraId="46BA9B0B" w14:textId="0FC0CFA1" w:rsidR="00524B3C" w:rsidRDefault="00524B3C" w:rsidP="00C83046">
            <w:pPr>
              <w:spacing w:line="480" w:lineRule="auto"/>
              <w:jc w:val="center"/>
            </w:pPr>
            <w:r w:rsidRPr="009555D5">
              <w:t>1.55</w:t>
            </w:r>
            <w:r w:rsidRPr="00FC1299">
              <w:rPr>
                <w:vertAlign w:val="superscript"/>
              </w:rPr>
              <w:t xml:space="preserve"> </w:t>
            </w:r>
            <w:r>
              <w:t>(</w:t>
            </w:r>
            <w:r w:rsidR="00AC02A4" w:rsidRPr="00AC02A4">
              <w:t>0.74</w:t>
            </w:r>
            <w:r w:rsidR="00AC02A4">
              <w:t>,</w:t>
            </w:r>
            <w:r w:rsidR="00AC02A4" w:rsidRPr="00AC02A4">
              <w:t xml:space="preserve"> 3.23</w:t>
            </w:r>
            <w:r>
              <w:t>)</w:t>
            </w:r>
          </w:p>
        </w:tc>
      </w:tr>
      <w:tr w:rsidR="00524B3C" w14:paraId="43D5F033" w14:textId="77777777" w:rsidTr="00C83046">
        <w:tc>
          <w:tcPr>
            <w:tcW w:w="2160" w:type="dxa"/>
          </w:tcPr>
          <w:p w14:paraId="09126FD9" w14:textId="77777777" w:rsidR="00524B3C" w:rsidRDefault="00524B3C" w:rsidP="00C83046">
            <w:pPr>
              <w:spacing w:line="480" w:lineRule="auto"/>
              <w:jc w:val="center"/>
            </w:pPr>
            <w:r>
              <w:t>3</w:t>
            </w:r>
          </w:p>
        </w:tc>
        <w:tc>
          <w:tcPr>
            <w:tcW w:w="2340" w:type="dxa"/>
          </w:tcPr>
          <w:p w14:paraId="23598CCF" w14:textId="36A7F693" w:rsidR="00524B3C" w:rsidRDefault="00524B3C" w:rsidP="00C83046">
            <w:pPr>
              <w:spacing w:line="480" w:lineRule="auto"/>
              <w:jc w:val="center"/>
            </w:pPr>
            <w:r>
              <w:t>1.</w:t>
            </w:r>
            <w:r w:rsidR="0013450D">
              <w:t>30</w:t>
            </w:r>
            <w:r w:rsidRPr="00934880">
              <w:t xml:space="preserve"> </w:t>
            </w:r>
            <w:r>
              <w:t>(</w:t>
            </w:r>
            <w:r w:rsidR="0054018F" w:rsidRPr="0054018F">
              <w:t>0.</w:t>
            </w:r>
            <w:r w:rsidR="00F455A4">
              <w:t>53</w:t>
            </w:r>
            <w:r w:rsidR="0054018F">
              <w:t>,</w:t>
            </w:r>
            <w:r w:rsidR="0054018F" w:rsidRPr="0054018F">
              <w:t xml:space="preserve"> 3.</w:t>
            </w:r>
            <w:r w:rsidR="00F455A4">
              <w:t>23</w:t>
            </w:r>
            <w:r>
              <w:t>)</w:t>
            </w:r>
          </w:p>
        </w:tc>
        <w:tc>
          <w:tcPr>
            <w:tcW w:w="2340" w:type="dxa"/>
          </w:tcPr>
          <w:p w14:paraId="3D7BA4C9" w14:textId="4738923A" w:rsidR="00524B3C" w:rsidRDefault="00524B3C" w:rsidP="006541B3">
            <w:pPr>
              <w:spacing w:line="480" w:lineRule="auto"/>
              <w:jc w:val="center"/>
            </w:pPr>
            <w:r w:rsidRPr="006157DB">
              <w:t xml:space="preserve">1.12 </w:t>
            </w:r>
            <w:r>
              <w:t>(</w:t>
            </w:r>
            <w:r w:rsidR="005B166E" w:rsidRPr="005B166E">
              <w:t>0.4</w:t>
            </w:r>
            <w:r w:rsidR="005B166E">
              <w:t xml:space="preserve">7, </w:t>
            </w:r>
            <w:r w:rsidR="005B166E" w:rsidRPr="005B166E">
              <w:t>2.</w:t>
            </w:r>
            <w:r w:rsidR="005B166E">
              <w:t>7</w:t>
            </w:r>
            <w:r>
              <w:t>)</w:t>
            </w:r>
          </w:p>
        </w:tc>
        <w:tc>
          <w:tcPr>
            <w:tcW w:w="2510" w:type="dxa"/>
          </w:tcPr>
          <w:p w14:paraId="4B6D86B7" w14:textId="1040C560" w:rsidR="00524B3C" w:rsidRDefault="00524B3C" w:rsidP="00C83046">
            <w:pPr>
              <w:spacing w:line="480" w:lineRule="auto"/>
              <w:jc w:val="center"/>
            </w:pPr>
            <w:r w:rsidRPr="005E44D1">
              <w:t>1.8</w:t>
            </w:r>
            <w:r>
              <w:t>4</w:t>
            </w:r>
            <w:r w:rsidRPr="005E44D1">
              <w:t xml:space="preserve"> </w:t>
            </w:r>
            <w:r>
              <w:t>(</w:t>
            </w:r>
            <w:r w:rsidR="00BF3977" w:rsidRPr="00BF3977">
              <w:t>0.84</w:t>
            </w:r>
            <w:r w:rsidR="00BF3977">
              <w:t xml:space="preserve">, </w:t>
            </w:r>
            <w:r w:rsidR="00BF3977" w:rsidRPr="00BF3977">
              <w:t>4.00</w:t>
            </w:r>
            <w:r>
              <w:t>)</w:t>
            </w:r>
          </w:p>
        </w:tc>
      </w:tr>
      <w:tr w:rsidR="00524B3C" w14:paraId="1F56C948" w14:textId="77777777" w:rsidTr="00C83046">
        <w:tc>
          <w:tcPr>
            <w:tcW w:w="2160" w:type="dxa"/>
          </w:tcPr>
          <w:p w14:paraId="016CA694" w14:textId="77777777" w:rsidR="00524B3C" w:rsidRDefault="00524B3C" w:rsidP="00C83046">
            <w:pPr>
              <w:spacing w:line="480" w:lineRule="auto"/>
              <w:jc w:val="center"/>
            </w:pPr>
            <w:r>
              <w:t>4</w:t>
            </w:r>
          </w:p>
        </w:tc>
        <w:tc>
          <w:tcPr>
            <w:tcW w:w="2340" w:type="dxa"/>
          </w:tcPr>
          <w:p w14:paraId="403F2B45" w14:textId="4E48085A" w:rsidR="00524B3C" w:rsidRDefault="00524B3C" w:rsidP="00C83046">
            <w:pPr>
              <w:spacing w:line="480" w:lineRule="auto"/>
              <w:jc w:val="center"/>
            </w:pPr>
            <w:r>
              <w:t>1.</w:t>
            </w:r>
            <w:r w:rsidR="002B2DC3">
              <w:t>73</w:t>
            </w:r>
            <w:r w:rsidR="008D2EEB">
              <w:t xml:space="preserve"> </w:t>
            </w:r>
            <w:r>
              <w:t>(</w:t>
            </w:r>
            <w:r w:rsidR="0054018F" w:rsidRPr="0054018F">
              <w:t>0.5</w:t>
            </w:r>
            <w:r w:rsidR="00F455A4">
              <w:t>5</w:t>
            </w:r>
            <w:r w:rsidR="0054018F">
              <w:t>,</w:t>
            </w:r>
            <w:r w:rsidR="0054018F" w:rsidRPr="0054018F">
              <w:t xml:space="preserve"> </w:t>
            </w:r>
            <w:r w:rsidR="00F455A4">
              <w:t>5</w:t>
            </w:r>
            <w:r w:rsidR="0054018F" w:rsidRPr="0054018F">
              <w:t>.</w:t>
            </w:r>
            <w:r w:rsidR="00F455A4">
              <w:t>43</w:t>
            </w:r>
            <w:r>
              <w:t>)</w:t>
            </w:r>
          </w:p>
        </w:tc>
        <w:tc>
          <w:tcPr>
            <w:tcW w:w="2340" w:type="dxa"/>
          </w:tcPr>
          <w:p w14:paraId="526BD60D" w14:textId="2C144030" w:rsidR="00524B3C" w:rsidRDefault="00524B3C" w:rsidP="006541B3">
            <w:pPr>
              <w:spacing w:line="480" w:lineRule="auto"/>
              <w:jc w:val="center"/>
            </w:pPr>
            <w:r w:rsidRPr="006157DB">
              <w:t>1.38</w:t>
            </w:r>
            <w:r>
              <w:t xml:space="preserve"> (</w:t>
            </w:r>
            <w:r w:rsidR="00C72FCF" w:rsidRPr="00C72FCF">
              <w:t>0.4</w:t>
            </w:r>
            <w:r w:rsidR="00C72FCF">
              <w:t xml:space="preserve">2, </w:t>
            </w:r>
            <w:r w:rsidR="00C72FCF" w:rsidRPr="00C72FCF">
              <w:t>4.5</w:t>
            </w:r>
            <w:r w:rsidR="00C72FCF">
              <w:t>6</w:t>
            </w:r>
            <w:r>
              <w:t>)</w:t>
            </w:r>
          </w:p>
        </w:tc>
        <w:tc>
          <w:tcPr>
            <w:tcW w:w="2510" w:type="dxa"/>
          </w:tcPr>
          <w:p w14:paraId="0DFF89D1" w14:textId="028018A3" w:rsidR="00524B3C" w:rsidRDefault="00524B3C" w:rsidP="00C83046">
            <w:pPr>
              <w:spacing w:line="480" w:lineRule="auto"/>
              <w:jc w:val="center"/>
            </w:pPr>
            <w:r w:rsidRPr="00E82286">
              <w:t xml:space="preserve">2.31 </w:t>
            </w:r>
            <w:r>
              <w:t>(</w:t>
            </w:r>
            <w:r w:rsidR="00BF3977" w:rsidRPr="00BF3977">
              <w:t>0.8</w:t>
            </w:r>
            <w:r w:rsidR="00BF3977">
              <w:t>8,</w:t>
            </w:r>
            <w:r w:rsidR="00BF3977" w:rsidRPr="00BF3977">
              <w:t xml:space="preserve"> 6.09</w:t>
            </w:r>
            <w:r>
              <w:t>)</w:t>
            </w:r>
          </w:p>
        </w:tc>
      </w:tr>
      <w:tr w:rsidR="00524B3C" w14:paraId="185D0EC4" w14:textId="77777777" w:rsidTr="00C83046">
        <w:tc>
          <w:tcPr>
            <w:tcW w:w="2160" w:type="dxa"/>
          </w:tcPr>
          <w:p w14:paraId="5F748507" w14:textId="77777777" w:rsidR="00524B3C" w:rsidRDefault="00524B3C" w:rsidP="00C83046">
            <w:pPr>
              <w:spacing w:line="480" w:lineRule="auto"/>
              <w:jc w:val="center"/>
            </w:pPr>
            <w:r>
              <w:t>5</w:t>
            </w:r>
          </w:p>
        </w:tc>
        <w:tc>
          <w:tcPr>
            <w:tcW w:w="2340" w:type="dxa"/>
          </w:tcPr>
          <w:p w14:paraId="14204E63" w14:textId="63982897" w:rsidR="00524B3C" w:rsidRDefault="00524B3C" w:rsidP="00C83046">
            <w:pPr>
              <w:spacing w:line="480" w:lineRule="auto"/>
              <w:jc w:val="center"/>
            </w:pPr>
            <w:r w:rsidRPr="00934880">
              <w:t xml:space="preserve">  </w:t>
            </w:r>
            <w:r>
              <w:t>3.</w:t>
            </w:r>
            <w:r w:rsidR="002B2DC3">
              <w:t>52</w:t>
            </w:r>
            <w:r w:rsidR="001450B2" w:rsidRPr="001450B2">
              <w:rPr>
                <w:vertAlign w:val="superscript"/>
              </w:rPr>
              <w:t>**</w:t>
            </w:r>
            <w:r w:rsidRPr="00934880">
              <w:t xml:space="preserve"> </w:t>
            </w:r>
            <w:r>
              <w:t>(</w:t>
            </w:r>
            <w:r w:rsidR="008602C0" w:rsidRPr="008602C0">
              <w:t>1.1</w:t>
            </w:r>
            <w:r w:rsidR="00A8504D">
              <w:t>6</w:t>
            </w:r>
            <w:r w:rsidR="008602C0">
              <w:t>,</w:t>
            </w:r>
            <w:r w:rsidR="008602C0" w:rsidRPr="008602C0">
              <w:t xml:space="preserve"> 1</w:t>
            </w:r>
            <w:r w:rsidR="00A8504D">
              <w:t>0.69</w:t>
            </w:r>
            <w:r>
              <w:t>)</w:t>
            </w:r>
          </w:p>
        </w:tc>
        <w:tc>
          <w:tcPr>
            <w:tcW w:w="2340" w:type="dxa"/>
          </w:tcPr>
          <w:p w14:paraId="366BF492" w14:textId="6C730812" w:rsidR="00524B3C" w:rsidRDefault="00524B3C" w:rsidP="006541B3">
            <w:pPr>
              <w:spacing w:line="480" w:lineRule="auto"/>
              <w:jc w:val="center"/>
            </w:pPr>
            <w:r w:rsidRPr="006157DB">
              <w:t>2.7</w:t>
            </w:r>
            <w:r>
              <w:t>5</w:t>
            </w:r>
            <w:r w:rsidRPr="006157DB">
              <w:t xml:space="preserve"> </w:t>
            </w:r>
            <w:r>
              <w:t>(</w:t>
            </w:r>
            <w:r w:rsidR="00C72FCF" w:rsidRPr="00C72FCF">
              <w:t>0.85</w:t>
            </w:r>
            <w:r w:rsidR="00C72FCF">
              <w:t>,</w:t>
            </w:r>
            <w:r w:rsidR="00C72FCF" w:rsidRPr="00C72FCF">
              <w:t xml:space="preserve"> 8.83</w:t>
            </w:r>
            <w:r>
              <w:t>)</w:t>
            </w:r>
          </w:p>
        </w:tc>
        <w:tc>
          <w:tcPr>
            <w:tcW w:w="2510" w:type="dxa"/>
          </w:tcPr>
          <w:p w14:paraId="66925F40" w14:textId="5269D26D" w:rsidR="00524B3C" w:rsidRDefault="00524B3C" w:rsidP="00C83046">
            <w:pPr>
              <w:spacing w:line="480" w:lineRule="auto"/>
              <w:jc w:val="center"/>
            </w:pPr>
            <w:r w:rsidRPr="00444305">
              <w:t>3.3</w:t>
            </w:r>
            <w:r>
              <w:t>8</w:t>
            </w:r>
            <w:r w:rsidRPr="004A3655">
              <w:rPr>
                <w:vertAlign w:val="superscript"/>
              </w:rPr>
              <w:t>**</w:t>
            </w:r>
            <w:r>
              <w:t xml:space="preserve"> (</w:t>
            </w:r>
            <w:r w:rsidR="00BF3977" w:rsidRPr="00BF3977">
              <w:t>1.23</w:t>
            </w:r>
            <w:r w:rsidR="00BF3977">
              <w:t>,</w:t>
            </w:r>
            <w:r w:rsidR="00BF3977" w:rsidRPr="00BF3977">
              <w:t xml:space="preserve"> 9.29</w:t>
            </w:r>
            <w:r>
              <w:t>)</w:t>
            </w:r>
          </w:p>
        </w:tc>
      </w:tr>
      <w:tr w:rsidR="00524B3C" w14:paraId="1B81E875" w14:textId="77777777" w:rsidTr="00C83046">
        <w:tc>
          <w:tcPr>
            <w:tcW w:w="2160" w:type="dxa"/>
          </w:tcPr>
          <w:p w14:paraId="450C39FD" w14:textId="77777777" w:rsidR="00524B3C" w:rsidRDefault="00524B3C" w:rsidP="00C83046">
            <w:pPr>
              <w:spacing w:line="480" w:lineRule="auto"/>
              <w:jc w:val="center"/>
            </w:pPr>
            <w:r>
              <w:t>6</w:t>
            </w:r>
          </w:p>
        </w:tc>
        <w:tc>
          <w:tcPr>
            <w:tcW w:w="2340" w:type="dxa"/>
          </w:tcPr>
          <w:p w14:paraId="01196F03" w14:textId="104E4324" w:rsidR="00524B3C" w:rsidRDefault="002B2DC3" w:rsidP="00C83046">
            <w:pPr>
              <w:spacing w:line="480" w:lineRule="auto"/>
              <w:jc w:val="center"/>
            </w:pPr>
            <w:r w:rsidRPr="002B2DC3">
              <w:t>5.49</w:t>
            </w:r>
            <w:r w:rsidR="001450B2" w:rsidRPr="001450B2">
              <w:rPr>
                <w:vertAlign w:val="superscript"/>
              </w:rPr>
              <w:t>**</w:t>
            </w:r>
            <w:r w:rsidR="001450B2">
              <w:rPr>
                <w:vertAlign w:val="superscript"/>
              </w:rPr>
              <w:t>*</w:t>
            </w:r>
            <w:r w:rsidR="007D6C6C">
              <w:t xml:space="preserve"> </w:t>
            </w:r>
            <w:r w:rsidR="00524B3C">
              <w:t>(</w:t>
            </w:r>
            <w:r w:rsidR="008602C0" w:rsidRPr="008602C0">
              <w:t>1.</w:t>
            </w:r>
            <w:r w:rsidR="00A8504D">
              <w:t>82</w:t>
            </w:r>
            <w:r w:rsidR="008602C0">
              <w:t>,</w:t>
            </w:r>
            <w:r w:rsidR="008602C0" w:rsidRPr="008602C0">
              <w:t xml:space="preserve"> </w:t>
            </w:r>
            <w:r w:rsidR="00A8504D">
              <w:t>16.56</w:t>
            </w:r>
            <w:r w:rsidR="00524B3C">
              <w:t>)</w:t>
            </w:r>
          </w:p>
        </w:tc>
        <w:tc>
          <w:tcPr>
            <w:tcW w:w="2340" w:type="dxa"/>
          </w:tcPr>
          <w:p w14:paraId="47C4803C" w14:textId="6D13FA9F" w:rsidR="00524B3C" w:rsidRDefault="00524B3C" w:rsidP="006541B3">
            <w:pPr>
              <w:spacing w:line="480" w:lineRule="auto"/>
              <w:jc w:val="center"/>
            </w:pPr>
            <w:r w:rsidRPr="00873452">
              <w:t>4.34</w:t>
            </w:r>
            <w:r w:rsidR="0070741B" w:rsidRPr="001450B2">
              <w:rPr>
                <w:vertAlign w:val="superscript"/>
              </w:rPr>
              <w:t>**</w:t>
            </w:r>
            <w:r>
              <w:rPr>
                <w:vertAlign w:val="superscript"/>
              </w:rPr>
              <w:t xml:space="preserve"> </w:t>
            </w:r>
            <w:r>
              <w:t>(</w:t>
            </w:r>
            <w:r w:rsidR="00E31EFE" w:rsidRPr="00E31EFE">
              <w:t>1.</w:t>
            </w:r>
            <w:r w:rsidR="00E31EFE">
              <w:t xml:space="preserve">4, </w:t>
            </w:r>
            <w:r w:rsidR="00E31EFE" w:rsidRPr="00E31EFE">
              <w:t>13.5</w:t>
            </w:r>
            <w:r w:rsidR="00E31EFE">
              <w:t>2</w:t>
            </w:r>
            <w:r>
              <w:t>)</w:t>
            </w:r>
          </w:p>
        </w:tc>
        <w:tc>
          <w:tcPr>
            <w:tcW w:w="2510" w:type="dxa"/>
          </w:tcPr>
          <w:p w14:paraId="587855D6" w14:textId="2A9ACBE5" w:rsidR="00524B3C" w:rsidRDefault="00524B3C" w:rsidP="00C83046">
            <w:pPr>
              <w:spacing w:line="480" w:lineRule="auto"/>
              <w:jc w:val="center"/>
            </w:pPr>
            <w:r>
              <w:t>4.62</w:t>
            </w:r>
            <w:r w:rsidRPr="004A3655">
              <w:rPr>
                <w:vertAlign w:val="superscript"/>
              </w:rPr>
              <w:t>***</w:t>
            </w:r>
            <w:r w:rsidRPr="00BA5ECB">
              <w:t xml:space="preserve"> </w:t>
            </w:r>
            <w:r>
              <w:t>(</w:t>
            </w:r>
            <w:r w:rsidR="006E0F78" w:rsidRPr="006E0F78">
              <w:t>1.</w:t>
            </w:r>
            <w:r w:rsidR="006E0F78">
              <w:t xml:space="preserve">7, </w:t>
            </w:r>
            <w:r w:rsidR="006E0F78" w:rsidRPr="006E0F78">
              <w:t>12.5</w:t>
            </w:r>
            <w:r>
              <w:t>)</w:t>
            </w:r>
          </w:p>
        </w:tc>
      </w:tr>
      <w:tr w:rsidR="00524B3C" w14:paraId="3DA30024" w14:textId="77777777" w:rsidTr="00C83046">
        <w:tc>
          <w:tcPr>
            <w:tcW w:w="2160" w:type="dxa"/>
          </w:tcPr>
          <w:p w14:paraId="61BF91B1" w14:textId="77777777" w:rsidR="00524B3C" w:rsidRDefault="00524B3C" w:rsidP="00C83046">
            <w:pPr>
              <w:spacing w:line="480" w:lineRule="auto"/>
              <w:jc w:val="center"/>
            </w:pPr>
            <w:r>
              <w:t>7</w:t>
            </w:r>
          </w:p>
        </w:tc>
        <w:tc>
          <w:tcPr>
            <w:tcW w:w="2340" w:type="dxa"/>
          </w:tcPr>
          <w:p w14:paraId="0D450E31" w14:textId="33ACBB0F" w:rsidR="00524B3C" w:rsidRDefault="002B2DC3" w:rsidP="00C83046">
            <w:pPr>
              <w:spacing w:line="480" w:lineRule="auto"/>
              <w:jc w:val="center"/>
            </w:pPr>
            <w:r>
              <w:t>9.30</w:t>
            </w:r>
            <w:r w:rsidR="001450B2" w:rsidRPr="001450B2">
              <w:rPr>
                <w:vertAlign w:val="superscript"/>
              </w:rPr>
              <w:t>**</w:t>
            </w:r>
            <w:r w:rsidR="001450B2">
              <w:rPr>
                <w:vertAlign w:val="superscript"/>
              </w:rPr>
              <w:t>*</w:t>
            </w:r>
            <w:r w:rsidR="00524B3C">
              <w:rPr>
                <w:vertAlign w:val="superscript"/>
              </w:rPr>
              <w:t xml:space="preserve"> </w:t>
            </w:r>
            <w:r w:rsidR="00524B3C">
              <w:t>(</w:t>
            </w:r>
            <w:r w:rsidR="00560E9B">
              <w:t>2</w:t>
            </w:r>
            <w:r w:rsidR="00851855" w:rsidRPr="00851855">
              <w:t>.</w:t>
            </w:r>
            <w:r w:rsidR="00560E9B">
              <w:t>98</w:t>
            </w:r>
            <w:r w:rsidR="00851855">
              <w:t xml:space="preserve">, </w:t>
            </w:r>
            <w:r w:rsidR="00560E9B">
              <w:t>29</w:t>
            </w:r>
            <w:r w:rsidR="00851855" w:rsidRPr="00851855">
              <w:t>.</w:t>
            </w:r>
            <w:r w:rsidR="00560E9B">
              <w:t>05</w:t>
            </w:r>
            <w:r w:rsidR="00524B3C">
              <w:t>)</w:t>
            </w:r>
          </w:p>
        </w:tc>
        <w:tc>
          <w:tcPr>
            <w:tcW w:w="2340" w:type="dxa"/>
          </w:tcPr>
          <w:p w14:paraId="2D3E2DF1" w14:textId="564027D8" w:rsidR="00524B3C" w:rsidRDefault="00524B3C" w:rsidP="006541B3">
            <w:pPr>
              <w:spacing w:line="480" w:lineRule="auto"/>
              <w:jc w:val="center"/>
            </w:pPr>
            <w:r w:rsidRPr="00873452">
              <w:t>7.04</w:t>
            </w:r>
            <w:r w:rsidR="0070741B" w:rsidRPr="001450B2">
              <w:rPr>
                <w:vertAlign w:val="superscript"/>
              </w:rPr>
              <w:t>**</w:t>
            </w:r>
            <w:r w:rsidR="0070741B">
              <w:rPr>
                <w:vertAlign w:val="superscript"/>
              </w:rPr>
              <w:t>*</w:t>
            </w:r>
            <w:r>
              <w:t xml:space="preserve"> (</w:t>
            </w:r>
            <w:r w:rsidR="00E31EFE" w:rsidRPr="00E31EFE">
              <w:t>2.1</w:t>
            </w:r>
            <w:r w:rsidR="00E31EFE">
              <w:t>6,</w:t>
            </w:r>
            <w:r w:rsidR="00E31EFE" w:rsidRPr="00E31EFE">
              <w:t xml:space="preserve"> 22.99</w:t>
            </w:r>
            <w:r>
              <w:t>)</w:t>
            </w:r>
          </w:p>
        </w:tc>
        <w:tc>
          <w:tcPr>
            <w:tcW w:w="2510" w:type="dxa"/>
          </w:tcPr>
          <w:p w14:paraId="45753C9C" w14:textId="5E607E27" w:rsidR="00524B3C" w:rsidRDefault="00524B3C" w:rsidP="00C83046">
            <w:pPr>
              <w:spacing w:line="480" w:lineRule="auto"/>
              <w:jc w:val="center"/>
            </w:pPr>
            <w:r>
              <w:t>6.6</w:t>
            </w:r>
            <w:r w:rsidRPr="004A3655">
              <w:rPr>
                <w:vertAlign w:val="superscript"/>
              </w:rPr>
              <w:t>***</w:t>
            </w:r>
            <w:r>
              <w:t xml:space="preserve"> (</w:t>
            </w:r>
            <w:r w:rsidR="006E0F78" w:rsidRPr="006E0F78">
              <w:t>2.3</w:t>
            </w:r>
            <w:r w:rsidR="006E0F78">
              <w:t>2,</w:t>
            </w:r>
            <w:r w:rsidR="006E0F78" w:rsidRPr="006E0F78">
              <w:t xml:space="preserve"> 18.77</w:t>
            </w:r>
            <w:r>
              <w:t>)</w:t>
            </w:r>
          </w:p>
        </w:tc>
      </w:tr>
      <w:tr w:rsidR="00524B3C" w14:paraId="4C26F93C" w14:textId="77777777" w:rsidTr="00C83046">
        <w:tc>
          <w:tcPr>
            <w:tcW w:w="2160" w:type="dxa"/>
          </w:tcPr>
          <w:p w14:paraId="31494C41" w14:textId="77777777" w:rsidR="00524B3C" w:rsidRDefault="00524B3C" w:rsidP="00C83046">
            <w:pPr>
              <w:spacing w:line="480" w:lineRule="auto"/>
              <w:jc w:val="center"/>
            </w:pPr>
            <w:r>
              <w:t>8</w:t>
            </w:r>
          </w:p>
        </w:tc>
        <w:tc>
          <w:tcPr>
            <w:tcW w:w="2340" w:type="dxa"/>
          </w:tcPr>
          <w:p w14:paraId="63FF3805" w14:textId="6FF5F687" w:rsidR="00524B3C" w:rsidRDefault="002B2DC3" w:rsidP="00C83046">
            <w:pPr>
              <w:spacing w:line="480" w:lineRule="auto"/>
              <w:jc w:val="center"/>
            </w:pPr>
            <w:r w:rsidRPr="002B2DC3">
              <w:t>10.85</w:t>
            </w:r>
            <w:r w:rsidR="0070741B" w:rsidRPr="001450B2">
              <w:rPr>
                <w:vertAlign w:val="superscript"/>
              </w:rPr>
              <w:t>**</w:t>
            </w:r>
            <w:r w:rsidR="0070741B">
              <w:rPr>
                <w:vertAlign w:val="superscript"/>
              </w:rPr>
              <w:t>*</w:t>
            </w:r>
            <w:r w:rsidR="00524B3C">
              <w:rPr>
                <w:vertAlign w:val="superscript"/>
              </w:rPr>
              <w:t xml:space="preserve"> </w:t>
            </w:r>
            <w:r w:rsidR="00524B3C">
              <w:t>(</w:t>
            </w:r>
            <w:r w:rsidR="00107FA1">
              <w:t>3.74</w:t>
            </w:r>
            <w:r w:rsidR="00AE250B">
              <w:t>,</w:t>
            </w:r>
            <w:r w:rsidR="00851855">
              <w:t xml:space="preserve"> </w:t>
            </w:r>
            <w:r w:rsidR="00851855" w:rsidRPr="00851855">
              <w:t>3</w:t>
            </w:r>
            <w:r w:rsidR="00107FA1">
              <w:t>1</w:t>
            </w:r>
            <w:r w:rsidR="00851855" w:rsidRPr="00851855">
              <w:t>.</w:t>
            </w:r>
            <w:r w:rsidR="00107FA1">
              <w:t>46</w:t>
            </w:r>
            <w:r w:rsidR="00524B3C">
              <w:t>)</w:t>
            </w:r>
          </w:p>
        </w:tc>
        <w:tc>
          <w:tcPr>
            <w:tcW w:w="2340" w:type="dxa"/>
          </w:tcPr>
          <w:p w14:paraId="511512EC" w14:textId="2DBDBF63" w:rsidR="00524B3C" w:rsidRDefault="00524B3C" w:rsidP="006541B3">
            <w:pPr>
              <w:spacing w:line="480" w:lineRule="auto"/>
              <w:jc w:val="center"/>
            </w:pPr>
            <w:r w:rsidRPr="00873452">
              <w:t>9.91</w:t>
            </w:r>
            <w:r w:rsidR="0079284F" w:rsidRPr="001450B2">
              <w:rPr>
                <w:vertAlign w:val="superscript"/>
              </w:rPr>
              <w:t>**</w:t>
            </w:r>
            <w:r w:rsidR="0079284F">
              <w:rPr>
                <w:vertAlign w:val="superscript"/>
              </w:rPr>
              <w:t>*</w:t>
            </w:r>
            <w:r>
              <w:t xml:space="preserve"> (</w:t>
            </w:r>
            <w:r w:rsidR="00CD79BB" w:rsidRPr="00CD79BB">
              <w:t>3.61</w:t>
            </w:r>
            <w:r w:rsidR="00CD79BB">
              <w:t>,</w:t>
            </w:r>
            <w:r w:rsidR="00CD79BB" w:rsidRPr="00CD79BB">
              <w:t xml:space="preserve"> 27.1</w:t>
            </w:r>
            <w:r w:rsidR="00CD79BB">
              <w:t>8</w:t>
            </w:r>
            <w:r>
              <w:t>)</w:t>
            </w:r>
          </w:p>
        </w:tc>
        <w:tc>
          <w:tcPr>
            <w:tcW w:w="2510" w:type="dxa"/>
          </w:tcPr>
          <w:p w14:paraId="3083D249" w14:textId="7A465509" w:rsidR="00524B3C" w:rsidRDefault="00524B3C" w:rsidP="00C83046">
            <w:pPr>
              <w:spacing w:line="480" w:lineRule="auto"/>
              <w:jc w:val="center"/>
            </w:pPr>
            <w:r>
              <w:t>10.66</w:t>
            </w:r>
            <w:r w:rsidRPr="004A3655">
              <w:rPr>
                <w:vertAlign w:val="superscript"/>
              </w:rPr>
              <w:t>***</w:t>
            </w:r>
            <w:r>
              <w:t xml:space="preserve"> (</w:t>
            </w:r>
            <w:r w:rsidR="006E0F78" w:rsidRPr="006E0F78">
              <w:t>4.93</w:t>
            </w:r>
            <w:r w:rsidR="006E0F78">
              <w:t>,</w:t>
            </w:r>
            <w:r w:rsidR="006E0F78" w:rsidRPr="006E0F78">
              <w:t xml:space="preserve"> 23.0</w:t>
            </w:r>
            <w:r>
              <w:t>)</w:t>
            </w:r>
          </w:p>
        </w:tc>
      </w:tr>
      <w:tr w:rsidR="00524B3C" w14:paraId="626AC20B" w14:textId="77777777" w:rsidTr="00C83046">
        <w:tc>
          <w:tcPr>
            <w:tcW w:w="2160" w:type="dxa"/>
          </w:tcPr>
          <w:p w14:paraId="0E344DEA" w14:textId="77777777" w:rsidR="00524B3C" w:rsidRDefault="00524B3C" w:rsidP="00C83046">
            <w:pPr>
              <w:spacing w:line="480" w:lineRule="auto"/>
              <w:jc w:val="center"/>
            </w:pPr>
            <w:r>
              <w:t>9</w:t>
            </w:r>
          </w:p>
        </w:tc>
        <w:tc>
          <w:tcPr>
            <w:tcW w:w="2340" w:type="dxa"/>
          </w:tcPr>
          <w:p w14:paraId="079DB8B1" w14:textId="77777777" w:rsidR="00524B3C" w:rsidRDefault="00524B3C" w:rsidP="00C83046">
            <w:pPr>
              <w:spacing w:line="480" w:lineRule="auto"/>
              <w:jc w:val="center"/>
            </w:pPr>
          </w:p>
        </w:tc>
        <w:tc>
          <w:tcPr>
            <w:tcW w:w="2340" w:type="dxa"/>
          </w:tcPr>
          <w:p w14:paraId="48C317FF" w14:textId="33925DF1" w:rsidR="00524B3C" w:rsidRPr="003A7084" w:rsidRDefault="00524B3C" w:rsidP="006541B3">
            <w:pPr>
              <w:spacing w:line="480" w:lineRule="auto"/>
              <w:jc w:val="center"/>
            </w:pPr>
            <w:r w:rsidRPr="00873452">
              <w:t>9.18</w:t>
            </w:r>
            <w:r w:rsidRPr="004A3655">
              <w:rPr>
                <w:vertAlign w:val="superscript"/>
              </w:rPr>
              <w:t>**</w:t>
            </w:r>
            <w:r w:rsidR="0079284F">
              <w:rPr>
                <w:vertAlign w:val="superscript"/>
              </w:rPr>
              <w:t>*</w:t>
            </w:r>
            <w:r>
              <w:rPr>
                <w:vertAlign w:val="superscript"/>
              </w:rPr>
              <w:t xml:space="preserve"> </w:t>
            </w:r>
            <w:r>
              <w:t>(</w:t>
            </w:r>
            <w:r w:rsidR="00CD79BB" w:rsidRPr="00CD79BB">
              <w:t>4.43</w:t>
            </w:r>
            <w:r w:rsidR="00CD79BB">
              <w:t xml:space="preserve">, </w:t>
            </w:r>
            <w:r w:rsidR="00CD79BB" w:rsidRPr="00CD79BB">
              <w:t>19.03</w:t>
            </w:r>
            <w:r>
              <w:t>)</w:t>
            </w:r>
          </w:p>
        </w:tc>
        <w:tc>
          <w:tcPr>
            <w:tcW w:w="2510" w:type="dxa"/>
          </w:tcPr>
          <w:p w14:paraId="7F7C663A" w14:textId="60E43732" w:rsidR="00524B3C" w:rsidRDefault="00691DCF" w:rsidP="00C83046">
            <w:pPr>
              <w:spacing w:line="480" w:lineRule="auto"/>
              <w:jc w:val="center"/>
            </w:pPr>
            <w:r>
              <w:t>1</w:t>
            </w:r>
            <w:r w:rsidR="00524B3C" w:rsidRPr="003421D6">
              <w:t>3.0</w:t>
            </w:r>
            <w:r w:rsidR="00524B3C">
              <w:t>3</w:t>
            </w:r>
            <w:r w:rsidR="00524B3C" w:rsidRPr="004A3655">
              <w:rPr>
                <w:vertAlign w:val="superscript"/>
              </w:rPr>
              <w:t>***</w:t>
            </w:r>
            <w:r>
              <w:rPr>
                <w:vertAlign w:val="superscript"/>
              </w:rPr>
              <w:t xml:space="preserve"> </w:t>
            </w:r>
            <w:r w:rsidR="00524B3C">
              <w:t>(</w:t>
            </w:r>
            <w:r w:rsidR="00FE428D" w:rsidRPr="00FE428D">
              <w:t>8.7</w:t>
            </w:r>
            <w:r w:rsidR="00FE428D">
              <w:t xml:space="preserve">2, </w:t>
            </w:r>
            <w:r w:rsidR="00FE428D" w:rsidRPr="00FE428D">
              <w:t>19.48</w:t>
            </w:r>
            <w:r w:rsidR="00524B3C">
              <w:t>)</w:t>
            </w:r>
          </w:p>
        </w:tc>
      </w:tr>
      <w:tr w:rsidR="00524B3C" w14:paraId="1D04FC39" w14:textId="77777777" w:rsidTr="00C83046">
        <w:tc>
          <w:tcPr>
            <w:tcW w:w="2160" w:type="dxa"/>
          </w:tcPr>
          <w:p w14:paraId="34A30D51" w14:textId="77777777" w:rsidR="00524B3C" w:rsidRDefault="00524B3C" w:rsidP="00C83046">
            <w:pPr>
              <w:spacing w:line="480" w:lineRule="auto"/>
              <w:jc w:val="center"/>
            </w:pPr>
            <w:r>
              <w:t>10</w:t>
            </w:r>
          </w:p>
        </w:tc>
        <w:tc>
          <w:tcPr>
            <w:tcW w:w="2340" w:type="dxa"/>
          </w:tcPr>
          <w:p w14:paraId="6E42B6C9" w14:textId="77777777" w:rsidR="00524B3C" w:rsidRDefault="00524B3C" w:rsidP="00C83046">
            <w:pPr>
              <w:spacing w:line="480" w:lineRule="auto"/>
              <w:jc w:val="center"/>
            </w:pPr>
          </w:p>
        </w:tc>
        <w:tc>
          <w:tcPr>
            <w:tcW w:w="2340" w:type="dxa"/>
          </w:tcPr>
          <w:p w14:paraId="106B3F79" w14:textId="760003EB" w:rsidR="00524B3C" w:rsidRPr="003A7084" w:rsidRDefault="00524B3C" w:rsidP="006541B3">
            <w:pPr>
              <w:spacing w:line="480" w:lineRule="auto"/>
              <w:jc w:val="center"/>
            </w:pPr>
            <w:r w:rsidRPr="00873452">
              <w:t>9.39</w:t>
            </w:r>
            <w:r w:rsidRPr="004A3655">
              <w:rPr>
                <w:vertAlign w:val="superscript"/>
              </w:rPr>
              <w:t>**</w:t>
            </w:r>
            <w:r>
              <w:rPr>
                <w:vertAlign w:val="superscript"/>
              </w:rPr>
              <w:t xml:space="preserve"> </w:t>
            </w:r>
            <w:r>
              <w:t>(</w:t>
            </w:r>
            <w:r w:rsidR="006B2BFA" w:rsidRPr="006B2BFA">
              <w:t>4.5</w:t>
            </w:r>
            <w:r w:rsidR="006B2BFA">
              <w:t xml:space="preserve">7, </w:t>
            </w:r>
            <w:r w:rsidR="006B2BFA" w:rsidRPr="006B2BFA">
              <w:t>19.31</w:t>
            </w:r>
            <w:r>
              <w:t>)</w:t>
            </w:r>
          </w:p>
        </w:tc>
        <w:tc>
          <w:tcPr>
            <w:tcW w:w="2510" w:type="dxa"/>
          </w:tcPr>
          <w:p w14:paraId="7D6EC192" w14:textId="382E6947" w:rsidR="00524B3C" w:rsidRDefault="00524B3C" w:rsidP="00C83046">
            <w:pPr>
              <w:spacing w:line="480" w:lineRule="auto"/>
            </w:pPr>
            <w:r>
              <w:t>16.18</w:t>
            </w:r>
            <w:r w:rsidRPr="004A3655">
              <w:rPr>
                <w:vertAlign w:val="superscript"/>
              </w:rPr>
              <w:t>***</w:t>
            </w:r>
            <w:r>
              <w:rPr>
                <w:vertAlign w:val="superscript"/>
              </w:rPr>
              <w:t xml:space="preserve"> </w:t>
            </w:r>
            <w:r>
              <w:t>(</w:t>
            </w:r>
            <w:r w:rsidR="00FE428D" w:rsidRPr="00FE428D">
              <w:t>10.4</w:t>
            </w:r>
            <w:r w:rsidR="00FE428D">
              <w:t xml:space="preserve">6, </w:t>
            </w:r>
            <w:r w:rsidR="00FE428D" w:rsidRPr="00FE428D">
              <w:t>25.03</w:t>
            </w:r>
            <w:r>
              <w:t>)</w:t>
            </w:r>
          </w:p>
        </w:tc>
      </w:tr>
      <w:tr w:rsidR="00524B3C" w14:paraId="4F0BCDEE" w14:textId="77777777" w:rsidTr="00C83046">
        <w:tc>
          <w:tcPr>
            <w:tcW w:w="2160" w:type="dxa"/>
          </w:tcPr>
          <w:p w14:paraId="634CC5AF" w14:textId="77777777" w:rsidR="00524B3C" w:rsidRDefault="00524B3C" w:rsidP="00C83046">
            <w:pPr>
              <w:spacing w:line="480" w:lineRule="auto"/>
              <w:jc w:val="center"/>
            </w:pPr>
            <w:r>
              <w:t>11</w:t>
            </w:r>
          </w:p>
        </w:tc>
        <w:tc>
          <w:tcPr>
            <w:tcW w:w="2340" w:type="dxa"/>
          </w:tcPr>
          <w:p w14:paraId="1348C682" w14:textId="77777777" w:rsidR="00524B3C" w:rsidRDefault="00524B3C" w:rsidP="00C83046">
            <w:pPr>
              <w:spacing w:line="480" w:lineRule="auto"/>
              <w:jc w:val="center"/>
            </w:pPr>
          </w:p>
        </w:tc>
        <w:tc>
          <w:tcPr>
            <w:tcW w:w="2340" w:type="dxa"/>
          </w:tcPr>
          <w:p w14:paraId="69F42D56" w14:textId="5040A666" w:rsidR="00524B3C" w:rsidRPr="003A7084" w:rsidRDefault="00524B3C" w:rsidP="006541B3">
            <w:pPr>
              <w:spacing w:line="480" w:lineRule="auto"/>
              <w:jc w:val="center"/>
            </w:pPr>
            <w:r w:rsidRPr="00AC4330">
              <w:t>7.40</w:t>
            </w:r>
            <w:r w:rsidRPr="004A3655">
              <w:rPr>
                <w:vertAlign w:val="superscript"/>
              </w:rPr>
              <w:t>**</w:t>
            </w:r>
            <w:r w:rsidR="006318C4">
              <w:rPr>
                <w:vertAlign w:val="superscript"/>
              </w:rPr>
              <w:t xml:space="preserve"> </w:t>
            </w:r>
            <w:r>
              <w:t>(</w:t>
            </w:r>
            <w:r w:rsidR="006B2BFA" w:rsidRPr="006B2BFA">
              <w:t>3.4</w:t>
            </w:r>
            <w:r w:rsidR="006B2BFA">
              <w:t xml:space="preserve">3, </w:t>
            </w:r>
            <w:r w:rsidR="006B2BFA" w:rsidRPr="006B2BFA">
              <w:t>15.97</w:t>
            </w:r>
            <w:r>
              <w:t>)</w:t>
            </w:r>
          </w:p>
        </w:tc>
        <w:tc>
          <w:tcPr>
            <w:tcW w:w="2510" w:type="dxa"/>
          </w:tcPr>
          <w:p w14:paraId="577C1A5A" w14:textId="11450847" w:rsidR="00524B3C" w:rsidRDefault="00524B3C" w:rsidP="00C83046">
            <w:pPr>
              <w:spacing w:line="480" w:lineRule="auto"/>
              <w:jc w:val="center"/>
            </w:pPr>
            <w:r>
              <w:t>15.16</w:t>
            </w:r>
            <w:r w:rsidRPr="004A3655">
              <w:rPr>
                <w:vertAlign w:val="superscript"/>
              </w:rPr>
              <w:t>***</w:t>
            </w:r>
            <w:r w:rsidR="00691DCF">
              <w:rPr>
                <w:vertAlign w:val="superscript"/>
              </w:rPr>
              <w:t xml:space="preserve"> </w:t>
            </w:r>
            <w:r>
              <w:t>(</w:t>
            </w:r>
            <w:r w:rsidR="00FE428D" w:rsidRPr="00FE428D">
              <w:t>8.57</w:t>
            </w:r>
            <w:r w:rsidR="00A149DA">
              <w:t>,</w:t>
            </w:r>
            <w:r w:rsidR="00FE428D" w:rsidRPr="00FE428D">
              <w:t xml:space="preserve"> 26.82</w:t>
            </w:r>
            <w:r>
              <w:t>)</w:t>
            </w:r>
          </w:p>
        </w:tc>
      </w:tr>
      <w:tr w:rsidR="00524B3C" w14:paraId="256A091A" w14:textId="77777777" w:rsidTr="00C83046">
        <w:tc>
          <w:tcPr>
            <w:tcW w:w="2160" w:type="dxa"/>
          </w:tcPr>
          <w:p w14:paraId="12E7F822" w14:textId="77777777" w:rsidR="00524B3C" w:rsidRDefault="00524B3C" w:rsidP="00C83046">
            <w:pPr>
              <w:spacing w:line="480" w:lineRule="auto"/>
              <w:jc w:val="center"/>
            </w:pPr>
            <w:r>
              <w:t>12</w:t>
            </w:r>
          </w:p>
        </w:tc>
        <w:tc>
          <w:tcPr>
            <w:tcW w:w="2340" w:type="dxa"/>
          </w:tcPr>
          <w:p w14:paraId="6826ED91" w14:textId="77777777" w:rsidR="00524B3C" w:rsidRDefault="00524B3C" w:rsidP="00C83046">
            <w:pPr>
              <w:spacing w:line="480" w:lineRule="auto"/>
              <w:jc w:val="center"/>
            </w:pPr>
          </w:p>
        </w:tc>
        <w:tc>
          <w:tcPr>
            <w:tcW w:w="2340" w:type="dxa"/>
          </w:tcPr>
          <w:p w14:paraId="3874BCE0" w14:textId="63640C82" w:rsidR="00524B3C" w:rsidRPr="003A7084" w:rsidRDefault="00524B3C" w:rsidP="006541B3">
            <w:pPr>
              <w:spacing w:line="480" w:lineRule="auto"/>
              <w:jc w:val="center"/>
            </w:pPr>
            <w:r w:rsidRPr="00AC4330">
              <w:t>6.2</w:t>
            </w:r>
            <w:r>
              <w:t>1</w:t>
            </w:r>
            <w:r w:rsidRPr="004A3655">
              <w:rPr>
                <w:vertAlign w:val="superscript"/>
              </w:rPr>
              <w:t>**</w:t>
            </w:r>
            <w:r>
              <w:rPr>
                <w:vertAlign w:val="superscript"/>
              </w:rPr>
              <w:t xml:space="preserve"> </w:t>
            </w:r>
            <w:r>
              <w:t>(</w:t>
            </w:r>
            <w:r w:rsidR="006B2BFA" w:rsidRPr="006B2BFA">
              <w:t>2.7</w:t>
            </w:r>
            <w:r w:rsidR="006B2BFA">
              <w:t xml:space="preserve">8, </w:t>
            </w:r>
            <w:r w:rsidR="006B2BFA" w:rsidRPr="006B2BFA">
              <w:t>13.8</w:t>
            </w:r>
            <w:r>
              <w:t>)</w:t>
            </w:r>
          </w:p>
        </w:tc>
        <w:tc>
          <w:tcPr>
            <w:tcW w:w="2510" w:type="dxa"/>
          </w:tcPr>
          <w:p w14:paraId="717EB81C" w14:textId="205B426B" w:rsidR="00524B3C" w:rsidRDefault="00524B3C" w:rsidP="00C83046">
            <w:pPr>
              <w:spacing w:line="480" w:lineRule="auto"/>
            </w:pPr>
            <w:r>
              <w:t xml:space="preserve"> 12.93</w:t>
            </w:r>
            <w:r w:rsidRPr="004A3655">
              <w:rPr>
                <w:vertAlign w:val="superscript"/>
              </w:rPr>
              <w:t>***</w:t>
            </w:r>
            <w:r w:rsidR="00691DCF">
              <w:rPr>
                <w:vertAlign w:val="superscript"/>
              </w:rPr>
              <w:t xml:space="preserve"> </w:t>
            </w:r>
            <w:r>
              <w:t>(</w:t>
            </w:r>
            <w:r w:rsidR="00A149DA" w:rsidRPr="00A149DA">
              <w:t>7.01</w:t>
            </w:r>
            <w:r w:rsidR="00A149DA">
              <w:t xml:space="preserve">, </w:t>
            </w:r>
            <w:r w:rsidR="00A149DA" w:rsidRPr="00A149DA">
              <w:t>23.8</w:t>
            </w:r>
            <w:r w:rsidR="00691DCF">
              <w:t>6</w:t>
            </w:r>
            <w:r>
              <w:t>)</w:t>
            </w:r>
          </w:p>
        </w:tc>
      </w:tr>
    </w:tbl>
    <w:p w14:paraId="6FEBF8E5" w14:textId="5DB27FF0" w:rsidR="00524B3C" w:rsidRDefault="00524B3C" w:rsidP="00524B3C">
      <w:r>
        <w:t>Results come from a negative binomial model with city population model as an offset, the week before re-opening as reference, and robust standard errors clustered at the city level. Models further adjusted for mask mandates, stay at home orders, eviction moratoriums, and week and city fixed effects.</w:t>
      </w:r>
      <w:r w:rsidRPr="000A7929">
        <w:rPr>
          <w:i/>
          <w:iCs/>
        </w:rPr>
        <w:t xml:space="preserve"> </w:t>
      </w:r>
      <w:r w:rsidRPr="00670DC6">
        <w:rPr>
          <w:i/>
          <w:iCs/>
        </w:rPr>
        <w:t>Alternative Specification 1</w:t>
      </w:r>
      <w:r>
        <w:t xml:space="preserve">: period extended to 10 weeks pre and 12 post (assumed 2-week lag). </w:t>
      </w:r>
      <w:r w:rsidRPr="00670DC6">
        <w:rPr>
          <w:i/>
          <w:iCs/>
        </w:rPr>
        <w:t>Alternative Specification 2:</w:t>
      </w:r>
      <w:r w:rsidRPr="003A7084">
        <w:t xml:space="preserve"> </w:t>
      </w:r>
      <w:r>
        <w:t xml:space="preserve">specification 1 + no NPI 4+ week limitation. </w:t>
      </w:r>
      <w:r w:rsidRPr="00F5730B">
        <w:t>*p&lt;0.1; **p&lt;0.05; ***p&lt;0.01</w:t>
      </w:r>
    </w:p>
    <w:p w14:paraId="489391EA" w14:textId="6051A149" w:rsidR="007E4AD4" w:rsidRDefault="007E4AD4" w:rsidP="00524B3C"/>
    <w:p w14:paraId="7F675A0E" w14:textId="20C4B471" w:rsidR="00BB0A89" w:rsidRPr="00055788" w:rsidRDefault="007E4AD4" w:rsidP="00055788">
      <w:pPr>
        <w:pStyle w:val="Heading2"/>
        <w:rPr>
          <w:rFonts w:ascii="Times New Roman" w:hAnsi="Times New Roman" w:cs="Times New Roman"/>
          <w:color w:val="auto"/>
          <w:sz w:val="24"/>
          <w:szCs w:val="24"/>
        </w:rPr>
      </w:pPr>
      <w:bookmarkStart w:id="13" w:name="_Toc68877766"/>
      <w:r w:rsidRPr="00F16DFB">
        <w:rPr>
          <w:rFonts w:ascii="Times New Roman" w:hAnsi="Times New Roman" w:cs="Times New Roman"/>
          <w:color w:val="auto"/>
          <w:sz w:val="24"/>
          <w:szCs w:val="24"/>
        </w:rPr>
        <w:lastRenderedPageBreak/>
        <w:t>Appendix</w:t>
      </w:r>
      <w:r w:rsidR="00731DFA" w:rsidRPr="00F16DFB">
        <w:rPr>
          <w:rFonts w:ascii="Times New Roman" w:hAnsi="Times New Roman" w:cs="Times New Roman"/>
          <w:color w:val="auto"/>
          <w:sz w:val="24"/>
          <w:szCs w:val="24"/>
        </w:rPr>
        <w:t xml:space="preserve"> Figure</w:t>
      </w:r>
      <w:r w:rsidRPr="00F16DFB">
        <w:rPr>
          <w:rFonts w:ascii="Times New Roman" w:hAnsi="Times New Roman" w:cs="Times New Roman"/>
          <w:color w:val="auto"/>
          <w:sz w:val="24"/>
          <w:szCs w:val="24"/>
        </w:rPr>
        <w:t xml:space="preserve"> D4: </w:t>
      </w:r>
      <w:r w:rsidR="00BB0A89" w:rsidRPr="00F16DFB">
        <w:rPr>
          <w:rFonts w:ascii="Times New Roman" w:hAnsi="Times New Roman" w:cs="Times New Roman"/>
          <w:color w:val="auto"/>
          <w:sz w:val="24"/>
          <w:szCs w:val="24"/>
        </w:rPr>
        <w:t xml:space="preserve">Event Model </w:t>
      </w:r>
      <w:bookmarkEnd w:id="13"/>
    </w:p>
    <w:p w14:paraId="5517DD26" w14:textId="722C6B9C" w:rsidR="00BB0A89" w:rsidRDefault="001D69D5" w:rsidP="00524B3C">
      <w:r>
        <w:rPr>
          <w:noProof/>
        </w:rPr>
        <w:drawing>
          <wp:inline distT="0" distB="0" distL="0" distR="0" wp14:anchorId="075037C5" wp14:editId="14F4E421">
            <wp:extent cx="5943600" cy="4158615"/>
            <wp:effectExtent l="0" t="0" r="0" b="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43600" cy="4158615"/>
                    </a:xfrm>
                    <a:prstGeom prst="rect">
                      <a:avLst/>
                    </a:prstGeom>
                    <a:noFill/>
                    <a:ln>
                      <a:noFill/>
                    </a:ln>
                  </pic:spPr>
                </pic:pic>
              </a:graphicData>
            </a:graphic>
          </wp:inline>
        </w:drawing>
      </w:r>
    </w:p>
    <w:p w14:paraId="4AB849D9" w14:textId="77777777" w:rsidR="00524B3C" w:rsidRDefault="00524B3C" w:rsidP="00524B3C"/>
    <w:p w14:paraId="1AF5EFF6" w14:textId="77777777" w:rsidR="00524B3C" w:rsidRDefault="00524B3C" w:rsidP="00524B3C">
      <w:pPr>
        <w:rPr>
          <w:b/>
          <w:bCs/>
        </w:rPr>
      </w:pPr>
      <w:r>
        <w:rPr>
          <w:b/>
          <w:bCs/>
        </w:rPr>
        <w:br w:type="page"/>
      </w:r>
    </w:p>
    <w:p w14:paraId="680379F2" w14:textId="762248BC" w:rsidR="00524B3C" w:rsidRPr="00FE3CCC" w:rsidRDefault="00524B3C" w:rsidP="00524B3C">
      <w:pPr>
        <w:pStyle w:val="Heading2"/>
        <w:rPr>
          <w:rFonts w:ascii="Times New Roman" w:hAnsi="Times New Roman" w:cs="Times New Roman"/>
          <w:color w:val="auto"/>
          <w:sz w:val="24"/>
          <w:szCs w:val="24"/>
        </w:rPr>
      </w:pPr>
      <w:bookmarkStart w:id="14" w:name="_Toc68877767"/>
      <w:r w:rsidRPr="00FE3CCC">
        <w:rPr>
          <w:rFonts w:ascii="Times New Roman" w:hAnsi="Times New Roman" w:cs="Times New Roman"/>
          <w:color w:val="auto"/>
          <w:sz w:val="24"/>
          <w:szCs w:val="24"/>
        </w:rPr>
        <w:lastRenderedPageBreak/>
        <w:t xml:space="preserve">Appendix </w:t>
      </w:r>
      <w:r w:rsidR="00731DFA">
        <w:rPr>
          <w:rFonts w:ascii="Times New Roman" w:hAnsi="Times New Roman" w:cs="Times New Roman"/>
          <w:color w:val="auto"/>
          <w:sz w:val="24"/>
          <w:szCs w:val="24"/>
        </w:rPr>
        <w:t xml:space="preserve">Figure </w:t>
      </w:r>
      <w:r>
        <w:rPr>
          <w:rFonts w:ascii="Times New Roman" w:hAnsi="Times New Roman" w:cs="Times New Roman"/>
          <w:color w:val="auto"/>
          <w:sz w:val="24"/>
          <w:szCs w:val="24"/>
        </w:rPr>
        <w:t>D</w:t>
      </w:r>
      <w:r w:rsidR="00604C12">
        <w:rPr>
          <w:rFonts w:ascii="Times New Roman" w:hAnsi="Times New Roman" w:cs="Times New Roman"/>
          <w:color w:val="auto"/>
          <w:sz w:val="24"/>
          <w:szCs w:val="24"/>
        </w:rPr>
        <w:t>5</w:t>
      </w:r>
      <w:r w:rsidRPr="00FE3CCC">
        <w:rPr>
          <w:rFonts w:ascii="Times New Roman" w:hAnsi="Times New Roman" w:cs="Times New Roman"/>
          <w:color w:val="auto"/>
          <w:sz w:val="24"/>
          <w:szCs w:val="24"/>
        </w:rPr>
        <w:t xml:space="preserve">: Trends in Case Rates Comparing Treatment and Comparison Groups, Using Date of </w:t>
      </w:r>
      <w:r w:rsidR="00F00202">
        <w:rPr>
          <w:rFonts w:ascii="Times New Roman" w:hAnsi="Times New Roman" w:cs="Times New Roman"/>
          <w:color w:val="auto"/>
          <w:sz w:val="24"/>
          <w:szCs w:val="24"/>
        </w:rPr>
        <w:t xml:space="preserve">Actual </w:t>
      </w:r>
      <w:r w:rsidRPr="00FE3CCC">
        <w:rPr>
          <w:rFonts w:ascii="Times New Roman" w:hAnsi="Times New Roman" w:cs="Times New Roman"/>
          <w:color w:val="auto"/>
          <w:sz w:val="24"/>
          <w:szCs w:val="24"/>
        </w:rPr>
        <w:t>City Re-opening</w:t>
      </w:r>
      <w:bookmarkEnd w:id="14"/>
    </w:p>
    <w:p w14:paraId="686A20FD" w14:textId="77777777" w:rsidR="00524B3C" w:rsidRPr="00E65E3E" w:rsidRDefault="00524B3C" w:rsidP="00524B3C">
      <w:pPr>
        <w:rPr>
          <w:b/>
          <w:bCs/>
          <w:sz w:val="22"/>
          <w:szCs w:val="22"/>
        </w:rPr>
      </w:pPr>
      <w:r w:rsidRPr="00526CF9">
        <w:rPr>
          <w:b/>
          <w:bCs/>
          <w:noProof/>
          <w:sz w:val="22"/>
          <w:szCs w:val="22"/>
        </w:rPr>
        <w:drawing>
          <wp:inline distT="0" distB="0" distL="0" distR="0" wp14:anchorId="6E3311F1" wp14:editId="384446EF">
            <wp:extent cx="3915508" cy="3915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925906" cy="3925906"/>
                    </a:xfrm>
                    <a:prstGeom prst="rect">
                      <a:avLst/>
                    </a:prstGeom>
                  </pic:spPr>
                </pic:pic>
              </a:graphicData>
            </a:graphic>
          </wp:inline>
        </w:drawing>
      </w:r>
    </w:p>
    <w:p w14:paraId="4A806F36" w14:textId="4EEAC82B" w:rsidR="00524B3C" w:rsidRPr="00AE2E56" w:rsidRDefault="000858EF" w:rsidP="00524B3C">
      <w:r>
        <w:t>Co</w:t>
      </w:r>
      <w:r w:rsidR="00AF4934">
        <w:t>mparison</w:t>
      </w:r>
      <w:r w:rsidR="00524B3C" w:rsidRPr="00AE2E56">
        <w:t xml:space="preserve"> cities include Atlanta, Austin, Charleston, Dallas, Houston, Phoenix, and San Antonio; treatment cities include Indianapolis, Milwaukee, Philadelphia, and San Francisco. Vertical black line represents a 2-week lag after re-opening in both treatment and comparison cities.</w:t>
      </w:r>
    </w:p>
    <w:p w14:paraId="6968B5E7" w14:textId="3CEB902D" w:rsidR="00524B3C" w:rsidRDefault="00524B3C" w:rsidP="00524B3C">
      <w:pPr>
        <w:rPr>
          <w:b/>
          <w:bCs/>
        </w:rPr>
      </w:pPr>
    </w:p>
    <w:p w14:paraId="71174A70" w14:textId="7D4E9F7E" w:rsidR="00524B3C" w:rsidRPr="00905481" w:rsidRDefault="00524B3C" w:rsidP="00524B3C">
      <w:pPr>
        <w:pStyle w:val="Heading2"/>
        <w:rPr>
          <w:rFonts w:ascii="Times New Roman" w:hAnsi="Times New Roman" w:cs="Times New Roman"/>
          <w:color w:val="auto"/>
          <w:sz w:val="24"/>
          <w:szCs w:val="24"/>
        </w:rPr>
      </w:pPr>
      <w:bookmarkStart w:id="15" w:name="_Toc68877768"/>
      <w:r w:rsidRPr="00905481">
        <w:rPr>
          <w:rFonts w:ascii="Times New Roman" w:hAnsi="Times New Roman" w:cs="Times New Roman"/>
          <w:color w:val="auto"/>
          <w:sz w:val="24"/>
          <w:szCs w:val="24"/>
        </w:rPr>
        <w:lastRenderedPageBreak/>
        <w:t>Appendix</w:t>
      </w:r>
      <w:r w:rsidR="00731DFA">
        <w:rPr>
          <w:rFonts w:ascii="Times New Roman" w:hAnsi="Times New Roman" w:cs="Times New Roman"/>
          <w:color w:val="auto"/>
          <w:sz w:val="24"/>
          <w:szCs w:val="24"/>
        </w:rPr>
        <w:t xml:space="preserve"> Figure</w:t>
      </w:r>
      <w:r w:rsidRPr="00905481">
        <w:rPr>
          <w:rFonts w:ascii="Times New Roman" w:hAnsi="Times New Roman" w:cs="Times New Roman"/>
          <w:color w:val="auto"/>
          <w:sz w:val="24"/>
          <w:szCs w:val="24"/>
        </w:rPr>
        <w:t xml:space="preserve"> </w:t>
      </w:r>
      <w:r w:rsidR="009A440B">
        <w:rPr>
          <w:rFonts w:ascii="Times New Roman" w:hAnsi="Times New Roman" w:cs="Times New Roman"/>
          <w:color w:val="auto"/>
          <w:sz w:val="24"/>
          <w:szCs w:val="24"/>
        </w:rPr>
        <w:t>D</w:t>
      </w:r>
      <w:r w:rsidR="00604C12">
        <w:rPr>
          <w:rFonts w:ascii="Times New Roman" w:hAnsi="Times New Roman" w:cs="Times New Roman"/>
          <w:color w:val="auto"/>
          <w:sz w:val="24"/>
          <w:szCs w:val="24"/>
        </w:rPr>
        <w:t>6</w:t>
      </w:r>
      <w:r w:rsidRPr="00905481">
        <w:rPr>
          <w:rFonts w:ascii="Times New Roman" w:hAnsi="Times New Roman" w:cs="Times New Roman"/>
          <w:color w:val="auto"/>
          <w:sz w:val="24"/>
          <w:szCs w:val="24"/>
        </w:rPr>
        <w:t>: Trends in Death Rates Comparing Treatment and Comparison Groups</w:t>
      </w:r>
      <w:bookmarkEnd w:id="15"/>
    </w:p>
    <w:p w14:paraId="258F9DA1" w14:textId="77777777" w:rsidR="00524B3C" w:rsidRDefault="00524B3C" w:rsidP="00524B3C">
      <w:pPr>
        <w:rPr>
          <w:b/>
          <w:bCs/>
        </w:rPr>
      </w:pPr>
      <w:r w:rsidRPr="005C7E46">
        <w:rPr>
          <w:b/>
          <w:bCs/>
          <w:noProof/>
        </w:rPr>
        <w:drawing>
          <wp:inline distT="0" distB="0" distL="0" distR="0" wp14:anchorId="2E620662" wp14:editId="019BA2FD">
            <wp:extent cx="3681046" cy="3681046"/>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694929" cy="3694929"/>
                    </a:xfrm>
                    <a:prstGeom prst="rect">
                      <a:avLst/>
                    </a:prstGeom>
                  </pic:spPr>
                </pic:pic>
              </a:graphicData>
            </a:graphic>
          </wp:inline>
        </w:drawing>
      </w:r>
    </w:p>
    <w:p w14:paraId="119EF58B" w14:textId="77777777" w:rsidR="00524B3C" w:rsidRDefault="00524B3C" w:rsidP="00524B3C">
      <w:pPr>
        <w:rPr>
          <w:b/>
          <w:bCs/>
        </w:rPr>
      </w:pPr>
    </w:p>
    <w:p w14:paraId="1A3E96FC" w14:textId="5CD07503" w:rsidR="00524B3C" w:rsidRPr="00AE2E56" w:rsidRDefault="00524B3C" w:rsidP="00524B3C">
      <w:r w:rsidRPr="00AE2E56">
        <w:rPr>
          <w:shd w:val="clear" w:color="auto" w:fill="FFFFFF"/>
        </w:rPr>
        <w:t xml:space="preserve">SOURCE: Authors’ analysis of city/county-level COVID-19 death data between April and November of 2020. </w:t>
      </w:r>
      <w:r w:rsidRPr="00AE2E56">
        <w:t>NOTES: co</w:t>
      </w:r>
      <w:r w:rsidR="00AF4934">
        <w:t>mparison</w:t>
      </w:r>
      <w:r w:rsidRPr="00AE2E56">
        <w:t xml:space="preserve"> cities include Atlanta, Austin, Charleston, Dallas, Houston, Phoenix, and San Antonio; treatment cities include Indianapolis, Milwaukee, Philadelphia, and San Francisco. Vertical black line represents a 35-day lag after re-opening (comparison cities) or the date the state allowed the city to re-open, but the city stayed closed (treatment cities).</w:t>
      </w:r>
    </w:p>
    <w:p w14:paraId="78AFFA2E" w14:textId="79E1D009" w:rsidR="00524B3C" w:rsidRDefault="00524B3C">
      <w:pPr>
        <w:spacing w:after="160" w:line="259" w:lineRule="auto"/>
      </w:pPr>
      <w:r>
        <w:br w:type="page"/>
      </w:r>
    </w:p>
    <w:p w14:paraId="66F6CF65" w14:textId="55E188C5" w:rsidR="00524B3C" w:rsidRPr="00524B3C" w:rsidRDefault="00524B3C">
      <w:pPr>
        <w:rPr>
          <w:b/>
          <w:bCs/>
        </w:rPr>
      </w:pPr>
      <w:r w:rsidRPr="00524B3C">
        <w:rPr>
          <w:b/>
          <w:bCs/>
        </w:rPr>
        <w:lastRenderedPageBreak/>
        <w:t>References</w:t>
      </w:r>
    </w:p>
    <w:p w14:paraId="19103FFB" w14:textId="77777777" w:rsidR="00524B3C" w:rsidRDefault="00524B3C"/>
    <w:p w14:paraId="3730A68C" w14:textId="77777777" w:rsidR="000078F4" w:rsidRPr="000078F4" w:rsidRDefault="00524B3C" w:rsidP="000078F4">
      <w:pPr>
        <w:pStyle w:val="EndNoteBibliography"/>
        <w:ind w:left="720" w:hanging="720"/>
      </w:pPr>
      <w:r>
        <w:fldChar w:fldCharType="begin"/>
      </w:r>
      <w:r>
        <w:instrText xml:space="preserve"> ADDIN EN.REFLIST </w:instrText>
      </w:r>
      <w:r>
        <w:fldChar w:fldCharType="separate"/>
      </w:r>
      <w:r w:rsidR="000078F4" w:rsidRPr="000078F4">
        <w:t>1.</w:t>
      </w:r>
      <w:r w:rsidR="000078F4" w:rsidRPr="000078F4">
        <w:tab/>
        <w:t xml:space="preserve">Lyu W, Wehby GL. Community Use Of Face Masks And COVID-19: Evidence From A Natural Experiment Of State Mandates In The US: Study examines impact on COVID-19 growth rates associated with state government mandates requiring face mask use in public. </w:t>
      </w:r>
      <w:r w:rsidR="000078F4" w:rsidRPr="000078F4">
        <w:rPr>
          <w:i/>
        </w:rPr>
        <w:t xml:space="preserve">Health Affairs. </w:t>
      </w:r>
      <w:r w:rsidR="000078F4" w:rsidRPr="000078F4">
        <w:t>2020;39(8):1419-1425.</w:t>
      </w:r>
    </w:p>
    <w:p w14:paraId="17170E47" w14:textId="77777777" w:rsidR="000078F4" w:rsidRPr="000078F4" w:rsidRDefault="000078F4" w:rsidP="000078F4">
      <w:pPr>
        <w:pStyle w:val="EndNoteBibliography"/>
        <w:ind w:left="720" w:hanging="720"/>
      </w:pPr>
      <w:r w:rsidRPr="000078F4">
        <w:t>2.</w:t>
      </w:r>
      <w:r w:rsidRPr="000078F4">
        <w:tab/>
        <w:t xml:space="preserve">Leifheit KM, Linton SL, Raifman J, et al. Expiring Eviction Moratoriums and COVID-19 Incidence and Mortality. </w:t>
      </w:r>
      <w:r w:rsidRPr="000078F4">
        <w:rPr>
          <w:i/>
        </w:rPr>
        <w:t xml:space="preserve">Available at SSRN 3739576. </w:t>
      </w:r>
      <w:r w:rsidRPr="000078F4">
        <w:t>2020.</w:t>
      </w:r>
    </w:p>
    <w:p w14:paraId="0B237FB3" w14:textId="77777777" w:rsidR="000078F4" w:rsidRPr="000078F4" w:rsidRDefault="000078F4" w:rsidP="000078F4">
      <w:pPr>
        <w:pStyle w:val="EndNoteBibliography"/>
        <w:ind w:left="720" w:hanging="720"/>
      </w:pPr>
      <w:r w:rsidRPr="000078F4">
        <w:t>3.</w:t>
      </w:r>
      <w:r w:rsidRPr="000078F4">
        <w:tab/>
        <w:t xml:space="preserve">Guy Jr GP, Lee FC, Sunshine G, et al. Association of State-Issued Mask Mandates and Allowing On-Premises Restaurant Dining with County-Level COVID-19 Case and Death Growth Rates—United States, March 1–December 31, 2020. </w:t>
      </w:r>
      <w:r w:rsidRPr="000078F4">
        <w:rPr>
          <w:i/>
        </w:rPr>
        <w:t xml:space="preserve">Morbidity and Mortality Weekly Report. </w:t>
      </w:r>
      <w:r w:rsidRPr="000078F4">
        <w:t>2021;70(10):350.</w:t>
      </w:r>
    </w:p>
    <w:p w14:paraId="3D490C53" w14:textId="77777777" w:rsidR="000078F4" w:rsidRPr="000078F4" w:rsidRDefault="000078F4" w:rsidP="000078F4">
      <w:pPr>
        <w:pStyle w:val="EndNoteBibliography"/>
        <w:ind w:left="720" w:hanging="720"/>
      </w:pPr>
      <w:r w:rsidRPr="000078F4">
        <w:t>4.</w:t>
      </w:r>
      <w:r w:rsidRPr="000078F4">
        <w:tab/>
        <w:t xml:space="preserve">Strumpf EC, Harper S, Kaufman JS. Fixed effects and difference in differences. In: Oakes JM, ed. </w:t>
      </w:r>
      <w:r w:rsidRPr="000078F4">
        <w:rPr>
          <w:i/>
        </w:rPr>
        <w:t>Methods in Social Epidemiology.</w:t>
      </w:r>
      <w:r w:rsidRPr="000078F4">
        <w:t xml:space="preserve"> San Francisco: Jossey-Bass; 2017:342-368.</w:t>
      </w:r>
    </w:p>
    <w:p w14:paraId="336EFE75" w14:textId="77777777" w:rsidR="000078F4" w:rsidRPr="000078F4" w:rsidRDefault="000078F4" w:rsidP="000078F4">
      <w:pPr>
        <w:pStyle w:val="EndNoteBibliography"/>
        <w:ind w:left="720" w:hanging="720"/>
      </w:pPr>
      <w:r w:rsidRPr="000078F4">
        <w:t>5.</w:t>
      </w:r>
      <w:r w:rsidRPr="000078F4">
        <w:tab/>
        <w:t xml:space="preserve">Allison PD, Waterman RP. Fixed–effects negative binomial regression models. </w:t>
      </w:r>
      <w:r w:rsidRPr="000078F4">
        <w:rPr>
          <w:i/>
        </w:rPr>
        <w:t xml:space="preserve">Sociological methodology. </w:t>
      </w:r>
      <w:r w:rsidRPr="000078F4">
        <w:t>2002;32(1):247-265.</w:t>
      </w:r>
    </w:p>
    <w:p w14:paraId="734224CB" w14:textId="366A9F53" w:rsidR="00524B3C" w:rsidRDefault="00524B3C">
      <w:r>
        <w:fldChar w:fldCharType="end"/>
      </w:r>
    </w:p>
    <w:sectPr w:rsidR="00524B3C" w:rsidSect="00C830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FCD0D" w14:textId="77777777" w:rsidR="00CC74EA" w:rsidRDefault="00CC74EA" w:rsidP="00524B3C">
      <w:r>
        <w:separator/>
      </w:r>
    </w:p>
  </w:endnote>
  <w:endnote w:type="continuationSeparator" w:id="0">
    <w:p w14:paraId="7A1C8672" w14:textId="77777777" w:rsidR="00CC74EA" w:rsidRDefault="00CC74EA" w:rsidP="00524B3C">
      <w:r>
        <w:continuationSeparator/>
      </w:r>
    </w:p>
  </w:endnote>
  <w:endnote w:type="continuationNotice" w:id="1">
    <w:p w14:paraId="5224FCF1" w14:textId="77777777" w:rsidR="00CC74EA" w:rsidRDefault="00CC7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528578"/>
      <w:docPartObj>
        <w:docPartGallery w:val="Page Numbers (Bottom of Page)"/>
        <w:docPartUnique/>
      </w:docPartObj>
    </w:sdtPr>
    <w:sdtEndPr>
      <w:rPr>
        <w:noProof/>
      </w:rPr>
    </w:sdtEndPr>
    <w:sdtContent>
      <w:p w14:paraId="4615A96E" w14:textId="77777777" w:rsidR="00C83046" w:rsidRDefault="00DC63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11B481" w14:textId="77777777" w:rsidR="00C83046" w:rsidRDefault="00C83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41B06" w14:textId="77777777" w:rsidR="00CC74EA" w:rsidRDefault="00CC74EA" w:rsidP="00524B3C">
      <w:r>
        <w:separator/>
      </w:r>
    </w:p>
  </w:footnote>
  <w:footnote w:type="continuationSeparator" w:id="0">
    <w:p w14:paraId="35BF7B5E" w14:textId="77777777" w:rsidR="00CC74EA" w:rsidRDefault="00CC74EA" w:rsidP="00524B3C">
      <w:r>
        <w:continuationSeparator/>
      </w:r>
    </w:p>
  </w:footnote>
  <w:footnote w:type="continuationNotice" w:id="1">
    <w:p w14:paraId="45FBAB5B" w14:textId="77777777" w:rsidR="00CC74EA" w:rsidRDefault="00CC74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47E3"/>
    <w:multiLevelType w:val="hybridMultilevel"/>
    <w:tmpl w:val="C94C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25B06"/>
    <w:multiLevelType w:val="hybridMultilevel"/>
    <w:tmpl w:val="608EAA04"/>
    <w:lvl w:ilvl="0" w:tplc="E398ED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D2497"/>
    <w:multiLevelType w:val="hybridMultilevel"/>
    <w:tmpl w:val="3B64F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01441"/>
    <w:multiLevelType w:val="hybridMultilevel"/>
    <w:tmpl w:val="6AB6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4501C"/>
    <w:multiLevelType w:val="hybridMultilevel"/>
    <w:tmpl w:val="F57C2D88"/>
    <w:lvl w:ilvl="0" w:tplc="E398ED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C52AC"/>
    <w:multiLevelType w:val="hybridMultilevel"/>
    <w:tmpl w:val="C046B63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 J Public Heal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pxew9f9dfeare9298v0xvddwtva05d2pdw&quot;&gt;My EndNote Library&lt;record-ids&gt;&lt;item&gt;3905&lt;/item&gt;&lt;item&gt;3966&lt;/item&gt;&lt;item&gt;3968&lt;/item&gt;&lt;item&gt;3970&lt;/item&gt;&lt;item&gt;4036&lt;/item&gt;&lt;/record-ids&gt;&lt;/item&gt;&lt;/Libraries&gt;"/>
  </w:docVars>
  <w:rsids>
    <w:rsidRoot w:val="00524B3C"/>
    <w:rsid w:val="00002D6A"/>
    <w:rsid w:val="000078F4"/>
    <w:rsid w:val="00015336"/>
    <w:rsid w:val="00032C1B"/>
    <w:rsid w:val="00034E4B"/>
    <w:rsid w:val="0004216A"/>
    <w:rsid w:val="00043289"/>
    <w:rsid w:val="000468B6"/>
    <w:rsid w:val="00046F08"/>
    <w:rsid w:val="00054824"/>
    <w:rsid w:val="00055788"/>
    <w:rsid w:val="00066733"/>
    <w:rsid w:val="00074B30"/>
    <w:rsid w:val="000858EF"/>
    <w:rsid w:val="000912C1"/>
    <w:rsid w:val="000B2A7C"/>
    <w:rsid w:val="000B44AA"/>
    <w:rsid w:val="000C3B3A"/>
    <w:rsid w:val="000F345C"/>
    <w:rsid w:val="000F4DC4"/>
    <w:rsid w:val="000F5F0E"/>
    <w:rsid w:val="0010072F"/>
    <w:rsid w:val="00107FA1"/>
    <w:rsid w:val="0011114B"/>
    <w:rsid w:val="00112513"/>
    <w:rsid w:val="00124987"/>
    <w:rsid w:val="00124C46"/>
    <w:rsid w:val="00130ADB"/>
    <w:rsid w:val="0013278B"/>
    <w:rsid w:val="0013450D"/>
    <w:rsid w:val="001450B2"/>
    <w:rsid w:val="00160EC5"/>
    <w:rsid w:val="00193EAC"/>
    <w:rsid w:val="001C7871"/>
    <w:rsid w:val="001D69D5"/>
    <w:rsid w:val="001F4F62"/>
    <w:rsid w:val="0020057C"/>
    <w:rsid w:val="00215877"/>
    <w:rsid w:val="00225830"/>
    <w:rsid w:val="00227595"/>
    <w:rsid w:val="00244F02"/>
    <w:rsid w:val="00285D37"/>
    <w:rsid w:val="00286B19"/>
    <w:rsid w:val="0029519E"/>
    <w:rsid w:val="002969B5"/>
    <w:rsid w:val="002B2DC3"/>
    <w:rsid w:val="002B3BEA"/>
    <w:rsid w:val="002B79A6"/>
    <w:rsid w:val="002C3741"/>
    <w:rsid w:val="002D2DB9"/>
    <w:rsid w:val="002E0F50"/>
    <w:rsid w:val="002F34DB"/>
    <w:rsid w:val="002F56C6"/>
    <w:rsid w:val="002F5D49"/>
    <w:rsid w:val="0030713B"/>
    <w:rsid w:val="00335D67"/>
    <w:rsid w:val="00340B42"/>
    <w:rsid w:val="0034235E"/>
    <w:rsid w:val="00343D76"/>
    <w:rsid w:val="00361C4F"/>
    <w:rsid w:val="00372B78"/>
    <w:rsid w:val="00373025"/>
    <w:rsid w:val="00374051"/>
    <w:rsid w:val="0038370F"/>
    <w:rsid w:val="003A0F37"/>
    <w:rsid w:val="003C21CF"/>
    <w:rsid w:val="0040673D"/>
    <w:rsid w:val="00427DED"/>
    <w:rsid w:val="004478D5"/>
    <w:rsid w:val="00452CDA"/>
    <w:rsid w:val="00460773"/>
    <w:rsid w:val="004656B4"/>
    <w:rsid w:val="00481680"/>
    <w:rsid w:val="004851DA"/>
    <w:rsid w:val="00494007"/>
    <w:rsid w:val="0049422B"/>
    <w:rsid w:val="004A362E"/>
    <w:rsid w:val="004A3C7E"/>
    <w:rsid w:val="004C1273"/>
    <w:rsid w:val="004D49A1"/>
    <w:rsid w:val="004D59C2"/>
    <w:rsid w:val="0051557E"/>
    <w:rsid w:val="00524B3C"/>
    <w:rsid w:val="0054018F"/>
    <w:rsid w:val="005427E2"/>
    <w:rsid w:val="005509D4"/>
    <w:rsid w:val="00554183"/>
    <w:rsid w:val="005608B5"/>
    <w:rsid w:val="00560E9B"/>
    <w:rsid w:val="00563929"/>
    <w:rsid w:val="0057150C"/>
    <w:rsid w:val="005A22B8"/>
    <w:rsid w:val="005A3624"/>
    <w:rsid w:val="005B166E"/>
    <w:rsid w:val="005B2240"/>
    <w:rsid w:val="005B5C84"/>
    <w:rsid w:val="005C6FF4"/>
    <w:rsid w:val="005D2324"/>
    <w:rsid w:val="005E3EFD"/>
    <w:rsid w:val="005E61B9"/>
    <w:rsid w:val="005F4A31"/>
    <w:rsid w:val="005F4E9B"/>
    <w:rsid w:val="00604683"/>
    <w:rsid w:val="00604C12"/>
    <w:rsid w:val="006178FD"/>
    <w:rsid w:val="00630E43"/>
    <w:rsid w:val="006318C4"/>
    <w:rsid w:val="006541B3"/>
    <w:rsid w:val="00670756"/>
    <w:rsid w:val="00676A76"/>
    <w:rsid w:val="00686C39"/>
    <w:rsid w:val="006878E3"/>
    <w:rsid w:val="00691382"/>
    <w:rsid w:val="00691DCF"/>
    <w:rsid w:val="0069770A"/>
    <w:rsid w:val="006A3845"/>
    <w:rsid w:val="006A5DC2"/>
    <w:rsid w:val="006B131F"/>
    <w:rsid w:val="006B2294"/>
    <w:rsid w:val="006B2BFA"/>
    <w:rsid w:val="006B2F42"/>
    <w:rsid w:val="006B4C5A"/>
    <w:rsid w:val="006C32D9"/>
    <w:rsid w:val="006E0F78"/>
    <w:rsid w:val="006E7132"/>
    <w:rsid w:val="006F4FAA"/>
    <w:rsid w:val="006F7E9E"/>
    <w:rsid w:val="00706F0A"/>
    <w:rsid w:val="0070741B"/>
    <w:rsid w:val="007119CA"/>
    <w:rsid w:val="00711A0F"/>
    <w:rsid w:val="00721FF6"/>
    <w:rsid w:val="007220BB"/>
    <w:rsid w:val="00731DFA"/>
    <w:rsid w:val="00736E3F"/>
    <w:rsid w:val="00744A26"/>
    <w:rsid w:val="00767C9C"/>
    <w:rsid w:val="00772C8D"/>
    <w:rsid w:val="007775E3"/>
    <w:rsid w:val="0079284F"/>
    <w:rsid w:val="007A7184"/>
    <w:rsid w:val="007D6C6C"/>
    <w:rsid w:val="007D7D99"/>
    <w:rsid w:val="007E4AD4"/>
    <w:rsid w:val="007E6FE7"/>
    <w:rsid w:val="007F053C"/>
    <w:rsid w:val="00813E37"/>
    <w:rsid w:val="00824D87"/>
    <w:rsid w:val="00824F9B"/>
    <w:rsid w:val="0084148E"/>
    <w:rsid w:val="00851855"/>
    <w:rsid w:val="008602C0"/>
    <w:rsid w:val="008702B1"/>
    <w:rsid w:val="0087131D"/>
    <w:rsid w:val="00876F6F"/>
    <w:rsid w:val="0088457F"/>
    <w:rsid w:val="008C0FF0"/>
    <w:rsid w:val="008C575B"/>
    <w:rsid w:val="008D2EEB"/>
    <w:rsid w:val="008D3C10"/>
    <w:rsid w:val="008D702F"/>
    <w:rsid w:val="00905C57"/>
    <w:rsid w:val="0091343F"/>
    <w:rsid w:val="00927657"/>
    <w:rsid w:val="0093260F"/>
    <w:rsid w:val="00944139"/>
    <w:rsid w:val="00950A27"/>
    <w:rsid w:val="00975507"/>
    <w:rsid w:val="00983C6C"/>
    <w:rsid w:val="009A440B"/>
    <w:rsid w:val="009A600D"/>
    <w:rsid w:val="009E3FA8"/>
    <w:rsid w:val="00A104B4"/>
    <w:rsid w:val="00A111A1"/>
    <w:rsid w:val="00A11614"/>
    <w:rsid w:val="00A149DA"/>
    <w:rsid w:val="00A14B76"/>
    <w:rsid w:val="00A14C03"/>
    <w:rsid w:val="00A21166"/>
    <w:rsid w:val="00A23346"/>
    <w:rsid w:val="00A31381"/>
    <w:rsid w:val="00A8504D"/>
    <w:rsid w:val="00A85415"/>
    <w:rsid w:val="00A93926"/>
    <w:rsid w:val="00A94275"/>
    <w:rsid w:val="00A97DC9"/>
    <w:rsid w:val="00AA372B"/>
    <w:rsid w:val="00AC02A4"/>
    <w:rsid w:val="00AC678E"/>
    <w:rsid w:val="00AD2C9A"/>
    <w:rsid w:val="00AD7B43"/>
    <w:rsid w:val="00AE250B"/>
    <w:rsid w:val="00AE2E56"/>
    <w:rsid w:val="00AE5EBF"/>
    <w:rsid w:val="00AF0E3F"/>
    <w:rsid w:val="00AF4934"/>
    <w:rsid w:val="00AF657B"/>
    <w:rsid w:val="00B10AFF"/>
    <w:rsid w:val="00B10D0C"/>
    <w:rsid w:val="00B235BE"/>
    <w:rsid w:val="00B36039"/>
    <w:rsid w:val="00B41CAA"/>
    <w:rsid w:val="00B477A9"/>
    <w:rsid w:val="00B649D0"/>
    <w:rsid w:val="00B72FB4"/>
    <w:rsid w:val="00B8097A"/>
    <w:rsid w:val="00B84EA2"/>
    <w:rsid w:val="00B97C6E"/>
    <w:rsid w:val="00BB0A89"/>
    <w:rsid w:val="00BF3977"/>
    <w:rsid w:val="00C02B5C"/>
    <w:rsid w:val="00C11D0C"/>
    <w:rsid w:val="00C11D68"/>
    <w:rsid w:val="00C54603"/>
    <w:rsid w:val="00C72FCF"/>
    <w:rsid w:val="00C83046"/>
    <w:rsid w:val="00C97CCC"/>
    <w:rsid w:val="00CB0030"/>
    <w:rsid w:val="00CB1A00"/>
    <w:rsid w:val="00CB452E"/>
    <w:rsid w:val="00CC74EA"/>
    <w:rsid w:val="00CD79BB"/>
    <w:rsid w:val="00CF0A50"/>
    <w:rsid w:val="00CF5274"/>
    <w:rsid w:val="00D11FA8"/>
    <w:rsid w:val="00D373F4"/>
    <w:rsid w:val="00D37818"/>
    <w:rsid w:val="00D406B6"/>
    <w:rsid w:val="00D462AA"/>
    <w:rsid w:val="00D46E3B"/>
    <w:rsid w:val="00D664C2"/>
    <w:rsid w:val="00DC63A1"/>
    <w:rsid w:val="00DD3E2D"/>
    <w:rsid w:val="00E22398"/>
    <w:rsid w:val="00E26259"/>
    <w:rsid w:val="00E31EFE"/>
    <w:rsid w:val="00E32CC0"/>
    <w:rsid w:val="00E53336"/>
    <w:rsid w:val="00E60D97"/>
    <w:rsid w:val="00E6761F"/>
    <w:rsid w:val="00E82298"/>
    <w:rsid w:val="00E83CF6"/>
    <w:rsid w:val="00E94D92"/>
    <w:rsid w:val="00EA00B4"/>
    <w:rsid w:val="00EA59FD"/>
    <w:rsid w:val="00EA7672"/>
    <w:rsid w:val="00EB07EA"/>
    <w:rsid w:val="00EB53AF"/>
    <w:rsid w:val="00EC5855"/>
    <w:rsid w:val="00ED5ECB"/>
    <w:rsid w:val="00EE0B0D"/>
    <w:rsid w:val="00EE7CD9"/>
    <w:rsid w:val="00EF7190"/>
    <w:rsid w:val="00F00202"/>
    <w:rsid w:val="00F0539A"/>
    <w:rsid w:val="00F16DFB"/>
    <w:rsid w:val="00F2462E"/>
    <w:rsid w:val="00F36C4A"/>
    <w:rsid w:val="00F4416F"/>
    <w:rsid w:val="00F455A4"/>
    <w:rsid w:val="00F4659B"/>
    <w:rsid w:val="00F5417E"/>
    <w:rsid w:val="00F63836"/>
    <w:rsid w:val="00F91ECF"/>
    <w:rsid w:val="00FB3899"/>
    <w:rsid w:val="00FE428D"/>
    <w:rsid w:val="00FE7EB3"/>
    <w:rsid w:val="00FF0146"/>
    <w:rsid w:val="00FF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FD8C"/>
  <w15:chartTrackingRefBased/>
  <w15:docId w15:val="{87EDDB1B-F774-48B2-A82D-7A888346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B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4B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4B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B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4B3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24B3C"/>
    <w:rPr>
      <w:rFonts w:eastAsiaTheme="minorHAnsi"/>
      <w:sz w:val="18"/>
      <w:szCs w:val="18"/>
    </w:rPr>
  </w:style>
  <w:style w:type="character" w:customStyle="1" w:styleId="BalloonTextChar">
    <w:name w:val="Balloon Text Char"/>
    <w:basedOn w:val="DefaultParagraphFont"/>
    <w:link w:val="BalloonText"/>
    <w:uiPriority w:val="99"/>
    <w:semiHidden/>
    <w:rsid w:val="00524B3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24B3C"/>
    <w:rPr>
      <w:sz w:val="16"/>
      <w:szCs w:val="16"/>
    </w:rPr>
  </w:style>
  <w:style w:type="paragraph" w:styleId="CommentText">
    <w:name w:val="annotation text"/>
    <w:basedOn w:val="Normal"/>
    <w:link w:val="CommentTextChar"/>
    <w:uiPriority w:val="99"/>
    <w:semiHidden/>
    <w:unhideWhenUsed/>
    <w:rsid w:val="00524B3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24B3C"/>
    <w:rPr>
      <w:sz w:val="20"/>
      <w:szCs w:val="20"/>
    </w:rPr>
  </w:style>
  <w:style w:type="paragraph" w:styleId="CommentSubject">
    <w:name w:val="annotation subject"/>
    <w:basedOn w:val="CommentText"/>
    <w:next w:val="CommentText"/>
    <w:link w:val="CommentSubjectChar"/>
    <w:uiPriority w:val="99"/>
    <w:semiHidden/>
    <w:unhideWhenUsed/>
    <w:rsid w:val="00524B3C"/>
    <w:rPr>
      <w:b/>
      <w:bCs/>
    </w:rPr>
  </w:style>
  <w:style w:type="character" w:customStyle="1" w:styleId="CommentSubjectChar">
    <w:name w:val="Comment Subject Char"/>
    <w:basedOn w:val="CommentTextChar"/>
    <w:link w:val="CommentSubject"/>
    <w:uiPriority w:val="99"/>
    <w:semiHidden/>
    <w:rsid w:val="00524B3C"/>
    <w:rPr>
      <w:b/>
      <w:bCs/>
      <w:sz w:val="20"/>
      <w:szCs w:val="20"/>
    </w:rPr>
  </w:style>
  <w:style w:type="paragraph" w:styleId="NormalWeb">
    <w:name w:val="Normal (Web)"/>
    <w:basedOn w:val="Normal"/>
    <w:uiPriority w:val="99"/>
    <w:unhideWhenUsed/>
    <w:rsid w:val="00524B3C"/>
    <w:rPr>
      <w:rFonts w:eastAsiaTheme="minorHAnsi"/>
    </w:rPr>
  </w:style>
  <w:style w:type="paragraph" w:styleId="ListParagraph">
    <w:name w:val="List Paragraph"/>
    <w:basedOn w:val="Normal"/>
    <w:uiPriority w:val="34"/>
    <w:qFormat/>
    <w:rsid w:val="00524B3C"/>
    <w:pPr>
      <w:ind w:left="720"/>
      <w:contextualSpacing/>
    </w:pPr>
    <w:rPr>
      <w:rFonts w:asciiTheme="minorHAnsi" w:eastAsiaTheme="minorHAnsi" w:hAnsiTheme="minorHAnsi" w:cstheme="minorBidi"/>
    </w:rPr>
  </w:style>
  <w:style w:type="character" w:customStyle="1" w:styleId="c-timestamplabel">
    <w:name w:val="c-timestamp__label"/>
    <w:basedOn w:val="DefaultParagraphFont"/>
    <w:rsid w:val="00524B3C"/>
  </w:style>
  <w:style w:type="character" w:styleId="Hyperlink">
    <w:name w:val="Hyperlink"/>
    <w:basedOn w:val="DefaultParagraphFont"/>
    <w:uiPriority w:val="99"/>
    <w:unhideWhenUsed/>
    <w:rsid w:val="00524B3C"/>
    <w:rPr>
      <w:color w:val="0563C1" w:themeColor="hyperlink"/>
      <w:u w:val="single"/>
    </w:rPr>
  </w:style>
  <w:style w:type="character" w:styleId="UnresolvedMention">
    <w:name w:val="Unresolved Mention"/>
    <w:basedOn w:val="DefaultParagraphFont"/>
    <w:uiPriority w:val="99"/>
    <w:unhideWhenUsed/>
    <w:rsid w:val="00524B3C"/>
    <w:rPr>
      <w:color w:val="605E5C"/>
      <w:shd w:val="clear" w:color="auto" w:fill="E1DFDD"/>
    </w:rPr>
  </w:style>
  <w:style w:type="paragraph" w:customStyle="1" w:styleId="paragraph">
    <w:name w:val="paragraph"/>
    <w:basedOn w:val="Normal"/>
    <w:rsid w:val="00524B3C"/>
    <w:pPr>
      <w:spacing w:before="100" w:beforeAutospacing="1" w:after="100" w:afterAutospacing="1"/>
    </w:pPr>
  </w:style>
  <w:style w:type="character" w:customStyle="1" w:styleId="normaltextrun">
    <w:name w:val="normaltextrun"/>
    <w:basedOn w:val="DefaultParagraphFont"/>
    <w:rsid w:val="00524B3C"/>
  </w:style>
  <w:style w:type="character" w:customStyle="1" w:styleId="eop">
    <w:name w:val="eop"/>
    <w:basedOn w:val="DefaultParagraphFont"/>
    <w:rsid w:val="00524B3C"/>
  </w:style>
  <w:style w:type="table" w:styleId="TableGrid">
    <w:name w:val="Table Grid"/>
    <w:basedOn w:val="TableNormal"/>
    <w:uiPriority w:val="39"/>
    <w:rsid w:val="00524B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24B3C"/>
    <w:pPr>
      <w:jc w:val="center"/>
    </w:pPr>
    <w:rPr>
      <w:noProof/>
    </w:rPr>
  </w:style>
  <w:style w:type="character" w:customStyle="1" w:styleId="EndNoteBibliographyTitleChar">
    <w:name w:val="EndNote Bibliography Title Char"/>
    <w:basedOn w:val="DefaultParagraphFont"/>
    <w:link w:val="EndNoteBibliographyTitle"/>
    <w:rsid w:val="00524B3C"/>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24B3C"/>
    <w:rPr>
      <w:noProof/>
    </w:rPr>
  </w:style>
  <w:style w:type="character" w:customStyle="1" w:styleId="EndNoteBibliographyChar">
    <w:name w:val="EndNote Bibliography Char"/>
    <w:basedOn w:val="DefaultParagraphFont"/>
    <w:link w:val="EndNoteBibliography"/>
    <w:rsid w:val="00524B3C"/>
    <w:rPr>
      <w:rFonts w:ascii="Times New Roman" w:eastAsia="Times New Roman" w:hAnsi="Times New Roman" w:cs="Times New Roman"/>
      <w:noProof/>
      <w:sz w:val="24"/>
      <w:szCs w:val="24"/>
    </w:rPr>
  </w:style>
  <w:style w:type="paragraph" w:styleId="Revision">
    <w:name w:val="Revision"/>
    <w:hidden/>
    <w:uiPriority w:val="99"/>
    <w:semiHidden/>
    <w:rsid w:val="00524B3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4B3C"/>
    <w:pPr>
      <w:tabs>
        <w:tab w:val="center" w:pos="4680"/>
        <w:tab w:val="right" w:pos="9360"/>
      </w:tabs>
    </w:pPr>
  </w:style>
  <w:style w:type="character" w:customStyle="1" w:styleId="HeaderChar">
    <w:name w:val="Header Char"/>
    <w:basedOn w:val="DefaultParagraphFont"/>
    <w:link w:val="Header"/>
    <w:uiPriority w:val="99"/>
    <w:rsid w:val="00524B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4B3C"/>
    <w:pPr>
      <w:tabs>
        <w:tab w:val="center" w:pos="4680"/>
        <w:tab w:val="right" w:pos="9360"/>
      </w:tabs>
    </w:pPr>
  </w:style>
  <w:style w:type="character" w:customStyle="1" w:styleId="FooterChar">
    <w:name w:val="Footer Char"/>
    <w:basedOn w:val="DefaultParagraphFont"/>
    <w:link w:val="Footer"/>
    <w:uiPriority w:val="99"/>
    <w:rsid w:val="00524B3C"/>
    <w:rPr>
      <w:rFonts w:ascii="Times New Roman" w:eastAsia="Times New Roman" w:hAnsi="Times New Roman" w:cs="Times New Roman"/>
      <w:sz w:val="24"/>
      <w:szCs w:val="24"/>
    </w:rPr>
  </w:style>
  <w:style w:type="character" w:styleId="Mention">
    <w:name w:val="Mention"/>
    <w:basedOn w:val="DefaultParagraphFont"/>
    <w:uiPriority w:val="99"/>
    <w:unhideWhenUsed/>
    <w:rsid w:val="00524B3C"/>
    <w:rPr>
      <w:color w:val="2B579A"/>
      <w:shd w:val="clear" w:color="auto" w:fill="E1DFDD"/>
    </w:rPr>
  </w:style>
  <w:style w:type="paragraph" w:styleId="Title">
    <w:name w:val="Title"/>
    <w:basedOn w:val="Normal"/>
    <w:next w:val="Normal"/>
    <w:link w:val="TitleChar"/>
    <w:uiPriority w:val="10"/>
    <w:qFormat/>
    <w:rsid w:val="00524B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B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4B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24B3C"/>
    <w:rPr>
      <w:rFonts w:eastAsiaTheme="minorEastAsia"/>
      <w:color w:val="5A5A5A" w:themeColor="text1" w:themeTint="A5"/>
      <w:spacing w:val="15"/>
    </w:rPr>
  </w:style>
  <w:style w:type="paragraph" w:styleId="TOCHeading">
    <w:name w:val="TOC Heading"/>
    <w:basedOn w:val="Heading1"/>
    <w:next w:val="Normal"/>
    <w:uiPriority w:val="39"/>
    <w:unhideWhenUsed/>
    <w:qFormat/>
    <w:rsid w:val="00524B3C"/>
    <w:pPr>
      <w:spacing w:line="259" w:lineRule="auto"/>
      <w:outlineLvl w:val="9"/>
    </w:pPr>
  </w:style>
  <w:style w:type="paragraph" w:styleId="TOC2">
    <w:name w:val="toc 2"/>
    <w:basedOn w:val="Normal"/>
    <w:next w:val="Normal"/>
    <w:autoRedefine/>
    <w:uiPriority w:val="39"/>
    <w:unhideWhenUsed/>
    <w:rsid w:val="00524B3C"/>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524B3C"/>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524B3C"/>
    <w:pPr>
      <w:spacing w:after="100" w:line="259" w:lineRule="auto"/>
      <w:ind w:left="440"/>
    </w:pPr>
    <w:rPr>
      <w:rFonts w:asciiTheme="minorHAnsi" w:eastAsiaTheme="minorEastAsia" w:hAnsiTheme="minorHAnsi"/>
      <w:sz w:val="22"/>
      <w:szCs w:val="22"/>
    </w:rPr>
  </w:style>
  <w:style w:type="character" w:styleId="Strong">
    <w:name w:val="Strong"/>
    <w:basedOn w:val="DefaultParagraphFont"/>
    <w:uiPriority w:val="22"/>
    <w:qFormat/>
    <w:rsid w:val="00524B3C"/>
    <w:rPr>
      <w:b/>
      <w:bCs/>
    </w:rPr>
  </w:style>
  <w:style w:type="character" w:styleId="FollowedHyperlink">
    <w:name w:val="FollowedHyperlink"/>
    <w:basedOn w:val="DefaultParagraphFont"/>
    <w:uiPriority w:val="99"/>
    <w:semiHidden/>
    <w:unhideWhenUsed/>
    <w:rsid w:val="00524B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1050">
      <w:bodyDiv w:val="1"/>
      <w:marLeft w:val="0"/>
      <w:marRight w:val="0"/>
      <w:marTop w:val="0"/>
      <w:marBottom w:val="0"/>
      <w:divBdr>
        <w:top w:val="none" w:sz="0" w:space="0" w:color="auto"/>
        <w:left w:val="none" w:sz="0" w:space="0" w:color="auto"/>
        <w:bottom w:val="none" w:sz="0" w:space="0" w:color="auto"/>
        <w:right w:val="none" w:sz="0" w:space="0" w:color="auto"/>
      </w:divBdr>
    </w:div>
    <w:div w:id="2038387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bcnews.com/news/us-news/some-texas-cities-nervous-governor-reopens-state-everybody-scared-n1198691" TargetMode="External"/><Relationship Id="rId18" Type="http://schemas.openxmlformats.org/officeDocument/2006/relationships/hyperlink" Target="https://www.dallascounty.org/Assets/uploads/docs/covid-19/orders-media/042320-DallasCountyOrder.pdf" TargetMode="External"/><Relationship Id="rId26" Type="http://schemas.openxmlformats.org/officeDocument/2006/relationships/hyperlink" Target="https://www.theatlantic.com/ideas/archive/2020/04/its-too-early-to-reopen-georgia/610909/" TargetMode="External"/><Relationship Id="rId39" Type="http://schemas.openxmlformats.org/officeDocument/2006/relationships/hyperlink" Target="https://www.documentcloud.org/documents/6890535-Moving-Milwaukee-Forward.html" TargetMode="External"/><Relationship Id="rId21" Type="http://schemas.openxmlformats.org/officeDocument/2006/relationships/hyperlink" Target="https://www.bexar.org/DocumentCenter/View/26538/Executive-Order-NW-05-April-6-2020?bidId=" TargetMode="External"/><Relationship Id="rId34" Type="http://schemas.openxmlformats.org/officeDocument/2006/relationships/hyperlink" Target="https://www.governor.pa.gov/newsroom/gov-wolf-12-more-counties-to-go-green-on-june-26/" TargetMode="External"/><Relationship Id="rId42" Type="http://schemas.openxmlformats.org/officeDocument/2006/relationships/hyperlink" Target="https://content.govdelivery.com/accounts/WIGOV/bulletins/282dee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ov.texas.gov/news/post/governor-abbott-issues-executive-order-relating-to-the-expanded-reopening-of-services" TargetMode="External"/><Relationship Id="rId29" Type="http://schemas.openxmlformats.org/officeDocument/2006/relationships/hyperlink" Target="https://governor.sc.gov/sites/default/files/Documents/Executive-Orders/2020-05-08%20FILED%20Executive%20Order%20No.%202020-34%20-%20Authorization%20of%20Limited%20Indoor%20Dining%20Services%20%26%20Rescission%20of%20Boating%20Restric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enix.gov/newsroom/mayors-office/1151" TargetMode="External"/><Relationship Id="rId24" Type="http://schemas.openxmlformats.org/officeDocument/2006/relationships/hyperlink" Target="https://agenda.harriscountytx.gov/2020/AmendedStayHomeOrder.pdf" TargetMode="External"/><Relationship Id="rId32" Type="http://schemas.openxmlformats.org/officeDocument/2006/relationships/hyperlink" Target="https://www.phila.gov/2020-06-18-what-the-green-phase-means-for-philadelphia/" TargetMode="External"/><Relationship Id="rId37" Type="http://schemas.openxmlformats.org/officeDocument/2006/relationships/hyperlink" Target="https://www.gov.ca.gov/wp-content/uploads/2020/05/5.4.20-EO-N-60-20-text.pdf%20" TargetMode="External"/><Relationship Id="rId40" Type="http://schemas.openxmlformats.org/officeDocument/2006/relationships/hyperlink" Target="https://city.milwaukee.gov/MMFSReleasePh3" TargetMode="External"/><Relationship Id="rId45"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austintexas.gov/sites/default/files/files/Order%2020200508-011.pdf" TargetMode="External"/><Relationship Id="rId23" Type="http://schemas.openxmlformats.org/officeDocument/2006/relationships/hyperlink" Target="https://www.chron.com/file/650/7/6507-6.30.2020%20MST%20to%20Abbott.pdf" TargetMode="External"/><Relationship Id="rId28" Type="http://schemas.openxmlformats.org/officeDocument/2006/relationships/hyperlink" Target="https://www.charleston-sc.gov/DocumentCenter/View/27264/2020-070-Emergency-Ordinance---Stay-at-Home" TargetMode="External"/><Relationship Id="rId36" Type="http://schemas.openxmlformats.org/officeDocument/2006/relationships/hyperlink" Target="https://sfmayor.org/article/san-francisco-move-forward-reopening-more-businesses-and-activities-september-30" TargetMode="External"/><Relationship Id="rId10" Type="http://schemas.openxmlformats.org/officeDocument/2006/relationships/hyperlink" Target="https://twitter.com/MayorGallego/status/1281338056058867714" TargetMode="External"/><Relationship Id="rId19" Type="http://schemas.openxmlformats.org/officeDocument/2006/relationships/hyperlink" Target="https://www.dallascounty.org/Assets/uploads/docs/covid-19/orders-media/050120-Supplemental-DallasCountyOrderonReopenedServices.pdf" TargetMode="External"/><Relationship Id="rId31" Type="http://schemas.openxmlformats.org/officeDocument/2006/relationships/hyperlink" Target="https://www.backontrack.in.gov/2362.htm"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ustintexas.gov/sites/default/files/files/document_96DEBEEC-E581-05E0-8A3D444404948A84.pdf" TargetMode="External"/><Relationship Id="rId22" Type="http://schemas.openxmlformats.org/officeDocument/2006/relationships/hyperlink" Target="https://www.bexar.org/DocumentCenter/View/26838/Executive-Order-NW-07-Issues-April-29?bidId=" TargetMode="External"/><Relationship Id="rId27" Type="http://schemas.openxmlformats.org/officeDocument/2006/relationships/hyperlink" Target="https://gov.georgia.gov/executive-action/executive-orders/2020-executive-orders" TargetMode="External"/><Relationship Id="rId30" Type="http://schemas.openxmlformats.org/officeDocument/2006/relationships/hyperlink" Target="https://citybase-cms-prod.s3.amazonaws.com/455ab1988f7f491684889f6200d1ce1e.pdf" TargetMode="External"/><Relationship Id="rId35" Type="http://schemas.openxmlformats.org/officeDocument/2006/relationships/hyperlink" Target="https://www.governor.pa.gov/process-to-reopen-pennsylvania/" TargetMode="External"/><Relationship Id="rId43" Type="http://schemas.openxmlformats.org/officeDocument/2006/relationships/hyperlink" Target="https://www.nytimes.com/2020/05/13/us/coronavirus-wisconsin-supreme-court.html" TargetMode="External"/><Relationship Id="rId48"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azgovernor.gov/sites/default/files/eo_2021_0.pdf" TargetMode="External"/><Relationship Id="rId17" Type="http://schemas.openxmlformats.org/officeDocument/2006/relationships/hyperlink" Target="https://www.texasattorneygeneral.gov/sites/default/files/images/admin/2020/Press/Dallas%20County%20Letter_05122020.pdf?" TargetMode="External"/><Relationship Id="rId25" Type="http://schemas.openxmlformats.org/officeDocument/2006/relationships/hyperlink" Target="https://agenda.harriscountytx.go/" TargetMode="External"/><Relationship Id="rId33" Type="http://schemas.openxmlformats.org/officeDocument/2006/relationships/hyperlink" Target="https://www.phila.gov/2020-08-20-indoor-dining-is-back-on-september-8-in-philadelphia/" TargetMode="External"/><Relationship Id="rId38" Type="http://schemas.openxmlformats.org/officeDocument/2006/relationships/hyperlink" Target="https://sfist.com/2020/08/28/newsom-new-color-codes-covid-county-watch-list/" TargetMode="External"/><Relationship Id="rId46" Type="http://schemas.openxmlformats.org/officeDocument/2006/relationships/image" Target="media/image4.emf"/><Relationship Id="rId20" Type="http://schemas.openxmlformats.org/officeDocument/2006/relationships/hyperlink" Target="https://www.texastribune.org/2020/06/29/texas-coronavirus-stay-at-home-harris-dallas/" TargetMode="External"/><Relationship Id="rId41" Type="http://schemas.openxmlformats.org/officeDocument/2006/relationships/hyperlink" Target="https://city.milwaukee.gov/ImageLibrary/MKE-Health1/MMFSReleasePh4_6.26.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AC0D1-579E-4D63-BC5C-DB103EE0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4410</Words>
  <Characters>25137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29489</CharactersWithSpaces>
  <SharedDoc>false</SharedDoc>
  <HLinks>
    <vt:vector size="300" baseType="variant">
      <vt:variant>
        <vt:i4>3735591</vt:i4>
      </vt:variant>
      <vt:variant>
        <vt:i4>198</vt:i4>
      </vt:variant>
      <vt:variant>
        <vt:i4>0</vt:i4>
      </vt:variant>
      <vt:variant>
        <vt:i4>5</vt:i4>
      </vt:variant>
      <vt:variant>
        <vt:lpwstr>https://www.nytimes.com/2020/05/13/us/coronavirus-wisconsin-supreme-court.html</vt:lpwstr>
      </vt:variant>
      <vt:variant>
        <vt:lpwstr/>
      </vt:variant>
      <vt:variant>
        <vt:i4>4325443</vt:i4>
      </vt:variant>
      <vt:variant>
        <vt:i4>195</vt:i4>
      </vt:variant>
      <vt:variant>
        <vt:i4>0</vt:i4>
      </vt:variant>
      <vt:variant>
        <vt:i4>5</vt:i4>
      </vt:variant>
      <vt:variant>
        <vt:lpwstr>https://content.govdelivery.com/accounts/WIGOV/bulletins/282deef</vt:lpwstr>
      </vt:variant>
      <vt:variant>
        <vt:lpwstr/>
      </vt:variant>
      <vt:variant>
        <vt:i4>7864327</vt:i4>
      </vt:variant>
      <vt:variant>
        <vt:i4>192</vt:i4>
      </vt:variant>
      <vt:variant>
        <vt:i4>0</vt:i4>
      </vt:variant>
      <vt:variant>
        <vt:i4>5</vt:i4>
      </vt:variant>
      <vt:variant>
        <vt:lpwstr>https://city.milwaukee.gov/ImageLibrary/MKE-Health1/MMFSReleasePh4_6.26.20.pdf</vt:lpwstr>
      </vt:variant>
      <vt:variant>
        <vt:lpwstr/>
      </vt:variant>
      <vt:variant>
        <vt:i4>458756</vt:i4>
      </vt:variant>
      <vt:variant>
        <vt:i4>189</vt:i4>
      </vt:variant>
      <vt:variant>
        <vt:i4>0</vt:i4>
      </vt:variant>
      <vt:variant>
        <vt:i4>5</vt:i4>
      </vt:variant>
      <vt:variant>
        <vt:lpwstr>https://city.milwaukee.gov/MMFSReleasePh3</vt:lpwstr>
      </vt:variant>
      <vt:variant>
        <vt:lpwstr/>
      </vt:variant>
      <vt:variant>
        <vt:i4>23</vt:i4>
      </vt:variant>
      <vt:variant>
        <vt:i4>186</vt:i4>
      </vt:variant>
      <vt:variant>
        <vt:i4>0</vt:i4>
      </vt:variant>
      <vt:variant>
        <vt:i4>5</vt:i4>
      </vt:variant>
      <vt:variant>
        <vt:lpwstr>https://www.documentcloud.org/documents/6890535-Moving-Milwaukee-Forward.html</vt:lpwstr>
      </vt:variant>
      <vt:variant>
        <vt:lpwstr/>
      </vt:variant>
      <vt:variant>
        <vt:i4>6029389</vt:i4>
      </vt:variant>
      <vt:variant>
        <vt:i4>183</vt:i4>
      </vt:variant>
      <vt:variant>
        <vt:i4>0</vt:i4>
      </vt:variant>
      <vt:variant>
        <vt:i4>5</vt:i4>
      </vt:variant>
      <vt:variant>
        <vt:lpwstr>https://sfist.com/2020/08/28/newsom-new-color-codes-covid-county-watch-list/</vt:lpwstr>
      </vt:variant>
      <vt:variant>
        <vt:lpwstr/>
      </vt:variant>
      <vt:variant>
        <vt:i4>5177427</vt:i4>
      </vt:variant>
      <vt:variant>
        <vt:i4>180</vt:i4>
      </vt:variant>
      <vt:variant>
        <vt:i4>0</vt:i4>
      </vt:variant>
      <vt:variant>
        <vt:i4>5</vt:i4>
      </vt:variant>
      <vt:variant>
        <vt:lpwstr>https://www.gov.ca.gov/wp-content/uploads/2020/05/5.4.20-EO-N-60-20-text.pdf</vt:lpwstr>
      </vt:variant>
      <vt:variant>
        <vt:lpwstr/>
      </vt:variant>
      <vt:variant>
        <vt:i4>6094931</vt:i4>
      </vt:variant>
      <vt:variant>
        <vt:i4>177</vt:i4>
      </vt:variant>
      <vt:variant>
        <vt:i4>0</vt:i4>
      </vt:variant>
      <vt:variant>
        <vt:i4>5</vt:i4>
      </vt:variant>
      <vt:variant>
        <vt:lpwstr>https://sfmayor.org/article/san-francisco-move-forward-reopening-more-businesses-and-activities-september-30</vt:lpwstr>
      </vt:variant>
      <vt:variant>
        <vt:lpwstr/>
      </vt:variant>
      <vt:variant>
        <vt:i4>4063280</vt:i4>
      </vt:variant>
      <vt:variant>
        <vt:i4>174</vt:i4>
      </vt:variant>
      <vt:variant>
        <vt:i4>0</vt:i4>
      </vt:variant>
      <vt:variant>
        <vt:i4>5</vt:i4>
      </vt:variant>
      <vt:variant>
        <vt:lpwstr>https://www.governor.pa.gov/process-to-reopen-pennsylvania/</vt:lpwstr>
      </vt:variant>
      <vt:variant>
        <vt:lpwstr/>
      </vt:variant>
      <vt:variant>
        <vt:i4>8192032</vt:i4>
      </vt:variant>
      <vt:variant>
        <vt:i4>171</vt:i4>
      </vt:variant>
      <vt:variant>
        <vt:i4>0</vt:i4>
      </vt:variant>
      <vt:variant>
        <vt:i4>5</vt:i4>
      </vt:variant>
      <vt:variant>
        <vt:lpwstr>https://www.governor.pa.gov/newsroom/gov-wolf-12-more-counties-to-go-green-on-june-26/</vt:lpwstr>
      </vt:variant>
      <vt:variant>
        <vt:lpwstr/>
      </vt:variant>
      <vt:variant>
        <vt:i4>6291503</vt:i4>
      </vt:variant>
      <vt:variant>
        <vt:i4>168</vt:i4>
      </vt:variant>
      <vt:variant>
        <vt:i4>0</vt:i4>
      </vt:variant>
      <vt:variant>
        <vt:i4>5</vt:i4>
      </vt:variant>
      <vt:variant>
        <vt:lpwstr>https://www.phila.gov/2020-08-20-indoor-dining-is-back-on-september-8-in-philadelphia/</vt:lpwstr>
      </vt:variant>
      <vt:variant>
        <vt:lpwstr>:~:text=Indoor%20dining%20is%20back%20in,while%20gradually%20and%20safely%20reopening</vt:lpwstr>
      </vt:variant>
      <vt:variant>
        <vt:i4>4456521</vt:i4>
      </vt:variant>
      <vt:variant>
        <vt:i4>165</vt:i4>
      </vt:variant>
      <vt:variant>
        <vt:i4>0</vt:i4>
      </vt:variant>
      <vt:variant>
        <vt:i4>5</vt:i4>
      </vt:variant>
      <vt:variant>
        <vt:lpwstr>https://www.phila.gov/2020-06-18-what-the-green-phase-means-for-philadelphia/</vt:lpwstr>
      </vt:variant>
      <vt:variant>
        <vt:lpwstr>:~:text=When%20Philadelphia%20enters%20the%20green,.%20Schools%20and%20colleges.</vt:lpwstr>
      </vt:variant>
      <vt:variant>
        <vt:i4>3276862</vt:i4>
      </vt:variant>
      <vt:variant>
        <vt:i4>162</vt:i4>
      </vt:variant>
      <vt:variant>
        <vt:i4>0</vt:i4>
      </vt:variant>
      <vt:variant>
        <vt:i4>5</vt:i4>
      </vt:variant>
      <vt:variant>
        <vt:lpwstr>https://www.backontrack.in.gov/2362.htm</vt:lpwstr>
      </vt:variant>
      <vt:variant>
        <vt:lpwstr/>
      </vt:variant>
      <vt:variant>
        <vt:i4>7798907</vt:i4>
      </vt:variant>
      <vt:variant>
        <vt:i4>159</vt:i4>
      </vt:variant>
      <vt:variant>
        <vt:i4>0</vt:i4>
      </vt:variant>
      <vt:variant>
        <vt:i4>5</vt:i4>
      </vt:variant>
      <vt:variant>
        <vt:lpwstr>https://citybase-cms-prod.s3.amazonaws.com/455ab1988f7f491684889f6200d1ce1e.pdf</vt:lpwstr>
      </vt:variant>
      <vt:variant>
        <vt:lpwstr/>
      </vt:variant>
      <vt:variant>
        <vt:i4>5374019</vt:i4>
      </vt:variant>
      <vt:variant>
        <vt:i4>156</vt:i4>
      </vt:variant>
      <vt:variant>
        <vt:i4>0</vt:i4>
      </vt:variant>
      <vt:variant>
        <vt:i4>5</vt:i4>
      </vt:variant>
      <vt:variant>
        <vt:lpwstr>https://governor.sc.gov/sites/default/files/Documents/Executive-Orders/2020-05-08 FILED Executive Order No. 2020-34 - Authorization of Limited Indoor Dining Services %26 Rescission of Boating Restrictions.pdf</vt:lpwstr>
      </vt:variant>
      <vt:variant>
        <vt:lpwstr/>
      </vt:variant>
      <vt:variant>
        <vt:i4>3604528</vt:i4>
      </vt:variant>
      <vt:variant>
        <vt:i4>153</vt:i4>
      </vt:variant>
      <vt:variant>
        <vt:i4>0</vt:i4>
      </vt:variant>
      <vt:variant>
        <vt:i4>5</vt:i4>
      </vt:variant>
      <vt:variant>
        <vt:lpwstr>https://www.charleston-sc.gov/DocumentCenter/View/27264/2020-070-Emergency-Ordinance---Stay-at-Home</vt:lpwstr>
      </vt:variant>
      <vt:variant>
        <vt:lpwstr/>
      </vt:variant>
      <vt:variant>
        <vt:i4>4128828</vt:i4>
      </vt:variant>
      <vt:variant>
        <vt:i4>150</vt:i4>
      </vt:variant>
      <vt:variant>
        <vt:i4>0</vt:i4>
      </vt:variant>
      <vt:variant>
        <vt:i4>5</vt:i4>
      </vt:variant>
      <vt:variant>
        <vt:lpwstr>https://gov.georgia.gov/executive-action/executive-orders/2020-executive-orders</vt:lpwstr>
      </vt:variant>
      <vt:variant>
        <vt:lpwstr/>
      </vt:variant>
      <vt:variant>
        <vt:i4>5439554</vt:i4>
      </vt:variant>
      <vt:variant>
        <vt:i4>147</vt:i4>
      </vt:variant>
      <vt:variant>
        <vt:i4>0</vt:i4>
      </vt:variant>
      <vt:variant>
        <vt:i4>5</vt:i4>
      </vt:variant>
      <vt:variant>
        <vt:lpwstr>https://www.theatlantic.com/ideas/archive/2020/04/its-too-early-to-reopen-georgia/610909/</vt:lpwstr>
      </vt:variant>
      <vt:variant>
        <vt:lpwstr/>
      </vt:variant>
      <vt:variant>
        <vt:i4>6094857</vt:i4>
      </vt:variant>
      <vt:variant>
        <vt:i4>144</vt:i4>
      </vt:variant>
      <vt:variant>
        <vt:i4>0</vt:i4>
      </vt:variant>
      <vt:variant>
        <vt:i4>5</vt:i4>
      </vt:variant>
      <vt:variant>
        <vt:lpwstr>https://agenda.harriscountytx.go/</vt:lpwstr>
      </vt:variant>
      <vt:variant>
        <vt:lpwstr/>
      </vt:variant>
      <vt:variant>
        <vt:i4>2883624</vt:i4>
      </vt:variant>
      <vt:variant>
        <vt:i4>141</vt:i4>
      </vt:variant>
      <vt:variant>
        <vt:i4>0</vt:i4>
      </vt:variant>
      <vt:variant>
        <vt:i4>5</vt:i4>
      </vt:variant>
      <vt:variant>
        <vt:lpwstr>https://agenda.harriscountytx.gov/2020/AmendedStayHomeOrder.pdf</vt:lpwstr>
      </vt:variant>
      <vt:variant>
        <vt:lpwstr/>
      </vt:variant>
      <vt:variant>
        <vt:i4>524364</vt:i4>
      </vt:variant>
      <vt:variant>
        <vt:i4>138</vt:i4>
      </vt:variant>
      <vt:variant>
        <vt:i4>0</vt:i4>
      </vt:variant>
      <vt:variant>
        <vt:i4>5</vt:i4>
      </vt:variant>
      <vt:variant>
        <vt:lpwstr>https://www.chron.com/file/650/7/6507-6.30.2020 MST to Abbott.pdf</vt:lpwstr>
      </vt:variant>
      <vt:variant>
        <vt:lpwstr/>
      </vt:variant>
      <vt:variant>
        <vt:i4>2031622</vt:i4>
      </vt:variant>
      <vt:variant>
        <vt:i4>135</vt:i4>
      </vt:variant>
      <vt:variant>
        <vt:i4>0</vt:i4>
      </vt:variant>
      <vt:variant>
        <vt:i4>5</vt:i4>
      </vt:variant>
      <vt:variant>
        <vt:lpwstr>https://www.bexar.org/DocumentCenter/View/26838/Executive-Order-NW-07-Issues-April-29?bidId=</vt:lpwstr>
      </vt:variant>
      <vt:variant>
        <vt:lpwstr/>
      </vt:variant>
      <vt:variant>
        <vt:i4>6160450</vt:i4>
      </vt:variant>
      <vt:variant>
        <vt:i4>132</vt:i4>
      </vt:variant>
      <vt:variant>
        <vt:i4>0</vt:i4>
      </vt:variant>
      <vt:variant>
        <vt:i4>5</vt:i4>
      </vt:variant>
      <vt:variant>
        <vt:lpwstr>https://www.bexar.org/DocumentCenter/View/26538/Executive-Order-NW-05-April-6-2020?bidId=</vt:lpwstr>
      </vt:variant>
      <vt:variant>
        <vt:lpwstr/>
      </vt:variant>
      <vt:variant>
        <vt:i4>6225929</vt:i4>
      </vt:variant>
      <vt:variant>
        <vt:i4>129</vt:i4>
      </vt:variant>
      <vt:variant>
        <vt:i4>0</vt:i4>
      </vt:variant>
      <vt:variant>
        <vt:i4>5</vt:i4>
      </vt:variant>
      <vt:variant>
        <vt:lpwstr>https://www.texastribune.org/2020/06/29/texas-coronavirus-stay-at-home-harris-dallas/</vt:lpwstr>
      </vt:variant>
      <vt:variant>
        <vt:lpwstr/>
      </vt:variant>
      <vt:variant>
        <vt:i4>3145771</vt:i4>
      </vt:variant>
      <vt:variant>
        <vt:i4>126</vt:i4>
      </vt:variant>
      <vt:variant>
        <vt:i4>0</vt:i4>
      </vt:variant>
      <vt:variant>
        <vt:i4>5</vt:i4>
      </vt:variant>
      <vt:variant>
        <vt:lpwstr>https://www.dallascounty.org/Assets/uploads/docs/covid-19/orders-media/050120-Supplemental-DallasCountyOrderonReopenedServices.pdf</vt:lpwstr>
      </vt:variant>
      <vt:variant>
        <vt:lpwstr/>
      </vt:variant>
      <vt:variant>
        <vt:i4>6422574</vt:i4>
      </vt:variant>
      <vt:variant>
        <vt:i4>123</vt:i4>
      </vt:variant>
      <vt:variant>
        <vt:i4>0</vt:i4>
      </vt:variant>
      <vt:variant>
        <vt:i4>5</vt:i4>
      </vt:variant>
      <vt:variant>
        <vt:lpwstr>https://www.dallascounty.org/Assets/uploads/docs/covid-19/orders-media/042320-DallasCountyOrder.pdf</vt:lpwstr>
      </vt:variant>
      <vt:variant>
        <vt:lpwstr/>
      </vt:variant>
      <vt:variant>
        <vt:i4>4325493</vt:i4>
      </vt:variant>
      <vt:variant>
        <vt:i4>120</vt:i4>
      </vt:variant>
      <vt:variant>
        <vt:i4>0</vt:i4>
      </vt:variant>
      <vt:variant>
        <vt:i4>5</vt:i4>
      </vt:variant>
      <vt:variant>
        <vt:lpwstr>https://www.texasattorneygeneral.gov/sites/default/files/images/admin/2020/Press/Dallas County Letter_05122020.pdf?</vt:lpwstr>
      </vt:variant>
      <vt:variant>
        <vt:lpwstr/>
      </vt:variant>
      <vt:variant>
        <vt:i4>917597</vt:i4>
      </vt:variant>
      <vt:variant>
        <vt:i4>117</vt:i4>
      </vt:variant>
      <vt:variant>
        <vt:i4>0</vt:i4>
      </vt:variant>
      <vt:variant>
        <vt:i4>5</vt:i4>
      </vt:variant>
      <vt:variant>
        <vt:lpwstr>https://gov.texas.gov/news/post/governor-abbott-issues-executive-order-relating-to-the-expanded-reopening-of-services</vt:lpwstr>
      </vt:variant>
      <vt:variant>
        <vt:lpwstr/>
      </vt:variant>
      <vt:variant>
        <vt:i4>262157</vt:i4>
      </vt:variant>
      <vt:variant>
        <vt:i4>114</vt:i4>
      </vt:variant>
      <vt:variant>
        <vt:i4>0</vt:i4>
      </vt:variant>
      <vt:variant>
        <vt:i4>5</vt:i4>
      </vt:variant>
      <vt:variant>
        <vt:lpwstr>https://www.austintexas.gov/sites/default/files/files/Order 20200508-011.pdf</vt:lpwstr>
      </vt:variant>
      <vt:variant>
        <vt:lpwstr/>
      </vt:variant>
      <vt:variant>
        <vt:i4>7274513</vt:i4>
      </vt:variant>
      <vt:variant>
        <vt:i4>111</vt:i4>
      </vt:variant>
      <vt:variant>
        <vt:i4>0</vt:i4>
      </vt:variant>
      <vt:variant>
        <vt:i4>5</vt:i4>
      </vt:variant>
      <vt:variant>
        <vt:lpwstr>https://www.austintexas.gov/sites/default/files/files/document_96DEBEEC-E581-05E0-8A3D444404948A84.pdf</vt:lpwstr>
      </vt:variant>
      <vt:variant>
        <vt:lpwstr/>
      </vt:variant>
      <vt:variant>
        <vt:i4>3276838</vt:i4>
      </vt:variant>
      <vt:variant>
        <vt:i4>108</vt:i4>
      </vt:variant>
      <vt:variant>
        <vt:i4>0</vt:i4>
      </vt:variant>
      <vt:variant>
        <vt:i4>5</vt:i4>
      </vt:variant>
      <vt:variant>
        <vt:lpwstr>https://www.nbcnews.com/news/us-news/some-texas-cities-nervous-governor-reopens-state-everybody-scared-n1198691</vt:lpwstr>
      </vt:variant>
      <vt:variant>
        <vt:lpwstr/>
      </vt:variant>
      <vt:variant>
        <vt:i4>8323198</vt:i4>
      </vt:variant>
      <vt:variant>
        <vt:i4>105</vt:i4>
      </vt:variant>
      <vt:variant>
        <vt:i4>0</vt:i4>
      </vt:variant>
      <vt:variant>
        <vt:i4>5</vt:i4>
      </vt:variant>
      <vt:variant>
        <vt:lpwstr>https://azgovernor.gov/sites/default/files/eo_2021_0.pdf</vt:lpwstr>
      </vt:variant>
      <vt:variant>
        <vt:lpwstr/>
      </vt:variant>
      <vt:variant>
        <vt:i4>7536762</vt:i4>
      </vt:variant>
      <vt:variant>
        <vt:i4>102</vt:i4>
      </vt:variant>
      <vt:variant>
        <vt:i4>0</vt:i4>
      </vt:variant>
      <vt:variant>
        <vt:i4>5</vt:i4>
      </vt:variant>
      <vt:variant>
        <vt:lpwstr>https://www.phoenix.gov/newsroom/mayors-office/1151</vt:lpwstr>
      </vt:variant>
      <vt:variant>
        <vt:lpwstr/>
      </vt:variant>
      <vt:variant>
        <vt:i4>6488123</vt:i4>
      </vt:variant>
      <vt:variant>
        <vt:i4>99</vt:i4>
      </vt:variant>
      <vt:variant>
        <vt:i4>0</vt:i4>
      </vt:variant>
      <vt:variant>
        <vt:i4>5</vt:i4>
      </vt:variant>
      <vt:variant>
        <vt:lpwstr>https://twitter.com/MayorGallego/status/1281338056058867714</vt:lpwstr>
      </vt:variant>
      <vt:variant>
        <vt:lpwstr/>
      </vt:variant>
      <vt:variant>
        <vt:i4>1507391</vt:i4>
      </vt:variant>
      <vt:variant>
        <vt:i4>92</vt:i4>
      </vt:variant>
      <vt:variant>
        <vt:i4>0</vt:i4>
      </vt:variant>
      <vt:variant>
        <vt:i4>5</vt:i4>
      </vt:variant>
      <vt:variant>
        <vt:lpwstr/>
      </vt:variant>
      <vt:variant>
        <vt:lpwstr>_Toc68877768</vt:lpwstr>
      </vt:variant>
      <vt:variant>
        <vt:i4>1572927</vt:i4>
      </vt:variant>
      <vt:variant>
        <vt:i4>86</vt:i4>
      </vt:variant>
      <vt:variant>
        <vt:i4>0</vt:i4>
      </vt:variant>
      <vt:variant>
        <vt:i4>5</vt:i4>
      </vt:variant>
      <vt:variant>
        <vt:lpwstr/>
      </vt:variant>
      <vt:variant>
        <vt:lpwstr>_Toc68877767</vt:lpwstr>
      </vt:variant>
      <vt:variant>
        <vt:i4>1638463</vt:i4>
      </vt:variant>
      <vt:variant>
        <vt:i4>80</vt:i4>
      </vt:variant>
      <vt:variant>
        <vt:i4>0</vt:i4>
      </vt:variant>
      <vt:variant>
        <vt:i4>5</vt:i4>
      </vt:variant>
      <vt:variant>
        <vt:lpwstr/>
      </vt:variant>
      <vt:variant>
        <vt:lpwstr>_Toc68877766</vt:lpwstr>
      </vt:variant>
      <vt:variant>
        <vt:i4>1703999</vt:i4>
      </vt:variant>
      <vt:variant>
        <vt:i4>74</vt:i4>
      </vt:variant>
      <vt:variant>
        <vt:i4>0</vt:i4>
      </vt:variant>
      <vt:variant>
        <vt:i4>5</vt:i4>
      </vt:variant>
      <vt:variant>
        <vt:lpwstr/>
      </vt:variant>
      <vt:variant>
        <vt:lpwstr>_Toc68877765</vt:lpwstr>
      </vt:variant>
      <vt:variant>
        <vt:i4>1769535</vt:i4>
      </vt:variant>
      <vt:variant>
        <vt:i4>68</vt:i4>
      </vt:variant>
      <vt:variant>
        <vt:i4>0</vt:i4>
      </vt:variant>
      <vt:variant>
        <vt:i4>5</vt:i4>
      </vt:variant>
      <vt:variant>
        <vt:lpwstr/>
      </vt:variant>
      <vt:variant>
        <vt:lpwstr>_Toc68877764</vt:lpwstr>
      </vt:variant>
      <vt:variant>
        <vt:i4>1835071</vt:i4>
      </vt:variant>
      <vt:variant>
        <vt:i4>62</vt:i4>
      </vt:variant>
      <vt:variant>
        <vt:i4>0</vt:i4>
      </vt:variant>
      <vt:variant>
        <vt:i4>5</vt:i4>
      </vt:variant>
      <vt:variant>
        <vt:lpwstr/>
      </vt:variant>
      <vt:variant>
        <vt:lpwstr>_Toc68877763</vt:lpwstr>
      </vt:variant>
      <vt:variant>
        <vt:i4>1900607</vt:i4>
      </vt:variant>
      <vt:variant>
        <vt:i4>56</vt:i4>
      </vt:variant>
      <vt:variant>
        <vt:i4>0</vt:i4>
      </vt:variant>
      <vt:variant>
        <vt:i4>5</vt:i4>
      </vt:variant>
      <vt:variant>
        <vt:lpwstr/>
      </vt:variant>
      <vt:variant>
        <vt:lpwstr>_Toc68877762</vt:lpwstr>
      </vt:variant>
      <vt:variant>
        <vt:i4>1966143</vt:i4>
      </vt:variant>
      <vt:variant>
        <vt:i4>50</vt:i4>
      </vt:variant>
      <vt:variant>
        <vt:i4>0</vt:i4>
      </vt:variant>
      <vt:variant>
        <vt:i4>5</vt:i4>
      </vt:variant>
      <vt:variant>
        <vt:lpwstr/>
      </vt:variant>
      <vt:variant>
        <vt:lpwstr>_Toc68877761</vt:lpwstr>
      </vt:variant>
      <vt:variant>
        <vt:i4>2031679</vt:i4>
      </vt:variant>
      <vt:variant>
        <vt:i4>44</vt:i4>
      </vt:variant>
      <vt:variant>
        <vt:i4>0</vt:i4>
      </vt:variant>
      <vt:variant>
        <vt:i4>5</vt:i4>
      </vt:variant>
      <vt:variant>
        <vt:lpwstr/>
      </vt:variant>
      <vt:variant>
        <vt:lpwstr>_Toc68877760</vt:lpwstr>
      </vt:variant>
      <vt:variant>
        <vt:i4>1441852</vt:i4>
      </vt:variant>
      <vt:variant>
        <vt:i4>38</vt:i4>
      </vt:variant>
      <vt:variant>
        <vt:i4>0</vt:i4>
      </vt:variant>
      <vt:variant>
        <vt:i4>5</vt:i4>
      </vt:variant>
      <vt:variant>
        <vt:lpwstr/>
      </vt:variant>
      <vt:variant>
        <vt:lpwstr>_Toc68877759</vt:lpwstr>
      </vt:variant>
      <vt:variant>
        <vt:i4>1507388</vt:i4>
      </vt:variant>
      <vt:variant>
        <vt:i4>32</vt:i4>
      </vt:variant>
      <vt:variant>
        <vt:i4>0</vt:i4>
      </vt:variant>
      <vt:variant>
        <vt:i4>5</vt:i4>
      </vt:variant>
      <vt:variant>
        <vt:lpwstr/>
      </vt:variant>
      <vt:variant>
        <vt:lpwstr>_Toc68877758</vt:lpwstr>
      </vt:variant>
      <vt:variant>
        <vt:i4>1572924</vt:i4>
      </vt:variant>
      <vt:variant>
        <vt:i4>26</vt:i4>
      </vt:variant>
      <vt:variant>
        <vt:i4>0</vt:i4>
      </vt:variant>
      <vt:variant>
        <vt:i4>5</vt:i4>
      </vt:variant>
      <vt:variant>
        <vt:lpwstr/>
      </vt:variant>
      <vt:variant>
        <vt:lpwstr>_Toc68877757</vt:lpwstr>
      </vt:variant>
      <vt:variant>
        <vt:i4>1638460</vt:i4>
      </vt:variant>
      <vt:variant>
        <vt:i4>20</vt:i4>
      </vt:variant>
      <vt:variant>
        <vt:i4>0</vt:i4>
      </vt:variant>
      <vt:variant>
        <vt:i4>5</vt:i4>
      </vt:variant>
      <vt:variant>
        <vt:lpwstr/>
      </vt:variant>
      <vt:variant>
        <vt:lpwstr>_Toc68877756</vt:lpwstr>
      </vt:variant>
      <vt:variant>
        <vt:i4>1703996</vt:i4>
      </vt:variant>
      <vt:variant>
        <vt:i4>14</vt:i4>
      </vt:variant>
      <vt:variant>
        <vt:i4>0</vt:i4>
      </vt:variant>
      <vt:variant>
        <vt:i4>5</vt:i4>
      </vt:variant>
      <vt:variant>
        <vt:lpwstr/>
      </vt:variant>
      <vt:variant>
        <vt:lpwstr>_Toc68877755</vt:lpwstr>
      </vt:variant>
      <vt:variant>
        <vt:i4>1769532</vt:i4>
      </vt:variant>
      <vt:variant>
        <vt:i4>8</vt:i4>
      </vt:variant>
      <vt:variant>
        <vt:i4>0</vt:i4>
      </vt:variant>
      <vt:variant>
        <vt:i4>5</vt:i4>
      </vt:variant>
      <vt:variant>
        <vt:lpwstr/>
      </vt:variant>
      <vt:variant>
        <vt:lpwstr>_Toc68877754</vt:lpwstr>
      </vt:variant>
      <vt:variant>
        <vt:i4>1835068</vt:i4>
      </vt:variant>
      <vt:variant>
        <vt:i4>2</vt:i4>
      </vt:variant>
      <vt:variant>
        <vt:i4>0</vt:i4>
      </vt:variant>
      <vt:variant>
        <vt:i4>5</vt:i4>
      </vt:variant>
      <vt:variant>
        <vt:lpwstr/>
      </vt:variant>
      <vt:variant>
        <vt:lpwstr>_Toc68877753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Schnake-Mahl,Alina</dc:creator>
  <cp:keywords/>
  <dc:description/>
  <cp:lastModifiedBy>Schnake-Mahl,Alina</cp:lastModifiedBy>
  <cp:revision>58</cp:revision>
  <dcterms:created xsi:type="dcterms:W3CDTF">2021-04-08T22:55:00Z</dcterms:created>
  <dcterms:modified xsi:type="dcterms:W3CDTF">2021-04-11T15:35:00Z</dcterms:modified>
</cp:coreProperties>
</file>