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80179" w14:textId="77777777" w:rsidR="00402B45" w:rsidRDefault="00402B45" w:rsidP="00402B45">
      <w:pPr>
        <w:pStyle w:val="Heading1"/>
      </w:pPr>
      <w:r>
        <w:t>Appendix</w:t>
      </w:r>
    </w:p>
    <w:p w14:paraId="32BD392D" w14:textId="77777777" w:rsidR="00402B45" w:rsidRPr="004F3EE1" w:rsidRDefault="00402B45" w:rsidP="00402B45">
      <w:pPr>
        <w:pStyle w:val="Heading2"/>
      </w:pPr>
      <w:r w:rsidRPr="004F3EE1">
        <w:t>A</w:t>
      </w:r>
      <w:r>
        <w:t>.</w:t>
      </w:r>
      <w:r w:rsidRPr="004F3EE1">
        <w:t xml:space="preserve"> Empirical Model and Statistical Analysis</w:t>
      </w:r>
    </w:p>
    <w:p w14:paraId="2047525C" w14:textId="77777777" w:rsidR="00402B45" w:rsidRPr="009C7DF5" w:rsidRDefault="00402B45" w:rsidP="00402B45">
      <w:pPr>
        <w:spacing w:line="480" w:lineRule="auto"/>
        <w:ind w:firstLine="720"/>
      </w:pPr>
      <w:r w:rsidRPr="009C7DF5">
        <w:t xml:space="preserve">We employ a panel data regression model with fixed county and time effects to study the association between the cumulative level of in-person instruction in schools </w:t>
      </w:r>
      <w:r>
        <w:t xml:space="preserve">and </w:t>
      </w:r>
      <w:r w:rsidRPr="009C7DF5">
        <w:t>daily new SARS-CoV-2 cases at the county level in the state of Indiana from July 12, 2020 through October 6, 2020</w:t>
      </w:r>
      <w:r>
        <w:t xml:space="preserve"> (an 87-day period)</w:t>
      </w:r>
      <w:r w:rsidRPr="009C7DF5">
        <w:t>. Specifically, we fit the following model:</w:t>
      </w:r>
    </w:p>
    <w:p w14:paraId="6B2F532F" w14:textId="77777777" w:rsidR="00402B45" w:rsidRPr="009C7DF5" w:rsidRDefault="00402B45" w:rsidP="00402B45">
      <w:pPr>
        <w:spacing w:line="480" w:lineRule="auto"/>
        <w:rPr>
          <w:rFonts w:eastAsiaTheme="minorEastAsia"/>
        </w:rPr>
      </w:pPr>
      <m:oMathPara>
        <m:oMath>
          <m:sSub>
            <m:sSubPr>
              <m:ctrlPr>
                <w:rPr>
                  <w:rFonts w:ascii="Cambria Math" w:hAnsi="Cambria Math"/>
                </w:rPr>
              </m:ctrlPr>
            </m:sSubPr>
            <m:e>
              <m:r>
                <w:rPr>
                  <w:rFonts w:ascii="Cambria Math" w:hAnsi="Cambria Math"/>
                </w:rPr>
                <m:t>Y</m:t>
              </m:r>
            </m:e>
            <m:sub>
              <m:r>
                <w:rPr>
                  <w:rFonts w:ascii="Cambria Math" w:hAnsi="Cambria Math"/>
                </w:rPr>
                <m:t>it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i,t-28</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Z</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it</m:t>
              </m:r>
            </m:sub>
          </m:sSub>
          <m:r>
            <m:rPr>
              <m:sty m:val="p"/>
            </m:rPr>
            <w:rPr>
              <w:rFonts w:ascii="Cambria Math" w:eastAsiaTheme="minorEastAsia" w:hAnsi="Cambria Math"/>
            </w:rPr>
            <m:t>.           (1)</m:t>
          </m:r>
        </m:oMath>
      </m:oMathPara>
    </w:p>
    <w:p w14:paraId="11972205" w14:textId="77777777" w:rsidR="00402B45" w:rsidRPr="00877078" w:rsidRDefault="00402B45" w:rsidP="00402B45">
      <w:pPr>
        <w:spacing w:line="480" w:lineRule="auto"/>
        <w:rPr>
          <w:rFonts w:eastAsiaTheme="minorEastAsia"/>
        </w:rPr>
      </w:pPr>
      <m:oMath>
        <m:sSub>
          <m:sSubPr>
            <m:ctrlPr>
              <w:rPr>
                <w:rFonts w:ascii="Cambria Math" w:hAnsi="Cambria Math"/>
              </w:rPr>
            </m:ctrlPr>
          </m:sSubPr>
          <m:e>
            <m:r>
              <w:rPr>
                <w:rFonts w:ascii="Cambria Math" w:hAnsi="Cambria Math"/>
              </w:rPr>
              <m:t>Y</m:t>
            </m:r>
          </m:e>
          <m:sub>
            <m:r>
              <w:rPr>
                <w:rFonts w:ascii="Cambria Math" w:hAnsi="Cambria Math"/>
              </w:rPr>
              <m:t>it</m:t>
            </m:r>
          </m:sub>
        </m:sSub>
      </m:oMath>
      <w:r w:rsidRPr="009C7DF5">
        <w:rPr>
          <w:rFonts w:eastAsiaTheme="minorEastAsia"/>
        </w:rPr>
        <w:t xml:space="preserve"> is the seven-day average of </w:t>
      </w:r>
      <w:r w:rsidRPr="009C7DF5">
        <w:t xml:space="preserve">daily new SARS-CoV-2 cases per 100,000 residents in county </w:t>
      </w:r>
      <w:proofErr w:type="spellStart"/>
      <w:r w:rsidRPr="009C7DF5">
        <w:t>i</w:t>
      </w:r>
      <w:proofErr w:type="spellEnd"/>
      <w:r w:rsidRPr="009C7DF5">
        <w:t xml:space="preserve"> on day t</w:t>
      </w:r>
      <w:r>
        <w:t xml:space="preserve"> (</w:t>
      </w:r>
      <m:oMath>
        <m:r>
          <m:rPr>
            <m:sty m:val="p"/>
          </m:rPr>
          <w:rPr>
            <w:rFonts w:ascii="Cambria Math" w:hAnsi="Cambria Math"/>
          </w:rPr>
          <m:t>t=1,.., 87</m:t>
        </m:r>
      </m:oMath>
      <w:r>
        <w:rPr>
          <w:rFonts w:eastAsiaTheme="minorEastAsia"/>
        </w:rPr>
        <w:t>)</w:t>
      </w:r>
      <w:r w:rsidRPr="009C7DF5">
        <w:t xml:space="preserve">.  </w:t>
      </w:r>
      <w:r>
        <w:t xml:space="preserve">The seven-day average (current date and previous dix days) is used to </w:t>
      </w:r>
      <w:r w:rsidRPr="00D86A8C">
        <w:t xml:space="preserve">smooth out short-term fluctuations </w:t>
      </w:r>
      <w:r>
        <w:t xml:space="preserve">due to </w:t>
      </w:r>
      <w:r w:rsidRPr="00D86A8C">
        <w:t>significant day-of-the-week reporting differences and highlight longer-term trends</w:t>
      </w:r>
      <w:r>
        <w:t xml:space="preserve">. In the secondary analysis, the outcome </w:t>
      </w:r>
      <m:oMath>
        <m:sSub>
          <m:sSubPr>
            <m:ctrlPr>
              <w:rPr>
                <w:rFonts w:ascii="Cambria Math" w:hAnsi="Cambria Math"/>
              </w:rPr>
            </m:ctrlPr>
          </m:sSubPr>
          <m:e>
            <m:r>
              <w:rPr>
                <w:rFonts w:ascii="Cambria Math" w:hAnsi="Cambria Math"/>
              </w:rPr>
              <m:t>Y</m:t>
            </m:r>
          </m:e>
          <m:sub>
            <m:r>
              <w:rPr>
                <w:rFonts w:ascii="Cambria Math" w:hAnsi="Cambria Math"/>
              </w:rPr>
              <m:t>it</m:t>
            </m:r>
          </m:sub>
        </m:sSub>
      </m:oMath>
      <w:r>
        <w:rPr>
          <w:rFonts w:eastAsiaTheme="minorEastAsia"/>
        </w:rPr>
        <w:t xml:space="preserve"> is restricted to residents aged 0-19. </w:t>
      </w:r>
    </w:p>
    <w:p w14:paraId="6E00DBAD" w14:textId="77777777" w:rsidR="00402B45" w:rsidRDefault="00402B45" w:rsidP="00402B45">
      <w:pPr>
        <w:spacing w:line="480" w:lineRule="auto"/>
        <w:ind w:firstLine="720"/>
        <w:rPr>
          <w:rFonts w:eastAsiaTheme="minorEastAsia"/>
        </w:rPr>
      </w:pPr>
      <w:r>
        <w:rPr>
          <w:rFonts w:eastAsiaTheme="minorEastAsia"/>
        </w:rPr>
        <w:t xml:space="preserve">The primary independent variable </w:t>
      </w:r>
      <m:oMath>
        <m:sSub>
          <m:sSubPr>
            <m:ctrlPr>
              <w:rPr>
                <w:rFonts w:ascii="Cambria Math" w:hAnsi="Cambria Math"/>
                <w:i/>
              </w:rPr>
            </m:ctrlPr>
          </m:sSubPr>
          <m:e>
            <m:r>
              <w:rPr>
                <w:rFonts w:ascii="Cambria Math" w:hAnsi="Cambria Math"/>
              </w:rPr>
              <m:t>X</m:t>
            </m:r>
          </m:e>
          <m:sub>
            <m:r>
              <w:rPr>
                <w:rFonts w:ascii="Cambria Math" w:hAnsi="Cambria Math"/>
              </w:rPr>
              <m:t>i,t-28</m:t>
            </m:r>
          </m:sub>
        </m:sSub>
      </m:oMath>
      <w:r>
        <w:rPr>
          <w:rFonts w:eastAsiaTheme="minorEastAsia"/>
        </w:rPr>
        <w:t xml:space="preserve"> denotes </w:t>
      </w:r>
      <w:r w:rsidRPr="00060A10">
        <w:t xml:space="preserve">the daily cumulative </w:t>
      </w:r>
      <w:r>
        <w:t>proportion</w:t>
      </w:r>
      <w:r w:rsidRPr="00060A10">
        <w:t xml:space="preserve"> of students enrolled </w:t>
      </w:r>
      <w:r>
        <w:t>for</w:t>
      </w:r>
      <w:r w:rsidRPr="00060A10">
        <w:t xml:space="preserve"> in-person classes</w:t>
      </w:r>
      <w:r>
        <w:t xml:space="preserve"> </w:t>
      </w:r>
      <w:r w:rsidRPr="009C7DF5">
        <w:t xml:space="preserve">in county </w:t>
      </w:r>
      <w:proofErr w:type="spellStart"/>
      <w:r w:rsidRPr="009C7DF5">
        <w:t>i</w:t>
      </w:r>
      <w:proofErr w:type="spellEnd"/>
      <w:r>
        <w:t xml:space="preserve"> on day </w:t>
      </w:r>
      <m:oMath>
        <m:r>
          <m:rPr>
            <m:sty m:val="p"/>
          </m:rPr>
          <w:rPr>
            <w:rFonts w:ascii="Cambria Math" w:hAnsi="Cambria Math"/>
          </w:rPr>
          <m:t>t-28</m:t>
        </m:r>
      </m:oMath>
      <w:r>
        <w:rPr>
          <w:rFonts w:eastAsiaTheme="minorEastAsia"/>
        </w:rPr>
        <w:t>, where a</w:t>
      </w:r>
      <w:r>
        <w:t xml:space="preserve"> </w:t>
      </w:r>
      <w:r w:rsidRPr="00742DDD">
        <w:t>28</w:t>
      </w:r>
      <w:r>
        <w:t>-</w:t>
      </w:r>
      <w:r w:rsidRPr="00742DDD">
        <w:t>day</w:t>
      </w:r>
      <w:r>
        <w:t xml:space="preserve"> lag</w:t>
      </w:r>
      <w:r w:rsidRPr="00742DDD">
        <w:t xml:space="preserve"> between school start date and a potential effect on SARS-CoV-2 incidence</w:t>
      </w:r>
      <w:r>
        <w:t xml:space="preserve"> is set to </w:t>
      </w:r>
      <w:r w:rsidRPr="00393978">
        <w:t>allow for time between any school-based contraction or spread of the virus and testing, as well as the potential for a child to infect others</w:t>
      </w:r>
      <w:r>
        <w:t>.</w:t>
      </w:r>
      <w:r w:rsidRPr="00742DDD">
        <w:t xml:space="preserve"> </w:t>
      </w:r>
      <w:r>
        <w:t xml:space="preserve"> This independent variable is calculated by</w:t>
      </w:r>
      <w:r>
        <w:rPr>
          <w:rFonts w:eastAsiaTheme="minorEastAsia"/>
        </w:rPr>
        <w:t xml:space="preserve"> aggregating school corporation-level data within each county as </w:t>
      </w:r>
      <m:oMath>
        <m:sSub>
          <m:sSubPr>
            <m:ctrlPr>
              <w:rPr>
                <w:rFonts w:ascii="Cambria Math" w:hAnsi="Cambria Math"/>
              </w:rPr>
            </m:ctrlPr>
          </m:sSubPr>
          <m:e>
            <m:r>
              <w:rPr>
                <w:rFonts w:ascii="Cambria Math" w:hAnsi="Cambria Math"/>
              </w:rPr>
              <m:t>X</m:t>
            </m:r>
          </m:e>
          <m:sub>
            <m:r>
              <w:rPr>
                <w:rFonts w:ascii="Cambria Math" w:hAnsi="Cambria Math"/>
              </w:rPr>
              <m:t>i,t-28</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sSub>
              <m:sSubPr>
                <m:ctrlPr>
                  <w:rPr>
                    <w:rFonts w:ascii="Cambria Math" w:hAnsi="Cambria Math"/>
                  </w:rPr>
                </m:ctrlPr>
              </m:sSubPr>
              <m:e>
                <m:r>
                  <m:rPr>
                    <m:sty m:val="p"/>
                  </m:rPr>
                  <w:rPr>
                    <w:rFonts w:ascii="Cambria Math" w:hAnsi="Cambria Math"/>
                  </w:rPr>
                  <m:t>K</m:t>
                </m:r>
              </m:e>
              <m:sub>
                <m:r>
                  <w:rPr>
                    <w:rFonts w:ascii="Cambria Math" w:hAnsi="Cambria Math"/>
                  </w:rPr>
                  <m:t>i</m:t>
                </m:r>
              </m:sub>
            </m:sSub>
          </m:sup>
          <m:e>
            <m:sSub>
              <m:sSubPr>
                <m:ctrlPr>
                  <w:rPr>
                    <w:rFonts w:ascii="Cambria Math" w:hAnsi="Cambria Math"/>
                    <w:i/>
                  </w:rPr>
                </m:ctrlPr>
              </m:sSubPr>
              <m:e>
                <m:r>
                  <w:rPr>
                    <w:rFonts w:ascii="Cambria Math" w:hAnsi="Cambria Math"/>
                  </w:rPr>
                  <m:t>θ</m:t>
                </m:r>
              </m:e>
              <m:sub>
                <m:r>
                  <w:rPr>
                    <w:rFonts w:ascii="Cambria Math" w:hAnsi="Cambria Math"/>
                  </w:rPr>
                  <m:t>ij</m:t>
                </m:r>
              </m:sub>
            </m:sSub>
            <m:sSub>
              <m:sSubPr>
                <m:ctrlPr>
                  <w:rPr>
                    <w:rFonts w:ascii="Cambria Math" w:hAnsi="Cambria Math"/>
                    <w:i/>
                  </w:rPr>
                </m:ctrlPr>
              </m:sSubPr>
              <m:e>
                <m:r>
                  <w:rPr>
                    <w:rFonts w:ascii="Cambria Math" w:hAnsi="Cambria Math"/>
                  </w:rPr>
                  <m:t>W</m:t>
                </m:r>
              </m:e>
              <m:sub>
                <m:r>
                  <w:rPr>
                    <w:rFonts w:ascii="Cambria Math" w:hAnsi="Cambria Math"/>
                  </w:rPr>
                  <m:t>ij,t-28</m:t>
                </m:r>
              </m:sub>
            </m:sSub>
          </m:e>
        </m:nary>
      </m:oMath>
      <w:r>
        <w:rPr>
          <w:rFonts w:eastAsiaTheme="minorEastAsia"/>
        </w:rPr>
        <w:t xml:space="preserve">, where </w:t>
      </w:r>
      <m:oMath>
        <m:sSub>
          <m:sSubPr>
            <m:ctrlPr>
              <w:rPr>
                <w:rFonts w:ascii="Cambria Math" w:hAnsi="Cambria Math"/>
                <w:i/>
              </w:rPr>
            </m:ctrlPr>
          </m:sSubPr>
          <m:e>
            <m:r>
              <w:rPr>
                <w:rFonts w:ascii="Cambria Math" w:hAnsi="Cambria Math"/>
              </w:rPr>
              <m:t>W</m:t>
            </m:r>
          </m:e>
          <m:sub>
            <m:r>
              <w:rPr>
                <w:rFonts w:ascii="Cambria Math" w:hAnsi="Cambria Math"/>
              </w:rPr>
              <m:t>ij,t-28</m:t>
            </m:r>
          </m:sub>
        </m:sSub>
      </m:oMath>
      <w:r>
        <w:rPr>
          <w:rFonts w:eastAsiaTheme="minorEastAsia"/>
        </w:rPr>
        <w:t xml:space="preserve"> is the proportion of students attending in-person classes at </w:t>
      </w:r>
      <m:oMath>
        <m:r>
          <m:rPr>
            <m:sty m:val="p"/>
          </m:rPr>
          <w:rPr>
            <w:rFonts w:ascii="Cambria Math" w:eastAsiaTheme="minorEastAsia" w:hAnsi="Cambria Math"/>
          </w:rPr>
          <m:t>j</m:t>
        </m:r>
      </m:oMath>
      <w:r>
        <w:rPr>
          <w:rFonts w:eastAsiaTheme="minorEastAsia"/>
        </w:rPr>
        <w:t xml:space="preserve">-th school corporation in </w:t>
      </w:r>
      <w:r w:rsidRPr="009C7DF5">
        <w:t xml:space="preserve">county </w:t>
      </w:r>
      <w:proofErr w:type="spellStart"/>
      <w:r w:rsidRPr="009C7DF5">
        <w:t>i</w:t>
      </w:r>
      <w:proofErr w:type="spellEnd"/>
      <w:r w:rsidRPr="009C7DF5">
        <w:t xml:space="preserve"> on</w:t>
      </w:r>
      <w:r>
        <w:t xml:space="preserve"> day </w:t>
      </w:r>
      <m:oMath>
        <m:r>
          <w:rPr>
            <w:rFonts w:ascii="Cambria Math" w:hAnsi="Cambria Math"/>
          </w:rPr>
          <m:t>t-28</m:t>
        </m:r>
      </m:oMath>
      <w:r>
        <w:t xml:space="preserve">, </w:t>
      </w:r>
      <m:oMath>
        <m:sSub>
          <m:sSubPr>
            <m:ctrlPr>
              <w:rPr>
                <w:rFonts w:ascii="Cambria Math" w:hAnsi="Cambria Math"/>
                <w:i/>
              </w:rPr>
            </m:ctrlPr>
          </m:sSubPr>
          <m:e>
            <m:r>
              <w:rPr>
                <w:rFonts w:ascii="Cambria Math" w:hAnsi="Cambria Math"/>
              </w:rPr>
              <m:t>θ</m:t>
            </m:r>
          </m:e>
          <m:sub>
            <m:r>
              <w:rPr>
                <w:rFonts w:ascii="Cambria Math" w:hAnsi="Cambria Math"/>
              </w:rPr>
              <m:t>ij</m:t>
            </m:r>
          </m:sub>
        </m:sSub>
      </m:oMath>
      <w:r>
        <w:rPr>
          <w:rFonts w:eastAsiaTheme="minorEastAsia"/>
        </w:rPr>
        <w:t xml:space="preserve"> r</w:t>
      </w:r>
      <w:proofErr w:type="spellStart"/>
      <w:r>
        <w:rPr>
          <w:rFonts w:eastAsiaTheme="minorEastAsia"/>
        </w:rPr>
        <w:t>epresents</w:t>
      </w:r>
      <w:proofErr w:type="spellEnd"/>
      <w:r>
        <w:rPr>
          <w:rFonts w:eastAsiaTheme="minorEastAsia"/>
        </w:rPr>
        <w:t xml:space="preserve"> the enrollment size of the </w:t>
      </w:r>
      <m:oMath>
        <m:r>
          <m:rPr>
            <m:sty m:val="p"/>
          </m:rPr>
          <w:rPr>
            <w:rFonts w:ascii="Cambria Math" w:eastAsiaTheme="minorEastAsia" w:hAnsi="Cambria Math"/>
          </w:rPr>
          <m:t>j</m:t>
        </m:r>
      </m:oMath>
      <w:r>
        <w:rPr>
          <w:rFonts w:eastAsiaTheme="minorEastAsia"/>
        </w:rPr>
        <w:t xml:space="preserve">-th school corporation as a proportion of the entire enrollment size in the </w:t>
      </w:r>
      <m:oMath>
        <m:r>
          <m:rPr>
            <m:sty m:val="p"/>
          </m:rPr>
          <w:rPr>
            <w:rFonts w:ascii="Cambria Math" w:eastAsiaTheme="minorEastAsia" w:hAnsi="Cambria Math"/>
          </w:rPr>
          <m:t>i</m:t>
        </m:r>
      </m:oMath>
      <w:r>
        <w:rPr>
          <w:rFonts w:eastAsiaTheme="minorEastAsia"/>
        </w:rPr>
        <w:t xml:space="preserve">-th county, and </w:t>
      </w:r>
      <m:oMath>
        <m:sSub>
          <m:sSubPr>
            <m:ctrlPr>
              <w:rPr>
                <w:rFonts w:ascii="Cambria Math" w:hAnsi="Cambria Math"/>
              </w:rPr>
            </m:ctrlPr>
          </m:sSubPr>
          <m:e>
            <m:r>
              <m:rPr>
                <m:sty m:val="p"/>
              </m:rPr>
              <w:rPr>
                <w:rFonts w:ascii="Cambria Math" w:hAnsi="Cambria Math"/>
              </w:rPr>
              <m:t>K</m:t>
            </m:r>
          </m:e>
          <m:sub>
            <m:r>
              <w:rPr>
                <w:rFonts w:ascii="Cambria Math" w:hAnsi="Cambria Math"/>
              </w:rPr>
              <m:t>i</m:t>
            </m:r>
          </m:sub>
        </m:sSub>
      </m:oMath>
      <w:r>
        <w:rPr>
          <w:rFonts w:eastAsiaTheme="minorEastAsia"/>
        </w:rPr>
        <w:t xml:space="preserve"> denotes the number of school corporations </w:t>
      </w:r>
      <w:r w:rsidRPr="000F329E">
        <w:rPr>
          <w:rFonts w:eastAsiaTheme="minorEastAsia"/>
        </w:rPr>
        <w:t xml:space="preserve">in county </w:t>
      </w:r>
      <w:proofErr w:type="spellStart"/>
      <w:r w:rsidRPr="000F329E">
        <w:rPr>
          <w:rFonts w:eastAsiaTheme="minorEastAsia"/>
        </w:rPr>
        <w:t>i</w:t>
      </w:r>
      <w:proofErr w:type="spellEnd"/>
      <w:r>
        <w:rPr>
          <w:rFonts w:eastAsiaTheme="minorEastAsia"/>
        </w:rPr>
        <w:t xml:space="preserve">. Note that </w:t>
      </w:r>
      <m:oMath>
        <m:sSub>
          <m:sSubPr>
            <m:ctrlPr>
              <w:rPr>
                <w:rFonts w:ascii="Cambria Math" w:hAnsi="Cambria Math"/>
                <w:i/>
              </w:rPr>
            </m:ctrlPr>
          </m:sSubPr>
          <m:e>
            <m:r>
              <w:rPr>
                <w:rFonts w:ascii="Cambria Math" w:hAnsi="Cambria Math"/>
              </w:rPr>
              <m:t>W</m:t>
            </m:r>
          </m:e>
          <m:sub>
            <m:r>
              <w:rPr>
                <w:rFonts w:ascii="Cambria Math" w:hAnsi="Cambria Math"/>
              </w:rPr>
              <m:t>ij,t-28</m:t>
            </m:r>
          </m:sub>
        </m:sSub>
      </m:oMath>
      <w:r>
        <w:rPr>
          <w:rFonts w:eastAsiaTheme="minorEastAsia"/>
        </w:rPr>
        <w:t xml:space="preserve"> equals 0 before the school start date (incl</w:t>
      </w:r>
      <w:proofErr w:type="spellStart"/>
      <w:r>
        <w:rPr>
          <w:rFonts w:eastAsiaTheme="minorEastAsia"/>
        </w:rPr>
        <w:t>uding</w:t>
      </w:r>
      <w:proofErr w:type="spellEnd"/>
      <w:r>
        <w:rPr>
          <w:rFonts w:eastAsiaTheme="minorEastAsia"/>
        </w:rPr>
        <w:t xml:space="preserve"> the case of </w:t>
      </w:r>
      <m:oMath>
        <m:r>
          <m:rPr>
            <m:sty m:val="p"/>
          </m:rPr>
          <w:rPr>
            <w:rFonts w:ascii="Cambria Math" w:eastAsiaTheme="minorEastAsia" w:hAnsi="Cambria Math"/>
          </w:rPr>
          <m:t>t-28 ≤0)</m:t>
        </m:r>
      </m:oMath>
      <w:r>
        <w:rPr>
          <w:rFonts w:eastAsiaTheme="minorEastAsia"/>
        </w:rPr>
        <w:t xml:space="preserve">, and equals the </w:t>
      </w:r>
      <w:r w:rsidRPr="00E42BF7">
        <w:rPr>
          <w:rFonts w:eastAsiaTheme="minorEastAsia"/>
        </w:rPr>
        <w:t>proportion of students attending in-person on the first day of school</w:t>
      </w:r>
      <w:r>
        <w:rPr>
          <w:rFonts w:eastAsiaTheme="minorEastAsia"/>
        </w:rPr>
        <w:t xml:space="preserve"> (school </w:t>
      </w:r>
      <w:r>
        <w:rPr>
          <w:rFonts w:eastAsiaTheme="minorEastAsia"/>
        </w:rPr>
        <w:lastRenderedPageBreak/>
        <w:t>start date) and</w:t>
      </w:r>
      <w:r w:rsidRPr="00E42BF7">
        <w:rPr>
          <w:rFonts w:eastAsiaTheme="minorEastAsia"/>
        </w:rPr>
        <w:t xml:space="preserve"> remain constant </w:t>
      </w:r>
      <w:r>
        <w:rPr>
          <w:rFonts w:eastAsiaTheme="minorEastAsia"/>
        </w:rPr>
        <w:t>thereafter</w:t>
      </w:r>
      <w:r w:rsidRPr="00E42BF7">
        <w:rPr>
          <w:rFonts w:eastAsiaTheme="minorEastAsia"/>
        </w:rPr>
        <w:t>.</w:t>
      </w:r>
      <w:r>
        <w:rPr>
          <w:rFonts w:eastAsiaTheme="minorEastAsia"/>
        </w:rPr>
        <w:t xml:space="preserve"> The </w:t>
      </w:r>
      <w:r w:rsidRPr="00480308">
        <w:rPr>
          <w:rFonts w:eastAsiaTheme="minorEastAsia"/>
        </w:rPr>
        <w:t>estimated in-person instruction proportions were acquired for 220 out of the 343 school corporations, accounting for 79.3% of all enrollment in these counties. School corporations for which in-person instruction proportions could not be acquired were imputed using enrollment-weighted county averages.</w:t>
      </w:r>
      <w:r>
        <w:rPr>
          <w:rFonts w:eastAsiaTheme="minorEastAsia"/>
        </w:rPr>
        <w:t xml:space="preserve"> To minimize bias, the model includes data from </w:t>
      </w:r>
      <w:r w:rsidRPr="00A40F0D">
        <w:rPr>
          <w:rFonts w:eastAsiaTheme="minorEastAsia"/>
        </w:rPr>
        <w:t>73 counties</w:t>
      </w:r>
      <w:r>
        <w:rPr>
          <w:rFonts w:eastAsiaTheme="minorEastAsia"/>
        </w:rPr>
        <w:t>,</w:t>
      </w:r>
      <w:r w:rsidRPr="00A40F0D">
        <w:rPr>
          <w:rFonts w:eastAsiaTheme="minorEastAsia"/>
        </w:rPr>
        <w:t xml:space="preserve"> for which we were able to obtain estimates of the </w:t>
      </w:r>
      <w:r>
        <w:rPr>
          <w:rFonts w:eastAsiaTheme="minorEastAsia"/>
        </w:rPr>
        <w:t>proportion</w:t>
      </w:r>
      <w:r w:rsidRPr="00A40F0D">
        <w:rPr>
          <w:rFonts w:eastAsiaTheme="minorEastAsia"/>
        </w:rPr>
        <w:t xml:space="preserve"> of in-person instruction which covered at least 50% of enrolled students in those counties.</w:t>
      </w:r>
      <w:r>
        <w:rPr>
          <w:rFonts w:eastAsiaTheme="minorEastAsia"/>
        </w:rPr>
        <w:t xml:space="preserve"> While this was the lower cut-off, for many counties we had substantially more data. For 28 of these 73 </w:t>
      </w:r>
      <w:proofErr w:type="gramStart"/>
      <w:r>
        <w:rPr>
          <w:rFonts w:eastAsiaTheme="minorEastAsia"/>
        </w:rPr>
        <w:t>counties</w:t>
      </w:r>
      <w:proofErr w:type="gramEnd"/>
      <w:r>
        <w:rPr>
          <w:rFonts w:eastAsiaTheme="minorEastAsia"/>
        </w:rPr>
        <w:t xml:space="preserve"> we obtained estimates of the proportion of in-person instruction for every school corporation. For 44 of these 73 </w:t>
      </w:r>
      <w:proofErr w:type="gramStart"/>
      <w:r>
        <w:rPr>
          <w:rFonts w:eastAsiaTheme="minorEastAsia"/>
        </w:rPr>
        <w:t>counties</w:t>
      </w:r>
      <w:proofErr w:type="gramEnd"/>
      <w:r>
        <w:rPr>
          <w:rFonts w:eastAsiaTheme="minorEastAsia"/>
        </w:rPr>
        <w:t xml:space="preserve"> we obtained estimates for 75% or more of all school corporations by total enrollment.</w:t>
      </w:r>
    </w:p>
    <w:p w14:paraId="31F86F17" w14:textId="77777777" w:rsidR="00402B45" w:rsidRDefault="00402B45" w:rsidP="00402B45">
      <w:pPr>
        <w:spacing w:line="480" w:lineRule="auto"/>
        <w:ind w:firstLine="720"/>
        <w:rPr>
          <w:rFonts w:eastAsiaTheme="minorEastAsia"/>
        </w:rPr>
      </w:pPr>
      <w:r>
        <w:t xml:space="preserve">In addition, the model (1) controls for </w:t>
      </w:r>
      <m:oMath>
        <m:sSub>
          <m:sSubPr>
            <m:ctrlPr>
              <w:rPr>
                <w:rFonts w:ascii="Cambria Math" w:hAnsi="Cambria Math"/>
                <w:i/>
              </w:rPr>
            </m:ctrlPr>
          </m:sSubPr>
          <m:e>
            <m:r>
              <w:rPr>
                <w:rFonts w:ascii="Cambria Math" w:hAnsi="Cambria Math"/>
              </w:rPr>
              <m:t>Z</m:t>
            </m:r>
          </m:e>
          <m:sub>
            <m:r>
              <w:rPr>
                <w:rFonts w:ascii="Cambria Math" w:hAnsi="Cambria Math"/>
              </w:rPr>
              <m:t>it</m:t>
            </m:r>
          </m:sub>
        </m:sSub>
      </m:oMath>
      <w:r>
        <w:rPr>
          <w:rFonts w:eastAsiaTheme="minorEastAsia"/>
        </w:rPr>
        <w:t xml:space="preserve">, </w:t>
      </w:r>
      <w:r>
        <w:t xml:space="preserve">the seven-day average of </w:t>
      </w:r>
      <w:r w:rsidRPr="001B134C">
        <w:t>daily county-level SARS-CoV-2 tests administered per 100,000 residents</w:t>
      </w:r>
      <w:r>
        <w:rPr>
          <w:rFonts w:eastAsiaTheme="minorEastAsia"/>
        </w:rPr>
        <w:t xml:space="preserve">. The county fixed-effects </w:t>
      </w:r>
      <m:oMath>
        <m:sSub>
          <m:sSubPr>
            <m:ctrlPr>
              <w:rPr>
                <w:rFonts w:ascii="Cambria Math" w:hAnsi="Cambria Math"/>
                <w:i/>
              </w:rPr>
            </m:ctrlPr>
          </m:sSubPr>
          <m:e>
            <m:r>
              <w:rPr>
                <w:rFonts w:ascii="Cambria Math" w:hAnsi="Cambria Math"/>
              </w:rPr>
              <m:t>α</m:t>
            </m:r>
          </m:e>
          <m:sub>
            <m:r>
              <w:rPr>
                <w:rFonts w:ascii="Cambria Math" w:hAnsi="Cambria Math"/>
              </w:rPr>
              <m:t>i</m:t>
            </m:r>
          </m:sub>
        </m:sSub>
      </m:oMath>
      <w:r>
        <w:rPr>
          <w:rFonts w:eastAsiaTheme="minorEastAsia"/>
        </w:rPr>
        <w:t xml:space="preserve"> </w:t>
      </w:r>
      <w:r w:rsidRPr="0040343F">
        <w:rPr>
          <w:rFonts w:eastAsiaTheme="minorEastAsia"/>
        </w:rPr>
        <w:t xml:space="preserve">control for a wide range of time-invariant differences between counties, such as population density, </w:t>
      </w:r>
      <w:r>
        <w:rPr>
          <w:rFonts w:eastAsiaTheme="minorEastAsia"/>
        </w:rPr>
        <w:t xml:space="preserve">baseline hospital capacities, median income, insurance coverage rates and other </w:t>
      </w:r>
      <w:r w:rsidRPr="0040343F">
        <w:rPr>
          <w:rFonts w:eastAsiaTheme="minorEastAsia"/>
        </w:rPr>
        <w:t>socioeconomic and demographic factors.</w:t>
      </w:r>
      <w:r>
        <w:rPr>
          <w:rFonts w:eastAsiaTheme="minorEastAsia"/>
        </w:rPr>
        <w:t xml:space="preserve"> </w:t>
      </w:r>
      <w:r w:rsidRPr="001F140B">
        <w:rPr>
          <w:rFonts w:eastAsiaTheme="minorEastAsia"/>
        </w:rPr>
        <w:t>The fixed day effects</w:t>
      </w:r>
      <w:r>
        <w:rPr>
          <w:rFonts w:eastAsiaTheme="minorEastAsia"/>
        </w:rPr>
        <w:t xml:space="preserve"> </w:t>
      </w:r>
      <m:oMath>
        <m:sSub>
          <m:sSubPr>
            <m:ctrlPr>
              <w:rPr>
                <w:rFonts w:ascii="Cambria Math" w:hAnsi="Cambria Math"/>
                <w:i/>
              </w:rPr>
            </m:ctrlPr>
          </m:sSubPr>
          <m:e>
            <m:r>
              <w:rPr>
                <w:rFonts w:ascii="Cambria Math" w:hAnsi="Cambria Math"/>
              </w:rPr>
              <m:t>γ</m:t>
            </m:r>
          </m:e>
          <m:sub>
            <m:r>
              <w:rPr>
                <w:rFonts w:ascii="Cambria Math" w:hAnsi="Cambria Math"/>
              </w:rPr>
              <m:t>t</m:t>
            </m:r>
          </m:sub>
        </m:sSub>
      </m:oMath>
      <w:r w:rsidRPr="001F140B">
        <w:rPr>
          <w:rFonts w:eastAsiaTheme="minorEastAsia"/>
        </w:rPr>
        <w:t xml:space="preserve"> </w:t>
      </w:r>
      <w:r>
        <w:rPr>
          <w:rFonts w:eastAsiaTheme="minorEastAsia"/>
        </w:rPr>
        <w:t xml:space="preserve">control for </w:t>
      </w:r>
      <w:r w:rsidRPr="001F140B">
        <w:rPr>
          <w:rFonts w:eastAsiaTheme="minorEastAsia"/>
        </w:rPr>
        <w:t>time-varying state and national factors that commonly affect county SARS-CoV-2 infections such as statewide case rates, changes to state policies on social distancing and masks and public awareness of SARS-CoV-2 severity.</w:t>
      </w:r>
      <w:r>
        <w:rPr>
          <w:rFonts w:eastAsiaTheme="minorEastAsia"/>
        </w:rPr>
        <w:t xml:space="preserve"> </w:t>
      </w:r>
      <m:oMath>
        <m:sSub>
          <m:sSubPr>
            <m:ctrlPr>
              <w:rPr>
                <w:rFonts w:ascii="Cambria Math" w:eastAsiaTheme="minorEastAsia" w:hAnsi="Cambria Math"/>
              </w:rPr>
            </m:ctrlPr>
          </m:sSubPr>
          <m:e>
            <m:r>
              <w:rPr>
                <w:rFonts w:ascii="Cambria Math" w:eastAsiaTheme="minorEastAsia" w:hAnsi="Cambria Math"/>
              </w:rPr>
              <m:t>u</m:t>
            </m:r>
          </m:e>
          <m:sub>
            <m:r>
              <w:rPr>
                <w:rFonts w:ascii="Cambria Math" w:eastAsiaTheme="minorEastAsia" w:hAnsi="Cambria Math"/>
              </w:rPr>
              <m:t>it</m:t>
            </m:r>
          </m:sub>
        </m:sSub>
      </m:oMath>
      <w:r>
        <w:rPr>
          <w:rFonts w:eastAsiaTheme="minorEastAsia"/>
        </w:rPr>
        <w:t xml:space="preserve"> are idiosyncratic error terms.</w:t>
      </w:r>
    </w:p>
    <w:p w14:paraId="22CA86EB" w14:textId="77777777" w:rsidR="00402B45" w:rsidRDefault="00402B45" w:rsidP="00402B45">
      <w:pPr>
        <w:spacing w:line="480" w:lineRule="auto"/>
        <w:ind w:firstLine="720"/>
        <w:rPr>
          <w:rFonts w:eastAsiaTheme="minorEastAsia"/>
        </w:rPr>
      </w:pPr>
      <w:r>
        <w:rPr>
          <w:rFonts w:eastAsiaTheme="minorEastAsia"/>
        </w:rPr>
        <w:t>For estimation, we first re-write model (1) as:</w:t>
      </w:r>
    </w:p>
    <w:p w14:paraId="4EA6BCBD" w14:textId="77777777" w:rsidR="00402B45" w:rsidRDefault="00402B45" w:rsidP="00402B45">
      <w:pPr>
        <w:spacing w:line="480" w:lineRule="auto"/>
        <w:ind w:firstLine="720"/>
        <w:rPr>
          <w:rFonts w:eastAsiaTheme="minorEastAsia"/>
        </w:rPr>
      </w:pPr>
      <m:oMath>
        <m:sSub>
          <m:sSubPr>
            <m:ctrlPr>
              <w:rPr>
                <w:rFonts w:ascii="Cambria Math" w:hAnsi="Cambria Math"/>
              </w:rPr>
            </m:ctrlPr>
          </m:sSubPr>
          <m:e>
            <m:r>
              <w:rPr>
                <w:rFonts w:ascii="Cambria Math" w:hAnsi="Cambria Math"/>
              </w:rPr>
              <m:t>Y</m:t>
            </m:r>
          </m:e>
          <m:sub>
            <m:r>
              <w:rPr>
                <w:rFonts w:ascii="Cambria Math" w:hAnsi="Cambria Math"/>
              </w:rPr>
              <m:t>it</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i,t-28</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Z</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2</m:t>
            </m:r>
          </m:sub>
        </m:sSub>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 ⋯+</m:t>
        </m:r>
        <m:sSub>
          <m:sSubPr>
            <m:ctrlPr>
              <w:rPr>
                <w:rFonts w:ascii="Cambria Math" w:hAnsi="Cambria Math"/>
                <w:i/>
              </w:rPr>
            </m:ctrlPr>
          </m:sSubPr>
          <m:e>
            <m:r>
              <w:rPr>
                <w:rFonts w:ascii="Cambria Math" w:hAnsi="Cambria Math"/>
              </w:rPr>
              <m:t>ρ</m:t>
            </m:r>
          </m:e>
          <m:sub>
            <m:r>
              <w:rPr>
                <w:rFonts w:ascii="Cambria Math" w:hAnsi="Cambria Math"/>
              </w:rPr>
              <m:t>73</m:t>
            </m:r>
          </m:sub>
        </m:sSub>
        <m:sSub>
          <m:sSubPr>
            <m:ctrlPr>
              <w:rPr>
                <w:rFonts w:ascii="Cambria Math" w:hAnsi="Cambria Math"/>
                <w:i/>
              </w:rPr>
            </m:ctrlPr>
          </m:sSubPr>
          <m:e>
            <m:r>
              <w:rPr>
                <w:rFonts w:ascii="Cambria Math" w:hAnsi="Cambria Math"/>
              </w:rPr>
              <m:t>C</m:t>
            </m:r>
          </m:e>
          <m:sub>
            <m:r>
              <w:rPr>
                <w:rFonts w:ascii="Cambria Math" w:hAnsi="Cambria Math"/>
              </w:rPr>
              <m:t>73</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2</m:t>
            </m:r>
          </m:sub>
        </m:sSub>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m:t>
        </m:r>
        <m:sSub>
          <m:sSubPr>
            <m:ctrlPr>
              <w:rPr>
                <w:rFonts w:ascii="Cambria Math" w:hAnsi="Cambria Math"/>
                <w:i/>
              </w:rPr>
            </m:ctrlPr>
          </m:sSubPr>
          <m:e>
            <m:r>
              <w:rPr>
                <w:rFonts w:ascii="Cambria Math" w:hAnsi="Cambria Math"/>
              </w:rPr>
              <m:t>δ</m:t>
            </m:r>
          </m:e>
          <m:sub>
            <m:r>
              <w:rPr>
                <w:rFonts w:ascii="Cambria Math" w:hAnsi="Cambria Math"/>
              </w:rPr>
              <m:t>87</m:t>
            </m:r>
          </m:sub>
        </m:sSub>
        <m:sSub>
          <m:sSubPr>
            <m:ctrlPr>
              <w:rPr>
                <w:rFonts w:ascii="Cambria Math" w:hAnsi="Cambria Math"/>
                <w:i/>
              </w:rPr>
            </m:ctrlPr>
          </m:sSubPr>
          <m:e>
            <m:r>
              <w:rPr>
                <w:rFonts w:ascii="Cambria Math" w:hAnsi="Cambria Math"/>
              </w:rPr>
              <m:t>C</m:t>
            </m:r>
          </m:e>
          <m:sub>
            <m:r>
              <w:rPr>
                <w:rFonts w:ascii="Cambria Math" w:hAnsi="Cambria Math"/>
              </w:rPr>
              <m:t>87</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it</m:t>
            </m:r>
          </m:sub>
        </m:sSub>
        <m:r>
          <m:rPr>
            <m:sty m:val="p"/>
          </m:rPr>
          <w:rPr>
            <w:rFonts w:ascii="Cambria Math" w:eastAsiaTheme="minorEastAsia" w:hAnsi="Cambria Math"/>
          </w:rPr>
          <m:t>,  (2)</m:t>
        </m:r>
      </m:oMath>
      <w:r>
        <w:rPr>
          <w:rFonts w:eastAsiaTheme="minorEastAsia"/>
        </w:rPr>
        <w:t xml:space="preserve">  </w:t>
      </w:r>
    </w:p>
    <w:p w14:paraId="6DA3708E" w14:textId="77777777" w:rsidR="00402B45" w:rsidRPr="006652CF" w:rsidRDefault="00402B45" w:rsidP="00402B45">
      <w:pPr>
        <w:spacing w:line="480" w:lineRule="auto"/>
        <w:rPr>
          <w:rFonts w:eastAsiaTheme="minorEastAsia"/>
        </w:rPr>
      </w:pPr>
      <w:r>
        <w:rPr>
          <w:rFonts w:eastAsiaTheme="minorEastAsia"/>
        </w:rPr>
        <w:t xml:space="preserve">where </w:t>
      </w:r>
      <m:oMath>
        <m:sSub>
          <m:sSubPr>
            <m:ctrlPr>
              <w:rPr>
                <w:rFonts w:ascii="Cambria Math" w:eastAsiaTheme="minorEastAsia" w:hAnsi="Cambria Math"/>
              </w:rPr>
            </m:ctrlPr>
          </m:sSubPr>
          <m:e>
            <m:r>
              <w:rPr>
                <w:rFonts w:ascii="Cambria Math" w:eastAsiaTheme="minorEastAsia" w:hAnsi="Cambria Math"/>
              </w:rPr>
              <m:t>C</m:t>
            </m:r>
          </m:e>
          <m:sub>
            <m:r>
              <w:rPr>
                <w:rFonts w:ascii="Cambria Math" w:eastAsiaTheme="minorEastAsia" w:hAnsi="Cambria Math"/>
              </w:rPr>
              <m:t>i</m:t>
            </m:r>
          </m:sub>
        </m:sSub>
      </m:oMath>
      <w:r>
        <w:rPr>
          <w:rFonts w:eastAsiaTheme="minorEastAsia"/>
        </w:rPr>
        <w:t xml:space="preserve"> (</w:t>
      </w:r>
      <w:proofErr w:type="spellStart"/>
      <w:r>
        <w:t>i</w:t>
      </w:r>
      <w:proofErr w:type="spellEnd"/>
      <m:oMath>
        <m:r>
          <m:rPr>
            <m:sty m:val="p"/>
          </m:rPr>
          <w:rPr>
            <w:rFonts w:ascii="Cambria Math" w:hAnsi="Cambria Math"/>
          </w:rPr>
          <m:t xml:space="preserve"> =2,…, 73</m:t>
        </m:r>
      </m:oMath>
      <w:r>
        <w:rPr>
          <w:rFonts w:eastAsiaTheme="minorEastAsia"/>
        </w:rPr>
        <w:t xml:space="preserve">) and </w:t>
      </w:r>
      <m:oMath>
        <m:sSub>
          <m:sSubPr>
            <m:ctrlPr>
              <w:rPr>
                <w:rFonts w:ascii="Cambria Math" w:hAnsi="Cambria Math"/>
                <w:i/>
              </w:rPr>
            </m:ctrlPr>
          </m:sSubPr>
          <m:e>
            <m:r>
              <w:rPr>
                <w:rFonts w:ascii="Cambria Math" w:hAnsi="Cambria Math"/>
              </w:rPr>
              <m:t>T</m:t>
            </m:r>
          </m:e>
          <m:sub>
            <m:r>
              <w:rPr>
                <w:rFonts w:ascii="Cambria Math" w:hAnsi="Cambria Math"/>
              </w:rPr>
              <m:t>t</m:t>
            </m:r>
          </m:sub>
        </m:sSub>
      </m:oMath>
      <w:r>
        <w:rPr>
          <w:rFonts w:eastAsiaTheme="minorEastAsia"/>
        </w:rPr>
        <w:t xml:space="preserve"> (</w:t>
      </w:r>
      <w:r>
        <w:t>t</w:t>
      </w:r>
      <m:oMath>
        <m:r>
          <m:rPr>
            <m:sty m:val="p"/>
          </m:rPr>
          <w:rPr>
            <w:rFonts w:ascii="Cambria Math" w:hAnsi="Cambria Math"/>
          </w:rPr>
          <m:t xml:space="preserve"> =2,…, 87</m:t>
        </m:r>
      </m:oMath>
      <w:r>
        <w:rPr>
          <w:rFonts w:eastAsiaTheme="minorEastAsia"/>
        </w:rPr>
        <w:t xml:space="preserve">) are binary county and day dummy variables, respectively. Then, the regression coefficients of the re-written model (2) are estimated using the </w:t>
      </w:r>
      <w:r w:rsidRPr="000722B3">
        <w:rPr>
          <w:rFonts w:eastAsiaTheme="minorEastAsia"/>
        </w:rPr>
        <w:lastRenderedPageBreak/>
        <w:t xml:space="preserve">using the </w:t>
      </w:r>
      <w:proofErr w:type="spellStart"/>
      <w:r w:rsidRPr="000722B3">
        <w:rPr>
          <w:rFonts w:eastAsiaTheme="minorEastAsia"/>
        </w:rPr>
        <w:t>plm</w:t>
      </w:r>
      <w:proofErr w:type="spellEnd"/>
      <w:r w:rsidRPr="000722B3">
        <w:rPr>
          <w:rFonts w:eastAsiaTheme="minorEastAsia"/>
        </w:rPr>
        <w:t xml:space="preserve"> function in the </w:t>
      </w:r>
      <w:r>
        <w:rPr>
          <w:rFonts w:eastAsiaTheme="minorEastAsia"/>
        </w:rPr>
        <w:t xml:space="preserve">R </w:t>
      </w:r>
      <w:proofErr w:type="spellStart"/>
      <w:r w:rsidRPr="000722B3">
        <w:rPr>
          <w:rFonts w:eastAsiaTheme="minorEastAsia"/>
        </w:rPr>
        <w:t>plm</w:t>
      </w:r>
      <w:proofErr w:type="spellEnd"/>
      <w:r w:rsidRPr="000722B3">
        <w:rPr>
          <w:rFonts w:eastAsiaTheme="minorEastAsia"/>
        </w:rPr>
        <w:t xml:space="preserve"> package</w:t>
      </w:r>
      <w:r>
        <w:rPr>
          <w:rFonts w:eastAsiaTheme="minorEastAsia"/>
        </w:rPr>
        <w:t>.</w:t>
      </w:r>
      <w:r>
        <w:rPr>
          <w:rFonts w:eastAsiaTheme="minorEastAsia"/>
          <w:vertAlign w:val="superscript"/>
        </w:rPr>
        <w:t>1</w:t>
      </w:r>
      <w:r>
        <w:rPr>
          <w:rFonts w:eastAsiaTheme="minorEastAsia"/>
        </w:rPr>
        <w:t xml:space="preserve"> </w:t>
      </w:r>
      <w:r w:rsidRPr="00021124">
        <w:rPr>
          <w:rFonts w:eastAsiaTheme="minorEastAsia"/>
        </w:rPr>
        <w:t xml:space="preserve">Driscoll and </w:t>
      </w:r>
      <w:proofErr w:type="spellStart"/>
      <w:r w:rsidRPr="00021124">
        <w:rPr>
          <w:rFonts w:eastAsiaTheme="minorEastAsia"/>
        </w:rPr>
        <w:t>Kraay's</w:t>
      </w:r>
      <w:proofErr w:type="spellEnd"/>
      <w:r w:rsidRPr="00021124">
        <w:rPr>
          <w:rFonts w:eastAsiaTheme="minorEastAsia"/>
        </w:rPr>
        <w:t xml:space="preserve"> robust standard errors</w:t>
      </w:r>
      <w:r>
        <w:rPr>
          <w:rFonts w:eastAsiaTheme="minorEastAsia"/>
          <w:vertAlign w:val="superscript"/>
        </w:rPr>
        <w:t>2</w:t>
      </w:r>
      <w:r>
        <w:rPr>
          <w:rFonts w:eastAsiaTheme="minorEastAsia"/>
        </w:rPr>
        <w:t xml:space="preserve"> </w:t>
      </w:r>
      <w:r w:rsidRPr="00021124">
        <w:rPr>
          <w:rFonts w:eastAsiaTheme="minorEastAsia"/>
        </w:rPr>
        <w:t>were computed to account for cross-sectional dependence, autocorrelation and heteroskedasticity</w:t>
      </w:r>
      <w:r>
        <w:rPr>
          <w:rFonts w:eastAsiaTheme="minorEastAsia"/>
        </w:rPr>
        <w:t>.</w:t>
      </w:r>
    </w:p>
    <w:p w14:paraId="3221E5E2" w14:textId="77777777" w:rsidR="00402B45" w:rsidRPr="004F3EE1" w:rsidRDefault="00402B45" w:rsidP="00402B45">
      <w:pPr>
        <w:pStyle w:val="Heading2"/>
      </w:pPr>
      <w:r>
        <w:t>B.</w:t>
      </w:r>
      <w:r w:rsidRPr="004F3EE1">
        <w:t xml:space="preserve"> </w:t>
      </w:r>
      <w:r>
        <w:t>Justification of the Proposed Modeling Approach</w:t>
      </w:r>
    </w:p>
    <w:p w14:paraId="597CD0F6" w14:textId="77777777" w:rsidR="00402B45" w:rsidRDefault="00402B45" w:rsidP="00402B45">
      <w:pPr>
        <w:spacing w:line="480" w:lineRule="auto"/>
      </w:pPr>
      <w:r>
        <w:t xml:space="preserve">In this section, we provide additional justification for the use of panel data regression model with county and time fixed effects to study the </w:t>
      </w:r>
      <w:r w:rsidRPr="009C7DF5">
        <w:t xml:space="preserve">association between the cumulative level of in-person instruction in schools </w:t>
      </w:r>
      <w:r>
        <w:t xml:space="preserve">and </w:t>
      </w:r>
      <w:r w:rsidRPr="009C7DF5">
        <w:t>daily new SARS-CoV-2 cases at the county level</w:t>
      </w:r>
      <w:r>
        <w:t xml:space="preserve">. Significant results of the </w:t>
      </w:r>
      <w:r w:rsidRPr="000722B3">
        <w:t>F test for two</w:t>
      </w:r>
      <w:r>
        <w:t>-</w:t>
      </w:r>
      <w:r w:rsidRPr="000722B3">
        <w:t>ways effects</w:t>
      </w:r>
      <w:r>
        <w:t xml:space="preserve"> (</w:t>
      </w:r>
      <w:r w:rsidRPr="003B3A33">
        <w:rPr>
          <w:i/>
        </w:rPr>
        <w:t>p</w:t>
      </w:r>
      <w:r>
        <w:t xml:space="preserve"> &lt; 0.001) and </w:t>
      </w:r>
      <w:r w:rsidRPr="003B3A33">
        <w:t>Hausman tes</w:t>
      </w:r>
      <w:r>
        <w:t>t</w:t>
      </w:r>
      <w:r>
        <w:rPr>
          <w:vertAlign w:val="superscript"/>
        </w:rPr>
        <w:t>3</w:t>
      </w:r>
      <w:r>
        <w:t xml:space="preserve"> (</w:t>
      </w:r>
      <w:r w:rsidRPr="003B3A33">
        <w:rPr>
          <w:i/>
        </w:rPr>
        <w:t>p</w:t>
      </w:r>
      <w:r>
        <w:t xml:space="preserve"> &lt; 0.001) indicate that the fixed effects model is preferred to the ordinary least squares model and random effects model, respectively. In other words, we employed the fixed effects model to correct for potential</w:t>
      </w:r>
      <w:r w:rsidRPr="00DE5333">
        <w:t xml:space="preserve"> omitted variable bias caused </w:t>
      </w:r>
      <w:proofErr w:type="gramStart"/>
      <w:r w:rsidRPr="00DE5333">
        <w:t>by</w:t>
      </w:r>
      <w:r>
        <w:t>:</w:t>
      </w:r>
      <w:proofErr w:type="gramEnd"/>
      <w:r>
        <w:t xml:space="preserve"> </w:t>
      </w:r>
      <w:proofErr w:type="spellStart"/>
      <w:r>
        <w:t>i</w:t>
      </w:r>
      <w:proofErr w:type="spellEnd"/>
      <w:r>
        <w:t>)</w:t>
      </w:r>
      <w:r w:rsidRPr="00DE5333">
        <w:t xml:space="preserve"> </w:t>
      </w:r>
      <w:r w:rsidRPr="008D0D29">
        <w:t>unobserved time-invariant heterogeneities across the entities</w:t>
      </w:r>
      <w:r>
        <w:t xml:space="preserve"> ii) </w:t>
      </w:r>
      <w:r w:rsidRPr="008D0D29">
        <w:t xml:space="preserve">unobserved </w:t>
      </w:r>
      <w:r>
        <w:t>county</w:t>
      </w:r>
      <w:r w:rsidRPr="008D0D29">
        <w:t xml:space="preserve">-invariant heterogeneities across </w:t>
      </w:r>
      <w:r>
        <w:t>time; iii)</w:t>
      </w:r>
      <w:r w:rsidRPr="008D0D29">
        <w:t xml:space="preserve"> </w:t>
      </w:r>
      <w:r>
        <w:t xml:space="preserve">and correlation between the observed explanatory variables and the </w:t>
      </w:r>
      <w:r w:rsidRPr="008D0D29">
        <w:t xml:space="preserve">unobserved </w:t>
      </w:r>
      <w:r>
        <w:t xml:space="preserve">effect. A series of </w:t>
      </w:r>
      <w:r w:rsidRPr="00DE5333">
        <w:t xml:space="preserve">Lagrange Multiplier </w:t>
      </w:r>
      <w:r>
        <w:t>t</w:t>
      </w:r>
      <w:r w:rsidRPr="00DE5333">
        <w:t>est</w:t>
      </w:r>
      <w:r>
        <w:t>s</w:t>
      </w:r>
      <w:r>
        <w:rPr>
          <w:vertAlign w:val="superscript"/>
        </w:rPr>
        <w:t>4</w:t>
      </w:r>
      <w:r>
        <w:t xml:space="preserve"> for county and time fixed effects (separately and combined) further justifies the validity of our modeling approach (all p-values &lt; 0.001). Significant results of </w:t>
      </w:r>
      <w:proofErr w:type="spellStart"/>
      <w:r w:rsidRPr="004A7CFE">
        <w:t>Paseran</w:t>
      </w:r>
      <w:proofErr w:type="spellEnd"/>
      <w:r w:rsidRPr="004A7CFE">
        <w:t xml:space="preserve"> CD test</w:t>
      </w:r>
      <w:r>
        <w:rPr>
          <w:vertAlign w:val="superscript"/>
        </w:rPr>
        <w:t>5</w:t>
      </w:r>
      <w:r>
        <w:t xml:space="preserve"> (</w:t>
      </w:r>
      <w:r w:rsidRPr="003B3A33">
        <w:rPr>
          <w:i/>
        </w:rPr>
        <w:t>p</w:t>
      </w:r>
      <w:r>
        <w:t xml:space="preserve"> = 0.010), </w:t>
      </w:r>
      <w:r w:rsidRPr="004A7CFE">
        <w:t>Breusch-Godfrey</w:t>
      </w:r>
      <w:r>
        <w:t xml:space="preserve"> </w:t>
      </w:r>
      <w:r w:rsidRPr="004A7CFE">
        <w:t>test</w:t>
      </w:r>
      <w:r>
        <w:rPr>
          <w:vertAlign w:val="superscript"/>
        </w:rPr>
        <w:t>6</w:t>
      </w:r>
      <w:r>
        <w:t xml:space="preserve"> (</w:t>
      </w:r>
      <w:r w:rsidRPr="003B3A33">
        <w:rPr>
          <w:i/>
        </w:rPr>
        <w:t>p</w:t>
      </w:r>
      <w:r>
        <w:t xml:space="preserve"> &lt; 0.001) and </w:t>
      </w:r>
      <w:r w:rsidRPr="004A7CFE">
        <w:t>Breusch-Pagan test</w:t>
      </w:r>
      <w:r>
        <w:rPr>
          <w:vertAlign w:val="superscript"/>
        </w:rPr>
        <w:t>7</w:t>
      </w:r>
      <w:r w:rsidRPr="004A7CFE">
        <w:t xml:space="preserve"> </w:t>
      </w:r>
      <w:r>
        <w:t>(</w:t>
      </w:r>
      <w:r w:rsidRPr="003B3A33">
        <w:rPr>
          <w:i/>
        </w:rPr>
        <w:t>p</w:t>
      </w:r>
      <w:r>
        <w:t xml:space="preserve"> &lt; 0.001) respectively suggest the existence of cross-sectional dependence, a</w:t>
      </w:r>
      <w:r w:rsidRPr="004A7CFE">
        <w:t>utocorrelation and heteroskedasticity</w:t>
      </w:r>
      <w:r>
        <w:t xml:space="preserve"> in the fixed effects model; this justifies the use of </w:t>
      </w:r>
      <w:r w:rsidRPr="00021124">
        <w:rPr>
          <w:rFonts w:eastAsiaTheme="minorEastAsia"/>
        </w:rPr>
        <w:t xml:space="preserve">Driscoll and </w:t>
      </w:r>
      <w:proofErr w:type="spellStart"/>
      <w:r w:rsidRPr="00021124">
        <w:rPr>
          <w:rFonts w:eastAsiaTheme="minorEastAsia"/>
        </w:rPr>
        <w:t>Kraay's</w:t>
      </w:r>
      <w:proofErr w:type="spellEnd"/>
      <w:r w:rsidRPr="00021124">
        <w:rPr>
          <w:rFonts w:eastAsiaTheme="minorEastAsia"/>
        </w:rPr>
        <w:t xml:space="preserve"> robust standard errors</w:t>
      </w:r>
      <w:r>
        <w:rPr>
          <w:rFonts w:eastAsiaTheme="minorEastAsia"/>
        </w:rPr>
        <w:t xml:space="preserve"> for valid statistical inference. Similar test results and </w:t>
      </w:r>
      <w:r w:rsidRPr="00DA0938">
        <w:rPr>
          <w:rFonts w:eastAsiaTheme="minorEastAsia"/>
        </w:rPr>
        <w:t>justification</w:t>
      </w:r>
      <w:r>
        <w:rPr>
          <w:rFonts w:eastAsiaTheme="minorEastAsia"/>
        </w:rPr>
        <w:t xml:space="preserve"> were derived</w:t>
      </w:r>
      <w:r w:rsidRPr="00DA0938">
        <w:rPr>
          <w:rFonts w:eastAsiaTheme="minorEastAsia"/>
        </w:rPr>
        <w:t xml:space="preserve"> </w:t>
      </w:r>
      <w:r>
        <w:rPr>
          <w:rFonts w:eastAsiaTheme="minorEastAsia"/>
        </w:rPr>
        <w:t xml:space="preserve">for the use of fixed effects model </w:t>
      </w:r>
      <w:r>
        <w:t>with the outcome</w:t>
      </w:r>
      <w:r>
        <w:rPr>
          <w:rFonts w:eastAsiaTheme="minorEastAsia"/>
        </w:rPr>
        <w:t xml:space="preserve"> restricted to residents aged 0-19 (secondary analysis). </w:t>
      </w:r>
    </w:p>
    <w:p w14:paraId="2469609C" w14:textId="77777777" w:rsidR="00402B45" w:rsidRPr="006652CF" w:rsidRDefault="00402B45" w:rsidP="00402B45">
      <w:pPr>
        <w:spacing w:line="480" w:lineRule="auto"/>
        <w:ind w:firstLine="720"/>
      </w:pPr>
      <w:r>
        <w:t>Alternative modeling approaches include interrupted time series (IPT) and segmented regression analyses. Although these approaches are useful for</w:t>
      </w:r>
      <w:r w:rsidRPr="00324D0F">
        <w:t xml:space="preserve"> evaluat</w:t>
      </w:r>
      <w:r>
        <w:t>ing</w:t>
      </w:r>
      <w:r w:rsidRPr="00324D0F">
        <w:t xml:space="preserve"> the longitudinal effects of interventions through regression modelling</w:t>
      </w:r>
      <w:r>
        <w:t xml:space="preserve">, their use is limited in our setting where “intervention” is introduced and accumulated gradually/continuously over time as schools </w:t>
      </w:r>
      <w:r w:rsidRPr="00DC1C33">
        <w:t>successively</w:t>
      </w:r>
      <w:r>
        <w:t xml:space="preserve"> start </w:t>
      </w:r>
      <w:r w:rsidRPr="00371ACD">
        <w:t>in-person instruction</w:t>
      </w:r>
      <w:r>
        <w:t xml:space="preserve">. </w:t>
      </w:r>
    </w:p>
    <w:p w14:paraId="79AC0215" w14:textId="77777777" w:rsidR="00402B45" w:rsidRPr="004F3EE1" w:rsidRDefault="00402B45" w:rsidP="00402B45">
      <w:pPr>
        <w:pStyle w:val="Heading2"/>
      </w:pPr>
      <w:r>
        <w:lastRenderedPageBreak/>
        <w:t>C.</w:t>
      </w:r>
      <w:r w:rsidRPr="004F3EE1">
        <w:t xml:space="preserve"> </w:t>
      </w:r>
      <w:r>
        <w:t>Outlier Analysis</w:t>
      </w:r>
    </w:p>
    <w:p w14:paraId="56D8CF6C" w14:textId="77777777" w:rsidR="00402B45" w:rsidRDefault="00402B45" w:rsidP="00402B45">
      <w:pPr>
        <w:spacing w:line="480" w:lineRule="auto"/>
        <w:rPr>
          <w:rFonts w:eastAsiaTheme="minorEastAsia"/>
        </w:rPr>
      </w:pPr>
      <w:r>
        <w:rPr>
          <w:rFonts w:eastAsiaTheme="minorEastAsia"/>
        </w:rPr>
        <w:tab/>
      </w:r>
      <w:r w:rsidRPr="00F57CBD">
        <w:rPr>
          <w:rFonts w:eastAsiaTheme="minorEastAsia"/>
        </w:rPr>
        <w:t>We performed outlier analysis to detect</w:t>
      </w:r>
      <w:r>
        <w:rPr>
          <w:rFonts w:eastAsiaTheme="minorEastAsia"/>
        </w:rPr>
        <w:t xml:space="preserve"> </w:t>
      </w:r>
      <w:r w:rsidRPr="00F57CBD">
        <w:rPr>
          <w:rFonts w:eastAsiaTheme="minorEastAsia"/>
        </w:rPr>
        <w:t xml:space="preserve">individual </w:t>
      </w:r>
      <w:r>
        <w:rPr>
          <w:rFonts w:eastAsiaTheme="minorEastAsia"/>
        </w:rPr>
        <w:t>counties</w:t>
      </w:r>
      <w:r w:rsidRPr="00F57CBD">
        <w:rPr>
          <w:rFonts w:eastAsiaTheme="minorEastAsia"/>
        </w:rPr>
        <w:t xml:space="preserve"> that might disproportionally influence the overall estimate of the</w:t>
      </w:r>
      <w:r>
        <w:rPr>
          <w:rFonts w:eastAsiaTheme="minorEastAsia"/>
        </w:rPr>
        <w:t xml:space="preserve"> fixed effect panel regression model (1)</w:t>
      </w:r>
      <w:r w:rsidRPr="00F57CBD">
        <w:rPr>
          <w:rFonts w:eastAsiaTheme="minorEastAsia"/>
        </w:rPr>
        <w:t>.</w:t>
      </w:r>
      <w:r>
        <w:rPr>
          <w:rFonts w:eastAsiaTheme="minorEastAsia"/>
        </w:rPr>
        <w:t xml:space="preserve"> Specifically, the Cook’s distance </w:t>
      </w:r>
      <w:r w:rsidRPr="00E20D10">
        <w:rPr>
          <w:rFonts w:eastAsiaTheme="minorEastAsia"/>
        </w:rPr>
        <w:t xml:space="preserve">was </w:t>
      </w:r>
      <w:r>
        <w:rPr>
          <w:rFonts w:eastAsiaTheme="minorEastAsia"/>
        </w:rPr>
        <w:t>calculated</w:t>
      </w:r>
      <w:r w:rsidRPr="00E20D10">
        <w:rPr>
          <w:rFonts w:eastAsiaTheme="minorEastAsia"/>
        </w:rPr>
        <w:t xml:space="preserve"> for each </w:t>
      </w:r>
      <w:r>
        <w:rPr>
          <w:rFonts w:eastAsiaTheme="minorEastAsia"/>
        </w:rPr>
        <w:t>data point</w:t>
      </w:r>
      <w:r w:rsidRPr="00E20D10">
        <w:rPr>
          <w:rFonts w:eastAsiaTheme="minorEastAsia"/>
        </w:rPr>
        <w:t xml:space="preserve"> by leaving out th</w:t>
      </w:r>
      <w:r>
        <w:rPr>
          <w:rFonts w:eastAsiaTheme="minorEastAsia"/>
        </w:rPr>
        <w:t>e point</w:t>
      </w:r>
      <w:r w:rsidRPr="00E20D10">
        <w:rPr>
          <w:rFonts w:eastAsiaTheme="minorEastAsia"/>
        </w:rPr>
        <w:t xml:space="preserve"> and </w:t>
      </w:r>
      <w:r>
        <w:rPr>
          <w:rFonts w:eastAsiaTheme="minorEastAsia"/>
        </w:rPr>
        <w:t>fitting</w:t>
      </w:r>
      <w:r w:rsidRPr="00E20D10">
        <w:rPr>
          <w:rFonts w:eastAsiaTheme="minorEastAsia"/>
        </w:rPr>
        <w:t xml:space="preserve"> </w:t>
      </w:r>
      <w:r>
        <w:rPr>
          <w:rFonts w:eastAsiaTheme="minorEastAsia"/>
        </w:rPr>
        <w:t>the</w:t>
      </w:r>
      <w:r w:rsidRPr="00E20D10">
        <w:rPr>
          <w:rFonts w:eastAsiaTheme="minorEastAsia"/>
        </w:rPr>
        <w:t xml:space="preserve"> regression on the remaining </w:t>
      </w:r>
      <w:r>
        <w:rPr>
          <w:rFonts w:eastAsiaTheme="minorEastAsia"/>
        </w:rPr>
        <w:t xml:space="preserve">data points. Figure S1 presents the histogram of Cook’s distances averaged by county under model (1) where the outcome is county-level </w:t>
      </w:r>
      <w:r w:rsidRPr="009C7DF5">
        <w:t>daily new SARS-CoV-2 case per 100,000 residents</w:t>
      </w:r>
      <w:r>
        <w:rPr>
          <w:rFonts w:eastAsiaTheme="minorEastAsia"/>
        </w:rPr>
        <w:t>. Monroe county clearly stands out as the most influential county with the largest average Cook’s distance (0.0019) above the threshold (0.0010). Pike county is the second influential county (average Cook’s distance = 0.0015). Figure S2 presents the average Cook’s distance by county under model (1), this time restricting the outcome</w:t>
      </w:r>
      <w:r w:rsidRPr="00FC323D">
        <w:rPr>
          <w:rFonts w:eastAsiaTheme="minorEastAsia"/>
        </w:rPr>
        <w:t xml:space="preserve"> to residents aged 0-1</w:t>
      </w:r>
      <w:r>
        <w:rPr>
          <w:rFonts w:eastAsiaTheme="minorEastAsia"/>
        </w:rPr>
        <w:t xml:space="preserve">9. We see that Monroe county is the single most influential county, with average Cook’s distance much higher than those of other counties as well as the threshold. These findings are sensible given that Monroe county, with </w:t>
      </w:r>
      <w:r w:rsidRPr="001C253C">
        <w:rPr>
          <w:rFonts w:eastAsiaTheme="minorEastAsia"/>
        </w:rPr>
        <w:t>largest college campus in the state</w:t>
      </w:r>
      <w:r>
        <w:rPr>
          <w:rFonts w:eastAsiaTheme="minorEastAsia"/>
        </w:rPr>
        <w:t xml:space="preserve">, </w:t>
      </w:r>
      <w:r w:rsidRPr="00CF51F7">
        <w:rPr>
          <w:rFonts w:eastAsiaTheme="minorEastAsia"/>
        </w:rPr>
        <w:t>had a large testing mitigation strategy and had an outlier number of tests and positive cases found in the student population during our study.</w:t>
      </w:r>
      <w:r>
        <w:rPr>
          <w:rFonts w:eastAsiaTheme="minorEastAsia"/>
        </w:rPr>
        <w:t xml:space="preserve"> Monroe county also has a relatively high student to non-student population ratio compared to other counties with major college campuses. We thus excluded Monroe county from the analysis.</w:t>
      </w:r>
    </w:p>
    <w:p w14:paraId="569A3C5F" w14:textId="77777777" w:rsidR="00402B45" w:rsidRDefault="00402B45" w:rsidP="00402B45">
      <w:pPr>
        <w:rPr>
          <w:b/>
          <w:u w:val="single"/>
        </w:rPr>
      </w:pPr>
      <w:r>
        <w:rPr>
          <w:b/>
          <w:u w:val="single"/>
        </w:rPr>
        <w:br w:type="page"/>
      </w:r>
    </w:p>
    <w:p w14:paraId="760AF60E" w14:textId="77777777" w:rsidR="00402B45" w:rsidRPr="004F3EE1" w:rsidRDefault="00402B45" w:rsidP="00402B45">
      <w:pPr>
        <w:pStyle w:val="Heading2"/>
      </w:pPr>
      <w:r>
        <w:lastRenderedPageBreak/>
        <w:t>D.</w:t>
      </w:r>
      <w:r w:rsidRPr="004F3EE1">
        <w:t xml:space="preserve"> </w:t>
      </w:r>
      <w:r>
        <w:t>Sensitivity Analysis</w:t>
      </w:r>
    </w:p>
    <w:p w14:paraId="1D8E665B" w14:textId="77777777" w:rsidR="00402B45" w:rsidRDefault="00402B45" w:rsidP="00402B45">
      <w:pPr>
        <w:spacing w:line="480" w:lineRule="auto"/>
        <w:ind w:firstLine="720"/>
        <w:rPr>
          <w:rFonts w:eastAsiaTheme="minorEastAsia"/>
        </w:rPr>
      </w:pPr>
      <w:r w:rsidRPr="00872A92">
        <w:rPr>
          <w:rFonts w:eastAsiaTheme="minorEastAsia"/>
        </w:rPr>
        <w:t xml:space="preserve">In the first set of sensitivity analyses, we examined the robustness of findings to both shorter (21-27 days) and longer (29-35 days) lag periods between school reopening and daily SARS-CoV-2 cases. </w:t>
      </w:r>
      <w:r>
        <w:rPr>
          <w:rFonts w:eastAsiaTheme="minorEastAsia"/>
        </w:rPr>
        <w:t xml:space="preserve">The results are presented in Table S1. </w:t>
      </w:r>
      <w:r w:rsidRPr="00872A92">
        <w:rPr>
          <w:rFonts w:eastAsiaTheme="minorEastAsia"/>
        </w:rPr>
        <w:t>We see that the effects are</w:t>
      </w:r>
      <w:r>
        <w:rPr>
          <w:rFonts w:eastAsiaTheme="minorEastAsia"/>
        </w:rPr>
        <w:t xml:space="preserve"> relatively</w:t>
      </w:r>
      <w:r w:rsidRPr="00872A92">
        <w:rPr>
          <w:rFonts w:eastAsiaTheme="minorEastAsia"/>
        </w:rPr>
        <w:t xml:space="preserve"> small and non-significant when the lag is set to 21 days</w:t>
      </w:r>
      <w:r>
        <w:rPr>
          <w:rFonts w:eastAsiaTheme="minorEastAsia"/>
        </w:rPr>
        <w:t xml:space="preserve"> (3 week), suggesting that this is not a long enough window period for the effect of in-person learning on the </w:t>
      </w:r>
      <w:r w:rsidRPr="00872A92">
        <w:rPr>
          <w:rFonts w:eastAsiaTheme="minorEastAsia"/>
        </w:rPr>
        <w:t>daily new SARS-CoV-2 cases at the county level</w:t>
      </w:r>
      <w:r>
        <w:rPr>
          <w:rFonts w:eastAsiaTheme="minorEastAsia"/>
        </w:rPr>
        <w:t xml:space="preserve"> to manifest among all residents </w:t>
      </w:r>
      <w:r w:rsidRPr="00872A92">
        <w:rPr>
          <w:rFonts w:eastAsiaTheme="minorEastAsia"/>
        </w:rPr>
        <w:t>(</w:t>
      </w:r>
      <m:oMath>
        <m:r>
          <m:rPr>
            <m:sty m:val="p"/>
          </m:rPr>
          <w:rPr>
            <w:rFonts w:ascii="Cambria Math" w:eastAsia="Calibri" w:hAnsi="Cambria Math"/>
          </w:rPr>
          <m:t>β</m:t>
        </m:r>
        <m:r>
          <m:rPr>
            <m:sty m:val="p"/>
          </m:rPr>
          <w:rPr>
            <w:rFonts w:ascii="Cambria Math" w:eastAsiaTheme="minorEastAsia" w:hAnsi="Cambria Math"/>
          </w:rPr>
          <m:t>=1.29;SE=0.68;P=0.058</m:t>
        </m:r>
      </m:oMath>
      <w:r>
        <w:rPr>
          <w:rFonts w:eastAsiaTheme="minorEastAsia"/>
        </w:rPr>
        <w:t xml:space="preserve">). However, we are able to find relatively strong and consistent effects of in-person learning across longer lags ranging from 25 to 35 days. Specifically, the strongest and highly significant effects are found when the lag is set to either 28 </w:t>
      </w:r>
      <w:r w:rsidRPr="00872A92">
        <w:rPr>
          <w:rFonts w:eastAsiaTheme="minorEastAsia"/>
        </w:rPr>
        <w:t>(</w:t>
      </w:r>
      <w:r>
        <w:rPr>
          <w:rFonts w:eastAsiaTheme="minorEastAsia"/>
        </w:rPr>
        <w:t xml:space="preserve">among all residents: </w:t>
      </w:r>
      <m:oMath>
        <m:r>
          <m:rPr>
            <m:sty m:val="p"/>
          </m:rPr>
          <w:rPr>
            <w:rFonts w:ascii="Cambria Math" w:eastAsia="Calibri" w:hAnsi="Cambria Math"/>
          </w:rPr>
          <m:t>β</m:t>
        </m:r>
        <m:r>
          <m:rPr>
            <m:sty m:val="p"/>
          </m:rPr>
          <w:rPr>
            <w:rFonts w:ascii="Cambria Math" w:eastAsiaTheme="minorEastAsia" w:hAnsi="Cambria Math"/>
          </w:rPr>
          <m:t>=3.36;SE=0.74;P&lt;0.001</m:t>
        </m:r>
      </m:oMath>
      <w:r>
        <w:rPr>
          <w:rFonts w:eastAsiaTheme="minorEastAsia"/>
        </w:rPr>
        <w:t xml:space="preserve">) or 31 days </w:t>
      </w:r>
      <w:r w:rsidRPr="00872A92">
        <w:rPr>
          <w:rFonts w:eastAsiaTheme="minorEastAsia"/>
        </w:rPr>
        <w:t>(</w:t>
      </w:r>
      <w:r>
        <w:rPr>
          <w:rFonts w:eastAsiaTheme="minorEastAsia"/>
        </w:rPr>
        <w:t xml:space="preserve">among all residents: </w:t>
      </w:r>
      <m:oMath>
        <m:r>
          <m:rPr>
            <m:sty m:val="p"/>
          </m:rPr>
          <w:rPr>
            <w:rFonts w:ascii="Cambria Math" w:eastAsia="Calibri" w:hAnsi="Cambria Math"/>
          </w:rPr>
          <m:t>β</m:t>
        </m:r>
        <m:r>
          <m:rPr>
            <m:sty m:val="p"/>
          </m:rPr>
          <w:rPr>
            <w:rFonts w:ascii="Cambria Math" w:eastAsiaTheme="minorEastAsia" w:hAnsi="Cambria Math"/>
          </w:rPr>
          <m:t>=3.32;SE=0.61;P&lt;0.001</m:t>
        </m:r>
      </m:oMath>
      <w:r>
        <w:rPr>
          <w:rFonts w:eastAsiaTheme="minorEastAsia"/>
        </w:rPr>
        <w:t>). Similar findings are reported when the outcome is restricted to residents aged 0-19.</w:t>
      </w:r>
    </w:p>
    <w:p w14:paraId="7AF980DB" w14:textId="77777777" w:rsidR="00402B45" w:rsidRDefault="00402B45" w:rsidP="00402B45">
      <w:pPr>
        <w:spacing w:line="480" w:lineRule="auto"/>
        <w:ind w:firstLine="720"/>
        <w:rPr>
          <w:rFonts w:eastAsiaTheme="minorEastAsia"/>
        </w:rPr>
      </w:pPr>
      <w:r>
        <w:rPr>
          <w:rFonts w:eastAsiaTheme="minorEastAsia"/>
        </w:rPr>
        <w:t>In the second set of sensitivity analyses, we</w:t>
      </w:r>
      <w:r w:rsidRPr="00DA1A58">
        <w:rPr>
          <w:rFonts w:eastAsiaTheme="minorEastAsia"/>
        </w:rPr>
        <w:t xml:space="preserve"> explored the sensitivity of our findings to two other methods of imputing missing school-level cumulative proportion of students in-person</w:t>
      </w:r>
      <w:r>
        <w:rPr>
          <w:rFonts w:eastAsiaTheme="minorEastAsia"/>
        </w:rPr>
        <w:t xml:space="preserve">: 1) </w:t>
      </w:r>
      <w:r w:rsidRPr="00DA1A58">
        <w:rPr>
          <w:rFonts w:eastAsiaTheme="minorEastAsia"/>
        </w:rPr>
        <w:t>imput</w:t>
      </w:r>
      <w:r>
        <w:rPr>
          <w:rFonts w:eastAsiaTheme="minorEastAsia"/>
        </w:rPr>
        <w:t>ing</w:t>
      </w:r>
      <w:r w:rsidRPr="00DA1A58">
        <w:rPr>
          <w:rFonts w:eastAsiaTheme="minorEastAsia"/>
        </w:rPr>
        <w:t xml:space="preserve"> missing values </w:t>
      </w:r>
      <w:r>
        <w:rPr>
          <w:rFonts w:eastAsiaTheme="minorEastAsia"/>
        </w:rPr>
        <w:t>with</w:t>
      </w:r>
      <w:r w:rsidRPr="00DA1A58">
        <w:rPr>
          <w:rFonts w:eastAsiaTheme="minorEastAsia"/>
        </w:rPr>
        <w:t xml:space="preserve"> 0% in-person learning rates</w:t>
      </w:r>
      <w:r>
        <w:rPr>
          <w:rFonts w:eastAsiaTheme="minorEastAsia"/>
        </w:rPr>
        <w:t xml:space="preserve"> (assuming 100% e-learning rates);</w:t>
      </w:r>
      <w:r w:rsidRPr="00DA1A58">
        <w:rPr>
          <w:rFonts w:eastAsiaTheme="minorEastAsia"/>
        </w:rPr>
        <w:t xml:space="preserve"> </w:t>
      </w:r>
      <w:r>
        <w:rPr>
          <w:rFonts w:eastAsiaTheme="minorEastAsia"/>
        </w:rPr>
        <w:t>and 2) imputing</w:t>
      </w:r>
      <w:r w:rsidRPr="00DA1A58">
        <w:rPr>
          <w:rFonts w:eastAsiaTheme="minorEastAsia"/>
        </w:rPr>
        <w:t xml:space="preserve"> missing values </w:t>
      </w:r>
      <w:r>
        <w:rPr>
          <w:rFonts w:eastAsiaTheme="minorEastAsia"/>
        </w:rPr>
        <w:t>with</w:t>
      </w:r>
      <w:r w:rsidRPr="00DA1A58">
        <w:rPr>
          <w:rFonts w:eastAsiaTheme="minorEastAsia"/>
        </w:rPr>
        <w:t xml:space="preserve"> </w:t>
      </w:r>
      <w:r>
        <w:rPr>
          <w:rFonts w:eastAsiaTheme="minorEastAsia"/>
        </w:rPr>
        <w:t>10</w:t>
      </w:r>
      <w:r w:rsidRPr="00DA1A58">
        <w:rPr>
          <w:rFonts w:eastAsiaTheme="minorEastAsia"/>
        </w:rPr>
        <w:t>0% in-person learning rates</w:t>
      </w:r>
      <w:r>
        <w:rPr>
          <w:rFonts w:eastAsiaTheme="minorEastAsia"/>
        </w:rPr>
        <w:t>. Results are presented in Table S2. When the missing values were imputed with 0</w:t>
      </w:r>
      <w:r w:rsidRPr="00DA1A58">
        <w:rPr>
          <w:rFonts w:eastAsiaTheme="minorEastAsia"/>
        </w:rPr>
        <w:t>% in-person learning rates</w:t>
      </w:r>
      <w:r>
        <w:rPr>
          <w:rFonts w:eastAsiaTheme="minorEastAsia"/>
        </w:rPr>
        <w:t xml:space="preserve">, we found very strong effects of in-person learning on the </w:t>
      </w:r>
      <w:r w:rsidRPr="00872A92">
        <w:rPr>
          <w:rFonts w:eastAsiaTheme="minorEastAsia"/>
        </w:rPr>
        <w:t xml:space="preserve">daily new SARS-CoV-2 cases </w:t>
      </w:r>
      <w:r>
        <w:rPr>
          <w:rFonts w:eastAsiaTheme="minorEastAsia"/>
        </w:rPr>
        <w:t xml:space="preserve">both among all residents </w:t>
      </w:r>
      <w:r w:rsidRPr="00872A92">
        <w:rPr>
          <w:rFonts w:eastAsiaTheme="minorEastAsia"/>
        </w:rPr>
        <w:t>(</w:t>
      </w:r>
      <m:oMath>
        <m:r>
          <m:rPr>
            <m:sty m:val="p"/>
          </m:rPr>
          <w:rPr>
            <w:rFonts w:ascii="Cambria Math" w:eastAsia="Calibri" w:hAnsi="Cambria Math"/>
          </w:rPr>
          <m:t>β</m:t>
        </m:r>
        <m:r>
          <m:rPr>
            <m:sty m:val="p"/>
          </m:rPr>
          <w:rPr>
            <w:rFonts w:ascii="Cambria Math" w:eastAsiaTheme="minorEastAsia" w:hAnsi="Cambria Math"/>
          </w:rPr>
          <m:t>=4.81;SE=0.94;P=0.028</m:t>
        </m:r>
      </m:oMath>
      <w:r>
        <w:rPr>
          <w:rFonts w:eastAsiaTheme="minorEastAsia"/>
        </w:rPr>
        <w:t xml:space="preserve">) and among those aged 0-19 </w:t>
      </w:r>
      <w:r w:rsidRPr="00872A92">
        <w:rPr>
          <w:rFonts w:eastAsiaTheme="minorEastAsia"/>
        </w:rPr>
        <w:t>(</w:t>
      </w:r>
      <m:oMath>
        <m:r>
          <m:rPr>
            <m:sty m:val="p"/>
          </m:rPr>
          <w:rPr>
            <w:rFonts w:ascii="Cambria Math" w:eastAsia="Calibri" w:hAnsi="Cambria Math"/>
          </w:rPr>
          <m:t>β</m:t>
        </m:r>
        <m:r>
          <m:rPr>
            <m:sty m:val="p"/>
          </m:rPr>
          <w:rPr>
            <w:rFonts w:ascii="Cambria Math" w:eastAsiaTheme="minorEastAsia" w:hAnsi="Cambria Math"/>
          </w:rPr>
          <m:t>=5.27;SE=1.36;P&lt;0.001</m:t>
        </m:r>
      </m:oMath>
      <w:r>
        <w:rPr>
          <w:rFonts w:eastAsiaTheme="minorEastAsia"/>
        </w:rPr>
        <w:t>). When the missing values were imputed with 0</w:t>
      </w:r>
      <w:r w:rsidRPr="00DA1A58">
        <w:rPr>
          <w:rFonts w:eastAsiaTheme="minorEastAsia"/>
        </w:rPr>
        <w:t>% in-person learning rates</w:t>
      </w:r>
      <w:r>
        <w:rPr>
          <w:rFonts w:eastAsiaTheme="minorEastAsia"/>
        </w:rPr>
        <w:t xml:space="preserve">, we found results similar to those of our primary analysis presented in the main manuscript (where missing values were imputed by </w:t>
      </w:r>
      <w:r w:rsidRPr="00BB0269">
        <w:rPr>
          <w:rFonts w:eastAsiaTheme="minorEastAsia"/>
        </w:rPr>
        <w:t>enrollment-weighted county averages</w:t>
      </w:r>
      <w:r>
        <w:rPr>
          <w:rFonts w:eastAsiaTheme="minorEastAsia"/>
        </w:rPr>
        <w:t>).</w:t>
      </w:r>
    </w:p>
    <w:p w14:paraId="50D13C8E" w14:textId="77777777" w:rsidR="00402B45" w:rsidRPr="004F3EE1" w:rsidRDefault="00402B45" w:rsidP="00402B45">
      <w:pPr>
        <w:pStyle w:val="Heading2"/>
      </w:pPr>
      <w:r>
        <w:t>E.</w:t>
      </w:r>
      <w:r w:rsidRPr="004F3EE1">
        <w:t xml:space="preserve"> </w:t>
      </w:r>
      <w:r>
        <w:t>Constructing Scenarios in Figure 1 and Figure 2</w:t>
      </w:r>
    </w:p>
    <w:p w14:paraId="060CFC1D" w14:textId="77777777" w:rsidR="00402B45" w:rsidRDefault="00402B45" w:rsidP="00402B45">
      <w:pPr>
        <w:spacing w:line="480" w:lineRule="auto"/>
        <w:ind w:firstLine="720"/>
        <w:rPr>
          <w:rFonts w:eastAsiaTheme="minorEastAsia"/>
        </w:rPr>
      </w:pPr>
      <w:r>
        <w:rPr>
          <w:rFonts w:eastAsiaTheme="minorEastAsia"/>
        </w:rPr>
        <w:lastRenderedPageBreak/>
        <w:t>To construct the four scenarios in Figure 1 and Figure 2, we use the following procedure. First, at the school corporation level, we adjust the estimated proportion of students attending by the appropriate percentage point change according to the scenario (+25%, +10%, -10%, -25%). Not all corporations are able to adjust fully. For example, if a school corporation has 80% of students attending in-person then they can increase by 10 percentage points (to 90%) but can only increase 20 out of the full 25 percentage points, as the maximum attending in-person is 100%. Using the adjusted proportion of students attending in-person, we then aggregate school corporations to the county level to construct the cumulative proportion of students attending in-person on a given day in that county, taking care to account for different start dates by school corporations. Combining this with the appropriate estimated coefficient (</w:t>
      </w:r>
      <m:oMath>
        <m:r>
          <w:rPr>
            <w:rFonts w:ascii="Cambria Math" w:eastAsia="Calibri" w:hAnsi="Cambria Math"/>
          </w:rPr>
          <m:t>β</m:t>
        </m:r>
      </m:oMath>
      <w:r>
        <w:rPr>
          <w:rFonts w:eastAsiaTheme="minorEastAsia"/>
          <w:b/>
        </w:rPr>
        <w:t>)</w:t>
      </w:r>
      <w:r>
        <w:rPr>
          <w:rFonts w:eastAsiaTheme="minorEastAsia"/>
        </w:rPr>
        <w:t xml:space="preserve">, we can then determine the effect on </w:t>
      </w:r>
      <w:r w:rsidRPr="009C7DF5">
        <w:t>daily new SARS-CoV-2 case per 100,000 residents</w:t>
      </w:r>
      <w:r>
        <w:rPr>
          <w:rFonts w:eastAsiaTheme="minorEastAsia"/>
        </w:rPr>
        <w:t xml:space="preserve"> in the county. For example, if a county has a single school corporation that increases its in-person attendance by 10 percentage points then beginning 28 days after the school start date, </w:t>
      </w:r>
      <w:r w:rsidRPr="009C7DF5">
        <w:t>daily new SARS-CoV-2 case per 100,000 residents</w:t>
      </w:r>
      <w:r>
        <w:rPr>
          <w:rFonts w:eastAsiaTheme="minorEastAsia"/>
        </w:rPr>
        <w:t xml:space="preserve"> in the county will increase by 0.1</w:t>
      </w:r>
      <w:r w:rsidRPr="00952B60">
        <w:t xml:space="preserve"> </w:t>
      </w:r>
      <w:r w:rsidRPr="00952B60">
        <w:rPr>
          <w:rFonts w:eastAsiaTheme="minorEastAsia"/>
        </w:rPr>
        <w:t xml:space="preserve">x </w:t>
      </w:r>
      <w:r w:rsidRPr="008941D5">
        <w:rPr>
          <w:rFonts w:eastAsiaTheme="minorEastAsia"/>
        </w:rPr>
        <w:t>3.36</w:t>
      </w:r>
      <w:r>
        <w:rPr>
          <w:rFonts w:eastAsiaTheme="minorEastAsia"/>
        </w:rPr>
        <w:t xml:space="preserve"> = 0.336. We then aggregate the daily effects across counties and populations to generate the total effect on</w:t>
      </w:r>
      <w:r w:rsidRPr="003C27AB">
        <w:t xml:space="preserve"> </w:t>
      </w:r>
      <w:r w:rsidRPr="009C7DF5">
        <w:t>daily new SARS-CoV-2 case per 100,000 residents</w:t>
      </w:r>
      <w:r>
        <w:rPr>
          <w:rFonts w:eastAsiaTheme="minorEastAsia"/>
        </w:rPr>
        <w:t xml:space="preserve"> in all counties in the sample, which is presented in Figure 1 for all ages and in Figure 2 for ages 0-19 only.</w:t>
      </w:r>
    </w:p>
    <w:p w14:paraId="3B30A6EC" w14:textId="77777777" w:rsidR="00402B45" w:rsidRDefault="00402B45" w:rsidP="00402B45">
      <w:pPr>
        <w:rPr>
          <w:rFonts w:eastAsiaTheme="minorEastAsia"/>
        </w:rPr>
      </w:pPr>
      <w:r>
        <w:rPr>
          <w:rFonts w:eastAsiaTheme="minorEastAsia"/>
        </w:rPr>
        <w:br w:type="page"/>
      </w:r>
    </w:p>
    <w:p w14:paraId="54808306" w14:textId="77777777" w:rsidR="00402B45" w:rsidRPr="00E20D10" w:rsidRDefault="00402B45" w:rsidP="00402B45">
      <w:pPr>
        <w:spacing w:line="480" w:lineRule="auto"/>
        <w:rPr>
          <w:rFonts w:eastAsiaTheme="minorEastAsia"/>
        </w:rPr>
      </w:pPr>
      <w:r w:rsidRPr="00E20D10">
        <w:rPr>
          <w:rFonts w:eastAsiaTheme="minorEastAsia"/>
          <w:b/>
        </w:rPr>
        <w:lastRenderedPageBreak/>
        <w:t>Figure S1</w:t>
      </w:r>
      <w:r>
        <w:rPr>
          <w:rFonts w:eastAsiaTheme="minorEastAsia"/>
          <w:b/>
        </w:rPr>
        <w:t>.</w:t>
      </w:r>
      <w:r>
        <w:rPr>
          <w:rFonts w:eastAsiaTheme="minorEastAsia"/>
        </w:rPr>
        <w:t xml:space="preserve"> Histogram of average Cook’s distance by county under model (1), where the outcome is county-level </w:t>
      </w:r>
      <w:r w:rsidRPr="009C7DF5">
        <w:t>daily new SARS-CoV-2 case per 100,000 residents</w:t>
      </w:r>
      <w:r>
        <w:rPr>
          <w:rFonts w:eastAsiaTheme="minorEastAsia"/>
        </w:rPr>
        <w:t>. The red vertical line at 0.001 denotes the threshold above which the data point is considered an outlier.</w:t>
      </w:r>
    </w:p>
    <w:p w14:paraId="612F6E78" w14:textId="77777777" w:rsidR="00402B45" w:rsidRDefault="00402B45" w:rsidP="00402B45">
      <w:pPr>
        <w:spacing w:line="480" w:lineRule="auto"/>
        <w:jc w:val="center"/>
        <w:rPr>
          <w:rFonts w:eastAsiaTheme="minorEastAsia"/>
          <w:b/>
        </w:rPr>
      </w:pPr>
      <w:r w:rsidRPr="00F57CBD">
        <w:rPr>
          <w:rFonts w:eastAsiaTheme="minorEastAsia"/>
          <w:noProof/>
        </w:rPr>
        <w:drawing>
          <wp:inline distT="0" distB="0" distL="0" distR="0" wp14:anchorId="4770ED5D" wp14:editId="524EEC97">
            <wp:extent cx="4960040" cy="3566160"/>
            <wp:effectExtent l="0" t="0" r="0" b="0"/>
            <wp:docPr id="11" name="Picture 10" descr="Chart, histogram&#10;&#10;Description automatically generated">
              <a:extLst xmlns:a="http://schemas.openxmlformats.org/drawingml/2006/main">
                <a:ext uri="{FF2B5EF4-FFF2-40B4-BE49-F238E27FC236}">
                  <a16:creationId xmlns:a16="http://schemas.microsoft.com/office/drawing/2014/main" id="{2A91F416-F5AE-4140-85A8-EB86A38E9A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Chart, histogram&#10;&#10;Description automatically generated">
                      <a:extLst>
                        <a:ext uri="{FF2B5EF4-FFF2-40B4-BE49-F238E27FC236}">
                          <a16:creationId xmlns:a16="http://schemas.microsoft.com/office/drawing/2014/main" id="{2A91F416-F5AE-4140-85A8-EB86A38E9A37}"/>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960040" cy="3566160"/>
                    </a:xfrm>
                    <a:prstGeom prst="rect">
                      <a:avLst/>
                    </a:prstGeom>
                  </pic:spPr>
                </pic:pic>
              </a:graphicData>
            </a:graphic>
          </wp:inline>
        </w:drawing>
      </w:r>
    </w:p>
    <w:p w14:paraId="73ADE402" w14:textId="77777777" w:rsidR="00402B45" w:rsidRDefault="00402B45" w:rsidP="00402B45">
      <w:pPr>
        <w:rPr>
          <w:rFonts w:eastAsiaTheme="minorEastAsia"/>
          <w:b/>
        </w:rPr>
      </w:pPr>
      <w:r>
        <w:rPr>
          <w:rFonts w:eastAsiaTheme="minorEastAsia"/>
          <w:b/>
        </w:rPr>
        <w:br w:type="page"/>
      </w:r>
    </w:p>
    <w:p w14:paraId="71110893" w14:textId="77777777" w:rsidR="00402B45" w:rsidRDefault="00402B45" w:rsidP="00402B45">
      <w:pPr>
        <w:spacing w:line="276" w:lineRule="auto"/>
        <w:rPr>
          <w:rFonts w:eastAsiaTheme="minorEastAsia"/>
        </w:rPr>
      </w:pPr>
      <w:r w:rsidRPr="00E20D10">
        <w:rPr>
          <w:rFonts w:eastAsiaTheme="minorEastAsia"/>
          <w:b/>
        </w:rPr>
        <w:lastRenderedPageBreak/>
        <w:t>Figure S</w:t>
      </w:r>
      <w:r>
        <w:rPr>
          <w:rFonts w:eastAsiaTheme="minorEastAsia"/>
          <w:b/>
        </w:rPr>
        <w:t>2.</w:t>
      </w:r>
      <w:r>
        <w:rPr>
          <w:rFonts w:eastAsiaTheme="minorEastAsia"/>
        </w:rPr>
        <w:t xml:space="preserve"> Histogram of average Cook’s distance by county under model (1), where the outcome is county-level </w:t>
      </w:r>
      <w:r w:rsidRPr="009C7DF5">
        <w:t>daily new SARS-CoV-2 case per 100,000 residents</w:t>
      </w:r>
      <w:r>
        <w:t xml:space="preserve"> aged 0-19</w:t>
      </w:r>
      <w:r>
        <w:rPr>
          <w:rFonts w:eastAsiaTheme="minorEastAsia"/>
        </w:rPr>
        <w:t>. The red vertical line at 0.001 denotes the threshold above which the data point is considered an outlier.</w:t>
      </w:r>
    </w:p>
    <w:p w14:paraId="3582E651" w14:textId="77777777" w:rsidR="00402B45" w:rsidRDefault="00402B45" w:rsidP="00402B45">
      <w:pPr>
        <w:spacing w:line="480" w:lineRule="auto"/>
        <w:jc w:val="center"/>
        <w:rPr>
          <w:rFonts w:eastAsiaTheme="minorEastAsia"/>
        </w:rPr>
      </w:pPr>
      <w:r>
        <w:rPr>
          <w:rFonts w:eastAsiaTheme="minorEastAsia"/>
          <w:noProof/>
        </w:rPr>
        <w:drawing>
          <wp:inline distT="0" distB="0" distL="0" distR="0" wp14:anchorId="38D73499" wp14:editId="33099FF5">
            <wp:extent cx="5062253" cy="3566160"/>
            <wp:effectExtent l="0" t="0" r="5080" b="0"/>
            <wp:docPr id="3" name="Picture 3"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histo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2253" cy="3566160"/>
                    </a:xfrm>
                    <a:prstGeom prst="rect">
                      <a:avLst/>
                    </a:prstGeom>
                    <a:noFill/>
                    <a:ln>
                      <a:noFill/>
                    </a:ln>
                  </pic:spPr>
                </pic:pic>
              </a:graphicData>
            </a:graphic>
          </wp:inline>
        </w:drawing>
      </w:r>
    </w:p>
    <w:p w14:paraId="79CA6F17" w14:textId="77777777" w:rsidR="00402B45" w:rsidRDefault="00402B45" w:rsidP="00402B45">
      <w:pPr>
        <w:rPr>
          <w:rFonts w:eastAsia="Calibri"/>
          <w:b/>
          <w:bCs/>
        </w:rPr>
      </w:pPr>
      <w:r>
        <w:rPr>
          <w:rFonts w:eastAsia="Calibri"/>
          <w:b/>
          <w:bCs/>
        </w:rPr>
        <w:br w:type="page"/>
      </w:r>
    </w:p>
    <w:p w14:paraId="6614B200" w14:textId="77777777" w:rsidR="00402B45" w:rsidRPr="005C4CCD" w:rsidRDefault="00402B45" w:rsidP="00402B45">
      <w:pPr>
        <w:keepNext/>
        <w:spacing w:line="257" w:lineRule="auto"/>
      </w:pPr>
      <w:r w:rsidRPr="005C4CCD">
        <w:rPr>
          <w:rFonts w:eastAsia="Calibri"/>
          <w:b/>
          <w:bCs/>
        </w:rPr>
        <w:lastRenderedPageBreak/>
        <w:t xml:space="preserve">Table </w:t>
      </w:r>
      <w:r>
        <w:rPr>
          <w:rFonts w:eastAsia="Calibri"/>
          <w:b/>
          <w:bCs/>
        </w:rPr>
        <w:t>S1</w:t>
      </w:r>
      <w:r w:rsidRPr="005C4CCD">
        <w:rPr>
          <w:rFonts w:eastAsia="Calibri"/>
          <w:b/>
          <w:bCs/>
        </w:rPr>
        <w:t xml:space="preserve">. </w:t>
      </w:r>
      <w:r w:rsidRPr="005C4CCD">
        <w:rPr>
          <w:rFonts w:eastAsia="Calibri"/>
        </w:rPr>
        <w:t>Results of the panel data regression with county and day fixed effects using data from 73 counties in the state of Indiana</w:t>
      </w:r>
      <w:r>
        <w:rPr>
          <w:rFonts w:eastAsia="Calibri"/>
        </w:rPr>
        <w:t xml:space="preserve"> for different lags of the</w:t>
      </w:r>
      <w:r w:rsidRPr="005C4CCD">
        <w:rPr>
          <w:rFonts w:eastAsia="Calibri"/>
        </w:rPr>
        <w:t xml:space="preserve"> main predictor</w:t>
      </w:r>
      <w:r>
        <w:rPr>
          <w:rFonts w:eastAsia="Calibri"/>
        </w:rPr>
        <w:t>, which</w:t>
      </w:r>
      <w:r w:rsidRPr="005C4CCD">
        <w:rPr>
          <w:rFonts w:eastAsia="Calibri"/>
        </w:rPr>
        <w:t xml:space="preserve"> is the county-level cumulative proportion of students utilizing in-person instruction</w:t>
      </w:r>
      <w:r>
        <w:rPr>
          <w:rFonts w:eastAsia="Calibri"/>
        </w:rPr>
        <w:t>.</w:t>
      </w:r>
    </w:p>
    <w:tbl>
      <w:tblPr>
        <w:tblStyle w:val="GridTable2"/>
        <w:tblW w:w="9350" w:type="dxa"/>
        <w:tblLayout w:type="fixed"/>
        <w:tblLook w:val="04A0" w:firstRow="1" w:lastRow="0" w:firstColumn="1" w:lastColumn="0" w:noHBand="0" w:noVBand="1"/>
      </w:tblPr>
      <w:tblGrid>
        <w:gridCol w:w="985"/>
        <w:gridCol w:w="4770"/>
        <w:gridCol w:w="1260"/>
        <w:gridCol w:w="1350"/>
        <w:gridCol w:w="985"/>
      </w:tblGrid>
      <w:tr w:rsidR="00402B45" w:rsidRPr="00B56326" w14:paraId="304E20C9" w14:textId="77777777" w:rsidTr="00A77B1B">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985" w:type="dxa"/>
            <w:vAlign w:val="center"/>
          </w:tcPr>
          <w:p w14:paraId="42FD9286" w14:textId="77777777" w:rsidR="00402B45" w:rsidRPr="00830E66" w:rsidRDefault="00402B45" w:rsidP="00A77B1B">
            <w:pPr>
              <w:keepNext/>
              <w:rPr>
                <w:rFonts w:eastAsia="Calibri"/>
              </w:rPr>
            </w:pPr>
            <w:r w:rsidRPr="00830E66">
              <w:rPr>
                <w:rFonts w:eastAsia="Calibri"/>
              </w:rPr>
              <w:t>Lag</w:t>
            </w:r>
          </w:p>
        </w:tc>
        <w:tc>
          <w:tcPr>
            <w:tcW w:w="4770" w:type="dxa"/>
            <w:vAlign w:val="center"/>
          </w:tcPr>
          <w:p w14:paraId="14EB076F" w14:textId="77777777" w:rsidR="00402B45" w:rsidRPr="00830E66" w:rsidRDefault="00402B45" w:rsidP="00A77B1B">
            <w:pPr>
              <w:keepNext/>
              <w:cnfStyle w:val="100000000000" w:firstRow="1" w:lastRow="0" w:firstColumn="0" w:lastColumn="0" w:oddVBand="0" w:evenVBand="0" w:oddHBand="0" w:evenHBand="0" w:firstRowFirstColumn="0" w:firstRowLastColumn="0" w:lastRowFirstColumn="0" w:lastRowLastColumn="0"/>
            </w:pPr>
            <w:r w:rsidRPr="00830E66">
              <w:rPr>
                <w:rFonts w:eastAsia="Calibri"/>
              </w:rPr>
              <w:t>Outcome</w:t>
            </w:r>
          </w:p>
        </w:tc>
        <w:tc>
          <w:tcPr>
            <w:tcW w:w="1260" w:type="dxa"/>
            <w:vAlign w:val="center"/>
          </w:tcPr>
          <w:p w14:paraId="1788DE41" w14:textId="77777777" w:rsidR="00402B45" w:rsidRPr="00830E66" w:rsidRDefault="00402B45" w:rsidP="00A77B1B">
            <w:pPr>
              <w:keepNext/>
              <w:jc w:val="center"/>
              <w:cnfStyle w:val="100000000000" w:firstRow="1" w:lastRow="0" w:firstColumn="0" w:lastColumn="0" w:oddVBand="0" w:evenVBand="0" w:oddHBand="0" w:evenHBand="0" w:firstRowFirstColumn="0" w:firstRowLastColumn="0" w:lastRowFirstColumn="0" w:lastRowLastColumn="0"/>
            </w:pPr>
            <w:bookmarkStart w:id="0" w:name="_Hlk57146543"/>
            <m:oMath>
              <m:r>
                <m:rPr>
                  <m:sty m:val="bi"/>
                </m:rPr>
                <w:rPr>
                  <w:rFonts w:ascii="Cambria Math" w:eastAsia="Calibri" w:hAnsi="Cambria Math"/>
                </w:rPr>
                <m:t>β</m:t>
              </m:r>
            </m:oMath>
            <w:bookmarkEnd w:id="0"/>
            <w:r w:rsidRPr="00830E66">
              <w:rPr>
                <w:rFonts w:eastAsia="Calibri"/>
              </w:rPr>
              <w:t xml:space="preserve"> (SE)</w:t>
            </w:r>
          </w:p>
        </w:tc>
        <w:tc>
          <w:tcPr>
            <w:tcW w:w="1350" w:type="dxa"/>
            <w:vAlign w:val="center"/>
          </w:tcPr>
          <w:p w14:paraId="78C32E8A" w14:textId="77777777" w:rsidR="00402B45" w:rsidRPr="00830E66" w:rsidRDefault="00402B45" w:rsidP="00A77B1B">
            <w:pPr>
              <w:keepNext/>
              <w:jc w:val="center"/>
              <w:cnfStyle w:val="100000000000" w:firstRow="1" w:lastRow="0" w:firstColumn="0" w:lastColumn="0" w:oddVBand="0" w:evenVBand="0" w:oddHBand="0" w:evenHBand="0" w:firstRowFirstColumn="0" w:firstRowLastColumn="0" w:lastRowFirstColumn="0" w:lastRowLastColumn="0"/>
            </w:pPr>
            <w:r w:rsidRPr="00830E66">
              <w:rPr>
                <w:rFonts w:eastAsia="Calibri"/>
              </w:rPr>
              <w:t>95% CI</w:t>
            </w:r>
          </w:p>
        </w:tc>
        <w:tc>
          <w:tcPr>
            <w:tcW w:w="985" w:type="dxa"/>
            <w:vAlign w:val="center"/>
          </w:tcPr>
          <w:p w14:paraId="72DD568C" w14:textId="77777777" w:rsidR="00402B45" w:rsidRPr="00830E66" w:rsidRDefault="00402B45" w:rsidP="00A77B1B">
            <w:pPr>
              <w:keepNext/>
              <w:jc w:val="center"/>
              <w:cnfStyle w:val="100000000000" w:firstRow="1" w:lastRow="0" w:firstColumn="0" w:lastColumn="0" w:oddVBand="0" w:evenVBand="0" w:oddHBand="0" w:evenHBand="0" w:firstRowFirstColumn="0" w:firstRowLastColumn="0" w:lastRowFirstColumn="0" w:lastRowLastColumn="0"/>
            </w:pPr>
            <w:r w:rsidRPr="00830E66">
              <w:rPr>
                <w:rFonts w:eastAsia="Calibri"/>
              </w:rPr>
              <w:t>P-value</w:t>
            </w:r>
          </w:p>
        </w:tc>
      </w:tr>
      <w:tr w:rsidR="00402B45" w:rsidRPr="00B56326" w14:paraId="5946ABAB" w14:textId="77777777" w:rsidTr="00A77B1B">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985" w:type="dxa"/>
            <w:vAlign w:val="center"/>
          </w:tcPr>
          <w:p w14:paraId="404C9676" w14:textId="77777777" w:rsidR="00402B45" w:rsidRPr="00830E66" w:rsidRDefault="00402B45" w:rsidP="00A77B1B">
            <w:pPr>
              <w:keepNext/>
              <w:rPr>
                <w:rFonts w:eastAsia="Calibri"/>
                <w:b w:val="0"/>
              </w:rPr>
            </w:pPr>
            <w:r w:rsidRPr="00830E66">
              <w:rPr>
                <w:rFonts w:eastAsia="Calibri"/>
                <w:b w:val="0"/>
              </w:rPr>
              <w:t>21 days</w:t>
            </w:r>
          </w:p>
        </w:tc>
        <w:tc>
          <w:tcPr>
            <w:tcW w:w="4770" w:type="dxa"/>
            <w:vAlign w:val="center"/>
          </w:tcPr>
          <w:p w14:paraId="553505BB" w14:textId="77777777" w:rsidR="00402B45" w:rsidRPr="00830E66" w:rsidRDefault="00402B45" w:rsidP="00A77B1B">
            <w:pPr>
              <w:keepNext/>
              <w:cnfStyle w:val="000000100000" w:firstRow="0" w:lastRow="0" w:firstColumn="0" w:lastColumn="0" w:oddVBand="0" w:evenVBand="0" w:oddHBand="1" w:evenHBand="0" w:firstRowFirstColumn="0" w:firstRowLastColumn="0" w:lastRowFirstColumn="0" w:lastRowLastColumn="0"/>
              <w:rPr>
                <w:b/>
                <w:bCs/>
              </w:rPr>
            </w:pPr>
            <w:r w:rsidRPr="00830E66">
              <w:rPr>
                <w:rFonts w:eastAsia="Calibri"/>
              </w:rPr>
              <w:t xml:space="preserve">New daily SARS-CoV-2 cases per 100K </w:t>
            </w:r>
          </w:p>
        </w:tc>
        <w:tc>
          <w:tcPr>
            <w:tcW w:w="1260" w:type="dxa"/>
            <w:vAlign w:val="center"/>
          </w:tcPr>
          <w:p w14:paraId="6E29C11B" w14:textId="77777777" w:rsidR="00402B45" w:rsidRPr="00830E66" w:rsidRDefault="00402B45" w:rsidP="00A77B1B">
            <w:pPr>
              <w:keepNext/>
              <w:jc w:val="center"/>
              <w:cnfStyle w:val="000000100000" w:firstRow="0" w:lastRow="0" w:firstColumn="0" w:lastColumn="0" w:oddVBand="0" w:evenVBand="0" w:oddHBand="1" w:evenHBand="0" w:firstRowFirstColumn="0" w:firstRowLastColumn="0" w:lastRowFirstColumn="0" w:lastRowLastColumn="0"/>
              <w:rPr>
                <w:rFonts w:eastAsia="Calibri"/>
              </w:rPr>
            </w:pPr>
            <w:r w:rsidRPr="00830E66">
              <w:t>1.29 (</w:t>
            </w:r>
            <w:r>
              <w:t>0.68</w:t>
            </w:r>
            <w:r w:rsidRPr="00830E66">
              <w:t>)</w:t>
            </w:r>
          </w:p>
        </w:tc>
        <w:tc>
          <w:tcPr>
            <w:tcW w:w="1350" w:type="dxa"/>
            <w:vAlign w:val="center"/>
          </w:tcPr>
          <w:p w14:paraId="52E21168" w14:textId="77777777" w:rsidR="00402B45" w:rsidRPr="00830E66" w:rsidRDefault="00402B45" w:rsidP="00A77B1B">
            <w:pPr>
              <w:keepNext/>
              <w:jc w:val="center"/>
              <w:cnfStyle w:val="000000100000" w:firstRow="0" w:lastRow="0" w:firstColumn="0" w:lastColumn="0" w:oddVBand="0" w:evenVBand="0" w:oddHBand="1" w:evenHBand="0" w:firstRowFirstColumn="0" w:firstRowLastColumn="0" w:lastRowFirstColumn="0" w:lastRowLastColumn="0"/>
            </w:pPr>
            <w:r w:rsidRPr="00830E66">
              <w:t>[-</w:t>
            </w:r>
            <w:r>
              <w:t>0</w:t>
            </w:r>
            <w:r w:rsidRPr="00830E66">
              <w:t>.</w:t>
            </w:r>
            <w:r>
              <w:t>04</w:t>
            </w:r>
            <w:r w:rsidRPr="00830E66">
              <w:t xml:space="preserve">, </w:t>
            </w:r>
            <w:r>
              <w:t>2</w:t>
            </w:r>
            <w:r w:rsidRPr="00830E66">
              <w:t>.</w:t>
            </w:r>
            <w:r>
              <w:t>63</w:t>
            </w:r>
            <w:r w:rsidRPr="00830E66">
              <w:t>]</w:t>
            </w:r>
          </w:p>
        </w:tc>
        <w:tc>
          <w:tcPr>
            <w:tcW w:w="985" w:type="dxa"/>
            <w:vAlign w:val="center"/>
          </w:tcPr>
          <w:p w14:paraId="45C2B280" w14:textId="77777777" w:rsidR="00402B45" w:rsidRPr="00830E66" w:rsidRDefault="00402B45" w:rsidP="00A77B1B">
            <w:pPr>
              <w:keepNext/>
              <w:jc w:val="center"/>
              <w:cnfStyle w:val="000000100000" w:firstRow="0" w:lastRow="0" w:firstColumn="0" w:lastColumn="0" w:oddVBand="0" w:evenVBand="0" w:oddHBand="1" w:evenHBand="0" w:firstRowFirstColumn="0" w:firstRowLastColumn="0" w:lastRowFirstColumn="0" w:lastRowLastColumn="0"/>
            </w:pPr>
            <w:r w:rsidRPr="00830E66">
              <w:t>0.</w:t>
            </w:r>
            <w:r>
              <w:t>058</w:t>
            </w:r>
          </w:p>
        </w:tc>
      </w:tr>
      <w:tr w:rsidR="00402B45" w:rsidRPr="00B56326" w14:paraId="059D5500" w14:textId="77777777" w:rsidTr="00A77B1B">
        <w:trPr>
          <w:trHeight w:val="371"/>
        </w:trPr>
        <w:tc>
          <w:tcPr>
            <w:cnfStyle w:val="001000000000" w:firstRow="0" w:lastRow="0" w:firstColumn="1" w:lastColumn="0" w:oddVBand="0" w:evenVBand="0" w:oddHBand="0" w:evenHBand="0" w:firstRowFirstColumn="0" w:firstRowLastColumn="0" w:lastRowFirstColumn="0" w:lastRowLastColumn="0"/>
            <w:tcW w:w="985" w:type="dxa"/>
            <w:vAlign w:val="center"/>
          </w:tcPr>
          <w:p w14:paraId="0734B0CB" w14:textId="77777777" w:rsidR="00402B45" w:rsidRPr="00830E66" w:rsidRDefault="00402B45" w:rsidP="00A77B1B">
            <w:pPr>
              <w:rPr>
                <w:rFonts w:eastAsia="Calibri"/>
              </w:rPr>
            </w:pPr>
          </w:p>
        </w:tc>
        <w:tc>
          <w:tcPr>
            <w:tcW w:w="4770" w:type="dxa"/>
            <w:vAlign w:val="center"/>
          </w:tcPr>
          <w:p w14:paraId="0B6EFDEB" w14:textId="77777777" w:rsidR="00402B45" w:rsidRPr="00830E66" w:rsidRDefault="00402B45" w:rsidP="00A77B1B">
            <w:pPr>
              <w:cnfStyle w:val="000000000000" w:firstRow="0" w:lastRow="0" w:firstColumn="0" w:lastColumn="0" w:oddVBand="0" w:evenVBand="0" w:oddHBand="0" w:evenHBand="0" w:firstRowFirstColumn="0" w:firstRowLastColumn="0" w:lastRowFirstColumn="0" w:lastRowLastColumn="0"/>
              <w:rPr>
                <w:b/>
                <w:bCs/>
              </w:rPr>
            </w:pPr>
            <w:r w:rsidRPr="00830E66">
              <w:rPr>
                <w:rFonts w:eastAsia="Calibri"/>
              </w:rPr>
              <w:t>New daily SARS-CoV-2 cases per 100K, ages 0-19</w:t>
            </w:r>
          </w:p>
        </w:tc>
        <w:tc>
          <w:tcPr>
            <w:tcW w:w="1260" w:type="dxa"/>
            <w:vAlign w:val="center"/>
          </w:tcPr>
          <w:p w14:paraId="3C0FCD41" w14:textId="77777777" w:rsidR="00402B45" w:rsidRPr="00830E66" w:rsidRDefault="00402B45" w:rsidP="00A77B1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830E66">
              <w:t>1.78 (</w:t>
            </w:r>
            <w:r>
              <w:t>0</w:t>
            </w:r>
            <w:r w:rsidRPr="00830E66">
              <w:t>.</w:t>
            </w:r>
            <w:r>
              <w:t>52</w:t>
            </w:r>
            <w:r w:rsidRPr="00830E66">
              <w:t>)</w:t>
            </w:r>
          </w:p>
        </w:tc>
        <w:tc>
          <w:tcPr>
            <w:tcW w:w="1350" w:type="dxa"/>
            <w:vAlign w:val="center"/>
          </w:tcPr>
          <w:p w14:paraId="454208E2" w14:textId="77777777" w:rsidR="00402B45" w:rsidRPr="00830E66" w:rsidRDefault="00402B45" w:rsidP="00A77B1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830E66">
              <w:t>[0.</w:t>
            </w:r>
            <w:r>
              <w:t>76</w:t>
            </w:r>
            <w:r w:rsidRPr="00830E66">
              <w:t xml:space="preserve">, </w:t>
            </w:r>
            <w:r>
              <w:t>2</w:t>
            </w:r>
            <w:r w:rsidRPr="00830E66">
              <w:t>.</w:t>
            </w:r>
            <w:r>
              <w:t>79</w:t>
            </w:r>
            <w:r w:rsidRPr="00830E66">
              <w:t>]</w:t>
            </w:r>
          </w:p>
        </w:tc>
        <w:tc>
          <w:tcPr>
            <w:tcW w:w="985" w:type="dxa"/>
            <w:vAlign w:val="center"/>
          </w:tcPr>
          <w:p w14:paraId="115BB0E1" w14:textId="77777777" w:rsidR="00402B45" w:rsidRPr="00830E66" w:rsidRDefault="00402B45" w:rsidP="00A77B1B">
            <w:pPr>
              <w:jc w:val="center"/>
              <w:cnfStyle w:val="000000000000" w:firstRow="0" w:lastRow="0" w:firstColumn="0" w:lastColumn="0" w:oddVBand="0" w:evenVBand="0" w:oddHBand="0" w:evenHBand="0" w:firstRowFirstColumn="0" w:firstRowLastColumn="0" w:lastRowFirstColumn="0" w:lastRowLastColumn="0"/>
            </w:pPr>
            <w:r w:rsidRPr="00830E66">
              <w:t>0.</w:t>
            </w:r>
            <w:r>
              <w:t>001</w:t>
            </w:r>
          </w:p>
        </w:tc>
      </w:tr>
      <w:tr w:rsidR="00402B45" w:rsidRPr="00B56326" w14:paraId="68BEF433" w14:textId="77777777" w:rsidTr="00A77B1B">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985" w:type="dxa"/>
            <w:vAlign w:val="center"/>
          </w:tcPr>
          <w:p w14:paraId="7FD28962" w14:textId="77777777" w:rsidR="00402B45" w:rsidRPr="00830E66" w:rsidRDefault="00402B45" w:rsidP="00A77B1B">
            <w:pPr>
              <w:rPr>
                <w:rFonts w:eastAsia="Calibri"/>
                <w:b w:val="0"/>
              </w:rPr>
            </w:pPr>
            <w:r w:rsidRPr="00830E66">
              <w:rPr>
                <w:rFonts w:eastAsia="Calibri"/>
                <w:b w:val="0"/>
              </w:rPr>
              <w:t>25 days</w:t>
            </w:r>
          </w:p>
        </w:tc>
        <w:tc>
          <w:tcPr>
            <w:tcW w:w="4770" w:type="dxa"/>
            <w:vAlign w:val="center"/>
          </w:tcPr>
          <w:p w14:paraId="4AED7122" w14:textId="77777777" w:rsidR="00402B45" w:rsidRPr="00830E66" w:rsidRDefault="00402B45" w:rsidP="00A77B1B">
            <w:pPr>
              <w:cnfStyle w:val="000000100000" w:firstRow="0" w:lastRow="0" w:firstColumn="0" w:lastColumn="0" w:oddVBand="0" w:evenVBand="0" w:oddHBand="1" w:evenHBand="0" w:firstRowFirstColumn="0" w:firstRowLastColumn="0" w:lastRowFirstColumn="0" w:lastRowLastColumn="0"/>
              <w:rPr>
                <w:rFonts w:eastAsia="Calibri"/>
              </w:rPr>
            </w:pPr>
            <w:r w:rsidRPr="00830E66">
              <w:rPr>
                <w:rFonts w:eastAsia="Calibri"/>
              </w:rPr>
              <w:t xml:space="preserve">New daily SARS-CoV-2 cases per 100K </w:t>
            </w:r>
          </w:p>
        </w:tc>
        <w:tc>
          <w:tcPr>
            <w:tcW w:w="1260" w:type="dxa"/>
            <w:vAlign w:val="center"/>
          </w:tcPr>
          <w:p w14:paraId="1219FAFF" w14:textId="77777777" w:rsidR="00402B45" w:rsidRPr="00830E66" w:rsidRDefault="00402B45" w:rsidP="00A77B1B">
            <w:pPr>
              <w:jc w:val="center"/>
              <w:cnfStyle w:val="000000100000" w:firstRow="0" w:lastRow="0" w:firstColumn="0" w:lastColumn="0" w:oddVBand="0" w:evenVBand="0" w:oddHBand="1" w:evenHBand="0" w:firstRowFirstColumn="0" w:firstRowLastColumn="0" w:lastRowFirstColumn="0" w:lastRowLastColumn="0"/>
            </w:pPr>
            <w:r w:rsidRPr="00830E66">
              <w:t>2.65 (</w:t>
            </w:r>
            <w:r>
              <w:t>0</w:t>
            </w:r>
            <w:r w:rsidRPr="00830E66">
              <w:t>.</w:t>
            </w:r>
            <w:r>
              <w:t>80</w:t>
            </w:r>
            <w:r w:rsidRPr="00830E66">
              <w:t>)</w:t>
            </w:r>
          </w:p>
        </w:tc>
        <w:tc>
          <w:tcPr>
            <w:tcW w:w="1350" w:type="dxa"/>
            <w:vAlign w:val="center"/>
          </w:tcPr>
          <w:p w14:paraId="09BED3B8" w14:textId="77777777" w:rsidR="00402B45" w:rsidRPr="00830E66" w:rsidRDefault="00402B45" w:rsidP="00A77B1B">
            <w:pPr>
              <w:jc w:val="center"/>
              <w:cnfStyle w:val="000000100000" w:firstRow="0" w:lastRow="0" w:firstColumn="0" w:lastColumn="0" w:oddVBand="0" w:evenVBand="0" w:oddHBand="1" w:evenHBand="0" w:firstRowFirstColumn="0" w:firstRowLastColumn="0" w:lastRowFirstColumn="0" w:lastRowLastColumn="0"/>
            </w:pPr>
            <w:r w:rsidRPr="00830E66">
              <w:t>[</w:t>
            </w:r>
            <w:r>
              <w:t>1</w:t>
            </w:r>
            <w:r w:rsidRPr="00830E66">
              <w:t>.</w:t>
            </w:r>
            <w:r>
              <w:t>07</w:t>
            </w:r>
            <w:r w:rsidRPr="00830E66">
              <w:t xml:space="preserve">, </w:t>
            </w:r>
            <w:r>
              <w:t>4</w:t>
            </w:r>
            <w:r w:rsidRPr="00830E66">
              <w:t>.</w:t>
            </w:r>
            <w:r>
              <w:t>23</w:t>
            </w:r>
            <w:r w:rsidRPr="00830E66">
              <w:t>]</w:t>
            </w:r>
          </w:p>
        </w:tc>
        <w:tc>
          <w:tcPr>
            <w:tcW w:w="985" w:type="dxa"/>
            <w:vAlign w:val="center"/>
          </w:tcPr>
          <w:p w14:paraId="78CCED77" w14:textId="77777777" w:rsidR="00402B45" w:rsidRPr="00830E66" w:rsidRDefault="00402B45" w:rsidP="00A77B1B">
            <w:pPr>
              <w:jc w:val="center"/>
              <w:cnfStyle w:val="000000100000" w:firstRow="0" w:lastRow="0" w:firstColumn="0" w:lastColumn="0" w:oddVBand="0" w:evenVBand="0" w:oddHBand="1" w:evenHBand="0" w:firstRowFirstColumn="0" w:firstRowLastColumn="0" w:lastRowFirstColumn="0" w:lastRowLastColumn="0"/>
            </w:pPr>
            <w:r>
              <w:t>0</w:t>
            </w:r>
            <w:r w:rsidRPr="00830E66">
              <w:t>.</w:t>
            </w:r>
            <w:r>
              <w:t>001</w:t>
            </w:r>
          </w:p>
        </w:tc>
      </w:tr>
      <w:tr w:rsidR="00402B45" w:rsidRPr="00B56326" w14:paraId="49309640" w14:textId="77777777" w:rsidTr="00A77B1B">
        <w:trPr>
          <w:trHeight w:val="371"/>
        </w:trPr>
        <w:tc>
          <w:tcPr>
            <w:cnfStyle w:val="001000000000" w:firstRow="0" w:lastRow="0" w:firstColumn="1" w:lastColumn="0" w:oddVBand="0" w:evenVBand="0" w:oddHBand="0" w:evenHBand="0" w:firstRowFirstColumn="0" w:firstRowLastColumn="0" w:lastRowFirstColumn="0" w:lastRowLastColumn="0"/>
            <w:tcW w:w="985" w:type="dxa"/>
            <w:vAlign w:val="center"/>
          </w:tcPr>
          <w:p w14:paraId="00AB400B" w14:textId="77777777" w:rsidR="00402B45" w:rsidRPr="00830E66" w:rsidRDefault="00402B45" w:rsidP="00A77B1B">
            <w:pPr>
              <w:rPr>
                <w:rFonts w:eastAsia="Calibri"/>
              </w:rPr>
            </w:pPr>
          </w:p>
        </w:tc>
        <w:tc>
          <w:tcPr>
            <w:tcW w:w="4770" w:type="dxa"/>
            <w:vAlign w:val="center"/>
          </w:tcPr>
          <w:p w14:paraId="44C48E9B" w14:textId="77777777" w:rsidR="00402B45" w:rsidRPr="00830E66" w:rsidRDefault="00402B45" w:rsidP="00A77B1B">
            <w:pPr>
              <w:cnfStyle w:val="000000000000" w:firstRow="0" w:lastRow="0" w:firstColumn="0" w:lastColumn="0" w:oddVBand="0" w:evenVBand="0" w:oddHBand="0" w:evenHBand="0" w:firstRowFirstColumn="0" w:firstRowLastColumn="0" w:lastRowFirstColumn="0" w:lastRowLastColumn="0"/>
              <w:rPr>
                <w:rFonts w:eastAsia="Calibri"/>
              </w:rPr>
            </w:pPr>
            <w:r w:rsidRPr="00830E66">
              <w:rPr>
                <w:rFonts w:eastAsia="Calibri"/>
              </w:rPr>
              <w:t>New daily SARS-CoV-2 cases per 100K, ages 0-19</w:t>
            </w:r>
          </w:p>
        </w:tc>
        <w:tc>
          <w:tcPr>
            <w:tcW w:w="1260" w:type="dxa"/>
            <w:vAlign w:val="center"/>
          </w:tcPr>
          <w:p w14:paraId="439FBB62" w14:textId="77777777" w:rsidR="00402B45" w:rsidRPr="00830E66" w:rsidRDefault="00402B45" w:rsidP="00A77B1B">
            <w:pPr>
              <w:jc w:val="center"/>
              <w:cnfStyle w:val="000000000000" w:firstRow="0" w:lastRow="0" w:firstColumn="0" w:lastColumn="0" w:oddVBand="0" w:evenVBand="0" w:oddHBand="0" w:evenHBand="0" w:firstRowFirstColumn="0" w:firstRowLastColumn="0" w:lastRowFirstColumn="0" w:lastRowLastColumn="0"/>
            </w:pPr>
            <w:r w:rsidRPr="00830E66">
              <w:t>2.02 (</w:t>
            </w:r>
            <w:r>
              <w:t>0</w:t>
            </w:r>
            <w:r w:rsidRPr="00830E66">
              <w:t>.</w:t>
            </w:r>
            <w:r>
              <w:t>60</w:t>
            </w:r>
            <w:r w:rsidRPr="00830E66">
              <w:t>)</w:t>
            </w:r>
          </w:p>
        </w:tc>
        <w:tc>
          <w:tcPr>
            <w:tcW w:w="1350" w:type="dxa"/>
            <w:vAlign w:val="center"/>
          </w:tcPr>
          <w:p w14:paraId="61E47332" w14:textId="77777777" w:rsidR="00402B45" w:rsidRPr="00830E66" w:rsidRDefault="00402B45" w:rsidP="00A77B1B">
            <w:pPr>
              <w:jc w:val="center"/>
              <w:cnfStyle w:val="000000000000" w:firstRow="0" w:lastRow="0" w:firstColumn="0" w:lastColumn="0" w:oddVBand="0" w:evenVBand="0" w:oddHBand="0" w:evenHBand="0" w:firstRowFirstColumn="0" w:firstRowLastColumn="0" w:lastRowFirstColumn="0" w:lastRowLastColumn="0"/>
            </w:pPr>
            <w:r w:rsidRPr="00830E66">
              <w:t>[0.8</w:t>
            </w:r>
            <w:r>
              <w:t>5</w:t>
            </w:r>
            <w:r w:rsidRPr="00830E66">
              <w:t xml:space="preserve">, </w:t>
            </w:r>
            <w:r>
              <w:t>3</w:t>
            </w:r>
            <w:r w:rsidRPr="00830E66">
              <w:t>.1</w:t>
            </w:r>
            <w:r>
              <w:t>9</w:t>
            </w:r>
            <w:r w:rsidRPr="00830E66">
              <w:t>]</w:t>
            </w:r>
          </w:p>
        </w:tc>
        <w:tc>
          <w:tcPr>
            <w:tcW w:w="985" w:type="dxa"/>
            <w:vAlign w:val="center"/>
          </w:tcPr>
          <w:p w14:paraId="142421C7" w14:textId="77777777" w:rsidR="00402B45" w:rsidRPr="00830E66" w:rsidRDefault="00402B45" w:rsidP="00A77B1B">
            <w:pPr>
              <w:jc w:val="center"/>
              <w:cnfStyle w:val="000000000000" w:firstRow="0" w:lastRow="0" w:firstColumn="0" w:lastColumn="0" w:oddVBand="0" w:evenVBand="0" w:oddHBand="0" w:evenHBand="0" w:firstRowFirstColumn="0" w:firstRowLastColumn="0" w:lastRowFirstColumn="0" w:lastRowLastColumn="0"/>
            </w:pPr>
            <w:r w:rsidRPr="00830E66">
              <w:t>0.</w:t>
            </w:r>
            <w:r>
              <w:t>001</w:t>
            </w:r>
          </w:p>
        </w:tc>
      </w:tr>
      <w:tr w:rsidR="00402B45" w:rsidRPr="00B56326" w14:paraId="293C05A5" w14:textId="77777777" w:rsidTr="00A77B1B">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985" w:type="dxa"/>
            <w:vAlign w:val="center"/>
          </w:tcPr>
          <w:p w14:paraId="6800EF9D" w14:textId="77777777" w:rsidR="00402B45" w:rsidRPr="00107D6B" w:rsidRDefault="00402B45" w:rsidP="00A77B1B">
            <w:pPr>
              <w:rPr>
                <w:rFonts w:eastAsia="Calibri"/>
                <w:b w:val="0"/>
              </w:rPr>
            </w:pPr>
            <w:r w:rsidRPr="00107D6B">
              <w:rPr>
                <w:rFonts w:eastAsia="Calibri"/>
                <w:b w:val="0"/>
              </w:rPr>
              <w:t>28 days</w:t>
            </w:r>
          </w:p>
        </w:tc>
        <w:tc>
          <w:tcPr>
            <w:tcW w:w="4770" w:type="dxa"/>
            <w:vAlign w:val="center"/>
          </w:tcPr>
          <w:p w14:paraId="06F53620" w14:textId="77777777" w:rsidR="00402B45" w:rsidRPr="00830E66" w:rsidRDefault="00402B45" w:rsidP="00A77B1B">
            <w:pPr>
              <w:cnfStyle w:val="000000100000" w:firstRow="0" w:lastRow="0" w:firstColumn="0" w:lastColumn="0" w:oddVBand="0" w:evenVBand="0" w:oddHBand="1" w:evenHBand="0" w:firstRowFirstColumn="0" w:firstRowLastColumn="0" w:lastRowFirstColumn="0" w:lastRowLastColumn="0"/>
              <w:rPr>
                <w:rFonts w:eastAsia="Calibri"/>
              </w:rPr>
            </w:pPr>
            <w:r w:rsidRPr="00830E66">
              <w:rPr>
                <w:rFonts w:eastAsia="Calibri"/>
              </w:rPr>
              <w:t xml:space="preserve">New daily SARS-CoV-2 cases per 100K </w:t>
            </w:r>
          </w:p>
        </w:tc>
        <w:tc>
          <w:tcPr>
            <w:tcW w:w="1260" w:type="dxa"/>
            <w:vAlign w:val="center"/>
          </w:tcPr>
          <w:p w14:paraId="082A262C" w14:textId="77777777" w:rsidR="00402B45" w:rsidRPr="007D5557" w:rsidRDefault="00402B45" w:rsidP="00A77B1B">
            <w:pPr>
              <w:jc w:val="center"/>
              <w:cnfStyle w:val="000000100000" w:firstRow="0" w:lastRow="0" w:firstColumn="0" w:lastColumn="0" w:oddVBand="0" w:evenVBand="0" w:oddHBand="1" w:evenHBand="0" w:firstRowFirstColumn="0" w:firstRowLastColumn="0" w:lastRowFirstColumn="0" w:lastRowLastColumn="0"/>
            </w:pPr>
            <w:r w:rsidRPr="007D5557">
              <w:t>3.36 (</w:t>
            </w:r>
            <w:r>
              <w:t>0</w:t>
            </w:r>
            <w:r w:rsidRPr="007D5557">
              <w:t>.</w:t>
            </w:r>
            <w:r>
              <w:t>74</w:t>
            </w:r>
            <w:r w:rsidRPr="007D5557">
              <w:t>)</w:t>
            </w:r>
          </w:p>
        </w:tc>
        <w:tc>
          <w:tcPr>
            <w:tcW w:w="1350" w:type="dxa"/>
            <w:vAlign w:val="center"/>
          </w:tcPr>
          <w:p w14:paraId="54071078" w14:textId="77777777" w:rsidR="00402B45" w:rsidRPr="007D5557" w:rsidRDefault="00402B45" w:rsidP="00A77B1B">
            <w:pPr>
              <w:jc w:val="center"/>
              <w:cnfStyle w:val="000000100000" w:firstRow="0" w:lastRow="0" w:firstColumn="0" w:lastColumn="0" w:oddVBand="0" w:evenVBand="0" w:oddHBand="1" w:evenHBand="0" w:firstRowFirstColumn="0" w:firstRowLastColumn="0" w:lastRowFirstColumn="0" w:lastRowLastColumn="0"/>
            </w:pPr>
            <w:r w:rsidRPr="007D5557">
              <w:t>[</w:t>
            </w:r>
            <w:r>
              <w:t>1</w:t>
            </w:r>
            <w:r w:rsidRPr="007D5557">
              <w:t>.</w:t>
            </w:r>
            <w:r>
              <w:t>91</w:t>
            </w:r>
            <w:r w:rsidRPr="007D5557">
              <w:t xml:space="preserve">, </w:t>
            </w:r>
            <w:r>
              <w:t>4</w:t>
            </w:r>
            <w:r w:rsidRPr="007D5557">
              <w:t>.</w:t>
            </w:r>
            <w:r>
              <w:t>81</w:t>
            </w:r>
            <w:r w:rsidRPr="007D5557">
              <w:t>]</w:t>
            </w:r>
          </w:p>
        </w:tc>
        <w:tc>
          <w:tcPr>
            <w:tcW w:w="985" w:type="dxa"/>
            <w:vAlign w:val="center"/>
          </w:tcPr>
          <w:p w14:paraId="2E0FA50F" w14:textId="77777777" w:rsidR="00402B45" w:rsidRPr="007D5557" w:rsidRDefault="00402B45" w:rsidP="00A77B1B">
            <w:pPr>
              <w:jc w:val="center"/>
              <w:cnfStyle w:val="000000100000" w:firstRow="0" w:lastRow="0" w:firstColumn="0" w:lastColumn="0" w:oddVBand="0" w:evenVBand="0" w:oddHBand="1" w:evenHBand="0" w:firstRowFirstColumn="0" w:firstRowLastColumn="0" w:lastRowFirstColumn="0" w:lastRowLastColumn="0"/>
            </w:pPr>
            <w:r>
              <w:t xml:space="preserve">&lt; </w:t>
            </w:r>
            <w:r w:rsidRPr="007D5557">
              <w:t>0.00</w:t>
            </w:r>
            <w:r>
              <w:t>1</w:t>
            </w:r>
          </w:p>
        </w:tc>
      </w:tr>
      <w:tr w:rsidR="00402B45" w:rsidRPr="00B56326" w14:paraId="6E0A59FD" w14:textId="77777777" w:rsidTr="00A77B1B">
        <w:trPr>
          <w:trHeight w:val="371"/>
        </w:trPr>
        <w:tc>
          <w:tcPr>
            <w:cnfStyle w:val="001000000000" w:firstRow="0" w:lastRow="0" w:firstColumn="1" w:lastColumn="0" w:oddVBand="0" w:evenVBand="0" w:oddHBand="0" w:evenHBand="0" w:firstRowFirstColumn="0" w:firstRowLastColumn="0" w:lastRowFirstColumn="0" w:lastRowLastColumn="0"/>
            <w:tcW w:w="985" w:type="dxa"/>
            <w:vAlign w:val="center"/>
          </w:tcPr>
          <w:p w14:paraId="7EB15292" w14:textId="77777777" w:rsidR="00402B45" w:rsidRPr="00830E66" w:rsidRDefault="00402B45" w:rsidP="00A77B1B">
            <w:pPr>
              <w:rPr>
                <w:rFonts w:eastAsia="Calibri"/>
              </w:rPr>
            </w:pPr>
          </w:p>
        </w:tc>
        <w:tc>
          <w:tcPr>
            <w:tcW w:w="4770" w:type="dxa"/>
            <w:vAlign w:val="center"/>
          </w:tcPr>
          <w:p w14:paraId="73B99DC0" w14:textId="77777777" w:rsidR="00402B45" w:rsidRPr="00830E66" w:rsidRDefault="00402B45" w:rsidP="00A77B1B">
            <w:pPr>
              <w:cnfStyle w:val="000000000000" w:firstRow="0" w:lastRow="0" w:firstColumn="0" w:lastColumn="0" w:oddVBand="0" w:evenVBand="0" w:oddHBand="0" w:evenHBand="0" w:firstRowFirstColumn="0" w:firstRowLastColumn="0" w:lastRowFirstColumn="0" w:lastRowLastColumn="0"/>
              <w:rPr>
                <w:rFonts w:eastAsia="Calibri"/>
              </w:rPr>
            </w:pPr>
            <w:r w:rsidRPr="00830E66">
              <w:rPr>
                <w:rFonts w:eastAsia="Calibri"/>
              </w:rPr>
              <w:t>New daily SARS-CoV-2 cases per 100K, ages 0-19</w:t>
            </w:r>
          </w:p>
        </w:tc>
        <w:tc>
          <w:tcPr>
            <w:tcW w:w="1260" w:type="dxa"/>
            <w:vAlign w:val="center"/>
          </w:tcPr>
          <w:p w14:paraId="32E5D28D" w14:textId="77777777" w:rsidR="00402B45" w:rsidRPr="007D5557" w:rsidRDefault="00402B45" w:rsidP="00A77B1B">
            <w:pPr>
              <w:jc w:val="center"/>
              <w:cnfStyle w:val="000000000000" w:firstRow="0" w:lastRow="0" w:firstColumn="0" w:lastColumn="0" w:oddVBand="0" w:evenVBand="0" w:oddHBand="0" w:evenHBand="0" w:firstRowFirstColumn="0" w:firstRowLastColumn="0" w:lastRowFirstColumn="0" w:lastRowLastColumn="0"/>
            </w:pPr>
            <w:r w:rsidRPr="007D5557">
              <w:t>2.74 (</w:t>
            </w:r>
            <w:r>
              <w:t>0.56</w:t>
            </w:r>
            <w:r w:rsidRPr="007D5557">
              <w:t>)</w:t>
            </w:r>
          </w:p>
        </w:tc>
        <w:tc>
          <w:tcPr>
            <w:tcW w:w="1350" w:type="dxa"/>
            <w:vAlign w:val="center"/>
          </w:tcPr>
          <w:p w14:paraId="35CB322E" w14:textId="77777777" w:rsidR="00402B45" w:rsidRPr="007D5557" w:rsidRDefault="00402B45" w:rsidP="00A77B1B">
            <w:pPr>
              <w:jc w:val="center"/>
              <w:cnfStyle w:val="000000000000" w:firstRow="0" w:lastRow="0" w:firstColumn="0" w:lastColumn="0" w:oddVBand="0" w:evenVBand="0" w:oddHBand="0" w:evenHBand="0" w:firstRowFirstColumn="0" w:firstRowLastColumn="0" w:lastRowFirstColumn="0" w:lastRowLastColumn="0"/>
            </w:pPr>
            <w:r w:rsidRPr="007D5557">
              <w:t>[</w:t>
            </w:r>
            <w:r>
              <w:t>1</w:t>
            </w:r>
            <w:r w:rsidRPr="007D5557">
              <w:t>.</w:t>
            </w:r>
            <w:r>
              <w:t>63</w:t>
            </w:r>
            <w:r w:rsidRPr="007D5557">
              <w:t xml:space="preserve">, </w:t>
            </w:r>
            <w:r>
              <w:t>3</w:t>
            </w:r>
            <w:r w:rsidRPr="007D5557">
              <w:t>.</w:t>
            </w:r>
            <w:r>
              <w:t>84</w:t>
            </w:r>
            <w:r w:rsidRPr="007D5557">
              <w:t>]</w:t>
            </w:r>
          </w:p>
        </w:tc>
        <w:tc>
          <w:tcPr>
            <w:tcW w:w="985" w:type="dxa"/>
            <w:vAlign w:val="center"/>
          </w:tcPr>
          <w:p w14:paraId="4F50E913" w14:textId="77777777" w:rsidR="00402B45" w:rsidRPr="007D5557" w:rsidRDefault="00402B45" w:rsidP="00A77B1B">
            <w:pPr>
              <w:jc w:val="center"/>
              <w:cnfStyle w:val="000000000000" w:firstRow="0" w:lastRow="0" w:firstColumn="0" w:lastColumn="0" w:oddVBand="0" w:evenVBand="0" w:oddHBand="0" w:evenHBand="0" w:firstRowFirstColumn="0" w:firstRowLastColumn="0" w:lastRowFirstColumn="0" w:lastRowLastColumn="0"/>
            </w:pPr>
            <w:r>
              <w:t xml:space="preserve">&lt; </w:t>
            </w:r>
            <w:r w:rsidRPr="007D5557">
              <w:t>0.00</w:t>
            </w:r>
            <w:r>
              <w:t>1</w:t>
            </w:r>
          </w:p>
        </w:tc>
      </w:tr>
      <w:tr w:rsidR="00402B45" w:rsidRPr="00B56326" w14:paraId="18D15238" w14:textId="77777777" w:rsidTr="00A77B1B">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985" w:type="dxa"/>
            <w:vAlign w:val="center"/>
          </w:tcPr>
          <w:p w14:paraId="1E2B21D1" w14:textId="77777777" w:rsidR="00402B45" w:rsidRPr="00830E66" w:rsidRDefault="00402B45" w:rsidP="00A77B1B">
            <w:pPr>
              <w:rPr>
                <w:rFonts w:eastAsia="Calibri"/>
                <w:b w:val="0"/>
              </w:rPr>
            </w:pPr>
            <w:r w:rsidRPr="00830E66">
              <w:rPr>
                <w:rFonts w:eastAsia="Calibri"/>
                <w:b w:val="0"/>
              </w:rPr>
              <w:t>31 days</w:t>
            </w:r>
          </w:p>
        </w:tc>
        <w:tc>
          <w:tcPr>
            <w:tcW w:w="4770" w:type="dxa"/>
            <w:vAlign w:val="center"/>
          </w:tcPr>
          <w:p w14:paraId="77BD1FC5" w14:textId="77777777" w:rsidR="00402B45" w:rsidRPr="00830E66" w:rsidRDefault="00402B45" w:rsidP="00A77B1B">
            <w:pPr>
              <w:cnfStyle w:val="000000100000" w:firstRow="0" w:lastRow="0" w:firstColumn="0" w:lastColumn="0" w:oddVBand="0" w:evenVBand="0" w:oddHBand="1" w:evenHBand="0" w:firstRowFirstColumn="0" w:firstRowLastColumn="0" w:lastRowFirstColumn="0" w:lastRowLastColumn="0"/>
              <w:rPr>
                <w:rFonts w:eastAsia="Calibri"/>
              </w:rPr>
            </w:pPr>
            <w:r w:rsidRPr="00830E66">
              <w:rPr>
                <w:rFonts w:eastAsia="Calibri"/>
              </w:rPr>
              <w:t>New daily SARS-CoV-2 cases per 100K</w:t>
            </w:r>
          </w:p>
        </w:tc>
        <w:tc>
          <w:tcPr>
            <w:tcW w:w="1260" w:type="dxa"/>
            <w:vAlign w:val="center"/>
          </w:tcPr>
          <w:p w14:paraId="2D78C865" w14:textId="77777777" w:rsidR="00402B45" w:rsidRPr="00830E66" w:rsidRDefault="00402B45" w:rsidP="00A77B1B">
            <w:pPr>
              <w:jc w:val="center"/>
              <w:cnfStyle w:val="000000100000" w:firstRow="0" w:lastRow="0" w:firstColumn="0" w:lastColumn="0" w:oddVBand="0" w:evenVBand="0" w:oddHBand="1" w:evenHBand="0" w:firstRowFirstColumn="0" w:firstRowLastColumn="0" w:lastRowFirstColumn="0" w:lastRowLastColumn="0"/>
            </w:pPr>
            <w:r w:rsidRPr="00830E66">
              <w:t>3.32 (</w:t>
            </w:r>
            <w:r>
              <w:t>0</w:t>
            </w:r>
            <w:r w:rsidRPr="00830E66">
              <w:t>.61)</w:t>
            </w:r>
          </w:p>
        </w:tc>
        <w:tc>
          <w:tcPr>
            <w:tcW w:w="1350" w:type="dxa"/>
            <w:vAlign w:val="center"/>
          </w:tcPr>
          <w:p w14:paraId="0DACA00A" w14:textId="77777777" w:rsidR="00402B45" w:rsidRPr="00830E66" w:rsidRDefault="00402B45" w:rsidP="00A77B1B">
            <w:pPr>
              <w:jc w:val="center"/>
              <w:cnfStyle w:val="000000100000" w:firstRow="0" w:lastRow="0" w:firstColumn="0" w:lastColumn="0" w:oddVBand="0" w:evenVBand="0" w:oddHBand="1" w:evenHBand="0" w:firstRowFirstColumn="0" w:firstRowLastColumn="0" w:lastRowFirstColumn="0" w:lastRowLastColumn="0"/>
            </w:pPr>
            <w:r w:rsidRPr="00830E66">
              <w:t>[</w:t>
            </w:r>
            <w:r>
              <w:t>2</w:t>
            </w:r>
            <w:r w:rsidRPr="00830E66">
              <w:t>.1</w:t>
            </w:r>
            <w:r>
              <w:t>2</w:t>
            </w:r>
            <w:r w:rsidRPr="00830E66">
              <w:t xml:space="preserve">, </w:t>
            </w:r>
            <w:r>
              <w:t>4</w:t>
            </w:r>
            <w:r w:rsidRPr="00830E66">
              <w:t>.</w:t>
            </w:r>
            <w:r>
              <w:t>52</w:t>
            </w:r>
            <w:r w:rsidRPr="00830E66">
              <w:t>]</w:t>
            </w:r>
          </w:p>
        </w:tc>
        <w:tc>
          <w:tcPr>
            <w:tcW w:w="985" w:type="dxa"/>
            <w:vAlign w:val="center"/>
          </w:tcPr>
          <w:p w14:paraId="32844ED7" w14:textId="77777777" w:rsidR="00402B45" w:rsidRPr="00830E66" w:rsidRDefault="00402B45" w:rsidP="00A77B1B">
            <w:pPr>
              <w:jc w:val="center"/>
              <w:cnfStyle w:val="000000100000" w:firstRow="0" w:lastRow="0" w:firstColumn="0" w:lastColumn="0" w:oddVBand="0" w:evenVBand="0" w:oddHBand="1" w:evenHBand="0" w:firstRowFirstColumn="0" w:firstRowLastColumn="0" w:lastRowFirstColumn="0" w:lastRowLastColumn="0"/>
            </w:pPr>
            <w:r>
              <w:t xml:space="preserve">&lt; </w:t>
            </w:r>
            <w:r w:rsidRPr="007D5557">
              <w:t>0.00</w:t>
            </w:r>
            <w:r>
              <w:t>1</w:t>
            </w:r>
          </w:p>
        </w:tc>
      </w:tr>
      <w:tr w:rsidR="00402B45" w:rsidRPr="00B56326" w14:paraId="27F32216" w14:textId="77777777" w:rsidTr="00A77B1B">
        <w:trPr>
          <w:trHeight w:val="371"/>
        </w:trPr>
        <w:tc>
          <w:tcPr>
            <w:cnfStyle w:val="001000000000" w:firstRow="0" w:lastRow="0" w:firstColumn="1" w:lastColumn="0" w:oddVBand="0" w:evenVBand="0" w:oddHBand="0" w:evenHBand="0" w:firstRowFirstColumn="0" w:firstRowLastColumn="0" w:lastRowFirstColumn="0" w:lastRowLastColumn="0"/>
            <w:tcW w:w="985" w:type="dxa"/>
            <w:vAlign w:val="center"/>
          </w:tcPr>
          <w:p w14:paraId="314BE617" w14:textId="77777777" w:rsidR="00402B45" w:rsidRPr="00830E66" w:rsidRDefault="00402B45" w:rsidP="00A77B1B">
            <w:pPr>
              <w:rPr>
                <w:rFonts w:eastAsia="Calibri"/>
              </w:rPr>
            </w:pPr>
          </w:p>
        </w:tc>
        <w:tc>
          <w:tcPr>
            <w:tcW w:w="4770" w:type="dxa"/>
            <w:vAlign w:val="center"/>
          </w:tcPr>
          <w:p w14:paraId="47C6DF97" w14:textId="77777777" w:rsidR="00402B45" w:rsidRPr="00830E66" w:rsidRDefault="00402B45" w:rsidP="00A77B1B">
            <w:pPr>
              <w:cnfStyle w:val="000000000000" w:firstRow="0" w:lastRow="0" w:firstColumn="0" w:lastColumn="0" w:oddVBand="0" w:evenVBand="0" w:oddHBand="0" w:evenHBand="0" w:firstRowFirstColumn="0" w:firstRowLastColumn="0" w:lastRowFirstColumn="0" w:lastRowLastColumn="0"/>
              <w:rPr>
                <w:rFonts w:eastAsia="Calibri"/>
              </w:rPr>
            </w:pPr>
            <w:r w:rsidRPr="00830E66">
              <w:rPr>
                <w:rFonts w:eastAsia="Calibri"/>
              </w:rPr>
              <w:t>New daily SARS-CoV-2 cases per 100K, ages 0-19</w:t>
            </w:r>
          </w:p>
        </w:tc>
        <w:tc>
          <w:tcPr>
            <w:tcW w:w="1260" w:type="dxa"/>
            <w:vAlign w:val="center"/>
          </w:tcPr>
          <w:p w14:paraId="337C7887" w14:textId="77777777" w:rsidR="00402B45" w:rsidRPr="00830E66" w:rsidRDefault="00402B45" w:rsidP="00A77B1B">
            <w:pPr>
              <w:jc w:val="center"/>
              <w:cnfStyle w:val="000000000000" w:firstRow="0" w:lastRow="0" w:firstColumn="0" w:lastColumn="0" w:oddVBand="0" w:evenVBand="0" w:oddHBand="0" w:evenHBand="0" w:firstRowFirstColumn="0" w:firstRowLastColumn="0" w:lastRowFirstColumn="0" w:lastRowLastColumn="0"/>
            </w:pPr>
            <w:r w:rsidRPr="00830E66">
              <w:t>2.94 (</w:t>
            </w:r>
            <w:r>
              <w:t>0</w:t>
            </w:r>
            <w:r w:rsidRPr="00830E66">
              <w:t>.</w:t>
            </w:r>
            <w:r>
              <w:t>46</w:t>
            </w:r>
            <w:r w:rsidRPr="00830E66">
              <w:t>)</w:t>
            </w:r>
          </w:p>
        </w:tc>
        <w:tc>
          <w:tcPr>
            <w:tcW w:w="1350" w:type="dxa"/>
            <w:vAlign w:val="center"/>
          </w:tcPr>
          <w:p w14:paraId="49289042" w14:textId="77777777" w:rsidR="00402B45" w:rsidRPr="00830E66" w:rsidRDefault="00402B45" w:rsidP="00A77B1B">
            <w:pPr>
              <w:jc w:val="center"/>
              <w:cnfStyle w:val="000000000000" w:firstRow="0" w:lastRow="0" w:firstColumn="0" w:lastColumn="0" w:oddVBand="0" w:evenVBand="0" w:oddHBand="0" w:evenHBand="0" w:firstRowFirstColumn="0" w:firstRowLastColumn="0" w:lastRowFirstColumn="0" w:lastRowLastColumn="0"/>
            </w:pPr>
            <w:r w:rsidRPr="00830E66">
              <w:t>[</w:t>
            </w:r>
            <w:r>
              <w:t>2</w:t>
            </w:r>
            <w:r w:rsidRPr="00830E66">
              <w:t>.0</w:t>
            </w:r>
            <w:r>
              <w:t>3</w:t>
            </w:r>
            <w:r w:rsidRPr="00830E66">
              <w:t xml:space="preserve">, </w:t>
            </w:r>
            <w:r>
              <w:t>3</w:t>
            </w:r>
            <w:r w:rsidRPr="00830E66">
              <w:t>.</w:t>
            </w:r>
            <w:r>
              <w:t>85]</w:t>
            </w:r>
          </w:p>
        </w:tc>
        <w:tc>
          <w:tcPr>
            <w:tcW w:w="985" w:type="dxa"/>
            <w:vAlign w:val="center"/>
          </w:tcPr>
          <w:p w14:paraId="34331D2D" w14:textId="77777777" w:rsidR="00402B45" w:rsidRPr="00830E66" w:rsidRDefault="00402B45" w:rsidP="00A77B1B">
            <w:pPr>
              <w:jc w:val="center"/>
              <w:cnfStyle w:val="000000000000" w:firstRow="0" w:lastRow="0" w:firstColumn="0" w:lastColumn="0" w:oddVBand="0" w:evenVBand="0" w:oddHBand="0" w:evenHBand="0" w:firstRowFirstColumn="0" w:firstRowLastColumn="0" w:lastRowFirstColumn="0" w:lastRowLastColumn="0"/>
            </w:pPr>
            <w:r>
              <w:t xml:space="preserve">&lt; </w:t>
            </w:r>
            <w:r w:rsidRPr="007D5557">
              <w:t>0.00</w:t>
            </w:r>
            <w:r>
              <w:t>1</w:t>
            </w:r>
          </w:p>
        </w:tc>
      </w:tr>
      <w:tr w:rsidR="00402B45" w:rsidRPr="00B56326" w14:paraId="607147C9" w14:textId="77777777" w:rsidTr="00A77B1B">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985" w:type="dxa"/>
            <w:vAlign w:val="center"/>
          </w:tcPr>
          <w:p w14:paraId="356F7E8F" w14:textId="77777777" w:rsidR="00402B45" w:rsidRPr="00830E66" w:rsidRDefault="00402B45" w:rsidP="00A77B1B">
            <w:pPr>
              <w:rPr>
                <w:rFonts w:eastAsia="Calibri"/>
                <w:b w:val="0"/>
              </w:rPr>
            </w:pPr>
            <w:r w:rsidRPr="00830E66">
              <w:rPr>
                <w:rFonts w:eastAsia="Calibri"/>
                <w:b w:val="0"/>
              </w:rPr>
              <w:t>35 days</w:t>
            </w:r>
          </w:p>
        </w:tc>
        <w:tc>
          <w:tcPr>
            <w:tcW w:w="4770" w:type="dxa"/>
            <w:vAlign w:val="center"/>
          </w:tcPr>
          <w:p w14:paraId="11570241" w14:textId="77777777" w:rsidR="00402B45" w:rsidRPr="00830E66" w:rsidRDefault="00402B45" w:rsidP="00A77B1B">
            <w:pPr>
              <w:cnfStyle w:val="000000100000" w:firstRow="0" w:lastRow="0" w:firstColumn="0" w:lastColumn="0" w:oddVBand="0" w:evenVBand="0" w:oddHBand="1" w:evenHBand="0" w:firstRowFirstColumn="0" w:firstRowLastColumn="0" w:lastRowFirstColumn="0" w:lastRowLastColumn="0"/>
              <w:rPr>
                <w:rFonts w:eastAsia="Calibri"/>
              </w:rPr>
            </w:pPr>
            <w:r w:rsidRPr="00830E66">
              <w:rPr>
                <w:rFonts w:eastAsia="Calibri"/>
              </w:rPr>
              <w:t xml:space="preserve">New daily SARS-CoV-2 cases per 100K </w:t>
            </w:r>
          </w:p>
        </w:tc>
        <w:tc>
          <w:tcPr>
            <w:tcW w:w="1260" w:type="dxa"/>
            <w:vAlign w:val="center"/>
          </w:tcPr>
          <w:p w14:paraId="51FE23F8" w14:textId="77777777" w:rsidR="00402B45" w:rsidRPr="00830E66" w:rsidRDefault="00402B45" w:rsidP="00A77B1B">
            <w:pPr>
              <w:jc w:val="center"/>
              <w:cnfStyle w:val="000000100000" w:firstRow="0" w:lastRow="0" w:firstColumn="0" w:lastColumn="0" w:oddVBand="0" w:evenVBand="0" w:oddHBand="1" w:evenHBand="0" w:firstRowFirstColumn="0" w:firstRowLastColumn="0" w:lastRowFirstColumn="0" w:lastRowLastColumn="0"/>
            </w:pPr>
            <w:r w:rsidRPr="00830E66">
              <w:t>2.84 (</w:t>
            </w:r>
            <w:r>
              <w:t>0</w:t>
            </w:r>
            <w:r w:rsidRPr="00830E66">
              <w:t>.</w:t>
            </w:r>
            <w:r>
              <w:t>65</w:t>
            </w:r>
            <w:r w:rsidRPr="00830E66">
              <w:t>)</w:t>
            </w:r>
          </w:p>
        </w:tc>
        <w:tc>
          <w:tcPr>
            <w:tcW w:w="1350" w:type="dxa"/>
            <w:vAlign w:val="center"/>
          </w:tcPr>
          <w:p w14:paraId="1DB6CF51" w14:textId="77777777" w:rsidR="00402B45" w:rsidRPr="00830E66" w:rsidRDefault="00402B45" w:rsidP="00A77B1B">
            <w:pPr>
              <w:jc w:val="center"/>
              <w:cnfStyle w:val="000000100000" w:firstRow="0" w:lastRow="0" w:firstColumn="0" w:lastColumn="0" w:oddVBand="0" w:evenVBand="0" w:oddHBand="1" w:evenHBand="0" w:firstRowFirstColumn="0" w:firstRowLastColumn="0" w:lastRowFirstColumn="0" w:lastRowLastColumn="0"/>
            </w:pPr>
            <w:r w:rsidRPr="00830E66">
              <w:t>[</w:t>
            </w:r>
            <w:r>
              <w:t>1</w:t>
            </w:r>
            <w:r w:rsidRPr="00830E66">
              <w:t>.</w:t>
            </w:r>
            <w:r>
              <w:t>57</w:t>
            </w:r>
            <w:r w:rsidRPr="00830E66">
              <w:t xml:space="preserve">, </w:t>
            </w:r>
            <w:r>
              <w:t>4</w:t>
            </w:r>
            <w:r w:rsidRPr="00830E66">
              <w:t>.</w:t>
            </w:r>
            <w:r>
              <w:t>11</w:t>
            </w:r>
            <w:r w:rsidRPr="00830E66">
              <w:t>]</w:t>
            </w:r>
          </w:p>
        </w:tc>
        <w:tc>
          <w:tcPr>
            <w:tcW w:w="985" w:type="dxa"/>
            <w:vAlign w:val="center"/>
          </w:tcPr>
          <w:p w14:paraId="093C1153" w14:textId="77777777" w:rsidR="00402B45" w:rsidRPr="00830E66" w:rsidRDefault="00402B45" w:rsidP="00A77B1B">
            <w:pPr>
              <w:jc w:val="center"/>
              <w:cnfStyle w:val="000000100000" w:firstRow="0" w:lastRow="0" w:firstColumn="0" w:lastColumn="0" w:oddVBand="0" w:evenVBand="0" w:oddHBand="1" w:evenHBand="0" w:firstRowFirstColumn="0" w:firstRowLastColumn="0" w:lastRowFirstColumn="0" w:lastRowLastColumn="0"/>
            </w:pPr>
            <w:r>
              <w:t xml:space="preserve">&lt; </w:t>
            </w:r>
            <w:r w:rsidRPr="007D5557">
              <w:t>0.00</w:t>
            </w:r>
            <w:r>
              <w:t>1</w:t>
            </w:r>
          </w:p>
        </w:tc>
      </w:tr>
      <w:tr w:rsidR="00402B45" w:rsidRPr="00B56326" w14:paraId="1FC775F3" w14:textId="77777777" w:rsidTr="00A77B1B">
        <w:trPr>
          <w:trHeight w:val="371"/>
        </w:trPr>
        <w:tc>
          <w:tcPr>
            <w:cnfStyle w:val="001000000000" w:firstRow="0" w:lastRow="0" w:firstColumn="1" w:lastColumn="0" w:oddVBand="0" w:evenVBand="0" w:oddHBand="0" w:evenHBand="0" w:firstRowFirstColumn="0" w:firstRowLastColumn="0" w:lastRowFirstColumn="0" w:lastRowLastColumn="0"/>
            <w:tcW w:w="985" w:type="dxa"/>
            <w:vAlign w:val="center"/>
          </w:tcPr>
          <w:p w14:paraId="74DBD16B" w14:textId="77777777" w:rsidR="00402B45" w:rsidRPr="00830E66" w:rsidRDefault="00402B45" w:rsidP="00A77B1B">
            <w:pPr>
              <w:rPr>
                <w:rFonts w:eastAsia="Calibri"/>
                <w:b w:val="0"/>
              </w:rPr>
            </w:pPr>
          </w:p>
        </w:tc>
        <w:tc>
          <w:tcPr>
            <w:tcW w:w="4770" w:type="dxa"/>
            <w:vAlign w:val="center"/>
          </w:tcPr>
          <w:p w14:paraId="2FFDE930" w14:textId="77777777" w:rsidR="00402B45" w:rsidRPr="00830E66" w:rsidRDefault="00402B45" w:rsidP="00A77B1B">
            <w:pPr>
              <w:cnfStyle w:val="000000000000" w:firstRow="0" w:lastRow="0" w:firstColumn="0" w:lastColumn="0" w:oddVBand="0" w:evenVBand="0" w:oddHBand="0" w:evenHBand="0" w:firstRowFirstColumn="0" w:firstRowLastColumn="0" w:lastRowFirstColumn="0" w:lastRowLastColumn="0"/>
              <w:rPr>
                <w:rFonts w:eastAsia="Calibri"/>
              </w:rPr>
            </w:pPr>
            <w:r w:rsidRPr="00830E66">
              <w:rPr>
                <w:rFonts w:eastAsia="Calibri"/>
              </w:rPr>
              <w:t>New daily SARS-CoV-2 cases per 100K, ages 0-19</w:t>
            </w:r>
          </w:p>
        </w:tc>
        <w:tc>
          <w:tcPr>
            <w:tcW w:w="1260" w:type="dxa"/>
            <w:vAlign w:val="center"/>
          </w:tcPr>
          <w:p w14:paraId="3AE79EE5" w14:textId="77777777" w:rsidR="00402B45" w:rsidRPr="00830E66" w:rsidRDefault="00402B45" w:rsidP="00A77B1B">
            <w:pPr>
              <w:jc w:val="center"/>
              <w:cnfStyle w:val="000000000000" w:firstRow="0" w:lastRow="0" w:firstColumn="0" w:lastColumn="0" w:oddVBand="0" w:evenVBand="0" w:oddHBand="0" w:evenHBand="0" w:firstRowFirstColumn="0" w:firstRowLastColumn="0" w:lastRowFirstColumn="0" w:lastRowLastColumn="0"/>
            </w:pPr>
            <w:r w:rsidRPr="00830E66">
              <w:t>2.12 (</w:t>
            </w:r>
            <w:r>
              <w:t>0</w:t>
            </w:r>
            <w:r w:rsidRPr="00830E66">
              <w:t>.</w:t>
            </w:r>
            <w:r>
              <w:t>61</w:t>
            </w:r>
            <w:r w:rsidRPr="00830E66">
              <w:t>)</w:t>
            </w:r>
          </w:p>
        </w:tc>
        <w:tc>
          <w:tcPr>
            <w:tcW w:w="1350" w:type="dxa"/>
            <w:vAlign w:val="center"/>
          </w:tcPr>
          <w:p w14:paraId="62C78377" w14:textId="77777777" w:rsidR="00402B45" w:rsidRPr="00830E66" w:rsidRDefault="00402B45" w:rsidP="00A77B1B">
            <w:pPr>
              <w:jc w:val="center"/>
              <w:cnfStyle w:val="000000000000" w:firstRow="0" w:lastRow="0" w:firstColumn="0" w:lastColumn="0" w:oddVBand="0" w:evenVBand="0" w:oddHBand="0" w:evenHBand="0" w:firstRowFirstColumn="0" w:firstRowLastColumn="0" w:lastRowFirstColumn="0" w:lastRowLastColumn="0"/>
            </w:pPr>
            <w:r w:rsidRPr="00830E66">
              <w:t>[0.</w:t>
            </w:r>
            <w:r>
              <w:t>92</w:t>
            </w:r>
            <w:r w:rsidRPr="00830E66">
              <w:t xml:space="preserve">, </w:t>
            </w:r>
            <w:r>
              <w:t>3</w:t>
            </w:r>
            <w:r w:rsidRPr="00830E66">
              <w:t>.</w:t>
            </w:r>
            <w:r>
              <w:t>3</w:t>
            </w:r>
            <w:r w:rsidRPr="00830E66">
              <w:t>2]</w:t>
            </w:r>
          </w:p>
        </w:tc>
        <w:tc>
          <w:tcPr>
            <w:tcW w:w="985" w:type="dxa"/>
            <w:vAlign w:val="center"/>
          </w:tcPr>
          <w:p w14:paraId="1B0B68FD" w14:textId="77777777" w:rsidR="00402B45" w:rsidRPr="00830E66" w:rsidRDefault="00402B45" w:rsidP="00A77B1B">
            <w:pPr>
              <w:jc w:val="center"/>
              <w:cnfStyle w:val="000000000000" w:firstRow="0" w:lastRow="0" w:firstColumn="0" w:lastColumn="0" w:oddVBand="0" w:evenVBand="0" w:oddHBand="0" w:evenHBand="0" w:firstRowFirstColumn="0" w:firstRowLastColumn="0" w:lastRowFirstColumn="0" w:lastRowLastColumn="0"/>
            </w:pPr>
            <w:r>
              <w:t>0</w:t>
            </w:r>
            <w:r w:rsidRPr="00830E66">
              <w:t>.</w:t>
            </w:r>
            <w:r>
              <w:t>001</w:t>
            </w:r>
          </w:p>
        </w:tc>
      </w:tr>
    </w:tbl>
    <w:p w14:paraId="42049C0E" w14:textId="77777777" w:rsidR="00402B45" w:rsidRPr="005545C4" w:rsidRDefault="00402B45" w:rsidP="00402B45">
      <w:pPr>
        <w:spacing w:line="257" w:lineRule="auto"/>
        <w:rPr>
          <w:b/>
          <w:bCs/>
          <w:sz w:val="18"/>
          <w:szCs w:val="18"/>
          <w:u w:val="single"/>
        </w:rPr>
      </w:pPr>
      <w:r w:rsidRPr="005545C4">
        <w:rPr>
          <w:rFonts w:eastAsia="Calibri"/>
          <w:sz w:val="18"/>
          <w:szCs w:val="18"/>
        </w:rPr>
        <w:t>- Abbreviations: SE, standard error; CI, confidence interval; 100K, 100,000 residents.</w:t>
      </w:r>
      <w:r w:rsidRPr="005545C4">
        <w:rPr>
          <w:b/>
          <w:bCs/>
          <w:sz w:val="18"/>
          <w:szCs w:val="18"/>
          <w:u w:val="single"/>
        </w:rPr>
        <w:t xml:space="preserve"> </w:t>
      </w:r>
    </w:p>
    <w:p w14:paraId="45E3A871" w14:textId="77777777" w:rsidR="00402B45" w:rsidRPr="005545C4" w:rsidRDefault="00402B45" w:rsidP="00402B45">
      <w:pPr>
        <w:spacing w:line="257" w:lineRule="auto"/>
        <w:rPr>
          <w:rFonts w:eastAsiaTheme="minorEastAsia"/>
          <w:sz w:val="18"/>
          <w:szCs w:val="18"/>
        </w:rPr>
      </w:pPr>
      <w:r w:rsidRPr="005545C4">
        <w:rPr>
          <w:sz w:val="18"/>
          <w:szCs w:val="18"/>
        </w:rPr>
        <w:t xml:space="preserve">- </w:t>
      </w:r>
      <m:oMath>
        <m:r>
          <m:rPr>
            <m:sty m:val="bi"/>
          </m:rPr>
          <w:rPr>
            <w:rFonts w:ascii="Cambria Math" w:eastAsia="Calibri" w:hAnsi="Cambria Math"/>
            <w:sz w:val="18"/>
            <w:szCs w:val="18"/>
          </w:rPr>
          <m:t>β</m:t>
        </m:r>
      </m:oMath>
      <w:r w:rsidRPr="005545C4">
        <w:rPr>
          <w:rFonts w:eastAsia="Calibri"/>
          <w:sz w:val="18"/>
          <w:szCs w:val="18"/>
        </w:rPr>
        <w:t xml:space="preserve"> represents a change in new daily SARS-COV-2 cases per 100K residents given 1 unit (100 percentage point) increase in the county-level cumulative proportion of studen</w:t>
      </w:r>
      <w:proofErr w:type="spellStart"/>
      <w:r w:rsidRPr="005545C4">
        <w:rPr>
          <w:rFonts w:eastAsia="Calibri"/>
          <w:sz w:val="18"/>
          <w:szCs w:val="18"/>
        </w:rPr>
        <w:t>ts</w:t>
      </w:r>
      <w:proofErr w:type="spellEnd"/>
      <w:r w:rsidRPr="005545C4">
        <w:rPr>
          <w:rFonts w:eastAsia="Calibri"/>
          <w:sz w:val="18"/>
          <w:szCs w:val="18"/>
        </w:rPr>
        <w:t xml:space="preserve"> utilizing in-person instruction, holding other control variables fixed.</w:t>
      </w:r>
    </w:p>
    <w:p w14:paraId="49C1CB58" w14:textId="77777777" w:rsidR="00402B45" w:rsidRDefault="00402B45" w:rsidP="00402B45">
      <w:pPr>
        <w:rPr>
          <w:rFonts w:eastAsia="Calibri"/>
          <w:b/>
          <w:bCs/>
        </w:rPr>
      </w:pPr>
      <w:r>
        <w:rPr>
          <w:rFonts w:eastAsia="Calibri"/>
          <w:b/>
          <w:bCs/>
        </w:rPr>
        <w:br w:type="page"/>
      </w:r>
    </w:p>
    <w:p w14:paraId="2AA2D612" w14:textId="77777777" w:rsidR="00402B45" w:rsidRPr="005C4CCD" w:rsidRDefault="00402B45" w:rsidP="00402B45">
      <w:pPr>
        <w:keepNext/>
        <w:spacing w:line="257" w:lineRule="auto"/>
      </w:pPr>
      <w:r w:rsidRPr="005C4CCD">
        <w:rPr>
          <w:rFonts w:eastAsia="Calibri"/>
          <w:b/>
          <w:bCs/>
        </w:rPr>
        <w:lastRenderedPageBreak/>
        <w:t xml:space="preserve">Table </w:t>
      </w:r>
      <w:r>
        <w:rPr>
          <w:rFonts w:eastAsia="Calibri"/>
          <w:b/>
          <w:bCs/>
        </w:rPr>
        <w:t>S2</w:t>
      </w:r>
      <w:r w:rsidRPr="005C4CCD">
        <w:rPr>
          <w:rFonts w:eastAsia="Calibri"/>
          <w:b/>
          <w:bCs/>
        </w:rPr>
        <w:t xml:space="preserve">. </w:t>
      </w:r>
      <w:r w:rsidRPr="005C4CCD">
        <w:rPr>
          <w:rFonts w:eastAsia="Calibri"/>
        </w:rPr>
        <w:t>Results of the panel data regression with county and day fixed effects using data from 73 counties in the state of Indiana</w:t>
      </w:r>
      <w:r>
        <w:rPr>
          <w:rFonts w:eastAsia="Calibri"/>
        </w:rPr>
        <w:t xml:space="preserve"> under two methods for imputing missing </w:t>
      </w:r>
      <w:r w:rsidRPr="00DA1A58">
        <w:rPr>
          <w:rFonts w:eastAsiaTheme="minorEastAsia"/>
        </w:rPr>
        <w:t>school-level cumulative proportion of students in-person</w:t>
      </w:r>
      <w:r>
        <w:rPr>
          <w:rFonts w:eastAsiaTheme="minorEastAsia"/>
        </w:rPr>
        <w:t xml:space="preserve">: 1) </w:t>
      </w:r>
      <w:r w:rsidRPr="00DA1A58">
        <w:rPr>
          <w:rFonts w:eastAsiaTheme="minorEastAsia"/>
        </w:rPr>
        <w:t>imput</w:t>
      </w:r>
      <w:r>
        <w:rPr>
          <w:rFonts w:eastAsiaTheme="minorEastAsia"/>
        </w:rPr>
        <w:t>ing</w:t>
      </w:r>
      <w:r w:rsidRPr="00DA1A58">
        <w:rPr>
          <w:rFonts w:eastAsiaTheme="minorEastAsia"/>
        </w:rPr>
        <w:t xml:space="preserve"> missing values </w:t>
      </w:r>
      <w:r>
        <w:rPr>
          <w:rFonts w:eastAsiaTheme="minorEastAsia"/>
        </w:rPr>
        <w:t>with</w:t>
      </w:r>
      <w:r w:rsidRPr="00DA1A58">
        <w:rPr>
          <w:rFonts w:eastAsiaTheme="minorEastAsia"/>
        </w:rPr>
        <w:t xml:space="preserve"> 0% in-person learning rates</w:t>
      </w:r>
      <w:r>
        <w:rPr>
          <w:rFonts w:eastAsiaTheme="minorEastAsia"/>
        </w:rPr>
        <w:t>; and 2) imputing</w:t>
      </w:r>
      <w:r w:rsidRPr="00DA1A58">
        <w:rPr>
          <w:rFonts w:eastAsiaTheme="minorEastAsia"/>
        </w:rPr>
        <w:t xml:space="preserve"> missing values </w:t>
      </w:r>
      <w:r>
        <w:rPr>
          <w:rFonts w:eastAsiaTheme="minorEastAsia"/>
        </w:rPr>
        <w:t>with</w:t>
      </w:r>
      <w:r w:rsidRPr="00DA1A58">
        <w:rPr>
          <w:rFonts w:eastAsiaTheme="minorEastAsia"/>
        </w:rPr>
        <w:t xml:space="preserve"> </w:t>
      </w:r>
      <w:r>
        <w:rPr>
          <w:rFonts w:eastAsiaTheme="minorEastAsia"/>
        </w:rPr>
        <w:t>10</w:t>
      </w:r>
      <w:r w:rsidRPr="00DA1A58">
        <w:rPr>
          <w:rFonts w:eastAsiaTheme="minorEastAsia"/>
        </w:rPr>
        <w:t>0% in-person learning rate</w:t>
      </w:r>
      <w:r>
        <w:rPr>
          <w:rFonts w:eastAsiaTheme="minorEastAsia"/>
        </w:rPr>
        <w:t>s</w:t>
      </w:r>
      <w:r>
        <w:rPr>
          <w:rFonts w:eastAsia="Calibri"/>
        </w:rPr>
        <w:t xml:space="preserve">. </w:t>
      </w:r>
      <w:r w:rsidRPr="004C110A">
        <w:rPr>
          <w:rFonts w:eastAsia="Calibri"/>
        </w:rPr>
        <w:t>The main predictor is the county-level cumulative percentage proportion of students utilizing in-person instruction</w:t>
      </w:r>
      <w:r>
        <w:rPr>
          <w:rFonts w:eastAsia="Calibri"/>
        </w:rPr>
        <w:t>.</w:t>
      </w:r>
    </w:p>
    <w:tbl>
      <w:tblPr>
        <w:tblStyle w:val="GridTable2"/>
        <w:tblW w:w="9350" w:type="dxa"/>
        <w:tblLayout w:type="fixed"/>
        <w:tblLook w:val="04A0" w:firstRow="1" w:lastRow="0" w:firstColumn="1" w:lastColumn="0" w:noHBand="0" w:noVBand="1"/>
      </w:tblPr>
      <w:tblGrid>
        <w:gridCol w:w="985"/>
        <w:gridCol w:w="4775"/>
        <w:gridCol w:w="1260"/>
        <w:gridCol w:w="1350"/>
        <w:gridCol w:w="980"/>
      </w:tblGrid>
      <w:tr w:rsidR="00402B45" w:rsidRPr="00B56326" w14:paraId="79C4AFDF" w14:textId="77777777" w:rsidTr="00A77B1B">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985" w:type="dxa"/>
            <w:vAlign w:val="center"/>
          </w:tcPr>
          <w:p w14:paraId="43FB47FB" w14:textId="77777777" w:rsidR="00402B45" w:rsidRPr="00003818" w:rsidRDefault="00402B45" w:rsidP="00A77B1B">
            <w:pPr>
              <w:keepNext/>
              <w:rPr>
                <w:rFonts w:eastAsia="Calibri"/>
              </w:rPr>
            </w:pPr>
            <w:proofErr w:type="spellStart"/>
            <w:r>
              <w:rPr>
                <w:rFonts w:eastAsia="Calibri"/>
              </w:rPr>
              <w:t>Impute</w:t>
            </w:r>
            <w:r>
              <w:rPr>
                <w:rFonts w:eastAsia="Calibri"/>
                <w:vertAlign w:val="superscript"/>
              </w:rPr>
              <w:t>a</w:t>
            </w:r>
            <w:proofErr w:type="spellEnd"/>
          </w:p>
        </w:tc>
        <w:tc>
          <w:tcPr>
            <w:tcW w:w="4775" w:type="dxa"/>
            <w:vAlign w:val="center"/>
          </w:tcPr>
          <w:p w14:paraId="1A05410D" w14:textId="77777777" w:rsidR="00402B45" w:rsidRPr="00830E66" w:rsidRDefault="00402B45" w:rsidP="00A77B1B">
            <w:pPr>
              <w:keepNext/>
              <w:cnfStyle w:val="100000000000" w:firstRow="1" w:lastRow="0" w:firstColumn="0" w:lastColumn="0" w:oddVBand="0" w:evenVBand="0" w:oddHBand="0" w:evenHBand="0" w:firstRowFirstColumn="0" w:firstRowLastColumn="0" w:lastRowFirstColumn="0" w:lastRowLastColumn="0"/>
            </w:pPr>
            <w:r w:rsidRPr="00830E66">
              <w:rPr>
                <w:rFonts w:eastAsia="Calibri"/>
              </w:rPr>
              <w:t>Outcome</w:t>
            </w:r>
          </w:p>
        </w:tc>
        <w:tc>
          <w:tcPr>
            <w:tcW w:w="1260" w:type="dxa"/>
            <w:vAlign w:val="center"/>
          </w:tcPr>
          <w:p w14:paraId="569D5388" w14:textId="77777777" w:rsidR="00402B45" w:rsidRPr="00830E66" w:rsidRDefault="00402B45" w:rsidP="00A77B1B">
            <w:pPr>
              <w:keepNext/>
              <w:jc w:val="center"/>
              <w:cnfStyle w:val="100000000000" w:firstRow="1" w:lastRow="0" w:firstColumn="0" w:lastColumn="0" w:oddVBand="0" w:evenVBand="0" w:oddHBand="0" w:evenHBand="0" w:firstRowFirstColumn="0" w:firstRowLastColumn="0" w:lastRowFirstColumn="0" w:lastRowLastColumn="0"/>
            </w:pPr>
            <m:oMath>
              <m:r>
                <m:rPr>
                  <m:sty m:val="bi"/>
                </m:rPr>
                <w:rPr>
                  <w:rFonts w:ascii="Cambria Math" w:eastAsia="Calibri" w:hAnsi="Cambria Math"/>
                </w:rPr>
                <m:t>β</m:t>
              </m:r>
            </m:oMath>
            <w:r w:rsidRPr="00830E66">
              <w:rPr>
                <w:rFonts w:eastAsia="Calibri"/>
              </w:rPr>
              <w:t xml:space="preserve"> (SE)</w:t>
            </w:r>
          </w:p>
        </w:tc>
        <w:tc>
          <w:tcPr>
            <w:tcW w:w="1350" w:type="dxa"/>
            <w:vAlign w:val="center"/>
          </w:tcPr>
          <w:p w14:paraId="6C9A7101" w14:textId="77777777" w:rsidR="00402B45" w:rsidRPr="00830E66" w:rsidRDefault="00402B45" w:rsidP="00A77B1B">
            <w:pPr>
              <w:keepNext/>
              <w:jc w:val="center"/>
              <w:cnfStyle w:val="100000000000" w:firstRow="1" w:lastRow="0" w:firstColumn="0" w:lastColumn="0" w:oddVBand="0" w:evenVBand="0" w:oddHBand="0" w:evenHBand="0" w:firstRowFirstColumn="0" w:firstRowLastColumn="0" w:lastRowFirstColumn="0" w:lastRowLastColumn="0"/>
            </w:pPr>
            <w:r w:rsidRPr="00830E66">
              <w:rPr>
                <w:rFonts w:eastAsia="Calibri"/>
              </w:rPr>
              <w:t>95% CI</w:t>
            </w:r>
          </w:p>
        </w:tc>
        <w:tc>
          <w:tcPr>
            <w:tcW w:w="980" w:type="dxa"/>
            <w:vAlign w:val="center"/>
          </w:tcPr>
          <w:p w14:paraId="7BEE2314" w14:textId="77777777" w:rsidR="00402B45" w:rsidRPr="00830E66" w:rsidRDefault="00402B45" w:rsidP="00A77B1B">
            <w:pPr>
              <w:keepNext/>
              <w:jc w:val="center"/>
              <w:cnfStyle w:val="100000000000" w:firstRow="1" w:lastRow="0" w:firstColumn="0" w:lastColumn="0" w:oddVBand="0" w:evenVBand="0" w:oddHBand="0" w:evenHBand="0" w:firstRowFirstColumn="0" w:firstRowLastColumn="0" w:lastRowFirstColumn="0" w:lastRowLastColumn="0"/>
            </w:pPr>
            <w:r w:rsidRPr="00830E66">
              <w:rPr>
                <w:rFonts w:eastAsia="Calibri"/>
              </w:rPr>
              <w:t>P-value</w:t>
            </w:r>
          </w:p>
        </w:tc>
      </w:tr>
      <w:tr w:rsidR="00402B45" w:rsidRPr="00B56326" w14:paraId="508766A6" w14:textId="77777777" w:rsidTr="00A77B1B">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985" w:type="dxa"/>
            <w:vAlign w:val="center"/>
          </w:tcPr>
          <w:p w14:paraId="099BF6BA" w14:textId="77777777" w:rsidR="00402B45" w:rsidRPr="00830E66" w:rsidRDefault="00402B45" w:rsidP="00A77B1B">
            <w:pPr>
              <w:keepNext/>
              <w:rPr>
                <w:rFonts w:eastAsia="Calibri"/>
                <w:b w:val="0"/>
              </w:rPr>
            </w:pPr>
            <w:r>
              <w:rPr>
                <w:rFonts w:eastAsia="Calibri"/>
                <w:b w:val="0"/>
              </w:rPr>
              <w:t>0%</w:t>
            </w:r>
          </w:p>
        </w:tc>
        <w:tc>
          <w:tcPr>
            <w:tcW w:w="4775" w:type="dxa"/>
            <w:vAlign w:val="center"/>
          </w:tcPr>
          <w:p w14:paraId="3F54E2A9" w14:textId="77777777" w:rsidR="00402B45" w:rsidRPr="00830E66" w:rsidRDefault="00402B45" w:rsidP="00A77B1B">
            <w:pPr>
              <w:keepNext/>
              <w:cnfStyle w:val="000000100000" w:firstRow="0" w:lastRow="0" w:firstColumn="0" w:lastColumn="0" w:oddVBand="0" w:evenVBand="0" w:oddHBand="1" w:evenHBand="0" w:firstRowFirstColumn="0" w:firstRowLastColumn="0" w:lastRowFirstColumn="0" w:lastRowLastColumn="0"/>
              <w:rPr>
                <w:b/>
                <w:bCs/>
              </w:rPr>
            </w:pPr>
            <w:r w:rsidRPr="00830E66">
              <w:rPr>
                <w:rFonts w:eastAsia="Calibri"/>
              </w:rPr>
              <w:t xml:space="preserve">New daily SARS-CoV-2 cases per 100K </w:t>
            </w:r>
          </w:p>
        </w:tc>
        <w:tc>
          <w:tcPr>
            <w:tcW w:w="1260" w:type="dxa"/>
            <w:vAlign w:val="center"/>
          </w:tcPr>
          <w:p w14:paraId="368843DD" w14:textId="77777777" w:rsidR="00402B45" w:rsidRPr="00830E66" w:rsidRDefault="00402B45" w:rsidP="00A77B1B">
            <w:pPr>
              <w:keepNext/>
              <w:jc w:val="center"/>
              <w:cnfStyle w:val="000000100000" w:firstRow="0" w:lastRow="0" w:firstColumn="0" w:lastColumn="0" w:oddVBand="0" w:evenVBand="0" w:oddHBand="1" w:evenHBand="0" w:firstRowFirstColumn="0" w:firstRowLastColumn="0" w:lastRowFirstColumn="0" w:lastRowLastColumn="0"/>
              <w:rPr>
                <w:rFonts w:eastAsia="Calibri"/>
              </w:rPr>
            </w:pPr>
            <w:r>
              <w:t>4</w:t>
            </w:r>
            <w:r w:rsidRPr="00830E66">
              <w:t>.</w:t>
            </w:r>
            <w:r>
              <w:t>81</w:t>
            </w:r>
            <w:r w:rsidRPr="00830E66">
              <w:t xml:space="preserve"> (</w:t>
            </w:r>
            <w:r>
              <w:t>0</w:t>
            </w:r>
            <w:r w:rsidRPr="00830E66">
              <w:t>.</w:t>
            </w:r>
            <w:r>
              <w:t>94</w:t>
            </w:r>
            <w:r w:rsidRPr="00830E66">
              <w:t>)</w:t>
            </w:r>
          </w:p>
        </w:tc>
        <w:tc>
          <w:tcPr>
            <w:tcW w:w="1350" w:type="dxa"/>
            <w:vAlign w:val="center"/>
          </w:tcPr>
          <w:p w14:paraId="24A0404A" w14:textId="77777777" w:rsidR="00402B45" w:rsidRPr="00830E66" w:rsidRDefault="00402B45" w:rsidP="00A77B1B">
            <w:pPr>
              <w:keepNext/>
              <w:jc w:val="center"/>
              <w:cnfStyle w:val="000000100000" w:firstRow="0" w:lastRow="0" w:firstColumn="0" w:lastColumn="0" w:oddVBand="0" w:evenVBand="0" w:oddHBand="1" w:evenHBand="0" w:firstRowFirstColumn="0" w:firstRowLastColumn="0" w:lastRowFirstColumn="0" w:lastRowLastColumn="0"/>
            </w:pPr>
            <w:r w:rsidRPr="00830E66">
              <w:t>[</w:t>
            </w:r>
            <w:r>
              <w:t>2</w:t>
            </w:r>
            <w:r w:rsidRPr="00830E66">
              <w:t>.</w:t>
            </w:r>
            <w:r>
              <w:t>96</w:t>
            </w:r>
            <w:r w:rsidRPr="00830E66">
              <w:t xml:space="preserve">, </w:t>
            </w:r>
            <w:r>
              <w:t>6</w:t>
            </w:r>
            <w:r w:rsidRPr="00830E66">
              <w:t>.</w:t>
            </w:r>
            <w:r>
              <w:t>65</w:t>
            </w:r>
            <w:r w:rsidRPr="00830E66">
              <w:t>]</w:t>
            </w:r>
          </w:p>
        </w:tc>
        <w:tc>
          <w:tcPr>
            <w:tcW w:w="980" w:type="dxa"/>
            <w:vAlign w:val="center"/>
          </w:tcPr>
          <w:p w14:paraId="32CF29E8" w14:textId="77777777" w:rsidR="00402B45" w:rsidRPr="00830E66" w:rsidRDefault="00402B45" w:rsidP="00A77B1B">
            <w:pPr>
              <w:keepNext/>
              <w:jc w:val="center"/>
              <w:cnfStyle w:val="000000100000" w:firstRow="0" w:lastRow="0" w:firstColumn="0" w:lastColumn="0" w:oddVBand="0" w:evenVBand="0" w:oddHBand="1" w:evenHBand="0" w:firstRowFirstColumn="0" w:firstRowLastColumn="0" w:lastRowFirstColumn="0" w:lastRowLastColumn="0"/>
            </w:pPr>
            <w:r>
              <w:t>&lt; 0.001</w:t>
            </w:r>
          </w:p>
        </w:tc>
      </w:tr>
      <w:tr w:rsidR="00402B45" w:rsidRPr="00B56326" w14:paraId="47321BC8" w14:textId="77777777" w:rsidTr="00A77B1B">
        <w:trPr>
          <w:trHeight w:val="371"/>
        </w:trPr>
        <w:tc>
          <w:tcPr>
            <w:cnfStyle w:val="001000000000" w:firstRow="0" w:lastRow="0" w:firstColumn="1" w:lastColumn="0" w:oddVBand="0" w:evenVBand="0" w:oddHBand="0" w:evenHBand="0" w:firstRowFirstColumn="0" w:firstRowLastColumn="0" w:lastRowFirstColumn="0" w:lastRowLastColumn="0"/>
            <w:tcW w:w="985" w:type="dxa"/>
            <w:vAlign w:val="center"/>
          </w:tcPr>
          <w:p w14:paraId="7579BF13" w14:textId="77777777" w:rsidR="00402B45" w:rsidRPr="00830E66" w:rsidRDefault="00402B45" w:rsidP="00A77B1B">
            <w:pPr>
              <w:rPr>
                <w:rFonts w:eastAsia="Calibri"/>
              </w:rPr>
            </w:pPr>
          </w:p>
        </w:tc>
        <w:tc>
          <w:tcPr>
            <w:tcW w:w="4775" w:type="dxa"/>
            <w:vAlign w:val="center"/>
          </w:tcPr>
          <w:p w14:paraId="5AA434C3" w14:textId="77777777" w:rsidR="00402B45" w:rsidRPr="00830E66" w:rsidRDefault="00402B45" w:rsidP="00A77B1B">
            <w:pPr>
              <w:cnfStyle w:val="000000000000" w:firstRow="0" w:lastRow="0" w:firstColumn="0" w:lastColumn="0" w:oddVBand="0" w:evenVBand="0" w:oddHBand="0" w:evenHBand="0" w:firstRowFirstColumn="0" w:firstRowLastColumn="0" w:lastRowFirstColumn="0" w:lastRowLastColumn="0"/>
              <w:rPr>
                <w:b/>
                <w:bCs/>
              </w:rPr>
            </w:pPr>
            <w:r w:rsidRPr="00830E66">
              <w:rPr>
                <w:rFonts w:eastAsia="Calibri"/>
              </w:rPr>
              <w:t>New daily SARS-CoV-2 cases per 100K, ages 0-19</w:t>
            </w:r>
          </w:p>
        </w:tc>
        <w:tc>
          <w:tcPr>
            <w:tcW w:w="1260" w:type="dxa"/>
            <w:vAlign w:val="center"/>
          </w:tcPr>
          <w:p w14:paraId="6888F63A" w14:textId="77777777" w:rsidR="00402B45" w:rsidRPr="00830E66" w:rsidRDefault="00402B45" w:rsidP="00A77B1B">
            <w:pPr>
              <w:jc w:val="center"/>
              <w:cnfStyle w:val="000000000000" w:firstRow="0" w:lastRow="0" w:firstColumn="0" w:lastColumn="0" w:oddVBand="0" w:evenVBand="0" w:oddHBand="0" w:evenHBand="0" w:firstRowFirstColumn="0" w:firstRowLastColumn="0" w:lastRowFirstColumn="0" w:lastRowLastColumn="0"/>
              <w:rPr>
                <w:rFonts w:eastAsia="Calibri"/>
              </w:rPr>
            </w:pPr>
            <w:r>
              <w:t>5</w:t>
            </w:r>
            <w:r w:rsidRPr="00830E66">
              <w:t>.</w:t>
            </w:r>
            <w:r>
              <w:t>27</w:t>
            </w:r>
            <w:r w:rsidRPr="00830E66">
              <w:t xml:space="preserve"> (1.</w:t>
            </w:r>
            <w:r>
              <w:t>36</w:t>
            </w:r>
            <w:r w:rsidRPr="00830E66">
              <w:t>)</w:t>
            </w:r>
          </w:p>
        </w:tc>
        <w:tc>
          <w:tcPr>
            <w:tcW w:w="1350" w:type="dxa"/>
            <w:vAlign w:val="center"/>
          </w:tcPr>
          <w:p w14:paraId="695B03A8" w14:textId="77777777" w:rsidR="00402B45" w:rsidRPr="00830E66" w:rsidRDefault="00402B45" w:rsidP="00A77B1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830E66">
              <w:t>[</w:t>
            </w:r>
            <w:r>
              <w:t>2</w:t>
            </w:r>
            <w:r w:rsidRPr="00830E66">
              <w:t>.</w:t>
            </w:r>
            <w:r>
              <w:t>61</w:t>
            </w:r>
            <w:r w:rsidRPr="00830E66">
              <w:t xml:space="preserve">, </w:t>
            </w:r>
            <w:r>
              <w:t>7</w:t>
            </w:r>
            <w:r w:rsidRPr="00830E66">
              <w:t>.</w:t>
            </w:r>
            <w:r>
              <w:t>93</w:t>
            </w:r>
            <w:r w:rsidRPr="00830E66">
              <w:t>]</w:t>
            </w:r>
          </w:p>
        </w:tc>
        <w:tc>
          <w:tcPr>
            <w:tcW w:w="980" w:type="dxa"/>
            <w:vAlign w:val="center"/>
          </w:tcPr>
          <w:p w14:paraId="63A83625" w14:textId="77777777" w:rsidR="00402B45" w:rsidRPr="00830E66" w:rsidRDefault="00402B45" w:rsidP="00A77B1B">
            <w:pPr>
              <w:jc w:val="center"/>
              <w:cnfStyle w:val="000000000000" w:firstRow="0" w:lastRow="0" w:firstColumn="0" w:lastColumn="0" w:oddVBand="0" w:evenVBand="0" w:oddHBand="0" w:evenHBand="0" w:firstRowFirstColumn="0" w:firstRowLastColumn="0" w:lastRowFirstColumn="0" w:lastRowLastColumn="0"/>
            </w:pPr>
            <w:r>
              <w:t>&lt; 0.001</w:t>
            </w:r>
          </w:p>
        </w:tc>
      </w:tr>
      <w:tr w:rsidR="00402B45" w:rsidRPr="00B56326" w14:paraId="0E494CCA" w14:textId="77777777" w:rsidTr="00A77B1B">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985" w:type="dxa"/>
            <w:vAlign w:val="center"/>
          </w:tcPr>
          <w:p w14:paraId="6860A889" w14:textId="77777777" w:rsidR="00402B45" w:rsidRPr="00830E66" w:rsidRDefault="00402B45" w:rsidP="00A77B1B">
            <w:pPr>
              <w:rPr>
                <w:rFonts w:eastAsia="Calibri"/>
                <w:b w:val="0"/>
              </w:rPr>
            </w:pPr>
            <w:r>
              <w:rPr>
                <w:rFonts w:eastAsia="Calibri"/>
                <w:b w:val="0"/>
              </w:rPr>
              <w:t>100%</w:t>
            </w:r>
          </w:p>
        </w:tc>
        <w:tc>
          <w:tcPr>
            <w:tcW w:w="4775" w:type="dxa"/>
            <w:vAlign w:val="center"/>
          </w:tcPr>
          <w:p w14:paraId="5F2E8AA6" w14:textId="77777777" w:rsidR="00402B45" w:rsidRPr="00830E66" w:rsidRDefault="00402B45" w:rsidP="00A77B1B">
            <w:pPr>
              <w:cnfStyle w:val="000000100000" w:firstRow="0" w:lastRow="0" w:firstColumn="0" w:lastColumn="0" w:oddVBand="0" w:evenVBand="0" w:oddHBand="1" w:evenHBand="0" w:firstRowFirstColumn="0" w:firstRowLastColumn="0" w:lastRowFirstColumn="0" w:lastRowLastColumn="0"/>
              <w:rPr>
                <w:rFonts w:eastAsia="Calibri"/>
              </w:rPr>
            </w:pPr>
            <w:r w:rsidRPr="00830E66">
              <w:rPr>
                <w:rFonts w:eastAsia="Calibri"/>
              </w:rPr>
              <w:t xml:space="preserve">New daily SARS-CoV-2 cases per 100K </w:t>
            </w:r>
          </w:p>
        </w:tc>
        <w:tc>
          <w:tcPr>
            <w:tcW w:w="1260" w:type="dxa"/>
            <w:vAlign w:val="center"/>
          </w:tcPr>
          <w:p w14:paraId="1789FE50" w14:textId="77777777" w:rsidR="00402B45" w:rsidRPr="00830E66" w:rsidRDefault="00402B45" w:rsidP="00A77B1B">
            <w:pPr>
              <w:jc w:val="center"/>
              <w:cnfStyle w:val="000000100000" w:firstRow="0" w:lastRow="0" w:firstColumn="0" w:lastColumn="0" w:oddVBand="0" w:evenVBand="0" w:oddHBand="1" w:evenHBand="0" w:firstRowFirstColumn="0" w:firstRowLastColumn="0" w:lastRowFirstColumn="0" w:lastRowLastColumn="0"/>
            </w:pPr>
            <w:r>
              <w:t>3</w:t>
            </w:r>
            <w:r w:rsidRPr="00830E66">
              <w:t>.</w:t>
            </w:r>
            <w:r>
              <w:t>32</w:t>
            </w:r>
            <w:r w:rsidRPr="00830E66">
              <w:t xml:space="preserve"> (</w:t>
            </w:r>
            <w:r>
              <w:t>0</w:t>
            </w:r>
            <w:r w:rsidRPr="00830E66">
              <w:t>.</w:t>
            </w:r>
            <w:r>
              <w:t>94</w:t>
            </w:r>
            <w:r w:rsidRPr="00830E66">
              <w:t>)</w:t>
            </w:r>
          </w:p>
        </w:tc>
        <w:tc>
          <w:tcPr>
            <w:tcW w:w="1350" w:type="dxa"/>
            <w:vAlign w:val="center"/>
          </w:tcPr>
          <w:p w14:paraId="23EE0E25" w14:textId="77777777" w:rsidR="00402B45" w:rsidRPr="00830E66" w:rsidRDefault="00402B45" w:rsidP="00A77B1B">
            <w:pPr>
              <w:jc w:val="center"/>
              <w:cnfStyle w:val="000000100000" w:firstRow="0" w:lastRow="0" w:firstColumn="0" w:lastColumn="0" w:oddVBand="0" w:evenVBand="0" w:oddHBand="1" w:evenHBand="0" w:firstRowFirstColumn="0" w:firstRowLastColumn="0" w:lastRowFirstColumn="0" w:lastRowLastColumn="0"/>
            </w:pPr>
            <w:r w:rsidRPr="00830E66">
              <w:t>[</w:t>
            </w:r>
            <w:r>
              <w:t>1</w:t>
            </w:r>
            <w:r w:rsidRPr="00830E66">
              <w:t>.</w:t>
            </w:r>
            <w:r>
              <w:t>48</w:t>
            </w:r>
            <w:r w:rsidRPr="00830E66">
              <w:t xml:space="preserve">, </w:t>
            </w:r>
            <w:r>
              <w:t>5</w:t>
            </w:r>
            <w:r w:rsidRPr="00830E66">
              <w:t>.</w:t>
            </w:r>
            <w:r>
              <w:t>16</w:t>
            </w:r>
            <w:r w:rsidRPr="00830E66">
              <w:t>]</w:t>
            </w:r>
          </w:p>
        </w:tc>
        <w:tc>
          <w:tcPr>
            <w:tcW w:w="980" w:type="dxa"/>
            <w:vAlign w:val="center"/>
          </w:tcPr>
          <w:p w14:paraId="7EA15510" w14:textId="77777777" w:rsidR="00402B45" w:rsidRPr="00830E66" w:rsidRDefault="00402B45" w:rsidP="00A77B1B">
            <w:pPr>
              <w:jc w:val="center"/>
              <w:cnfStyle w:val="000000100000" w:firstRow="0" w:lastRow="0" w:firstColumn="0" w:lastColumn="0" w:oddVBand="0" w:evenVBand="0" w:oddHBand="1" w:evenHBand="0" w:firstRowFirstColumn="0" w:firstRowLastColumn="0" w:lastRowFirstColumn="0" w:lastRowLastColumn="0"/>
            </w:pPr>
            <w:r>
              <w:t>&lt; 0.001</w:t>
            </w:r>
          </w:p>
        </w:tc>
      </w:tr>
      <w:tr w:rsidR="00402B45" w:rsidRPr="00B56326" w14:paraId="35000388" w14:textId="77777777" w:rsidTr="00A77B1B">
        <w:trPr>
          <w:trHeight w:val="371"/>
        </w:trPr>
        <w:tc>
          <w:tcPr>
            <w:cnfStyle w:val="001000000000" w:firstRow="0" w:lastRow="0" w:firstColumn="1" w:lastColumn="0" w:oddVBand="0" w:evenVBand="0" w:oddHBand="0" w:evenHBand="0" w:firstRowFirstColumn="0" w:firstRowLastColumn="0" w:lastRowFirstColumn="0" w:lastRowLastColumn="0"/>
            <w:tcW w:w="985" w:type="dxa"/>
            <w:vAlign w:val="center"/>
          </w:tcPr>
          <w:p w14:paraId="2D138C2B" w14:textId="77777777" w:rsidR="00402B45" w:rsidRPr="00830E66" w:rsidRDefault="00402B45" w:rsidP="00A77B1B">
            <w:pPr>
              <w:rPr>
                <w:rFonts w:eastAsia="Calibri"/>
              </w:rPr>
            </w:pPr>
          </w:p>
        </w:tc>
        <w:tc>
          <w:tcPr>
            <w:tcW w:w="4775" w:type="dxa"/>
            <w:vAlign w:val="center"/>
          </w:tcPr>
          <w:p w14:paraId="61F51C98" w14:textId="77777777" w:rsidR="00402B45" w:rsidRPr="00830E66" w:rsidRDefault="00402B45" w:rsidP="00A77B1B">
            <w:pPr>
              <w:cnfStyle w:val="000000000000" w:firstRow="0" w:lastRow="0" w:firstColumn="0" w:lastColumn="0" w:oddVBand="0" w:evenVBand="0" w:oddHBand="0" w:evenHBand="0" w:firstRowFirstColumn="0" w:firstRowLastColumn="0" w:lastRowFirstColumn="0" w:lastRowLastColumn="0"/>
              <w:rPr>
                <w:rFonts w:eastAsia="Calibri"/>
              </w:rPr>
            </w:pPr>
            <w:r w:rsidRPr="00830E66">
              <w:rPr>
                <w:rFonts w:eastAsia="Calibri"/>
              </w:rPr>
              <w:t>New daily SARS-CoV-2 cases per 100K, ages 0-19</w:t>
            </w:r>
          </w:p>
        </w:tc>
        <w:tc>
          <w:tcPr>
            <w:tcW w:w="1260" w:type="dxa"/>
            <w:vAlign w:val="center"/>
          </w:tcPr>
          <w:p w14:paraId="1356DE4B" w14:textId="77777777" w:rsidR="00402B45" w:rsidRPr="00830E66" w:rsidRDefault="00402B45" w:rsidP="00A77B1B">
            <w:pPr>
              <w:jc w:val="center"/>
              <w:cnfStyle w:val="000000000000" w:firstRow="0" w:lastRow="0" w:firstColumn="0" w:lastColumn="0" w:oddVBand="0" w:evenVBand="0" w:oddHBand="0" w:evenHBand="0" w:firstRowFirstColumn="0" w:firstRowLastColumn="0" w:lastRowFirstColumn="0" w:lastRowLastColumn="0"/>
            </w:pPr>
            <w:r w:rsidRPr="00830E66">
              <w:t>2.</w:t>
            </w:r>
            <w:r>
              <w:t>51</w:t>
            </w:r>
            <w:r w:rsidRPr="00830E66">
              <w:t xml:space="preserve"> (</w:t>
            </w:r>
            <w:r>
              <w:t>0.86</w:t>
            </w:r>
            <w:r w:rsidRPr="00830E66">
              <w:t>)</w:t>
            </w:r>
          </w:p>
        </w:tc>
        <w:tc>
          <w:tcPr>
            <w:tcW w:w="1350" w:type="dxa"/>
            <w:vAlign w:val="center"/>
          </w:tcPr>
          <w:p w14:paraId="069AAC61" w14:textId="77777777" w:rsidR="00402B45" w:rsidRPr="00830E66" w:rsidRDefault="00402B45" w:rsidP="00A77B1B">
            <w:pPr>
              <w:jc w:val="center"/>
              <w:cnfStyle w:val="000000000000" w:firstRow="0" w:lastRow="0" w:firstColumn="0" w:lastColumn="0" w:oddVBand="0" w:evenVBand="0" w:oddHBand="0" w:evenHBand="0" w:firstRowFirstColumn="0" w:firstRowLastColumn="0" w:lastRowFirstColumn="0" w:lastRowLastColumn="0"/>
            </w:pPr>
            <w:r w:rsidRPr="00830E66">
              <w:t>[0.</w:t>
            </w:r>
            <w:r>
              <w:t>83</w:t>
            </w:r>
            <w:r w:rsidRPr="00830E66">
              <w:t xml:space="preserve">, </w:t>
            </w:r>
            <w:r>
              <w:t>4</w:t>
            </w:r>
            <w:r w:rsidRPr="00830E66">
              <w:t>.</w:t>
            </w:r>
            <w:r>
              <w:t>19</w:t>
            </w:r>
            <w:r w:rsidRPr="00830E66">
              <w:t>]</w:t>
            </w:r>
          </w:p>
        </w:tc>
        <w:tc>
          <w:tcPr>
            <w:tcW w:w="980" w:type="dxa"/>
            <w:vAlign w:val="center"/>
          </w:tcPr>
          <w:p w14:paraId="76D3C380" w14:textId="77777777" w:rsidR="00402B45" w:rsidRPr="00830E66" w:rsidRDefault="00402B45" w:rsidP="00A77B1B">
            <w:pPr>
              <w:jc w:val="center"/>
              <w:cnfStyle w:val="000000000000" w:firstRow="0" w:lastRow="0" w:firstColumn="0" w:lastColumn="0" w:oddVBand="0" w:evenVBand="0" w:oddHBand="0" w:evenHBand="0" w:firstRowFirstColumn="0" w:firstRowLastColumn="0" w:lastRowFirstColumn="0" w:lastRowLastColumn="0"/>
            </w:pPr>
            <w:r>
              <w:t>0.003</w:t>
            </w:r>
          </w:p>
        </w:tc>
      </w:tr>
    </w:tbl>
    <w:p w14:paraId="5C943FF6" w14:textId="77777777" w:rsidR="00402B45" w:rsidRPr="00003818" w:rsidRDefault="00402B45" w:rsidP="00402B45">
      <w:pPr>
        <w:rPr>
          <w:bCs/>
          <w:sz w:val="18"/>
          <w:szCs w:val="18"/>
          <w:u w:val="single"/>
        </w:rPr>
      </w:pPr>
      <w:r w:rsidRPr="00003818">
        <w:rPr>
          <w:rFonts w:eastAsia="Calibri"/>
          <w:sz w:val="18"/>
          <w:szCs w:val="18"/>
        </w:rPr>
        <w:t>- Abbreviations: SE, standard error; CI, confidence interval; 100K, 100,000 residents.</w:t>
      </w:r>
      <w:r w:rsidRPr="00003818">
        <w:rPr>
          <w:bCs/>
          <w:sz w:val="18"/>
          <w:szCs w:val="18"/>
          <w:u w:val="single"/>
        </w:rPr>
        <w:t xml:space="preserve"> </w:t>
      </w:r>
    </w:p>
    <w:p w14:paraId="3E66AC1D" w14:textId="77777777" w:rsidR="00402B45" w:rsidRPr="00003818" w:rsidRDefault="00402B45" w:rsidP="00402B45">
      <w:pPr>
        <w:rPr>
          <w:rFonts w:eastAsiaTheme="minorEastAsia"/>
          <w:sz w:val="18"/>
          <w:szCs w:val="18"/>
        </w:rPr>
      </w:pPr>
      <w:r w:rsidRPr="00003818">
        <w:rPr>
          <w:sz w:val="18"/>
          <w:szCs w:val="18"/>
        </w:rPr>
        <w:t xml:space="preserve">- </w:t>
      </w:r>
      <m:oMath>
        <m:r>
          <w:rPr>
            <w:rFonts w:ascii="Cambria Math" w:eastAsia="Calibri" w:hAnsi="Cambria Math"/>
            <w:sz w:val="18"/>
            <w:szCs w:val="18"/>
          </w:rPr>
          <m:t>β</m:t>
        </m:r>
      </m:oMath>
      <w:r w:rsidRPr="00003818">
        <w:rPr>
          <w:rFonts w:eastAsia="Calibri"/>
          <w:sz w:val="18"/>
          <w:szCs w:val="18"/>
        </w:rPr>
        <w:t xml:space="preserve"> represents a change in new daily SARS-COV-2 cases per 100K residents given 1 unit (100 percentage point) increase in the county-level cumulative proportion of students utilizing in-person instruction, holding other control va</w:t>
      </w:r>
      <w:proofErr w:type="spellStart"/>
      <w:r w:rsidRPr="00003818">
        <w:rPr>
          <w:rFonts w:eastAsia="Calibri"/>
          <w:sz w:val="18"/>
          <w:szCs w:val="18"/>
        </w:rPr>
        <w:t>riables</w:t>
      </w:r>
      <w:proofErr w:type="spellEnd"/>
      <w:r w:rsidRPr="00003818">
        <w:rPr>
          <w:rFonts w:eastAsia="Calibri"/>
          <w:sz w:val="18"/>
          <w:szCs w:val="18"/>
        </w:rPr>
        <w:t xml:space="preserve"> fixed.</w:t>
      </w:r>
    </w:p>
    <w:p w14:paraId="03E5B605" w14:textId="77777777" w:rsidR="00402B45" w:rsidRPr="00003818" w:rsidRDefault="00402B45" w:rsidP="00402B45">
      <w:pPr>
        <w:rPr>
          <w:rFonts w:eastAsiaTheme="minorEastAsia"/>
          <w:sz w:val="18"/>
          <w:szCs w:val="18"/>
        </w:rPr>
      </w:pPr>
      <w:proofErr w:type="spellStart"/>
      <w:r w:rsidRPr="00003818">
        <w:rPr>
          <w:rFonts w:eastAsiaTheme="minorEastAsia"/>
          <w:sz w:val="18"/>
          <w:szCs w:val="18"/>
          <w:vertAlign w:val="superscript"/>
        </w:rPr>
        <w:t>a</w:t>
      </w:r>
      <w:r>
        <w:rPr>
          <w:rFonts w:eastAsiaTheme="minorEastAsia"/>
          <w:sz w:val="18"/>
          <w:szCs w:val="18"/>
        </w:rPr>
        <w:t>Two</w:t>
      </w:r>
      <w:proofErr w:type="spellEnd"/>
      <w:r w:rsidRPr="00003818">
        <w:rPr>
          <w:rFonts w:eastAsiaTheme="minorEastAsia"/>
          <w:sz w:val="18"/>
          <w:szCs w:val="18"/>
        </w:rPr>
        <w:t xml:space="preserve"> methods for imputing missing school-level cumulative proportion of students in-person: 1) imputing missing values with 0% in-person learning rates (0%); and 2) imputing missing values with 100% in-person learning rates (100%).</w:t>
      </w:r>
    </w:p>
    <w:p w14:paraId="1E849D5C" w14:textId="77777777" w:rsidR="00402B45" w:rsidRDefault="00402B45" w:rsidP="00402B45">
      <w:pPr>
        <w:spacing w:line="480" w:lineRule="auto"/>
        <w:rPr>
          <w:rFonts w:eastAsiaTheme="minorEastAsia"/>
          <w:b/>
        </w:rPr>
      </w:pPr>
    </w:p>
    <w:p w14:paraId="60958718" w14:textId="77777777" w:rsidR="00402B45" w:rsidRDefault="00402B45" w:rsidP="00402B45">
      <w:pPr>
        <w:spacing w:line="480" w:lineRule="auto"/>
        <w:jc w:val="center"/>
        <w:rPr>
          <w:rFonts w:eastAsiaTheme="minorEastAsia"/>
        </w:rPr>
      </w:pPr>
    </w:p>
    <w:p w14:paraId="636C9828" w14:textId="77777777" w:rsidR="00402B45" w:rsidRDefault="00402B45" w:rsidP="00402B45">
      <w:pPr>
        <w:spacing w:line="480" w:lineRule="auto"/>
        <w:jc w:val="center"/>
        <w:rPr>
          <w:rFonts w:eastAsiaTheme="minorEastAsia"/>
        </w:rPr>
      </w:pPr>
    </w:p>
    <w:p w14:paraId="58161AB6" w14:textId="77777777" w:rsidR="00402B45" w:rsidRDefault="00402B45" w:rsidP="00402B45">
      <w:pPr>
        <w:spacing w:line="480" w:lineRule="auto"/>
        <w:jc w:val="center"/>
        <w:rPr>
          <w:rFonts w:eastAsiaTheme="minorEastAsia"/>
        </w:rPr>
      </w:pPr>
    </w:p>
    <w:p w14:paraId="630B8C56" w14:textId="77777777" w:rsidR="00402B45" w:rsidRDefault="00402B45" w:rsidP="00402B45">
      <w:pPr>
        <w:spacing w:line="480" w:lineRule="auto"/>
        <w:jc w:val="center"/>
        <w:rPr>
          <w:rFonts w:eastAsiaTheme="minorEastAsia"/>
        </w:rPr>
      </w:pPr>
    </w:p>
    <w:p w14:paraId="4D139F60" w14:textId="77777777" w:rsidR="00402B45" w:rsidRDefault="00402B45" w:rsidP="00402B45">
      <w:pPr>
        <w:spacing w:line="480" w:lineRule="auto"/>
        <w:jc w:val="center"/>
        <w:rPr>
          <w:rFonts w:eastAsiaTheme="minorEastAsia"/>
        </w:rPr>
      </w:pPr>
    </w:p>
    <w:p w14:paraId="04D60171" w14:textId="77777777" w:rsidR="00402B45" w:rsidRDefault="00402B45" w:rsidP="00402B45">
      <w:pPr>
        <w:spacing w:line="480" w:lineRule="auto"/>
        <w:jc w:val="center"/>
        <w:rPr>
          <w:rFonts w:eastAsiaTheme="minorEastAsia"/>
        </w:rPr>
      </w:pPr>
    </w:p>
    <w:p w14:paraId="2101FE2E" w14:textId="77777777" w:rsidR="00402B45" w:rsidRDefault="00402B45" w:rsidP="00402B45">
      <w:pPr>
        <w:spacing w:line="480" w:lineRule="auto"/>
        <w:jc w:val="center"/>
        <w:rPr>
          <w:rFonts w:eastAsiaTheme="minorEastAsia"/>
        </w:rPr>
      </w:pPr>
    </w:p>
    <w:p w14:paraId="6480F20A" w14:textId="77777777" w:rsidR="00402B45" w:rsidRDefault="00402B45" w:rsidP="00402B45">
      <w:pPr>
        <w:spacing w:line="480" w:lineRule="auto"/>
        <w:jc w:val="center"/>
        <w:rPr>
          <w:rFonts w:eastAsiaTheme="minorEastAsia"/>
        </w:rPr>
      </w:pPr>
    </w:p>
    <w:p w14:paraId="41D266D7" w14:textId="77777777" w:rsidR="00402B45" w:rsidRDefault="00402B45" w:rsidP="00402B45">
      <w:pPr>
        <w:spacing w:line="480" w:lineRule="auto"/>
        <w:jc w:val="center"/>
        <w:rPr>
          <w:rFonts w:eastAsiaTheme="minorEastAsia"/>
        </w:rPr>
      </w:pPr>
    </w:p>
    <w:p w14:paraId="3FC00D96" w14:textId="77777777" w:rsidR="00402B45" w:rsidRDefault="00402B45" w:rsidP="00402B45">
      <w:pPr>
        <w:spacing w:line="480" w:lineRule="auto"/>
        <w:jc w:val="center"/>
        <w:rPr>
          <w:rFonts w:eastAsiaTheme="minorEastAsia"/>
        </w:rPr>
      </w:pPr>
    </w:p>
    <w:p w14:paraId="45D61845" w14:textId="77777777" w:rsidR="00402B45" w:rsidRDefault="00402B45" w:rsidP="00402B45">
      <w:pPr>
        <w:spacing w:after="160" w:line="259" w:lineRule="auto"/>
        <w:rPr>
          <w:rFonts w:eastAsiaTheme="minorEastAsia"/>
          <w:b/>
          <w:u w:val="single"/>
        </w:rPr>
      </w:pPr>
      <w:r>
        <w:rPr>
          <w:rFonts w:eastAsiaTheme="minorEastAsia"/>
          <w:b/>
          <w:u w:val="single"/>
        </w:rPr>
        <w:br w:type="page"/>
      </w:r>
    </w:p>
    <w:p w14:paraId="416DF4AB" w14:textId="77777777" w:rsidR="00402B45" w:rsidRPr="00923E07" w:rsidRDefault="00402B45" w:rsidP="00402B45">
      <w:pPr>
        <w:pStyle w:val="Heading2"/>
      </w:pPr>
      <w:r>
        <w:lastRenderedPageBreak/>
        <w:t xml:space="preserve">F. Appendix </w:t>
      </w:r>
      <w:r w:rsidRPr="00923E07">
        <w:t>References</w:t>
      </w:r>
    </w:p>
    <w:p w14:paraId="325029A6" w14:textId="77777777" w:rsidR="00402B45" w:rsidRDefault="00402B45" w:rsidP="00402B45">
      <w:pPr>
        <w:spacing w:line="480" w:lineRule="auto"/>
        <w:rPr>
          <w:rFonts w:eastAsiaTheme="minorEastAsia"/>
        </w:rPr>
      </w:pPr>
      <w:r>
        <w:rPr>
          <w:rFonts w:eastAsiaTheme="minorEastAsia"/>
        </w:rPr>
        <w:t xml:space="preserve">1. </w:t>
      </w:r>
      <w:r w:rsidRPr="00923E07">
        <w:rPr>
          <w:rFonts w:eastAsiaTheme="minorEastAsia"/>
        </w:rPr>
        <w:t>Croissant Y</w:t>
      </w:r>
      <w:r>
        <w:rPr>
          <w:rFonts w:eastAsiaTheme="minorEastAsia"/>
        </w:rPr>
        <w:t>,</w:t>
      </w:r>
      <w:r w:rsidRPr="00923E07">
        <w:rPr>
          <w:rFonts w:eastAsiaTheme="minorEastAsia"/>
        </w:rPr>
        <w:t xml:space="preserve"> </w:t>
      </w:r>
      <w:proofErr w:type="spellStart"/>
      <w:r w:rsidRPr="00923E07">
        <w:rPr>
          <w:rFonts w:eastAsiaTheme="minorEastAsia"/>
        </w:rPr>
        <w:t>Millo</w:t>
      </w:r>
      <w:proofErr w:type="spellEnd"/>
      <w:r w:rsidRPr="00923E07">
        <w:rPr>
          <w:rFonts w:eastAsiaTheme="minorEastAsia"/>
        </w:rPr>
        <w:t xml:space="preserve"> G. (2008). Panel </w:t>
      </w:r>
      <w:r>
        <w:rPr>
          <w:rFonts w:eastAsiaTheme="minorEastAsia"/>
        </w:rPr>
        <w:t>d</w:t>
      </w:r>
      <w:r w:rsidRPr="00923E07">
        <w:rPr>
          <w:rFonts w:eastAsiaTheme="minorEastAsia"/>
        </w:rPr>
        <w:t xml:space="preserve">ata </w:t>
      </w:r>
      <w:r>
        <w:rPr>
          <w:rFonts w:eastAsiaTheme="minorEastAsia"/>
        </w:rPr>
        <w:t>e</w:t>
      </w:r>
      <w:r w:rsidRPr="00923E07">
        <w:rPr>
          <w:rFonts w:eastAsiaTheme="minorEastAsia"/>
        </w:rPr>
        <w:t xml:space="preserve">conometrics in R: </w:t>
      </w:r>
      <w:r>
        <w:rPr>
          <w:rFonts w:eastAsiaTheme="minorEastAsia"/>
        </w:rPr>
        <w:t>t</w:t>
      </w:r>
      <w:r w:rsidRPr="00923E07">
        <w:rPr>
          <w:rFonts w:eastAsiaTheme="minorEastAsia"/>
        </w:rPr>
        <w:t xml:space="preserve">he </w:t>
      </w:r>
      <w:proofErr w:type="spellStart"/>
      <w:r w:rsidRPr="00923E07">
        <w:rPr>
          <w:rFonts w:eastAsiaTheme="minorEastAsia"/>
        </w:rPr>
        <w:t>plm</w:t>
      </w:r>
      <w:proofErr w:type="spellEnd"/>
      <w:r w:rsidRPr="00923E07">
        <w:rPr>
          <w:rFonts w:eastAsiaTheme="minorEastAsia"/>
        </w:rPr>
        <w:t xml:space="preserve"> </w:t>
      </w:r>
      <w:r>
        <w:rPr>
          <w:rFonts w:eastAsiaTheme="minorEastAsia"/>
        </w:rPr>
        <w:t>p</w:t>
      </w:r>
      <w:r w:rsidRPr="00923E07">
        <w:rPr>
          <w:rFonts w:eastAsiaTheme="minorEastAsia"/>
        </w:rPr>
        <w:t xml:space="preserve">ackage. </w:t>
      </w:r>
      <w:r w:rsidRPr="000F6CC5">
        <w:rPr>
          <w:rFonts w:eastAsiaTheme="minorEastAsia"/>
        </w:rPr>
        <w:t xml:space="preserve">J Stat </w:t>
      </w:r>
      <w:proofErr w:type="spellStart"/>
      <w:r w:rsidRPr="000F6CC5">
        <w:rPr>
          <w:rFonts w:eastAsiaTheme="minorEastAsia"/>
        </w:rPr>
        <w:t>Softw</w:t>
      </w:r>
      <w:proofErr w:type="spellEnd"/>
      <w:r>
        <w:rPr>
          <w:rFonts w:eastAsiaTheme="minorEastAsia"/>
        </w:rPr>
        <w:t>. 2008;</w:t>
      </w:r>
      <w:r w:rsidRPr="00923E07">
        <w:rPr>
          <w:rFonts w:eastAsiaTheme="minorEastAsia"/>
        </w:rPr>
        <w:t>27(2)</w:t>
      </w:r>
      <w:r>
        <w:rPr>
          <w:rFonts w:eastAsiaTheme="minorEastAsia"/>
        </w:rPr>
        <w:t>:</w:t>
      </w:r>
      <w:r w:rsidRPr="00923E07">
        <w:rPr>
          <w:rFonts w:eastAsiaTheme="minorEastAsia"/>
        </w:rPr>
        <w:t>1</w:t>
      </w:r>
      <w:r>
        <w:rPr>
          <w:rFonts w:eastAsiaTheme="minorEastAsia"/>
        </w:rPr>
        <w:t>-</w:t>
      </w:r>
      <w:r w:rsidRPr="00923E07">
        <w:rPr>
          <w:rFonts w:eastAsiaTheme="minorEastAsia"/>
        </w:rPr>
        <w:t xml:space="preserve">43. </w:t>
      </w:r>
    </w:p>
    <w:p w14:paraId="485AA3DD" w14:textId="77777777" w:rsidR="00402B45" w:rsidRDefault="00402B45" w:rsidP="00402B45">
      <w:pPr>
        <w:spacing w:line="480" w:lineRule="auto"/>
        <w:rPr>
          <w:rFonts w:eastAsiaTheme="minorEastAsia"/>
        </w:rPr>
      </w:pPr>
      <w:r>
        <w:rPr>
          <w:rFonts w:eastAsiaTheme="minorEastAsia"/>
        </w:rPr>
        <w:t>2.</w:t>
      </w:r>
      <w:r w:rsidRPr="00923E07">
        <w:t xml:space="preserve"> </w:t>
      </w:r>
      <w:bookmarkStart w:id="1" w:name="_Hlk61875459"/>
      <w:r w:rsidRPr="00923E07">
        <w:rPr>
          <w:rFonts w:eastAsiaTheme="minorEastAsia"/>
        </w:rPr>
        <w:t>Driscoll J</w:t>
      </w:r>
      <w:r>
        <w:rPr>
          <w:rFonts w:eastAsiaTheme="minorEastAsia"/>
        </w:rPr>
        <w:t xml:space="preserve">, </w:t>
      </w:r>
      <w:proofErr w:type="spellStart"/>
      <w:r w:rsidRPr="00923E07">
        <w:rPr>
          <w:rFonts w:eastAsiaTheme="minorEastAsia"/>
        </w:rPr>
        <w:t>Kraay</w:t>
      </w:r>
      <w:proofErr w:type="spellEnd"/>
      <w:r>
        <w:rPr>
          <w:rFonts w:eastAsiaTheme="minorEastAsia"/>
        </w:rPr>
        <w:t xml:space="preserve"> </w:t>
      </w:r>
      <w:r w:rsidRPr="00923E07">
        <w:rPr>
          <w:rFonts w:eastAsiaTheme="minorEastAsia"/>
        </w:rPr>
        <w:t>AC.</w:t>
      </w:r>
      <w:r>
        <w:rPr>
          <w:rFonts w:eastAsiaTheme="minorEastAsia"/>
        </w:rPr>
        <w:t xml:space="preserve"> </w:t>
      </w:r>
      <w:r w:rsidRPr="00923E07">
        <w:rPr>
          <w:rFonts w:eastAsiaTheme="minorEastAsia"/>
        </w:rPr>
        <w:t>Consistent covariance matrix estimation with spatially dependent data. Rev Econ Stat</w:t>
      </w:r>
      <w:r>
        <w:rPr>
          <w:rFonts w:eastAsiaTheme="minorEastAsia"/>
        </w:rPr>
        <w:t>. 1998;</w:t>
      </w:r>
      <w:r w:rsidRPr="00923E07">
        <w:rPr>
          <w:rFonts w:eastAsiaTheme="minorEastAsia"/>
        </w:rPr>
        <w:t>80</w:t>
      </w:r>
      <w:r>
        <w:rPr>
          <w:rFonts w:eastAsiaTheme="minorEastAsia"/>
        </w:rPr>
        <w:t>(4)</w:t>
      </w:r>
      <w:r w:rsidRPr="00923E07">
        <w:rPr>
          <w:rFonts w:eastAsiaTheme="minorEastAsia"/>
        </w:rPr>
        <w:t>:549</w:t>
      </w:r>
      <w:r>
        <w:rPr>
          <w:rFonts w:eastAsiaTheme="minorEastAsia"/>
        </w:rPr>
        <w:t>-</w:t>
      </w:r>
      <w:r w:rsidRPr="00923E07">
        <w:rPr>
          <w:rFonts w:eastAsiaTheme="minorEastAsia"/>
        </w:rPr>
        <w:t>560.</w:t>
      </w:r>
      <w:bookmarkEnd w:id="1"/>
    </w:p>
    <w:p w14:paraId="584D37F7" w14:textId="77777777" w:rsidR="00402B45" w:rsidRDefault="00402B45" w:rsidP="00402B45">
      <w:pPr>
        <w:spacing w:line="480" w:lineRule="auto"/>
        <w:rPr>
          <w:rFonts w:eastAsiaTheme="minorEastAsia"/>
        </w:rPr>
      </w:pPr>
      <w:r>
        <w:rPr>
          <w:rFonts w:eastAsiaTheme="minorEastAsia"/>
        </w:rPr>
        <w:t xml:space="preserve">3. </w:t>
      </w:r>
      <w:r w:rsidRPr="000F6CC5">
        <w:rPr>
          <w:rFonts w:eastAsiaTheme="minorEastAsia"/>
        </w:rPr>
        <w:t>H</w:t>
      </w:r>
      <w:r>
        <w:rPr>
          <w:rFonts w:eastAsiaTheme="minorEastAsia"/>
        </w:rPr>
        <w:t xml:space="preserve">ausman </w:t>
      </w:r>
      <w:r w:rsidRPr="000F6CC5">
        <w:rPr>
          <w:rFonts w:eastAsiaTheme="minorEastAsia"/>
        </w:rPr>
        <w:t>JA.</w:t>
      </w:r>
      <w:r>
        <w:rPr>
          <w:rFonts w:eastAsiaTheme="minorEastAsia"/>
        </w:rPr>
        <w:t xml:space="preserve"> </w:t>
      </w:r>
      <w:r w:rsidRPr="000F6CC5">
        <w:rPr>
          <w:rFonts w:eastAsiaTheme="minorEastAsia"/>
        </w:rPr>
        <w:t xml:space="preserve">Specification </w:t>
      </w:r>
      <w:r>
        <w:rPr>
          <w:rFonts w:eastAsiaTheme="minorEastAsia"/>
        </w:rPr>
        <w:t>t</w:t>
      </w:r>
      <w:r w:rsidRPr="000F6CC5">
        <w:rPr>
          <w:rFonts w:eastAsiaTheme="minorEastAsia"/>
        </w:rPr>
        <w:t xml:space="preserve">ests in </w:t>
      </w:r>
      <w:r>
        <w:rPr>
          <w:rFonts w:eastAsiaTheme="minorEastAsia"/>
        </w:rPr>
        <w:t>e</w:t>
      </w:r>
      <w:r w:rsidRPr="000F6CC5">
        <w:rPr>
          <w:rFonts w:eastAsiaTheme="minorEastAsia"/>
        </w:rPr>
        <w:t>conometrics</w:t>
      </w:r>
      <w:r>
        <w:rPr>
          <w:rFonts w:eastAsiaTheme="minorEastAsia"/>
        </w:rPr>
        <w:t>.</w:t>
      </w:r>
      <w:r w:rsidRPr="000F6CC5">
        <w:rPr>
          <w:rFonts w:eastAsiaTheme="minorEastAsia"/>
        </w:rPr>
        <w:t xml:space="preserve"> </w:t>
      </w:r>
      <w:proofErr w:type="spellStart"/>
      <w:r w:rsidRPr="000F6CC5">
        <w:rPr>
          <w:rFonts w:eastAsiaTheme="minorEastAsia"/>
        </w:rPr>
        <w:t>Econometrica</w:t>
      </w:r>
      <w:proofErr w:type="spellEnd"/>
      <w:r>
        <w:rPr>
          <w:rFonts w:eastAsiaTheme="minorEastAsia"/>
        </w:rPr>
        <w:t>. 1978;</w:t>
      </w:r>
      <w:r w:rsidRPr="000F6CC5">
        <w:rPr>
          <w:rFonts w:eastAsiaTheme="minorEastAsia"/>
        </w:rPr>
        <w:t>46</w:t>
      </w:r>
      <w:r>
        <w:rPr>
          <w:rFonts w:eastAsiaTheme="minorEastAsia"/>
        </w:rPr>
        <w:t>(6):</w:t>
      </w:r>
      <w:r w:rsidRPr="000F6CC5">
        <w:rPr>
          <w:rFonts w:eastAsiaTheme="minorEastAsia"/>
        </w:rPr>
        <w:t>1251-1271.</w:t>
      </w:r>
      <w:r w:rsidRPr="000F6CC5">
        <w:rPr>
          <w:rFonts w:eastAsiaTheme="minorEastAsia"/>
        </w:rPr>
        <w:cr/>
      </w:r>
      <w:r>
        <w:rPr>
          <w:rFonts w:eastAsiaTheme="minorEastAsia"/>
        </w:rPr>
        <w:t>4</w:t>
      </w:r>
      <w:r w:rsidRPr="00E63194">
        <w:rPr>
          <w:rFonts w:eastAsiaTheme="minorEastAsia"/>
        </w:rPr>
        <w:t xml:space="preserve">. </w:t>
      </w:r>
      <w:r>
        <w:rPr>
          <w:rFonts w:eastAsiaTheme="minorEastAsia"/>
        </w:rPr>
        <w:t>Breusch</w:t>
      </w:r>
      <w:r w:rsidRPr="00E63194">
        <w:rPr>
          <w:rFonts w:eastAsiaTheme="minorEastAsia"/>
        </w:rPr>
        <w:t xml:space="preserve"> </w:t>
      </w:r>
      <w:r>
        <w:rPr>
          <w:rFonts w:eastAsiaTheme="minorEastAsia"/>
        </w:rPr>
        <w:t>TS, Pagan AR</w:t>
      </w:r>
      <w:r w:rsidRPr="00E63194">
        <w:rPr>
          <w:rFonts w:eastAsiaTheme="minorEastAsia"/>
        </w:rPr>
        <w:t xml:space="preserve">. The Lagrange </w:t>
      </w:r>
      <w:r>
        <w:rPr>
          <w:rFonts w:eastAsiaTheme="minorEastAsia"/>
        </w:rPr>
        <w:t>m</w:t>
      </w:r>
      <w:r w:rsidRPr="00E63194">
        <w:rPr>
          <w:rFonts w:eastAsiaTheme="minorEastAsia"/>
        </w:rPr>
        <w:t xml:space="preserve">ultiplier </w:t>
      </w:r>
      <w:r>
        <w:rPr>
          <w:rFonts w:eastAsiaTheme="minorEastAsia"/>
        </w:rPr>
        <w:t>t</w:t>
      </w:r>
      <w:r w:rsidRPr="00E63194">
        <w:rPr>
          <w:rFonts w:eastAsiaTheme="minorEastAsia"/>
        </w:rPr>
        <w:t xml:space="preserve">est and its </w:t>
      </w:r>
      <w:r>
        <w:rPr>
          <w:rFonts w:eastAsiaTheme="minorEastAsia"/>
        </w:rPr>
        <w:t>a</w:t>
      </w:r>
      <w:r w:rsidRPr="00E63194">
        <w:rPr>
          <w:rFonts w:eastAsiaTheme="minorEastAsia"/>
        </w:rPr>
        <w:t xml:space="preserve">pplications to </w:t>
      </w:r>
      <w:r>
        <w:rPr>
          <w:rFonts w:eastAsiaTheme="minorEastAsia"/>
        </w:rPr>
        <w:t>m</w:t>
      </w:r>
      <w:r w:rsidRPr="00E63194">
        <w:rPr>
          <w:rFonts w:eastAsiaTheme="minorEastAsia"/>
        </w:rPr>
        <w:t xml:space="preserve">odel </w:t>
      </w:r>
      <w:r>
        <w:rPr>
          <w:rFonts w:eastAsiaTheme="minorEastAsia"/>
        </w:rPr>
        <w:t>s</w:t>
      </w:r>
      <w:r w:rsidRPr="00E63194">
        <w:rPr>
          <w:rFonts w:eastAsiaTheme="minorEastAsia"/>
        </w:rPr>
        <w:t>pecification in</w:t>
      </w:r>
      <w:r>
        <w:rPr>
          <w:rFonts w:eastAsiaTheme="minorEastAsia"/>
        </w:rPr>
        <w:t xml:space="preserve"> e</w:t>
      </w:r>
      <w:r w:rsidRPr="00E63194">
        <w:rPr>
          <w:rFonts w:eastAsiaTheme="minorEastAsia"/>
        </w:rPr>
        <w:t>conometrics</w:t>
      </w:r>
      <w:r>
        <w:rPr>
          <w:rFonts w:eastAsiaTheme="minorEastAsia"/>
        </w:rPr>
        <w:t xml:space="preserve">. </w:t>
      </w:r>
      <w:r w:rsidRPr="00923E07">
        <w:rPr>
          <w:rFonts w:eastAsiaTheme="minorEastAsia"/>
        </w:rPr>
        <w:t>Rev Econ St</w:t>
      </w:r>
      <w:r>
        <w:rPr>
          <w:rFonts w:eastAsiaTheme="minorEastAsia"/>
        </w:rPr>
        <w:t>ud</w:t>
      </w:r>
      <w:r w:rsidRPr="00E63194">
        <w:rPr>
          <w:rFonts w:eastAsiaTheme="minorEastAsia"/>
        </w:rPr>
        <w:t>. 198</w:t>
      </w:r>
      <w:r>
        <w:rPr>
          <w:rFonts w:eastAsiaTheme="minorEastAsia"/>
        </w:rPr>
        <w:t>0</w:t>
      </w:r>
      <w:r w:rsidRPr="00E63194">
        <w:rPr>
          <w:rFonts w:eastAsiaTheme="minorEastAsia"/>
        </w:rPr>
        <w:t>;4</w:t>
      </w:r>
      <w:r>
        <w:rPr>
          <w:rFonts w:eastAsiaTheme="minorEastAsia"/>
        </w:rPr>
        <w:t>7</w:t>
      </w:r>
      <w:r w:rsidRPr="00E63194">
        <w:rPr>
          <w:rFonts w:eastAsiaTheme="minorEastAsia"/>
        </w:rPr>
        <w:t>(</w:t>
      </w:r>
      <w:r>
        <w:rPr>
          <w:rFonts w:eastAsiaTheme="minorEastAsia"/>
        </w:rPr>
        <w:t>1</w:t>
      </w:r>
      <w:r w:rsidRPr="00E63194">
        <w:rPr>
          <w:rFonts w:eastAsiaTheme="minorEastAsia"/>
        </w:rPr>
        <w:t>):2</w:t>
      </w:r>
      <w:r>
        <w:rPr>
          <w:rFonts w:eastAsiaTheme="minorEastAsia"/>
        </w:rPr>
        <w:t>39</w:t>
      </w:r>
      <w:r w:rsidRPr="00E63194">
        <w:rPr>
          <w:rFonts w:eastAsiaTheme="minorEastAsia"/>
        </w:rPr>
        <w:t>-2</w:t>
      </w:r>
      <w:r>
        <w:rPr>
          <w:rFonts w:eastAsiaTheme="minorEastAsia"/>
        </w:rPr>
        <w:t>53</w:t>
      </w:r>
      <w:r w:rsidRPr="00E63194">
        <w:rPr>
          <w:rFonts w:eastAsiaTheme="minorEastAsia"/>
        </w:rPr>
        <w:t>.</w:t>
      </w:r>
    </w:p>
    <w:p w14:paraId="2568E10A" w14:textId="77777777" w:rsidR="00402B45" w:rsidRDefault="00402B45" w:rsidP="00402B45">
      <w:pPr>
        <w:spacing w:line="480" w:lineRule="auto"/>
        <w:rPr>
          <w:rFonts w:eastAsiaTheme="minorEastAsia"/>
        </w:rPr>
      </w:pPr>
      <w:r>
        <w:rPr>
          <w:rFonts w:eastAsiaTheme="minorEastAsia"/>
        </w:rPr>
        <w:t>5</w:t>
      </w:r>
      <w:r w:rsidRPr="00E63194">
        <w:rPr>
          <w:rFonts w:eastAsiaTheme="minorEastAsia"/>
        </w:rPr>
        <w:t xml:space="preserve">. </w:t>
      </w:r>
      <w:proofErr w:type="spellStart"/>
      <w:r>
        <w:rPr>
          <w:rFonts w:eastAsiaTheme="minorEastAsia"/>
        </w:rPr>
        <w:t>Pesaran</w:t>
      </w:r>
      <w:proofErr w:type="spellEnd"/>
      <w:r>
        <w:rPr>
          <w:rFonts w:eastAsiaTheme="minorEastAsia"/>
        </w:rPr>
        <w:t xml:space="preserve"> MH</w:t>
      </w:r>
      <w:r w:rsidRPr="00E63194">
        <w:rPr>
          <w:rFonts w:eastAsiaTheme="minorEastAsia"/>
        </w:rPr>
        <w:t xml:space="preserve">. </w:t>
      </w:r>
      <w:r w:rsidRPr="00D14F12">
        <w:rPr>
          <w:rFonts w:eastAsiaTheme="minorEastAsia"/>
        </w:rPr>
        <w:t xml:space="preserve">Testing </w:t>
      </w:r>
      <w:r>
        <w:rPr>
          <w:rFonts w:eastAsiaTheme="minorEastAsia"/>
        </w:rPr>
        <w:t>w</w:t>
      </w:r>
      <w:r w:rsidRPr="00D14F12">
        <w:rPr>
          <w:rFonts w:eastAsiaTheme="minorEastAsia"/>
        </w:rPr>
        <w:t xml:space="preserve">eak </w:t>
      </w:r>
      <w:r>
        <w:rPr>
          <w:rFonts w:eastAsiaTheme="minorEastAsia"/>
        </w:rPr>
        <w:t>c</w:t>
      </w:r>
      <w:r w:rsidRPr="00D14F12">
        <w:rPr>
          <w:rFonts w:eastAsiaTheme="minorEastAsia"/>
        </w:rPr>
        <w:t>ross-</w:t>
      </w:r>
      <w:r>
        <w:rPr>
          <w:rFonts w:eastAsiaTheme="minorEastAsia"/>
        </w:rPr>
        <w:t>s</w:t>
      </w:r>
      <w:r w:rsidRPr="00D14F12">
        <w:rPr>
          <w:rFonts w:eastAsiaTheme="minorEastAsia"/>
        </w:rPr>
        <w:t xml:space="preserve">ectional </w:t>
      </w:r>
      <w:r>
        <w:rPr>
          <w:rFonts w:eastAsiaTheme="minorEastAsia"/>
        </w:rPr>
        <w:t>d</w:t>
      </w:r>
      <w:r w:rsidRPr="00D14F12">
        <w:rPr>
          <w:rFonts w:eastAsiaTheme="minorEastAsia"/>
        </w:rPr>
        <w:t xml:space="preserve">ependence in </w:t>
      </w:r>
      <w:r>
        <w:rPr>
          <w:rFonts w:eastAsiaTheme="minorEastAsia"/>
        </w:rPr>
        <w:t>l</w:t>
      </w:r>
      <w:r w:rsidRPr="00D14F12">
        <w:rPr>
          <w:rFonts w:eastAsiaTheme="minorEastAsia"/>
        </w:rPr>
        <w:t xml:space="preserve">arge </w:t>
      </w:r>
      <w:r>
        <w:rPr>
          <w:rFonts w:eastAsiaTheme="minorEastAsia"/>
        </w:rPr>
        <w:t>p</w:t>
      </w:r>
      <w:r w:rsidRPr="00D14F12">
        <w:rPr>
          <w:rFonts w:eastAsiaTheme="minorEastAsia"/>
        </w:rPr>
        <w:t>anels</w:t>
      </w:r>
      <w:r>
        <w:rPr>
          <w:rFonts w:eastAsiaTheme="minorEastAsia"/>
        </w:rPr>
        <w:t xml:space="preserve">. </w:t>
      </w:r>
      <w:proofErr w:type="spellStart"/>
      <w:r w:rsidRPr="00D14F12">
        <w:rPr>
          <w:rFonts w:eastAsiaTheme="minorEastAsia"/>
        </w:rPr>
        <w:t>Econom</w:t>
      </w:r>
      <w:proofErr w:type="spellEnd"/>
      <w:r>
        <w:rPr>
          <w:rFonts w:eastAsiaTheme="minorEastAsia"/>
        </w:rPr>
        <w:t xml:space="preserve"> </w:t>
      </w:r>
      <w:r w:rsidRPr="00D14F12">
        <w:rPr>
          <w:rFonts w:eastAsiaTheme="minorEastAsia"/>
        </w:rPr>
        <w:t>Rev.</w:t>
      </w:r>
      <w:r>
        <w:rPr>
          <w:rFonts w:eastAsiaTheme="minorEastAsia"/>
        </w:rPr>
        <w:t xml:space="preserve"> 2015</w:t>
      </w:r>
      <w:r w:rsidRPr="00E63194">
        <w:rPr>
          <w:rFonts w:eastAsiaTheme="minorEastAsia"/>
        </w:rPr>
        <w:t>;</w:t>
      </w:r>
      <w:r>
        <w:rPr>
          <w:rFonts w:eastAsiaTheme="minorEastAsia"/>
        </w:rPr>
        <w:t>34(6-10)</w:t>
      </w:r>
      <w:r w:rsidRPr="00E63194">
        <w:rPr>
          <w:rFonts w:eastAsiaTheme="minorEastAsia"/>
        </w:rPr>
        <w:t>:</w:t>
      </w:r>
      <w:r>
        <w:rPr>
          <w:rFonts w:eastAsiaTheme="minorEastAsia"/>
        </w:rPr>
        <w:t>1089</w:t>
      </w:r>
      <w:r w:rsidRPr="00E63194">
        <w:rPr>
          <w:rFonts w:eastAsiaTheme="minorEastAsia"/>
        </w:rPr>
        <w:t>-</w:t>
      </w:r>
      <w:r>
        <w:rPr>
          <w:rFonts w:eastAsiaTheme="minorEastAsia"/>
        </w:rPr>
        <w:t>1117</w:t>
      </w:r>
      <w:r w:rsidRPr="00E63194">
        <w:rPr>
          <w:rFonts w:eastAsiaTheme="minorEastAsia"/>
        </w:rPr>
        <w:t>.</w:t>
      </w:r>
    </w:p>
    <w:p w14:paraId="438DFC19" w14:textId="77777777" w:rsidR="00402B45" w:rsidRDefault="00402B45" w:rsidP="00402B45">
      <w:pPr>
        <w:spacing w:line="480" w:lineRule="auto"/>
        <w:rPr>
          <w:rFonts w:eastAsiaTheme="minorEastAsia"/>
        </w:rPr>
      </w:pPr>
      <w:r>
        <w:rPr>
          <w:rFonts w:eastAsiaTheme="minorEastAsia"/>
        </w:rPr>
        <w:t xml:space="preserve">6. </w:t>
      </w:r>
      <w:r w:rsidRPr="00D14F12">
        <w:rPr>
          <w:rFonts w:eastAsiaTheme="minorEastAsia"/>
        </w:rPr>
        <w:t xml:space="preserve">Breusch TS. Testing for </w:t>
      </w:r>
      <w:r>
        <w:rPr>
          <w:rFonts w:eastAsiaTheme="minorEastAsia"/>
        </w:rPr>
        <w:t>a</w:t>
      </w:r>
      <w:r w:rsidRPr="00D14F12">
        <w:rPr>
          <w:rFonts w:eastAsiaTheme="minorEastAsia"/>
        </w:rPr>
        <w:t xml:space="preserve">utocorrelation in </w:t>
      </w:r>
      <w:r>
        <w:rPr>
          <w:rFonts w:eastAsiaTheme="minorEastAsia"/>
        </w:rPr>
        <w:t>d</w:t>
      </w:r>
      <w:r w:rsidRPr="00D14F12">
        <w:rPr>
          <w:rFonts w:eastAsiaTheme="minorEastAsia"/>
        </w:rPr>
        <w:t xml:space="preserve">ynamic </w:t>
      </w:r>
      <w:r>
        <w:rPr>
          <w:rFonts w:eastAsiaTheme="minorEastAsia"/>
        </w:rPr>
        <w:t>l</w:t>
      </w:r>
      <w:r w:rsidRPr="00D14F12">
        <w:rPr>
          <w:rFonts w:eastAsiaTheme="minorEastAsia"/>
        </w:rPr>
        <w:t xml:space="preserve">inear </w:t>
      </w:r>
      <w:r>
        <w:rPr>
          <w:rFonts w:eastAsiaTheme="minorEastAsia"/>
        </w:rPr>
        <w:t>m</w:t>
      </w:r>
      <w:r w:rsidRPr="00D14F12">
        <w:rPr>
          <w:rFonts w:eastAsiaTheme="minorEastAsia"/>
        </w:rPr>
        <w:t>odels.</w:t>
      </w:r>
      <w:r>
        <w:rPr>
          <w:rFonts w:eastAsiaTheme="minorEastAsia"/>
        </w:rPr>
        <w:t xml:space="preserve"> </w:t>
      </w:r>
      <w:r w:rsidRPr="00D14F12">
        <w:rPr>
          <w:rFonts w:eastAsiaTheme="minorEastAsia"/>
        </w:rPr>
        <w:t>Aust Econ Pap.</w:t>
      </w:r>
      <w:r>
        <w:rPr>
          <w:rFonts w:eastAsiaTheme="minorEastAsia"/>
        </w:rPr>
        <w:t xml:space="preserve"> 1978;</w:t>
      </w:r>
      <w:r w:rsidRPr="00D14F12">
        <w:rPr>
          <w:rFonts w:eastAsiaTheme="minorEastAsia"/>
        </w:rPr>
        <w:t>17</w:t>
      </w:r>
      <w:r>
        <w:rPr>
          <w:rFonts w:eastAsiaTheme="minorEastAsia"/>
        </w:rPr>
        <w:t>(31)</w:t>
      </w:r>
      <w:r w:rsidRPr="00D14F12">
        <w:rPr>
          <w:rFonts w:eastAsiaTheme="minorEastAsia"/>
        </w:rPr>
        <w:t>:334</w:t>
      </w:r>
      <w:r>
        <w:rPr>
          <w:rFonts w:eastAsiaTheme="minorEastAsia"/>
        </w:rPr>
        <w:t>-</w:t>
      </w:r>
      <w:r w:rsidRPr="00D14F12">
        <w:rPr>
          <w:rFonts w:eastAsiaTheme="minorEastAsia"/>
        </w:rPr>
        <w:t>355</w:t>
      </w:r>
      <w:r>
        <w:rPr>
          <w:rFonts w:eastAsiaTheme="minorEastAsia"/>
        </w:rPr>
        <w:t>.</w:t>
      </w:r>
    </w:p>
    <w:p w14:paraId="390D1F27" w14:textId="77777777" w:rsidR="00402B45" w:rsidRPr="0062252D" w:rsidRDefault="00402B45" w:rsidP="00402B45">
      <w:pPr>
        <w:spacing w:line="480" w:lineRule="auto"/>
        <w:rPr>
          <w:rFonts w:eastAsiaTheme="minorEastAsia"/>
        </w:rPr>
      </w:pPr>
      <w:r>
        <w:rPr>
          <w:rFonts w:eastAsiaTheme="minorEastAsia"/>
        </w:rPr>
        <w:t xml:space="preserve">7. </w:t>
      </w:r>
      <w:r w:rsidRPr="00977F5C">
        <w:rPr>
          <w:rFonts w:eastAsiaTheme="minorEastAsia"/>
        </w:rPr>
        <w:t>Breusch</w:t>
      </w:r>
      <w:r>
        <w:rPr>
          <w:rFonts w:eastAsiaTheme="minorEastAsia"/>
        </w:rPr>
        <w:t xml:space="preserve"> </w:t>
      </w:r>
      <w:r w:rsidRPr="00977F5C">
        <w:rPr>
          <w:rFonts w:eastAsiaTheme="minorEastAsia"/>
        </w:rPr>
        <w:t>TS</w:t>
      </w:r>
      <w:r>
        <w:rPr>
          <w:rFonts w:eastAsiaTheme="minorEastAsia"/>
        </w:rPr>
        <w:t>,</w:t>
      </w:r>
      <w:r w:rsidRPr="00977F5C">
        <w:rPr>
          <w:rFonts w:eastAsiaTheme="minorEastAsia"/>
        </w:rPr>
        <w:t xml:space="preserve"> Pagan AR. A </w:t>
      </w:r>
      <w:r>
        <w:rPr>
          <w:rFonts w:eastAsiaTheme="minorEastAsia"/>
        </w:rPr>
        <w:t>s</w:t>
      </w:r>
      <w:r w:rsidRPr="00977F5C">
        <w:rPr>
          <w:rFonts w:eastAsiaTheme="minorEastAsia"/>
        </w:rPr>
        <w:t xml:space="preserve">imple </w:t>
      </w:r>
      <w:r>
        <w:rPr>
          <w:rFonts w:eastAsiaTheme="minorEastAsia"/>
        </w:rPr>
        <w:t>t</w:t>
      </w:r>
      <w:r w:rsidRPr="00977F5C">
        <w:rPr>
          <w:rFonts w:eastAsiaTheme="minorEastAsia"/>
        </w:rPr>
        <w:t xml:space="preserve">est for </w:t>
      </w:r>
      <w:r>
        <w:rPr>
          <w:rFonts w:eastAsiaTheme="minorEastAsia"/>
        </w:rPr>
        <w:t>h</w:t>
      </w:r>
      <w:r w:rsidRPr="00977F5C">
        <w:rPr>
          <w:rFonts w:eastAsiaTheme="minorEastAsia"/>
        </w:rPr>
        <w:t xml:space="preserve">eteroskedasticity and </w:t>
      </w:r>
      <w:r>
        <w:rPr>
          <w:rFonts w:eastAsiaTheme="minorEastAsia"/>
        </w:rPr>
        <w:t>r</w:t>
      </w:r>
      <w:r w:rsidRPr="00977F5C">
        <w:rPr>
          <w:rFonts w:eastAsiaTheme="minorEastAsia"/>
        </w:rPr>
        <w:t xml:space="preserve">andom </w:t>
      </w:r>
      <w:r>
        <w:rPr>
          <w:rFonts w:eastAsiaTheme="minorEastAsia"/>
        </w:rPr>
        <w:t>c</w:t>
      </w:r>
      <w:r w:rsidRPr="00977F5C">
        <w:rPr>
          <w:rFonts w:eastAsiaTheme="minorEastAsia"/>
        </w:rPr>
        <w:t xml:space="preserve">oefficient </w:t>
      </w:r>
      <w:r>
        <w:rPr>
          <w:rFonts w:eastAsiaTheme="minorEastAsia"/>
        </w:rPr>
        <w:t>v</w:t>
      </w:r>
      <w:r w:rsidRPr="00977F5C">
        <w:rPr>
          <w:rFonts w:eastAsiaTheme="minorEastAsia"/>
        </w:rPr>
        <w:t xml:space="preserve">ariation. </w:t>
      </w:r>
      <w:proofErr w:type="spellStart"/>
      <w:r w:rsidRPr="00977F5C">
        <w:rPr>
          <w:rFonts w:eastAsiaTheme="minorEastAsia"/>
        </w:rPr>
        <w:t>Econometrica</w:t>
      </w:r>
      <w:proofErr w:type="spellEnd"/>
      <w:r w:rsidRPr="00977F5C">
        <w:rPr>
          <w:rFonts w:eastAsiaTheme="minorEastAsia"/>
        </w:rPr>
        <w:t>.</w:t>
      </w:r>
      <w:r>
        <w:rPr>
          <w:rFonts w:eastAsiaTheme="minorEastAsia"/>
        </w:rPr>
        <w:t xml:space="preserve"> 1979;</w:t>
      </w:r>
      <w:r w:rsidRPr="00977F5C">
        <w:rPr>
          <w:rFonts w:eastAsiaTheme="minorEastAsia"/>
        </w:rPr>
        <w:t>47(5):1287</w:t>
      </w:r>
      <w:r>
        <w:rPr>
          <w:rFonts w:eastAsiaTheme="minorEastAsia"/>
        </w:rPr>
        <w:t>-</w:t>
      </w:r>
      <w:r w:rsidRPr="00977F5C">
        <w:rPr>
          <w:rFonts w:eastAsiaTheme="minorEastAsia"/>
        </w:rPr>
        <w:t>1294.</w:t>
      </w:r>
    </w:p>
    <w:p w14:paraId="5695F9A3" w14:textId="77777777" w:rsidR="00BB1408" w:rsidRDefault="00BB1408"/>
    <w:sectPr w:rsidR="00BB1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45"/>
    <w:rsid w:val="00402B45"/>
    <w:rsid w:val="00BB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0090FE"/>
  <w15:chartTrackingRefBased/>
  <w15:docId w15:val="{FFD2452C-943B-CA40-8BCF-2700F613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B45"/>
    <w:rPr>
      <w:rFonts w:ascii="Times New Roman" w:eastAsia="Times New Roman" w:hAnsi="Times New Roman" w:cs="Times New Roman"/>
    </w:rPr>
  </w:style>
  <w:style w:type="paragraph" w:styleId="Heading1">
    <w:name w:val="heading 1"/>
    <w:basedOn w:val="Normal"/>
    <w:next w:val="Normal"/>
    <w:link w:val="Heading1Char"/>
    <w:uiPriority w:val="9"/>
    <w:qFormat/>
    <w:rsid w:val="00402B45"/>
    <w:pPr>
      <w:spacing w:before="240" w:after="120" w:line="360" w:lineRule="auto"/>
      <w:outlineLvl w:val="0"/>
    </w:pPr>
    <w:rPr>
      <w:rFonts w:eastAsia="Calibri"/>
      <w:b/>
      <w:bCs/>
      <w:sz w:val="28"/>
      <w:u w:val="single"/>
    </w:rPr>
  </w:style>
  <w:style w:type="paragraph" w:styleId="Heading2">
    <w:name w:val="heading 2"/>
    <w:basedOn w:val="Normal"/>
    <w:next w:val="Normal"/>
    <w:link w:val="Heading2Char"/>
    <w:uiPriority w:val="9"/>
    <w:unhideWhenUsed/>
    <w:qFormat/>
    <w:rsid w:val="00402B45"/>
    <w:pPr>
      <w:spacing w:before="120" w:after="120" w:line="257" w:lineRule="auto"/>
      <w:outlineLvl w:val="1"/>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B45"/>
    <w:rPr>
      <w:rFonts w:ascii="Times New Roman" w:eastAsia="Calibri" w:hAnsi="Times New Roman" w:cs="Times New Roman"/>
      <w:b/>
      <w:bCs/>
      <w:sz w:val="28"/>
      <w:u w:val="single"/>
    </w:rPr>
  </w:style>
  <w:style w:type="character" w:customStyle="1" w:styleId="Heading2Char">
    <w:name w:val="Heading 2 Char"/>
    <w:basedOn w:val="DefaultParagraphFont"/>
    <w:link w:val="Heading2"/>
    <w:uiPriority w:val="9"/>
    <w:rsid w:val="00402B45"/>
    <w:rPr>
      <w:rFonts w:ascii="Times New Roman" w:eastAsia="Calibri" w:hAnsi="Times New Roman" w:cs="Times New Roman"/>
      <w:b/>
      <w:bCs/>
    </w:rPr>
  </w:style>
  <w:style w:type="table" w:styleId="GridTable2">
    <w:name w:val="Grid Table 2"/>
    <w:basedOn w:val="TableNormal"/>
    <w:uiPriority w:val="47"/>
    <w:rsid w:val="00402B45"/>
    <w:rPr>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2283</Words>
  <Characters>13018</Characters>
  <Application>Microsoft Office Word</Application>
  <DocSecurity>0</DocSecurity>
  <Lines>108</Lines>
  <Paragraphs>30</Paragraphs>
  <ScaleCrop>false</ScaleCrop>
  <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Bosslet, Gabriel Timothy</dc:creator>
  <cp:keywords/>
  <dc:description/>
  <cp:lastModifiedBy>Bosslet, Gabriel Timothy</cp:lastModifiedBy>
  <cp:revision>1</cp:revision>
  <dcterms:created xsi:type="dcterms:W3CDTF">2021-03-15T20:48:00Z</dcterms:created>
  <dcterms:modified xsi:type="dcterms:W3CDTF">2021-03-15T20:48:00Z</dcterms:modified>
</cp:coreProperties>
</file>