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8337C" w14:textId="3CA6396B" w:rsidR="00C82D55" w:rsidRDefault="00C82D55" w:rsidP="00C82D55">
      <w:pPr>
        <w:pStyle w:val="Heading1"/>
      </w:pPr>
      <w:r>
        <w:t>Appendix</w:t>
      </w:r>
    </w:p>
    <w:p w14:paraId="0D3B05E7" w14:textId="77777777" w:rsidR="00203205" w:rsidRPr="00260141" w:rsidRDefault="00203205" w:rsidP="00203205">
      <w:pPr>
        <w:rPr>
          <w:b/>
          <w:bCs/>
        </w:rPr>
      </w:pPr>
      <w:r w:rsidRPr="005438FB">
        <w:rPr>
          <w:b/>
          <w:bCs/>
        </w:rPr>
        <w:t xml:space="preserve">Table 1. Descriptive characteristics of analysis sample (N=1843) and </w:t>
      </w:r>
      <w:r>
        <w:rPr>
          <w:b/>
          <w:bCs/>
        </w:rPr>
        <w:t>full</w:t>
      </w:r>
      <w:r w:rsidRPr="005438FB">
        <w:rPr>
          <w:b/>
          <w:bCs/>
        </w:rPr>
        <w:t xml:space="preserve"> sample </w:t>
      </w:r>
      <w:r>
        <w:rPr>
          <w:b/>
          <w:bCs/>
        </w:rPr>
        <w:t xml:space="preserve">invited for follow-up </w:t>
      </w:r>
      <w:r w:rsidRPr="005438FB">
        <w:rPr>
          <w:b/>
          <w:bCs/>
        </w:rPr>
        <w:t>(N=</w:t>
      </w:r>
      <w:r>
        <w:rPr>
          <w:b/>
          <w:bCs/>
        </w:rPr>
        <w:t>3216</w:t>
      </w:r>
      <w:r w:rsidRPr="005438FB">
        <w:rPr>
          <w:b/>
          <w:bCs/>
        </w:rPr>
        <w:t>) at baseline (April)</w:t>
      </w:r>
      <w:bookmarkStart w:id="0" w:name="_Hlk59533337"/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3056"/>
        <w:gridCol w:w="2504"/>
        <w:gridCol w:w="2127"/>
      </w:tblGrid>
      <w:tr w:rsidR="00203205" w:rsidRPr="00594C8D" w14:paraId="5DDB8784" w14:textId="77777777" w:rsidTr="00203205"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2C5E3128" w14:textId="77777777" w:rsidR="00203205" w:rsidRPr="007D7086" w:rsidRDefault="00203205" w:rsidP="00782C9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708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Characteristic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49094E3" w14:textId="77777777" w:rsidR="00203205" w:rsidRPr="007D7086" w:rsidRDefault="00203205" w:rsidP="00782C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708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Analysis sample (N=1843)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D708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 (%)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9AC9BA3" w14:textId="77777777" w:rsidR="00203205" w:rsidRPr="007D7086" w:rsidRDefault="00203205" w:rsidP="00782C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Full sample (N=3216) n (%)</w:t>
            </w:r>
          </w:p>
        </w:tc>
      </w:tr>
      <w:tr w:rsidR="00203205" w:rsidRPr="00594C8D" w14:paraId="2CD63C8B" w14:textId="77777777" w:rsidTr="00203205"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9EAC1D9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  <w:lang w:val="en-US"/>
              </w:rPr>
              <w:t>Age group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E1B7514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E67528A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03205" w:rsidRPr="00594C8D" w14:paraId="51F7F548" w14:textId="77777777" w:rsidTr="00203205">
        <w:tc>
          <w:tcPr>
            <w:tcW w:w="1339" w:type="dxa"/>
          </w:tcPr>
          <w:p w14:paraId="31DD741E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17BC71A7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18 to 25 years</w:t>
            </w:r>
          </w:p>
        </w:tc>
        <w:tc>
          <w:tcPr>
            <w:tcW w:w="2504" w:type="dxa"/>
          </w:tcPr>
          <w:p w14:paraId="3360C379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353 (19.2%)</w:t>
            </w:r>
          </w:p>
        </w:tc>
        <w:tc>
          <w:tcPr>
            <w:tcW w:w="2127" w:type="dxa"/>
            <w:shd w:val="clear" w:color="auto" w:fill="auto"/>
          </w:tcPr>
          <w:p w14:paraId="2237CE74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0FD4D536" w14:textId="77777777" w:rsidTr="00203205">
        <w:tc>
          <w:tcPr>
            <w:tcW w:w="1339" w:type="dxa"/>
          </w:tcPr>
          <w:p w14:paraId="3089AD63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2CCD8DD3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26 to 40 years</w:t>
            </w:r>
          </w:p>
        </w:tc>
        <w:tc>
          <w:tcPr>
            <w:tcW w:w="2504" w:type="dxa"/>
          </w:tcPr>
          <w:p w14:paraId="64C6AFD7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528 (28.6%)</w:t>
            </w:r>
          </w:p>
        </w:tc>
        <w:tc>
          <w:tcPr>
            <w:tcW w:w="2127" w:type="dxa"/>
            <w:shd w:val="clear" w:color="auto" w:fill="auto"/>
          </w:tcPr>
          <w:p w14:paraId="3554C34B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(28.6%)</w:t>
            </w:r>
          </w:p>
        </w:tc>
      </w:tr>
      <w:tr w:rsidR="00203205" w:rsidRPr="00594C8D" w14:paraId="56F02C53" w14:textId="77777777" w:rsidTr="00203205">
        <w:tc>
          <w:tcPr>
            <w:tcW w:w="1339" w:type="dxa"/>
          </w:tcPr>
          <w:p w14:paraId="73043E99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04E26673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41 to 55 years</w:t>
            </w:r>
          </w:p>
        </w:tc>
        <w:tc>
          <w:tcPr>
            <w:tcW w:w="2504" w:type="dxa"/>
          </w:tcPr>
          <w:p w14:paraId="7C810EC8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462 (25.1%)</w:t>
            </w:r>
          </w:p>
        </w:tc>
        <w:tc>
          <w:tcPr>
            <w:tcW w:w="2127" w:type="dxa"/>
            <w:shd w:val="clear" w:color="auto" w:fill="auto"/>
          </w:tcPr>
          <w:p w14:paraId="7E211A05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737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0B20EA1E" w14:textId="77777777" w:rsidTr="00203205">
        <w:tc>
          <w:tcPr>
            <w:tcW w:w="1339" w:type="dxa"/>
          </w:tcPr>
          <w:p w14:paraId="56E14564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1B2FF3FC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56 to 90 years</w:t>
            </w:r>
          </w:p>
        </w:tc>
        <w:tc>
          <w:tcPr>
            <w:tcW w:w="2504" w:type="dxa"/>
          </w:tcPr>
          <w:p w14:paraId="19AFB82E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500 (27.1%)</w:t>
            </w:r>
          </w:p>
        </w:tc>
        <w:tc>
          <w:tcPr>
            <w:tcW w:w="2127" w:type="dxa"/>
            <w:shd w:val="clear" w:color="auto" w:fill="auto"/>
          </w:tcPr>
          <w:p w14:paraId="053987F1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749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23.3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792CEAC8" w14:textId="77777777" w:rsidTr="00203205">
        <w:tc>
          <w:tcPr>
            <w:tcW w:w="4395" w:type="dxa"/>
            <w:gridSpan w:val="2"/>
          </w:tcPr>
          <w:p w14:paraId="08C231E8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2504" w:type="dxa"/>
          </w:tcPr>
          <w:p w14:paraId="1D013CD1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386E5DB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03205" w:rsidRPr="00594C8D" w14:paraId="045DB5E1" w14:textId="77777777" w:rsidTr="00203205">
        <w:tc>
          <w:tcPr>
            <w:tcW w:w="1339" w:type="dxa"/>
          </w:tcPr>
          <w:p w14:paraId="4B37EDE5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3BAE521E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2504" w:type="dxa"/>
          </w:tcPr>
          <w:p w14:paraId="29912044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487 (26.4%)</w:t>
            </w:r>
          </w:p>
        </w:tc>
        <w:tc>
          <w:tcPr>
            <w:tcW w:w="2127" w:type="dxa"/>
            <w:shd w:val="clear" w:color="auto" w:fill="auto"/>
          </w:tcPr>
          <w:p w14:paraId="3F8FA29A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030B0F74" w14:textId="77777777" w:rsidTr="00203205">
        <w:tc>
          <w:tcPr>
            <w:tcW w:w="1339" w:type="dxa"/>
          </w:tcPr>
          <w:p w14:paraId="1A173A9A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082FF2D3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2504" w:type="dxa"/>
          </w:tcPr>
          <w:p w14:paraId="32834A11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1322 (71.7%)</w:t>
            </w:r>
          </w:p>
        </w:tc>
        <w:tc>
          <w:tcPr>
            <w:tcW w:w="2127" w:type="dxa"/>
            <w:shd w:val="clear" w:color="auto" w:fill="auto"/>
          </w:tcPr>
          <w:p w14:paraId="71BD379A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2637C29D" w14:textId="77777777" w:rsidTr="00203205">
        <w:tc>
          <w:tcPr>
            <w:tcW w:w="1339" w:type="dxa"/>
          </w:tcPr>
          <w:p w14:paraId="5A5C7608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28290726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Other/prefer not to say</w:t>
            </w:r>
          </w:p>
        </w:tc>
        <w:tc>
          <w:tcPr>
            <w:tcW w:w="2504" w:type="dxa"/>
          </w:tcPr>
          <w:p w14:paraId="4903F90C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34 (1.8%)</w:t>
            </w:r>
          </w:p>
        </w:tc>
        <w:tc>
          <w:tcPr>
            <w:tcW w:w="2127" w:type="dxa"/>
          </w:tcPr>
          <w:p w14:paraId="38761CB3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(1.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7653D158" w14:textId="77777777" w:rsidTr="00203205">
        <w:tc>
          <w:tcPr>
            <w:tcW w:w="4395" w:type="dxa"/>
            <w:gridSpan w:val="2"/>
          </w:tcPr>
          <w:p w14:paraId="4431D4BB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  <w:lang w:val="en-US"/>
              </w:rPr>
              <w:t>Educational attainment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04" w:type="dxa"/>
          </w:tcPr>
          <w:p w14:paraId="46BADFA7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22DBB8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205" w:rsidRPr="00594C8D" w14:paraId="4F7D2014" w14:textId="77777777" w:rsidTr="00203205">
        <w:tc>
          <w:tcPr>
            <w:tcW w:w="1339" w:type="dxa"/>
          </w:tcPr>
          <w:p w14:paraId="08932352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0FBEA821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than university</w:t>
            </w:r>
          </w:p>
        </w:tc>
        <w:tc>
          <w:tcPr>
            <w:tcW w:w="2504" w:type="dxa"/>
          </w:tcPr>
          <w:p w14:paraId="2044BB54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 (26.9%)</w:t>
            </w:r>
          </w:p>
        </w:tc>
        <w:tc>
          <w:tcPr>
            <w:tcW w:w="2127" w:type="dxa"/>
            <w:shd w:val="clear" w:color="auto" w:fill="auto"/>
          </w:tcPr>
          <w:p w14:paraId="07D347FB" w14:textId="77777777" w:rsidR="00203205" w:rsidRPr="00476BC3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6BC3">
              <w:rPr>
                <w:rFonts w:ascii="Arial" w:hAnsi="Arial" w:cs="Arial"/>
                <w:sz w:val="20"/>
                <w:szCs w:val="20"/>
              </w:rPr>
              <w:t>971 (30.3%)</w:t>
            </w:r>
          </w:p>
        </w:tc>
      </w:tr>
      <w:tr w:rsidR="00203205" w:rsidRPr="00594C8D" w14:paraId="39F0F7D0" w14:textId="77777777" w:rsidTr="00203205">
        <w:tc>
          <w:tcPr>
            <w:tcW w:w="1339" w:type="dxa"/>
          </w:tcPr>
          <w:p w14:paraId="0E448C71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76CC711D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</w:t>
            </w:r>
          </w:p>
        </w:tc>
        <w:tc>
          <w:tcPr>
            <w:tcW w:w="2504" w:type="dxa"/>
          </w:tcPr>
          <w:p w14:paraId="1C1C49DE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1347 (73.1%)</w:t>
            </w:r>
          </w:p>
        </w:tc>
        <w:tc>
          <w:tcPr>
            <w:tcW w:w="2127" w:type="dxa"/>
            <w:shd w:val="clear" w:color="auto" w:fill="auto"/>
          </w:tcPr>
          <w:p w14:paraId="044A8585" w14:textId="77777777" w:rsidR="00203205" w:rsidRPr="00476BC3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6BC3">
              <w:rPr>
                <w:rFonts w:ascii="Arial" w:hAnsi="Arial" w:cs="Arial"/>
                <w:sz w:val="20"/>
                <w:szCs w:val="20"/>
              </w:rPr>
              <w:t>2230 (69.7%)</w:t>
            </w:r>
          </w:p>
        </w:tc>
      </w:tr>
      <w:tr w:rsidR="00203205" w:rsidRPr="00594C8D" w14:paraId="62B29126" w14:textId="77777777" w:rsidTr="00203205">
        <w:tc>
          <w:tcPr>
            <w:tcW w:w="4395" w:type="dxa"/>
            <w:gridSpan w:val="2"/>
          </w:tcPr>
          <w:p w14:paraId="6C5FBEC0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  <w:lang w:val="en-US"/>
              </w:rPr>
              <w:t>State/territory of residence</w:t>
            </w:r>
          </w:p>
        </w:tc>
        <w:tc>
          <w:tcPr>
            <w:tcW w:w="2504" w:type="dxa"/>
          </w:tcPr>
          <w:p w14:paraId="3025C3F0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DA8F27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03205" w:rsidRPr="00594C8D" w14:paraId="256CEDA7" w14:textId="77777777" w:rsidTr="00203205">
        <w:tc>
          <w:tcPr>
            <w:tcW w:w="1339" w:type="dxa"/>
          </w:tcPr>
          <w:p w14:paraId="777751AB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3784F86B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Australian Capital Territory</w:t>
            </w:r>
          </w:p>
        </w:tc>
        <w:tc>
          <w:tcPr>
            <w:tcW w:w="2504" w:type="dxa"/>
          </w:tcPr>
          <w:p w14:paraId="033AFEE9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58 (3.1%)</w:t>
            </w:r>
          </w:p>
        </w:tc>
        <w:tc>
          <w:tcPr>
            <w:tcW w:w="2127" w:type="dxa"/>
            <w:shd w:val="clear" w:color="auto" w:fill="auto"/>
          </w:tcPr>
          <w:p w14:paraId="0951E28D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(3.0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572DA65C" w14:textId="77777777" w:rsidTr="00203205">
        <w:tc>
          <w:tcPr>
            <w:tcW w:w="1339" w:type="dxa"/>
          </w:tcPr>
          <w:p w14:paraId="5EE5F380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36BB7045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Northern Territory</w:t>
            </w:r>
          </w:p>
        </w:tc>
        <w:tc>
          <w:tcPr>
            <w:tcW w:w="2504" w:type="dxa"/>
          </w:tcPr>
          <w:p w14:paraId="4FCEE57A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7 (0.4%)</w:t>
            </w:r>
          </w:p>
        </w:tc>
        <w:tc>
          <w:tcPr>
            <w:tcW w:w="2127" w:type="dxa"/>
            <w:shd w:val="clear" w:color="auto" w:fill="auto"/>
          </w:tcPr>
          <w:p w14:paraId="4F464E10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(0.5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3C0C6CBF" w14:textId="77777777" w:rsidTr="00203205">
        <w:tc>
          <w:tcPr>
            <w:tcW w:w="1339" w:type="dxa"/>
          </w:tcPr>
          <w:p w14:paraId="0D53FC81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6A0A959C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Victoria</w:t>
            </w:r>
          </w:p>
        </w:tc>
        <w:tc>
          <w:tcPr>
            <w:tcW w:w="2504" w:type="dxa"/>
          </w:tcPr>
          <w:p w14:paraId="331A7D14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291 (15.8%)</w:t>
            </w:r>
          </w:p>
        </w:tc>
        <w:tc>
          <w:tcPr>
            <w:tcW w:w="2127" w:type="dxa"/>
            <w:shd w:val="clear" w:color="auto" w:fill="auto"/>
          </w:tcPr>
          <w:p w14:paraId="1A3D4854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 (15.5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4545B9B4" w14:textId="77777777" w:rsidTr="00203205">
        <w:tc>
          <w:tcPr>
            <w:tcW w:w="1339" w:type="dxa"/>
          </w:tcPr>
          <w:p w14:paraId="43B4B800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07039EF6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New South Wales</w:t>
            </w:r>
          </w:p>
        </w:tc>
        <w:tc>
          <w:tcPr>
            <w:tcW w:w="2504" w:type="dxa"/>
          </w:tcPr>
          <w:p w14:paraId="30F5F75E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937 (50.8%)</w:t>
            </w:r>
          </w:p>
        </w:tc>
        <w:tc>
          <w:tcPr>
            <w:tcW w:w="2127" w:type="dxa"/>
            <w:shd w:val="clear" w:color="auto" w:fill="auto"/>
          </w:tcPr>
          <w:p w14:paraId="671FAD3C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56B7CF96" w14:textId="77777777" w:rsidTr="00203205">
        <w:tc>
          <w:tcPr>
            <w:tcW w:w="1339" w:type="dxa"/>
          </w:tcPr>
          <w:p w14:paraId="1EF1FF3E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44D9A0A0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Queensland</w:t>
            </w:r>
          </w:p>
        </w:tc>
        <w:tc>
          <w:tcPr>
            <w:tcW w:w="2504" w:type="dxa"/>
          </w:tcPr>
          <w:p w14:paraId="6BF3EF51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258 (14.0%)</w:t>
            </w:r>
          </w:p>
        </w:tc>
        <w:tc>
          <w:tcPr>
            <w:tcW w:w="2127" w:type="dxa"/>
            <w:shd w:val="clear" w:color="auto" w:fill="auto"/>
          </w:tcPr>
          <w:p w14:paraId="0830E46D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(14.0%)</w:t>
            </w:r>
          </w:p>
        </w:tc>
      </w:tr>
      <w:tr w:rsidR="00203205" w:rsidRPr="00594C8D" w14:paraId="59F08882" w14:textId="77777777" w:rsidTr="00203205">
        <w:tc>
          <w:tcPr>
            <w:tcW w:w="1339" w:type="dxa"/>
          </w:tcPr>
          <w:p w14:paraId="64A38ADA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7112B378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Western Australia</w:t>
            </w:r>
          </w:p>
        </w:tc>
        <w:tc>
          <w:tcPr>
            <w:tcW w:w="2504" w:type="dxa"/>
          </w:tcPr>
          <w:p w14:paraId="757C0078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130 (7.1%)</w:t>
            </w:r>
          </w:p>
        </w:tc>
        <w:tc>
          <w:tcPr>
            <w:tcW w:w="2127" w:type="dxa"/>
            <w:shd w:val="clear" w:color="auto" w:fill="auto"/>
          </w:tcPr>
          <w:p w14:paraId="312B01CB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73C2F830" w14:textId="77777777" w:rsidTr="00203205">
        <w:tc>
          <w:tcPr>
            <w:tcW w:w="1339" w:type="dxa"/>
          </w:tcPr>
          <w:p w14:paraId="7BB1D32B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6FFF00B2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South Australia</w:t>
            </w:r>
          </w:p>
        </w:tc>
        <w:tc>
          <w:tcPr>
            <w:tcW w:w="2504" w:type="dxa"/>
          </w:tcPr>
          <w:p w14:paraId="24CA920B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84 (4.6%)</w:t>
            </w:r>
          </w:p>
        </w:tc>
        <w:tc>
          <w:tcPr>
            <w:tcW w:w="2127" w:type="dxa"/>
            <w:shd w:val="clear" w:color="auto" w:fill="auto"/>
          </w:tcPr>
          <w:p w14:paraId="0A5180B3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(4.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6D5E1B80" w14:textId="77777777" w:rsidTr="00203205">
        <w:tc>
          <w:tcPr>
            <w:tcW w:w="1339" w:type="dxa"/>
          </w:tcPr>
          <w:p w14:paraId="19B84D3D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4E77E41E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Tasmania</w:t>
            </w:r>
          </w:p>
        </w:tc>
        <w:tc>
          <w:tcPr>
            <w:tcW w:w="2504" w:type="dxa"/>
          </w:tcPr>
          <w:p w14:paraId="68772D43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78 (4.2%)</w:t>
            </w:r>
          </w:p>
        </w:tc>
        <w:tc>
          <w:tcPr>
            <w:tcW w:w="2127" w:type="dxa"/>
            <w:shd w:val="clear" w:color="auto" w:fill="auto"/>
          </w:tcPr>
          <w:p w14:paraId="3F103F6D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3.7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59D8A1AC" w14:textId="77777777" w:rsidTr="00203205">
        <w:tc>
          <w:tcPr>
            <w:tcW w:w="4395" w:type="dxa"/>
            <w:gridSpan w:val="2"/>
          </w:tcPr>
          <w:p w14:paraId="4E51F4B6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  <w:lang w:val="en-US"/>
              </w:rPr>
              <w:t>Residential area remoteness^</w:t>
            </w:r>
          </w:p>
        </w:tc>
        <w:tc>
          <w:tcPr>
            <w:tcW w:w="2504" w:type="dxa"/>
          </w:tcPr>
          <w:p w14:paraId="3925C3A8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8CFE031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03205" w:rsidRPr="00594C8D" w14:paraId="4363FF2E" w14:textId="77777777" w:rsidTr="00203205">
        <w:tc>
          <w:tcPr>
            <w:tcW w:w="1339" w:type="dxa"/>
          </w:tcPr>
          <w:p w14:paraId="66BF36A6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50A05F1D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Major cities</w:t>
            </w:r>
          </w:p>
        </w:tc>
        <w:tc>
          <w:tcPr>
            <w:tcW w:w="2504" w:type="dxa"/>
          </w:tcPr>
          <w:p w14:paraId="336DA916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1374 (74.6%)</w:t>
            </w:r>
          </w:p>
        </w:tc>
        <w:tc>
          <w:tcPr>
            <w:tcW w:w="2127" w:type="dxa"/>
            <w:shd w:val="clear" w:color="auto" w:fill="auto"/>
          </w:tcPr>
          <w:p w14:paraId="10FC8AC2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552450C8" w14:textId="77777777" w:rsidTr="00203205">
        <w:tc>
          <w:tcPr>
            <w:tcW w:w="1339" w:type="dxa"/>
          </w:tcPr>
          <w:p w14:paraId="6E416538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5DD5098E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 xml:space="preserve">Regional and remote </w:t>
            </w:r>
          </w:p>
        </w:tc>
        <w:tc>
          <w:tcPr>
            <w:tcW w:w="2504" w:type="dxa"/>
          </w:tcPr>
          <w:p w14:paraId="50DC824C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467 (25.4%)</w:t>
            </w:r>
          </w:p>
        </w:tc>
        <w:tc>
          <w:tcPr>
            <w:tcW w:w="2127" w:type="dxa"/>
            <w:shd w:val="clear" w:color="auto" w:fill="auto"/>
          </w:tcPr>
          <w:p w14:paraId="367F8529" w14:textId="77777777" w:rsidR="00203205" w:rsidRPr="00706338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2C2DE8A2" w14:textId="77777777" w:rsidTr="00203205">
        <w:tc>
          <w:tcPr>
            <w:tcW w:w="4395" w:type="dxa"/>
            <w:gridSpan w:val="2"/>
          </w:tcPr>
          <w:p w14:paraId="6D3BEF28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 xml:space="preserve">Socioeconomic status, mean IRSAD quintile (SD) </w:t>
            </w:r>
          </w:p>
        </w:tc>
        <w:tc>
          <w:tcPr>
            <w:tcW w:w="2504" w:type="dxa"/>
          </w:tcPr>
          <w:p w14:paraId="2F52BDF4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3.66 (1.40)</w:t>
            </w:r>
          </w:p>
        </w:tc>
        <w:tc>
          <w:tcPr>
            <w:tcW w:w="2127" w:type="dxa"/>
          </w:tcPr>
          <w:p w14:paraId="144E0D30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3.67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(1.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594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3205" w:rsidRPr="00594C8D" w14:paraId="5761B227" w14:textId="77777777" w:rsidTr="00203205">
        <w:tc>
          <w:tcPr>
            <w:tcW w:w="4395" w:type="dxa"/>
            <w:gridSpan w:val="2"/>
          </w:tcPr>
          <w:p w14:paraId="784263F8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  <w:lang w:val="en-US"/>
              </w:rPr>
              <w:t>Born in Australia</w:t>
            </w:r>
          </w:p>
        </w:tc>
        <w:tc>
          <w:tcPr>
            <w:tcW w:w="2504" w:type="dxa"/>
          </w:tcPr>
          <w:p w14:paraId="2602081F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1405 (76.2%)</w:t>
            </w:r>
          </w:p>
        </w:tc>
        <w:tc>
          <w:tcPr>
            <w:tcW w:w="2127" w:type="dxa"/>
            <w:shd w:val="clear" w:color="auto" w:fill="auto"/>
          </w:tcPr>
          <w:p w14:paraId="36FE5DCF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2425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36BC17AD" w14:textId="77777777" w:rsidTr="00203205">
        <w:tc>
          <w:tcPr>
            <w:tcW w:w="4395" w:type="dxa"/>
            <w:gridSpan w:val="2"/>
          </w:tcPr>
          <w:p w14:paraId="59FC67D8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  <w:lang w:val="en-US"/>
              </w:rPr>
              <w:t>English primary language</w:t>
            </w:r>
          </w:p>
        </w:tc>
        <w:tc>
          <w:tcPr>
            <w:tcW w:w="2504" w:type="dxa"/>
          </w:tcPr>
          <w:p w14:paraId="4328B5F7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1774 (96.3%)</w:t>
            </w:r>
          </w:p>
        </w:tc>
        <w:tc>
          <w:tcPr>
            <w:tcW w:w="2127" w:type="dxa"/>
            <w:shd w:val="clear" w:color="auto" w:fill="auto"/>
          </w:tcPr>
          <w:p w14:paraId="0BD99F2C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3025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42B5116C" w14:textId="77777777" w:rsidTr="00203205">
        <w:tc>
          <w:tcPr>
            <w:tcW w:w="4395" w:type="dxa"/>
            <w:gridSpan w:val="2"/>
          </w:tcPr>
          <w:p w14:paraId="68E526A1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  <w:lang w:val="en-US"/>
              </w:rPr>
              <w:t>Aboriginal or Torres Strait Islander</w:t>
            </w:r>
          </w:p>
        </w:tc>
        <w:tc>
          <w:tcPr>
            <w:tcW w:w="2504" w:type="dxa"/>
          </w:tcPr>
          <w:p w14:paraId="3A07E613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C123CD8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03205" w:rsidRPr="00594C8D" w14:paraId="08B792A5" w14:textId="77777777" w:rsidTr="00203205">
        <w:tc>
          <w:tcPr>
            <w:tcW w:w="1339" w:type="dxa"/>
          </w:tcPr>
          <w:p w14:paraId="376A25BD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7E36A4C4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04" w:type="dxa"/>
          </w:tcPr>
          <w:p w14:paraId="115BDCA1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31 (1.7%)</w:t>
            </w:r>
          </w:p>
        </w:tc>
        <w:tc>
          <w:tcPr>
            <w:tcW w:w="2127" w:type="dxa"/>
            <w:shd w:val="clear" w:color="auto" w:fill="auto"/>
          </w:tcPr>
          <w:p w14:paraId="0C2BD5D9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57 (1.8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5B0FA478" w14:textId="77777777" w:rsidTr="00203205">
        <w:tc>
          <w:tcPr>
            <w:tcW w:w="1339" w:type="dxa"/>
          </w:tcPr>
          <w:p w14:paraId="058168E3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50A16EA2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04" w:type="dxa"/>
          </w:tcPr>
          <w:p w14:paraId="5C1E1018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1796 (97.4%)</w:t>
            </w:r>
          </w:p>
        </w:tc>
        <w:tc>
          <w:tcPr>
            <w:tcW w:w="2127" w:type="dxa"/>
            <w:shd w:val="clear" w:color="auto" w:fill="auto"/>
          </w:tcPr>
          <w:p w14:paraId="085C615B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3109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(97.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18FA8FDD" w14:textId="77777777" w:rsidTr="00203205">
        <w:tc>
          <w:tcPr>
            <w:tcW w:w="1339" w:type="dxa"/>
          </w:tcPr>
          <w:p w14:paraId="02256338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6F5C03BA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Did not respond</w:t>
            </w:r>
          </w:p>
        </w:tc>
        <w:tc>
          <w:tcPr>
            <w:tcW w:w="2504" w:type="dxa"/>
          </w:tcPr>
          <w:p w14:paraId="3807F31B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16 (0.9%)</w:t>
            </w:r>
          </w:p>
        </w:tc>
        <w:tc>
          <w:tcPr>
            <w:tcW w:w="2127" w:type="dxa"/>
            <w:shd w:val="clear" w:color="auto" w:fill="auto"/>
          </w:tcPr>
          <w:p w14:paraId="24061905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2608B933" w14:textId="77777777" w:rsidTr="00203205">
        <w:tc>
          <w:tcPr>
            <w:tcW w:w="4395" w:type="dxa"/>
            <w:gridSpan w:val="2"/>
          </w:tcPr>
          <w:p w14:paraId="5F6DC9DB" w14:textId="41843175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  <w:lang w:val="en-US"/>
              </w:rPr>
              <w:t>Chronic health conditions</w:t>
            </w:r>
            <w:r w:rsidRPr="000A6A8D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504" w:type="dxa"/>
          </w:tcPr>
          <w:p w14:paraId="11E5B5B8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79218C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03205" w:rsidRPr="00594C8D" w14:paraId="0D901551" w14:textId="77777777" w:rsidTr="00203205">
        <w:tc>
          <w:tcPr>
            <w:tcW w:w="1339" w:type="dxa"/>
          </w:tcPr>
          <w:p w14:paraId="37B59BFD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4D2E172B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504" w:type="dxa"/>
          </w:tcPr>
          <w:p w14:paraId="7C3BB9CA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912 (49.5%)</w:t>
            </w:r>
          </w:p>
        </w:tc>
        <w:tc>
          <w:tcPr>
            <w:tcW w:w="2127" w:type="dxa"/>
          </w:tcPr>
          <w:p w14:paraId="1A536D2D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1683 (52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2845EF23" w14:textId="77777777" w:rsidTr="00203205">
        <w:tc>
          <w:tcPr>
            <w:tcW w:w="1339" w:type="dxa"/>
          </w:tcPr>
          <w:p w14:paraId="6B8E8037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54D9BC3C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 xml:space="preserve">One </w:t>
            </w:r>
          </w:p>
        </w:tc>
        <w:tc>
          <w:tcPr>
            <w:tcW w:w="2504" w:type="dxa"/>
          </w:tcPr>
          <w:p w14:paraId="4017262F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537 (29.1%)</w:t>
            </w:r>
          </w:p>
        </w:tc>
        <w:tc>
          <w:tcPr>
            <w:tcW w:w="2127" w:type="dxa"/>
          </w:tcPr>
          <w:p w14:paraId="5320B17D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246A5E2A" w14:textId="77777777" w:rsidTr="00203205">
        <w:tc>
          <w:tcPr>
            <w:tcW w:w="1339" w:type="dxa"/>
          </w:tcPr>
          <w:p w14:paraId="1DF3ECAE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31CB9652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Two or more</w:t>
            </w:r>
          </w:p>
        </w:tc>
        <w:tc>
          <w:tcPr>
            <w:tcW w:w="2504" w:type="dxa"/>
          </w:tcPr>
          <w:p w14:paraId="6A5289B9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394 (21.4%)</w:t>
            </w:r>
          </w:p>
        </w:tc>
        <w:tc>
          <w:tcPr>
            <w:tcW w:w="2127" w:type="dxa"/>
          </w:tcPr>
          <w:p w14:paraId="7B7A7869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594C8D">
              <w:rPr>
                <w:rFonts w:ascii="Arial" w:hAnsi="Arial" w:cs="Arial"/>
                <w:sz w:val="20"/>
                <w:szCs w:val="20"/>
              </w:rPr>
              <w:t>.4%)</w:t>
            </w:r>
          </w:p>
        </w:tc>
      </w:tr>
      <w:tr w:rsidR="00203205" w:rsidRPr="00594C8D" w14:paraId="30D152E2" w14:textId="77777777" w:rsidTr="00203205">
        <w:tc>
          <w:tcPr>
            <w:tcW w:w="4395" w:type="dxa"/>
            <w:gridSpan w:val="2"/>
          </w:tcPr>
          <w:p w14:paraId="1FAB3B37" w14:textId="107EAAF2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  <w:lang w:val="en-US"/>
              </w:rPr>
              <w:t>Health literacy adequacy</w:t>
            </w:r>
            <w:r w:rsidRPr="000A6A8D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504" w:type="dxa"/>
          </w:tcPr>
          <w:p w14:paraId="070B6B2D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1695 (92.0%)</w:t>
            </w:r>
          </w:p>
        </w:tc>
        <w:tc>
          <w:tcPr>
            <w:tcW w:w="2127" w:type="dxa"/>
          </w:tcPr>
          <w:p w14:paraId="5C1B47AE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2880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94C8D">
              <w:rPr>
                <w:rFonts w:ascii="Arial" w:hAnsi="Arial" w:cs="Arial"/>
                <w:sz w:val="20"/>
                <w:szCs w:val="20"/>
              </w:rPr>
              <w:t>.0%)</w:t>
            </w:r>
          </w:p>
        </w:tc>
      </w:tr>
      <w:tr w:rsidR="00203205" w:rsidRPr="00594C8D" w14:paraId="55E4CA02" w14:textId="77777777" w:rsidTr="00203205">
        <w:tc>
          <w:tcPr>
            <w:tcW w:w="4395" w:type="dxa"/>
            <w:gridSpan w:val="2"/>
          </w:tcPr>
          <w:p w14:paraId="69656EFB" w14:textId="20B59B3B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  <w:lang w:val="en-US"/>
              </w:rPr>
              <w:t>Self-Reported General Health</w:t>
            </w:r>
          </w:p>
        </w:tc>
        <w:tc>
          <w:tcPr>
            <w:tcW w:w="2504" w:type="dxa"/>
          </w:tcPr>
          <w:p w14:paraId="735F8CF0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AED9C3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03205" w:rsidRPr="00594C8D" w14:paraId="247EBA24" w14:textId="77777777" w:rsidTr="00203205">
        <w:tc>
          <w:tcPr>
            <w:tcW w:w="1339" w:type="dxa"/>
          </w:tcPr>
          <w:p w14:paraId="45268319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71801DC9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2504" w:type="dxa"/>
          </w:tcPr>
          <w:p w14:paraId="5B03A1B4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68 (3.7%)</w:t>
            </w:r>
          </w:p>
        </w:tc>
        <w:tc>
          <w:tcPr>
            <w:tcW w:w="2127" w:type="dxa"/>
            <w:shd w:val="clear" w:color="auto" w:fill="auto"/>
          </w:tcPr>
          <w:p w14:paraId="355F4FA2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(3.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2D52CCC6" w14:textId="77777777" w:rsidTr="00203205">
        <w:tc>
          <w:tcPr>
            <w:tcW w:w="1339" w:type="dxa"/>
          </w:tcPr>
          <w:p w14:paraId="2CB7CB13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21F66322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2504" w:type="dxa"/>
          </w:tcPr>
          <w:p w14:paraId="0445D0EB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248 (13.5%)</w:t>
            </w:r>
          </w:p>
        </w:tc>
        <w:tc>
          <w:tcPr>
            <w:tcW w:w="2127" w:type="dxa"/>
            <w:shd w:val="clear" w:color="auto" w:fill="auto"/>
          </w:tcPr>
          <w:p w14:paraId="056C7861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(13.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384B926A" w14:textId="77777777" w:rsidTr="00203205">
        <w:tc>
          <w:tcPr>
            <w:tcW w:w="1339" w:type="dxa"/>
          </w:tcPr>
          <w:p w14:paraId="5C868FDC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3149D326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2504" w:type="dxa"/>
          </w:tcPr>
          <w:p w14:paraId="783625AE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629 (34.1%)</w:t>
            </w:r>
          </w:p>
        </w:tc>
        <w:tc>
          <w:tcPr>
            <w:tcW w:w="2127" w:type="dxa"/>
            <w:shd w:val="clear" w:color="auto" w:fill="auto"/>
          </w:tcPr>
          <w:p w14:paraId="50506BFC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  <w:r w:rsidRPr="00594C8D">
              <w:rPr>
                <w:rFonts w:ascii="Arial" w:hAnsi="Arial" w:cs="Arial"/>
                <w:sz w:val="20"/>
                <w:szCs w:val="20"/>
              </w:rPr>
              <w:t>9 (34.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3E51A727" w14:textId="77777777" w:rsidTr="00203205">
        <w:tc>
          <w:tcPr>
            <w:tcW w:w="1339" w:type="dxa"/>
          </w:tcPr>
          <w:p w14:paraId="463CCD9D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25A8E976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Very good</w:t>
            </w:r>
          </w:p>
        </w:tc>
        <w:tc>
          <w:tcPr>
            <w:tcW w:w="2504" w:type="dxa"/>
          </w:tcPr>
          <w:p w14:paraId="5C111D25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667 (36.2%)</w:t>
            </w:r>
          </w:p>
        </w:tc>
        <w:tc>
          <w:tcPr>
            <w:tcW w:w="2127" w:type="dxa"/>
            <w:shd w:val="clear" w:color="auto" w:fill="auto"/>
          </w:tcPr>
          <w:p w14:paraId="17980702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1144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94C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203205" w:rsidRPr="00594C8D" w14:paraId="3F6B803F" w14:textId="77777777" w:rsidTr="00203205">
        <w:tc>
          <w:tcPr>
            <w:tcW w:w="1339" w:type="dxa"/>
          </w:tcPr>
          <w:p w14:paraId="5D864B53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</w:tcPr>
          <w:p w14:paraId="040485EC" w14:textId="77777777" w:rsidR="00203205" w:rsidRPr="00594C8D" w:rsidRDefault="00203205" w:rsidP="00782C91">
            <w:pPr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2504" w:type="dxa"/>
          </w:tcPr>
          <w:p w14:paraId="3C926F40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C8D">
              <w:rPr>
                <w:rFonts w:ascii="Arial" w:hAnsi="Arial" w:cs="Arial"/>
                <w:sz w:val="20"/>
                <w:szCs w:val="20"/>
              </w:rPr>
              <w:t>231 (12.5%)</w:t>
            </w:r>
          </w:p>
        </w:tc>
        <w:tc>
          <w:tcPr>
            <w:tcW w:w="2127" w:type="dxa"/>
            <w:shd w:val="clear" w:color="auto" w:fill="auto"/>
          </w:tcPr>
          <w:p w14:paraId="58C2ACC9" w14:textId="77777777" w:rsidR="00203205" w:rsidRPr="00594C8D" w:rsidRDefault="00203205" w:rsidP="00782C9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  <w:r w:rsidRPr="00594C8D">
              <w:rPr>
                <w:rFonts w:ascii="Arial" w:hAnsi="Arial" w:cs="Arial"/>
                <w:sz w:val="20"/>
                <w:szCs w:val="20"/>
              </w:rPr>
              <w:t xml:space="preserve"> (12.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94C8D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</w:tbl>
    <w:p w14:paraId="1A23D9F0" w14:textId="70941DAD" w:rsidR="00203205" w:rsidRDefault="00203205" w:rsidP="00203205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i/>
          <w:iCs/>
          <w:sz w:val="18"/>
          <w:szCs w:val="18"/>
          <w:lang w:val="en-US"/>
        </w:rPr>
        <w:t>Notes:</w:t>
      </w:r>
      <w:r w:rsidRPr="00260141">
        <w:t xml:space="preserve"> </w:t>
      </w:r>
      <w:r w:rsidRPr="00260141">
        <w:rPr>
          <w:rFonts w:ascii="Arial" w:hAnsi="Arial" w:cs="Arial"/>
          <w:sz w:val="18"/>
          <w:szCs w:val="18"/>
          <w:lang w:val="en-US"/>
        </w:rPr>
        <w:t>The analysis sample comprised participants from our prospective longitudinal study who provided responses to the baseline survey (April) and at least one subsequent follow-up survey (N=1,843)</w:t>
      </w:r>
      <w:r w:rsidRPr="00260141">
        <w:rPr>
          <w:rFonts w:ascii="Arial" w:hAnsi="Arial" w:cs="Arial"/>
          <w:i/>
          <w:iCs/>
          <w:sz w:val="18"/>
          <w:szCs w:val="18"/>
          <w:lang w:val="en-US"/>
        </w:rPr>
        <w:t>.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594C8D">
        <w:rPr>
          <w:rFonts w:ascii="Arial" w:hAnsi="Arial" w:cs="Arial"/>
          <w:sz w:val="18"/>
          <w:szCs w:val="18"/>
          <w:lang w:val="en-US"/>
        </w:rPr>
        <w:t>^Remoteness indicators are based on 2016 ABS data, and as such, individuals who reside in newer postcodes established after 2016 (n=2</w:t>
      </w:r>
      <w:r>
        <w:rPr>
          <w:rFonts w:ascii="Arial" w:hAnsi="Arial" w:cs="Arial"/>
          <w:sz w:val="18"/>
          <w:szCs w:val="18"/>
          <w:lang w:val="en-US"/>
        </w:rPr>
        <w:t xml:space="preserve"> in analysis sample; n=37 in full sample</w:t>
      </w:r>
      <w:r w:rsidRPr="00594C8D">
        <w:rPr>
          <w:rFonts w:ascii="Arial" w:hAnsi="Arial" w:cs="Arial"/>
          <w:sz w:val="18"/>
          <w:szCs w:val="18"/>
          <w:lang w:val="en-US"/>
        </w:rPr>
        <w:t>) are missing data on this variable</w:t>
      </w:r>
      <w:r>
        <w:rPr>
          <w:rFonts w:ascii="Arial" w:hAnsi="Arial" w:cs="Arial"/>
          <w:sz w:val="18"/>
          <w:szCs w:val="18"/>
          <w:lang w:val="en-US"/>
        </w:rPr>
        <w:t xml:space="preserve">. </w:t>
      </w:r>
      <w:r w:rsidRPr="000A6A8D">
        <w:rPr>
          <w:rFonts w:ascii="Arial" w:hAnsi="Arial" w:cs="Arial"/>
          <w:color w:val="4D5156"/>
          <w:sz w:val="21"/>
          <w:szCs w:val="21"/>
          <w:shd w:val="clear" w:color="auto" w:fill="FFFFFF"/>
          <w:vertAlign w:val="superscript"/>
        </w:rPr>
        <w:t>†</w:t>
      </w:r>
      <w:r w:rsidRPr="00260141">
        <w:rPr>
          <w:rFonts w:ascii="Arial" w:hAnsi="Arial" w:cs="Arial"/>
          <w:sz w:val="18"/>
          <w:szCs w:val="18"/>
          <w:lang w:val="en-US"/>
        </w:rPr>
        <w:t xml:space="preserve">Based on Single Item Literacy Screener (SILS): How confident are you with filling out medical forms by yourself: not at all, a little bit, somewhat, quite a bit, extremely. “Not at all” response </w:t>
      </w:r>
      <w:proofErr w:type="spellStart"/>
      <w:r w:rsidRPr="00260141">
        <w:rPr>
          <w:rFonts w:ascii="Arial" w:hAnsi="Arial" w:cs="Arial"/>
          <w:sz w:val="18"/>
          <w:szCs w:val="18"/>
          <w:lang w:val="en-US"/>
        </w:rPr>
        <w:t>categorised</w:t>
      </w:r>
      <w:proofErr w:type="spellEnd"/>
      <w:r w:rsidRPr="00260141">
        <w:rPr>
          <w:rFonts w:ascii="Arial" w:hAnsi="Arial" w:cs="Arial"/>
          <w:sz w:val="18"/>
          <w:szCs w:val="18"/>
          <w:lang w:val="en-US"/>
        </w:rPr>
        <w:t xml:space="preserve"> as inadequate health literacy.</w:t>
      </w:r>
    </w:p>
    <w:p w14:paraId="77DE29A9" w14:textId="77777777" w:rsidR="00623040" w:rsidRPr="005528A3" w:rsidRDefault="00623040" w:rsidP="00623040">
      <w:pPr>
        <w:spacing w:after="0" w:line="360" w:lineRule="auto"/>
        <w:rPr>
          <w:rFonts w:cstheme="minorHAnsi"/>
        </w:rPr>
      </w:pPr>
    </w:p>
    <w:p w14:paraId="4B25D017" w14:textId="77777777" w:rsidR="00203205" w:rsidRDefault="00203205" w:rsidP="00203205">
      <w:pPr>
        <w:rPr>
          <w:b/>
          <w:bCs/>
        </w:rPr>
      </w:pPr>
      <w:r w:rsidRPr="00C82D55">
        <w:rPr>
          <w:b/>
          <w:bCs/>
        </w:rPr>
        <w:lastRenderedPageBreak/>
        <w:t xml:space="preserve">Table 2. </w:t>
      </w:r>
      <w:r>
        <w:rPr>
          <w:b/>
          <w:bCs/>
        </w:rPr>
        <w:t>Sensitivity analyses of p</w:t>
      </w:r>
      <w:r w:rsidRPr="00C82D55">
        <w:rPr>
          <w:b/>
          <w:bCs/>
        </w:rPr>
        <w:t>airwise comparisons between the April (baseline) and subsequent surveys on distancing and hygiene component scores</w:t>
      </w:r>
      <w:r>
        <w:rPr>
          <w:b/>
          <w:bCs/>
        </w:rPr>
        <w:t xml:space="preserve"> (i.e., ‘stay at home’ behaviour not included in the PCA)</w:t>
      </w:r>
      <w:r w:rsidRPr="00C82D55">
        <w:rPr>
          <w:b/>
          <w:bCs/>
        </w:rPr>
        <w:t xml:space="preserve">. Values are presented as estimated mean differences from the fixed portion of the linear mixed </w:t>
      </w:r>
      <w:proofErr w:type="gramStart"/>
      <w:r w:rsidRPr="00C82D55">
        <w:rPr>
          <w:b/>
          <w:bCs/>
        </w:rPr>
        <w:t>models, and</w:t>
      </w:r>
      <w:proofErr w:type="gramEnd"/>
      <w:r w:rsidRPr="00C82D55">
        <w:rPr>
          <w:b/>
          <w:bCs/>
        </w:rPr>
        <w:t xml:space="preserve"> can be interpreted as standard deviation units.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03205" w:rsidRPr="005528A3" w14:paraId="23984D7E" w14:textId="77777777" w:rsidTr="00782C91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04ACF261" w14:textId="77777777" w:rsidR="00203205" w:rsidRPr="005528A3" w:rsidRDefault="00203205" w:rsidP="00782C91">
            <w:pPr>
              <w:rPr>
                <w:rFonts w:cstheme="minorHAnsi"/>
              </w:rPr>
            </w:pPr>
            <w:r w:rsidRPr="005528A3">
              <w:rPr>
                <w:rFonts w:cstheme="minorHAnsi"/>
              </w:rPr>
              <w:t xml:space="preserve">Pairwise comparisons to </w:t>
            </w:r>
            <w:r>
              <w:rPr>
                <w:rFonts w:cstheme="minorHAnsi"/>
              </w:rPr>
              <w:t>April Survey</w:t>
            </w:r>
            <w:r w:rsidRPr="005528A3">
              <w:rPr>
                <w:rFonts w:cstheme="minorHAnsi"/>
              </w:rPr>
              <w:t xml:space="preserve"> (baseline)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79DB158D" w14:textId="77777777" w:rsidR="00203205" w:rsidRPr="005528A3" w:rsidRDefault="00203205" w:rsidP="00782C91">
            <w:pPr>
              <w:jc w:val="center"/>
              <w:rPr>
                <w:rFonts w:cstheme="minorHAnsi"/>
              </w:rPr>
            </w:pPr>
            <w:r w:rsidRPr="005528A3">
              <w:rPr>
                <w:rFonts w:cstheme="minorHAnsi"/>
              </w:rPr>
              <w:t>Component 1:</w:t>
            </w:r>
            <w:r>
              <w:rPr>
                <w:rFonts w:cstheme="minorHAnsi"/>
              </w:rPr>
              <w:t xml:space="preserve"> </w:t>
            </w:r>
            <w:r w:rsidRPr="005528A3">
              <w:rPr>
                <w:rFonts w:cstheme="minorHAnsi"/>
              </w:rPr>
              <w:t>Distancing</w:t>
            </w:r>
          </w:p>
          <w:p w14:paraId="64D6C9C4" w14:textId="77777777" w:rsidR="00203205" w:rsidRPr="005528A3" w:rsidRDefault="00203205" w:rsidP="00782C91">
            <w:pPr>
              <w:jc w:val="center"/>
              <w:rPr>
                <w:rFonts w:cstheme="minorHAnsi"/>
              </w:rPr>
            </w:pPr>
            <w:r w:rsidRPr="005528A3">
              <w:rPr>
                <w:rFonts w:cstheme="minorHAnsi"/>
              </w:rPr>
              <w:t>Estimated mean difference (95% CI); p-value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F0754AC" w14:textId="77777777" w:rsidR="00203205" w:rsidRPr="005528A3" w:rsidRDefault="00203205" w:rsidP="00782C91">
            <w:pPr>
              <w:jc w:val="center"/>
              <w:rPr>
                <w:rFonts w:cstheme="minorHAnsi"/>
              </w:rPr>
            </w:pPr>
            <w:r w:rsidRPr="005528A3">
              <w:rPr>
                <w:rFonts w:cstheme="minorHAnsi"/>
              </w:rPr>
              <w:t>Component 2: Hygiene</w:t>
            </w:r>
          </w:p>
          <w:p w14:paraId="7748169C" w14:textId="77777777" w:rsidR="00203205" w:rsidRPr="005528A3" w:rsidRDefault="00203205" w:rsidP="00782C91">
            <w:pPr>
              <w:jc w:val="center"/>
              <w:rPr>
                <w:rFonts w:cstheme="minorHAnsi"/>
              </w:rPr>
            </w:pPr>
            <w:r w:rsidRPr="005528A3">
              <w:rPr>
                <w:rFonts w:cstheme="minorHAnsi"/>
              </w:rPr>
              <w:t>Estimated mean difference (95% CI); p-value</w:t>
            </w:r>
          </w:p>
        </w:tc>
      </w:tr>
      <w:tr w:rsidR="00203205" w:rsidRPr="005528A3" w14:paraId="4B6F063E" w14:textId="77777777" w:rsidTr="00782C91">
        <w:tc>
          <w:tcPr>
            <w:tcW w:w="3005" w:type="dxa"/>
            <w:tcBorders>
              <w:top w:val="single" w:sz="4" w:space="0" w:color="auto"/>
            </w:tcBorders>
          </w:tcPr>
          <w:p w14:paraId="24E1A721" w14:textId="77777777" w:rsidR="00203205" w:rsidRPr="005528A3" w:rsidRDefault="00203205" w:rsidP="00782C91">
            <w:pPr>
              <w:rPr>
                <w:rFonts w:cstheme="minorHAnsi"/>
              </w:rPr>
            </w:pPr>
            <w:r>
              <w:rPr>
                <w:rFonts w:cstheme="minorHAnsi"/>
              </w:rPr>
              <w:t>May Survey</w:t>
            </w:r>
            <w:r w:rsidRPr="005528A3">
              <w:rPr>
                <w:rFonts w:cstheme="minorHAnsi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FD553FB" w14:textId="77777777" w:rsidR="00203205" w:rsidRPr="00F71555" w:rsidRDefault="00203205" w:rsidP="00782C91">
            <w:pPr>
              <w:rPr>
                <w:rFonts w:cstheme="minorHAnsi"/>
              </w:rPr>
            </w:pPr>
            <w:r w:rsidRPr="00F71555">
              <w:rPr>
                <w:rFonts w:cstheme="minorHAnsi"/>
              </w:rPr>
              <w:t>-0.28 (-0.34, -0.23), p&lt;.001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3603D0D3" w14:textId="77777777" w:rsidR="00203205" w:rsidRPr="00F71555" w:rsidRDefault="00203205" w:rsidP="00782C91">
            <w:pPr>
              <w:rPr>
                <w:rFonts w:cstheme="minorHAnsi"/>
              </w:rPr>
            </w:pPr>
            <w:r w:rsidRPr="00F71555">
              <w:rPr>
                <w:rFonts w:cstheme="minorHAnsi"/>
              </w:rPr>
              <w:t>-0.14 (-0.18, -0.09), p&lt;.001</w:t>
            </w:r>
          </w:p>
        </w:tc>
      </w:tr>
      <w:tr w:rsidR="00203205" w:rsidRPr="005528A3" w14:paraId="3A4E925E" w14:textId="77777777" w:rsidTr="00782C91">
        <w:tc>
          <w:tcPr>
            <w:tcW w:w="3005" w:type="dxa"/>
          </w:tcPr>
          <w:p w14:paraId="7D4F5F52" w14:textId="77777777" w:rsidR="00203205" w:rsidRPr="005528A3" w:rsidRDefault="00203205" w:rsidP="00782C91">
            <w:pPr>
              <w:rPr>
                <w:rFonts w:cstheme="minorHAnsi"/>
              </w:rPr>
            </w:pPr>
            <w:r>
              <w:rPr>
                <w:rFonts w:cstheme="minorHAnsi"/>
              </w:rPr>
              <w:t>June Survey</w:t>
            </w:r>
          </w:p>
        </w:tc>
        <w:tc>
          <w:tcPr>
            <w:tcW w:w="3005" w:type="dxa"/>
          </w:tcPr>
          <w:p w14:paraId="6908D515" w14:textId="77777777" w:rsidR="00203205" w:rsidRPr="00F71555" w:rsidRDefault="00203205" w:rsidP="00782C91">
            <w:pPr>
              <w:rPr>
                <w:rFonts w:cstheme="minorHAnsi"/>
              </w:rPr>
            </w:pPr>
            <w:r w:rsidRPr="00F71555">
              <w:rPr>
                <w:rFonts w:cstheme="minorHAnsi"/>
              </w:rPr>
              <w:t>-0.69 (-0.77, -0.61), p&lt;.001</w:t>
            </w:r>
          </w:p>
        </w:tc>
        <w:tc>
          <w:tcPr>
            <w:tcW w:w="3006" w:type="dxa"/>
          </w:tcPr>
          <w:p w14:paraId="12E3700E" w14:textId="77777777" w:rsidR="00203205" w:rsidRPr="00F71555" w:rsidRDefault="00203205" w:rsidP="00782C91">
            <w:pPr>
              <w:rPr>
                <w:rFonts w:cstheme="minorHAnsi"/>
              </w:rPr>
            </w:pPr>
            <w:r w:rsidRPr="00F71555">
              <w:rPr>
                <w:rFonts w:cstheme="minorHAnsi"/>
              </w:rPr>
              <w:t>-0.14 (-0.19, -0.09), p&lt;.001</w:t>
            </w:r>
          </w:p>
        </w:tc>
      </w:tr>
      <w:tr w:rsidR="00203205" w:rsidRPr="005528A3" w14:paraId="315AC0A4" w14:textId="77777777" w:rsidTr="00782C91">
        <w:tc>
          <w:tcPr>
            <w:tcW w:w="3005" w:type="dxa"/>
            <w:tcBorders>
              <w:bottom w:val="single" w:sz="4" w:space="0" w:color="auto"/>
            </w:tcBorders>
          </w:tcPr>
          <w:p w14:paraId="7351EC59" w14:textId="77777777" w:rsidR="00203205" w:rsidRPr="005528A3" w:rsidRDefault="00203205" w:rsidP="00782C91">
            <w:pPr>
              <w:rPr>
                <w:rFonts w:cstheme="minorHAnsi"/>
              </w:rPr>
            </w:pPr>
            <w:r>
              <w:rPr>
                <w:rFonts w:cstheme="minorHAnsi"/>
              </w:rPr>
              <w:t>July Survey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28E5081F" w14:textId="77777777" w:rsidR="00203205" w:rsidRPr="00F71555" w:rsidRDefault="00203205" w:rsidP="00782C91">
            <w:pPr>
              <w:rPr>
                <w:rFonts w:cstheme="minorHAnsi"/>
              </w:rPr>
            </w:pPr>
            <w:r w:rsidRPr="00F71555">
              <w:rPr>
                <w:rFonts w:cstheme="minorHAnsi"/>
              </w:rPr>
              <w:t>-0.80 (-0.88, -0.72), p&lt;.001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7575556A" w14:textId="77777777" w:rsidR="00203205" w:rsidRPr="00F71555" w:rsidRDefault="00203205" w:rsidP="00782C91">
            <w:pPr>
              <w:rPr>
                <w:rFonts w:cstheme="minorHAnsi"/>
              </w:rPr>
            </w:pPr>
            <w:r w:rsidRPr="00F71555">
              <w:rPr>
                <w:rFonts w:cstheme="minorHAnsi"/>
              </w:rPr>
              <w:t>-0.14 (-0.20, -0.09), p&lt;.001</w:t>
            </w:r>
          </w:p>
        </w:tc>
      </w:tr>
    </w:tbl>
    <w:p w14:paraId="019D143F" w14:textId="77777777" w:rsidR="00203205" w:rsidRPr="00C82D55" w:rsidRDefault="00203205" w:rsidP="00203205">
      <w:pPr>
        <w:rPr>
          <w:b/>
          <w:bCs/>
        </w:rPr>
      </w:pPr>
    </w:p>
    <w:p w14:paraId="6DBA536B" w14:textId="77777777" w:rsidR="00C82D55" w:rsidRPr="00C82D55" w:rsidRDefault="00C82D55" w:rsidP="00C82D55">
      <w:pPr>
        <w:rPr>
          <w:b/>
          <w:bCs/>
        </w:rPr>
      </w:pPr>
    </w:p>
    <w:sectPr w:rsidR="00C82D55" w:rsidRPr="00C82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47895"/>
    <w:multiLevelType w:val="hybridMultilevel"/>
    <w:tmpl w:val="52E69A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B56DE"/>
    <w:multiLevelType w:val="hybridMultilevel"/>
    <w:tmpl w:val="AA889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FB"/>
    <w:rsid w:val="00011A0E"/>
    <w:rsid w:val="000607FB"/>
    <w:rsid w:val="00203205"/>
    <w:rsid w:val="00260141"/>
    <w:rsid w:val="00446812"/>
    <w:rsid w:val="005438FB"/>
    <w:rsid w:val="00623040"/>
    <w:rsid w:val="006406AF"/>
    <w:rsid w:val="00A55865"/>
    <w:rsid w:val="00C82D55"/>
    <w:rsid w:val="00E7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8C98"/>
  <w15:chartTrackingRefBased/>
  <w15:docId w15:val="{483EF999-22BF-4B14-8C88-6459B165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0E"/>
  </w:style>
  <w:style w:type="paragraph" w:styleId="Heading1">
    <w:name w:val="heading 1"/>
    <w:basedOn w:val="Normal"/>
    <w:next w:val="Normal"/>
    <w:link w:val="Heading1Char"/>
    <w:uiPriority w:val="9"/>
    <w:qFormat/>
    <w:rsid w:val="00C82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A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1A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1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1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1A0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2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82D55"/>
    <w:pPr>
      <w:ind w:left="720"/>
      <w:contextualSpacing/>
    </w:pPr>
  </w:style>
  <w:style w:type="table" w:styleId="TableGrid">
    <w:name w:val="Table Grid"/>
    <w:basedOn w:val="TableNormal"/>
    <w:uiPriority w:val="39"/>
    <w:rsid w:val="00C8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8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Ayre</dc:creator>
  <cp:keywords/>
  <dc:description/>
  <cp:lastModifiedBy>Julie Ayre</cp:lastModifiedBy>
  <cp:revision>8</cp:revision>
  <dcterms:created xsi:type="dcterms:W3CDTF">2020-11-04T05:25:00Z</dcterms:created>
  <dcterms:modified xsi:type="dcterms:W3CDTF">2021-01-11T01:16:00Z</dcterms:modified>
</cp:coreProperties>
</file>