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1E3A85" w14:textId="77777777" w:rsidR="00F44680" w:rsidRPr="00983792" w:rsidRDefault="00F44680" w:rsidP="00F44680">
      <w:pPr>
        <w:rPr>
          <w:rFonts w:ascii="Times New Roman" w:hAnsi="Times New Roman" w:cs="Times New Roman"/>
          <w:b/>
        </w:rPr>
      </w:pPr>
      <w:r>
        <w:rPr>
          <w:rFonts w:ascii="Times New Roman" w:hAnsi="Times New Roman" w:cs="Times New Roman"/>
          <w:b/>
        </w:rPr>
        <w:t>Appendix D – Results</w:t>
      </w:r>
      <w:r w:rsidRPr="00983792">
        <w:rPr>
          <w:rFonts w:ascii="Times New Roman" w:hAnsi="Times New Roman" w:cs="Times New Roman"/>
          <w:b/>
        </w:rPr>
        <w:t xml:space="preserve"> of </w:t>
      </w:r>
      <w:r>
        <w:rPr>
          <w:rFonts w:ascii="Times New Roman" w:hAnsi="Times New Roman" w:cs="Times New Roman"/>
          <w:b/>
        </w:rPr>
        <w:t>Robustness Tests</w:t>
      </w:r>
    </w:p>
    <w:p w14:paraId="4DB7D73C" w14:textId="77777777" w:rsidR="00F44680" w:rsidRPr="00E3220A" w:rsidRDefault="00F44680" w:rsidP="00F44680">
      <w:pPr>
        <w:rPr>
          <w:rFonts w:ascii="Times New Roman" w:hAnsi="Times New Roman" w:cs="Times New Roman"/>
          <w:iCs/>
        </w:rPr>
      </w:pPr>
    </w:p>
    <w:p w14:paraId="20C8E740" w14:textId="77777777" w:rsidR="00F44680" w:rsidRDefault="00F44680" w:rsidP="00F44680">
      <w:pPr>
        <w:spacing w:line="480" w:lineRule="auto"/>
        <w:rPr>
          <w:rFonts w:ascii="Times New Roman" w:hAnsi="Times New Roman" w:cs="Times New Roman"/>
        </w:rPr>
      </w:pPr>
      <w:r>
        <w:rPr>
          <w:rFonts w:ascii="Times New Roman" w:hAnsi="Times New Roman" w:cs="Times New Roman"/>
        </w:rPr>
        <w:t xml:space="preserve">Results of each jackknife analysis can be found in Table D1. </w:t>
      </w:r>
      <w:r w:rsidRPr="00983792">
        <w:rPr>
          <w:rFonts w:ascii="Times New Roman" w:hAnsi="Times New Roman" w:cs="Times New Roman"/>
        </w:rPr>
        <w:t>A count of the occurrences of cluster survival, size changes, and peak location shifts revealed that</w:t>
      </w:r>
      <w:r>
        <w:rPr>
          <w:rFonts w:ascii="Times New Roman" w:hAnsi="Times New Roman" w:cs="Times New Roman"/>
        </w:rPr>
        <w:t>, for the case of healthy ageing,</w:t>
      </w:r>
      <w:r w:rsidRPr="00983792">
        <w:rPr>
          <w:rFonts w:ascii="Times New Roman" w:hAnsi="Times New Roman" w:cs="Times New Roman"/>
        </w:rPr>
        <w:t xml:space="preserve"> there was no case in which a one study removed analysis changed the label of the peak voxel of a cluster (Table D2). Only slight shifts in peak voxel locations were observed. The jackknife procedure showed that clusters 1 and 2 in right Crus I/II were robust to the removal of any one study. Only unsubstantial changes in size and extent of these clusters occurred. Cluster 3 in posterior Crus II did not survive the removal of the study by Hu et al. </w:t>
      </w:r>
      <w:r>
        <w:rPr>
          <w:rFonts w:ascii="Times New Roman" w:hAnsi="Times New Roman" w:cs="Times New Roman"/>
        </w:rPr>
        <w:fldChar w:fldCharType="begin" w:fldLock="1"/>
      </w:r>
      <w:r>
        <w:rPr>
          <w:rFonts w:ascii="Times New Roman" w:hAnsi="Times New Roman" w:cs="Times New Roman"/>
        </w:rPr>
        <w:instrText>ADDIN CSL_CITATION {"citationItems":[{"id":"ITEM-1","itemData":{"DOI":"10.1002/hbm.24347","ISSN":"1065-9471","abstract":"Inhibitory control or the ability to refrain from incorrect responses is a critical executive function known to diminish during aging. Imaging studies have elucidated cerebral changes that may underlie the age‐related deficits. However, it remains unclear whether the structural and functional changes occur in the same brain regions and whether reduced gray matter volumes (GMV) mediate decreased activation during inhibition. Here, in a sample of 149 participants, we addressed the issues using structural and functional magnetic resonance imaging. Individual's response inhibition was evaluated by the stop signal reaction time (SSRT) in a stop signal task. The results showed that age was associated with prolonged SSRT across participants. Many cortical and subcortical regions demonstrated age‐related reduction in GMV and activation to response inhibition. Additionally, age‐related diminution in inhibitory control, as indexed by the SSRT, was associated with both shared and distinct morphometric and functional changes. Voxel‐based morphometry demonstrated age‐related reduction in GMV in the right dorsolateral prefrontal cortex and caudate head as well as bilateral insula, in association with prolonged SSRT. In a contrast of stop success versus go success trials, age was associated with lower activation in the medial and inferior frontal cortex and inferior parietal cortex. Further, reduction in GMV mediated age‐related differences in activations only of the medial prefrontal cortex, providing limited evidence for structure function association. Thus, the decline in inhibitory control, as evidenced in the stop signal task, manifest with both shared and distinct structural and functional processes during aging. (PsycINFO Database Record (c) 2018 APA, all rights reserved)","author":[{"dropping-particle":"","family":"Hu","given":"Sien","non-dropping-particle":"","parse-names":false,"suffix":""},{"dropping-particle":"","family":"Ide","given":"Jaime S","non-dropping-particle":"","parse-names":false,"suffix":""},{"dropping-particle":"","family":"Chao","given":"Herta H","non-dropping-particle":"","parse-names":false,"suffix":""},{"dropping-particle":"","family":"Castagna","given":"Brittney","non-dropping-particle":"","parse-names":false,"suffix":""},{"dropping-particle":"","family":"Fischer","given":"Kimberly A","non-dropping-particle":"","parse-names":false,"suffix":""},{"dropping-particle":"","family":"Zhang","given":"Sheng","non-dropping-particle":"","parse-names":false,"suffix":""},{"dropping-particle":"","family":"Li","given":"Chiang‐shan R","non-dropping-particle":"","parse-names":false,"suffix":""}],"container-title":"Human Brain Mapping","id":"ITEM-1","issue":"12","issued":{"date-parts":[["2018","8","16"]]},"note":"From Duplicate 1 (Structural and functional cerebral bases of diminished inhibitory control during healthy aging - Hu, Sien; Ide, Jaime S; Chao, Herta H; Castagna, Brittney; Fischer, Kimberly A; Zhang, Sheng; Li, Chiang‐shan R)\n\nAccession Number: 2018-41080-001. Partial author list: First Author &amp;amp; Affiliation: Hu, Sien; Department of Psychology, State University of New York at Oswego, Oswego, NY, US. Release Date: 20180820. Correction Date: 20190117. Publication Type: Journal (0100), Peer Reviewed Journal (0110). Format Covered: Electronic. Document Type: Journal Article. Language: English. Major Descriptor: Aging; Response Inhibition. Minor Descriptor: Functional Magnetic Resonance Imaging. Classification: Neuropsychology &amp;amp; Neurology (2520). Population: Human (10); Male (30); Female (40). Age Group: Adulthood (18 yrs &amp;amp; older) (300); Young Adulthood (18-29 yrs) (320). Methodology: Empirical Study; Quantitative Study. Page Count: 12. Issue Publication Date: Dec, 2018. Publication History: Accepted Date: Jul 30, 2018; Revised Date: Jul 23, 2018; First Submitted Date: Jan 16, 2018. Copyright Statement: Wiley Periodicals, Inc. 2018.\n\nFrom Duplicate 2 (Structural and functional cerebral bases of diminished inhibitory control during healthy aging - Hu, Sien; Ide, Jaime S; Chao, Herta H; Castagna, Brittney; Fischer, Kimberly A; Zhang, Sheng; Li, Chiang‐shan R)\n\nFrom Duplicate 1 (Structural and functional cerebral bases of diminished inhibitory control during healthy aging - Hu, Sien; Ide, Jaime S; Chao, Herta H; Castagna, Brittney; Fischer, Kimberly A; Zhang, Sheng; Li, Chiang‐shan R)\n\nFrom Duplicate 1 (Structural and functional cerebral bases of diminished inhibitory control during healthy aging - Hu, Sien; Ide, Jaime S; Chao, Herta H; Castagna, Brittney; Fischer, Kimberly A; Zhang, Sheng; Li, Chiang‐shan R)\n\nAccession Number: 2018-41080-001. PMID: 30113124 Partial author list: First Author &amp;amp; Affiliation: Hu, Sien; Department of Psychology, State University of New York at Oswego, Oswego. Release Date: 20180820. Publication Type: Journal (0100), Peer Reviewed Journal (0110). Format Covered: Electronic. Language: English. Major Descriptor: No terms assigned. Classification: Neuropsychology &amp;amp; Neurology (2520). Publication History: Accepted Date: Jul 30, 2018; First Submitted Date: Jan 16, 2018. Copyright Statement: Wiley Periodicals, Inc. 2018.\n\nFrom Duplicate 2 (Structural and functional cerebral bases of diminished inhibitory control during healthy aging - Hu, Sien; Ide, Jaime S; Chao, Herta H; Castagna, Brittney; Fischer, Kimberly A; Zhang, Sheng; Li, Chiang‐shan R)\n\nAccession Number: 2018-41080-001. Partial author list: First Author &amp;amp; Affiliation: Hu, Sien; Department of Psychology, State University of New York at Oswego, Oswego, NY, US. Release Date: 20180820. Correction Date: 20190117. Publication Type: Journal (0100), Peer Reviewed Journal (0110). Format Covered: Electronic. Document Type: Journal Article. Language: English. Major Descriptor: Aging; Response Inhibition. Minor Descriptor: Functional Magnetic Resonance Imaging. Classification: Neuropsychology &amp;amp; Neurology (2520). Population: Human (10); Male (30); Female (40). Age Group: Adulthood (18 yrs &amp;amp; older) (300); Young Adulthood (18-29 yrs) (320). Methodology: Empirical Study; Quantitative Study. Page Count: 12. Issue Publication Date: Dec, 2018. Publication History: Accepted Date: Jul 30, 2018; Revised Date: Jul 23, 2018; First Submitted Date: Jan 16, 2018. Copyright Statement: Wiley Periodicals, Inc. 2018.\n\nFrom Duplicate 2 (Structural and functional cerebral bases of diminished inhibitory control during healthy aging - Hu, Sien; Ide, Jaime S; Chao, Herta H; Castagna, Brittney; Fischer, Kimberly A; Zhang, Sheng; Li, Chiang‐shan R)\n\nAccession Number: 2018-41080-001. Partial author list: First Author &amp;amp; Affiliation: Hu, Sien; Department of Psychology, State University of New York at Oswego, Oswego, NY, US. Release Date: 20180820. Correction Date: 20190117. Publication Type: Journal (0100), Peer Reviewed Journal (0110). Format Covered: Electronic. Document Type: Journal Article. Language: English. Major Descriptor: Aging; Response Inhibition. Minor Descriptor: Functional Magnetic Resonance Imaging. Classification: Neuropsychology &amp;amp; Neurology (2520). Population: Human (10); Male (30); Female (40). Age Group: Adulthood (18 yrs &amp;amp; older) (300); Young Adulthood (18-29 yrs) (320). Methodology: Empirical Study; Quantitative Study. Page Count: 12. Issue Publication Date: Dec, 2018. Publication History: Accepted Date: Jul 30, 2018; Revised Date: Jul 23, 2018; First Submitted Date: Jan 16, 2018. Copyright Statement: Wiley Periodicals, Inc. 2018.","page":"5085–5096","publisher":"John Wiley &amp; Sons","publisher-place":"Hu, Sien, Department of Psychology, 407 Mahar Hall, SUNY Oswego, Oswego, NY, US, 13126","title":"Structural and functional cerebral bases of diminished inhibitory control during healthy aging","type":"article-journal","volume":"39"},"uris":["http://www.mendeley.com/documents/?uuid=079b3efa-3497-4351-b160-2e09141c0e41"]}],"mendeley":{"formattedCitation":"[1]","plainTextFormattedCitation":"[1]","previouslyFormattedCitation":"[1]"},"properties":{"noteIndex":0},"schema":"https://github.com/citation-style-language/schema/raw/master/csl-citation.json"}</w:instrText>
      </w:r>
      <w:r>
        <w:rPr>
          <w:rFonts w:ascii="Times New Roman" w:hAnsi="Times New Roman" w:cs="Times New Roman"/>
        </w:rPr>
        <w:fldChar w:fldCharType="separate"/>
      </w:r>
      <w:r w:rsidRPr="00B12442">
        <w:rPr>
          <w:rFonts w:ascii="Times New Roman" w:hAnsi="Times New Roman" w:cs="Times New Roman"/>
          <w:noProof/>
        </w:rPr>
        <w:t>[1]</w:t>
      </w:r>
      <w:r>
        <w:rPr>
          <w:rFonts w:ascii="Times New Roman" w:hAnsi="Times New Roman" w:cs="Times New Roman"/>
        </w:rPr>
        <w:fldChar w:fldCharType="end"/>
      </w:r>
      <w:r>
        <w:rPr>
          <w:rFonts w:ascii="Times New Roman" w:hAnsi="Times New Roman" w:cs="Times New Roman"/>
        </w:rPr>
        <w:t xml:space="preserve"> </w:t>
      </w:r>
      <w:r w:rsidRPr="00983792">
        <w:rPr>
          <w:rFonts w:ascii="Times New Roman" w:hAnsi="Times New Roman" w:cs="Times New Roman"/>
        </w:rPr>
        <w:t>(</w:t>
      </w:r>
      <w:r w:rsidRPr="00983792">
        <w:rPr>
          <w:rFonts w:ascii="Times New Roman" w:hAnsi="Times New Roman" w:cs="Times New Roman"/>
          <w:i/>
        </w:rPr>
        <w:t>n</w:t>
      </w:r>
      <w:r w:rsidRPr="00983792">
        <w:rPr>
          <w:rFonts w:ascii="Times New Roman" w:hAnsi="Times New Roman" w:cs="Times New Roman"/>
        </w:rPr>
        <w:t xml:space="preserve">=149 subjects, </w:t>
      </w:r>
      <w:r w:rsidRPr="00983792">
        <w:rPr>
          <w:rFonts w:ascii="Times New Roman" w:hAnsi="Times New Roman" w:cs="Times New Roman"/>
          <w:i/>
        </w:rPr>
        <w:t>k</w:t>
      </w:r>
      <w:r w:rsidRPr="00983792">
        <w:rPr>
          <w:rFonts w:ascii="Times New Roman" w:hAnsi="Times New Roman" w:cs="Times New Roman"/>
        </w:rPr>
        <w:t xml:space="preserve">=5 foci), while cluster 4 in vermal/right lobule VI did no longer emerge when the study by Antonova et al. </w:t>
      </w:r>
      <w:r>
        <w:rPr>
          <w:rFonts w:ascii="Times New Roman" w:hAnsi="Times New Roman" w:cs="Times New Roman"/>
        </w:rPr>
        <w:fldChar w:fldCharType="begin" w:fldLock="1"/>
      </w:r>
      <w:r>
        <w:rPr>
          <w:rFonts w:ascii="Times New Roman" w:hAnsi="Times New Roman" w:cs="Times New Roman"/>
        </w:rPr>
        <w:instrText>ADDIN CSL_CITATION {"citationItems":[{"id":"ITEM-1","itemData":{"DOI":"10.1080/09658210802077348","ISBN":"0965821080207","ISSN":"0965-8211","abstract":"Age-related decline in allocentric (viewer-independent) spatial memory is seen across species. We employed a virtual reality analogue of the Morris Water Maze to study the effect of healthy ageing on neural activity during allocentric spatial memory using functional magnetic resonance imaging. Voxel-based morphometry was used to ascertain hippocampal volumetric integrity. A widespread neural network comprising frontal, parietal, occipital, thalamic, and cerebellar regions was activated in young and older adults, but only young adults significantly activated bilateral hippocampus and left parahippocampus, as well as right frontal pole and dorso-lateral prefrontal cortex (DLPFC) during encoding and right DLPC during retrieval. Hippocampal grey matter volume was unchanged in older adults; however, prefrontal and parahippocampal functional attenuation was accompanied by volumetric reduction. We conclude that the decline in allocentric spatial memory with age is associated with attenuated hippocampal function, as well as compromised function and structure of prefrontal and parahippocampal regions. (PsycINFO Database Record (c) 2016 APA, all rights reserved)","author":[{"dropping-particle":"","family":"Antonova","given":"Elena","non-dropping-particle":"","parse-names":false,"suffix":""},{"dropping-particle":"","family":"Parslow","given":"D.","non-dropping-particle":"","parse-names":false,"suffix":""},{"dropping-particle":"","family":"Brammer","given":"M.","non-dropping-particle":"","parse-names":false,"suffix":""},{"dropping-particle":"","family":"Dawson","given":"G. R.","non-dropping-particle":"","parse-names":false,"suffix":""},{"dropping-particle":"","family":"Jackson","given":"S. H.D. D","non-dropping-particle":"","parse-names":false,"suffix":""},{"dropping-particle":"","family":"Morris","given":"R. G.","non-dropping-particle":"","parse-names":false,"suffix":""}],"container-title":"Memory","id":"ITEM-1","issue":"2","issued":{"date-parts":[["2009","2"]]},"note":"From Duplicate 1 (Age-related neural activity during allocentric spatial memory - Antonova, E; Parslow, D; Brammer, M; Dawson, G R; Jackson, S H D; Morris, R G)\n\nAccession Number: 2009-02112-001. PMID: 18608980 Partial author list: First Author &amp;amp; Affiliation: Antonova, E.; Institute of Psychiatry, King’s College London, London, United Kingdom. Release Date: 20090720. Correction Date: 20121119. Publication Type: Journal (0100), Peer Reviewed Journal (0110). Format Covered: Electronic. Document Type: Journal Article. Language: English. Major Descriptor: Aging; Neural Development; Neuropsychology; Spatial Memory. Classification: Neuropsychology &amp;amp; Neurology (2520); Developmental Psychology (2800). Population: Human (10). Location: United Kingdom. Age Group: Adulthood (18 yrs &amp;amp; older) (300); Young Adulthood (18-29 yrs) (320); Middle Age (40-64 yrs) (360); Aged (65 yrs &amp;amp; older) (380). Tests &amp;amp; Measures: Mini Mental State Examination; Wechsler Abbreviated Scale of Intelligence DOI: 10.1037/t15170-000. Methodology: Empirical Study; Quantitative Study. References Available: Y. Page Count: 19. Issue Publication Date: Feb, 2009.\n\nFrom Duplicate 2 (Age-related neural activity during allocentric spatial memory - Antonova, Elena; Parslow, D.; Brammer, M.; Dawson, G. R.; Jackson, S. H.D. D; Morris, R. G.)\n\nFrom Duplicate 1 (Age-related neural activity during allocentric spatial memory - Antonova, E; Parslow, D; Brammer, M; Dawson, G R; Jackson, S H D; Morris, R G)\n\nAccession Number: 2009-02112-001. PMID: 18608980 Partial author list: First Author &amp;amp; Affiliation: Antonova, E.; Institute of Psychiatry, King’s College London, London, United Kingdom. Release Date: 20090720. Correction Date: 20121119. Publication Type: Journal (0100), Peer Reviewed Journal (0110). Format Covered: Electronic. Document Type: Journal Article. Language: English. Major Descriptor: Aging; Neural Development; Neuropsychology; Spatial Memory. Classification: Neuropsychology &amp;amp; Neurology (2520); Developmental Psychology (2800). Population: Human (10). Location: United Kingdom. Age Group: Adulthood (18 yrs &amp;amp; older) (300); Young Adulthood (18-29 yrs) (320); Middle Age (40-64 yrs) (360); Aged (65 yrs &amp;amp; older) (380). Tests &amp;amp; Measures: Mini Mental State Examination; Wechsler Abbreviated Scale of Intelligence DOI: 10.1037/t15170-000. Methodology: Empirical Study; Quantitative Study. References Available: Y. Page Count: 19. Issue Publication Date: Feb, 2009.\n\nFrom Duplicate 2 (Age-related neural activity during allocentric spatial memory - Antonova, Elena; Parslow, D.; Brammer, M.; Dawson, G. R.; Jackson, S. H.D. D; Morris, R. G.)\n\nFrom Duplicate 1 (Age-related neural activity during allocentric spatial memory - Antonova, Elena; Parslow, D.; Brammer, M.; Dawson, G. R.; Jackson, S. H.D. D; Morris, R. G.)\n\nFrom Duplicate 2 (Age-related neural activity during allocentric spatial memory - Antonova, E; Parslow, D; Brammer, M; Dawson, G R; Jackson, S H D; Morris, R G)\n\nAccession Number: 2009-02112-001. PMID: 18608980 Partial author list: First Author &amp;amp; Affiliation: Antonova, E.; Institute of Psychiatry, King’s College London, London, United Kingdom. Release Date: 20090720. Correction Date: 20121119. Publication Type: Journal (0100), Peer Reviewed Journal (0110). Format Covered: Electronic. Document Type: Journal Article. Language: English. Major Descriptor: Aging; Neural Development; Neuropsychology; Spatial Memory. Classification: Neuropsychology &amp;amp; Neurology (2520); Developmental Psychology (2800). Population: Human (10). Location: United Kingdom. Age Group: Adulthood (18 yrs &amp;amp; older) (300); Young Adulthood (18-29 yrs) (320); Middle Age (40-64 yrs) (360); Aged (65 yrs &amp;amp; older) (380). Tests &amp;amp; Measures: Mini Mental State Examination; Wechsler Abbreviated Scale of Intelligence DOI: 10.1037/t15170-000. Methodology: Empirical Study; Quantitative Study. References Available: Y. Page Count: 19. Issue Publication Date: Feb, 2009.\n\nFrom Duplicate 2 (Age-related neural activity during allocentric spatial memory - Antonova, E; Parslow, D; Brammer, M; Dawson, G R; Jackson, S H D; Morris, R G)\n\nAccession Number: 2009-02112-001. PMID: 18608980 Partial author list: First Author &amp;amp; Affiliation: Antonova, E.; Institute of Psychiatry, King’s College London, London, United Kingdom. Release Date: 20090720. Correction Date: 20121119. Publication Type: Journal (0100), Peer Reviewed Journal (0110). Format Covered: Electronic. Document Type: Journal Article. Language: English. Major Descriptor: Aging; Neural Development; Neuropsychology; Spatial Memory. Classification: Neuropsychology &amp;amp; Neurology (2520); Developmental Psychology (2800). Population: Human (10). Location: United Kingdom. Age Group: Adulthood (18 yrs &amp;amp; older) (300); Young Adulthood (18-29 yrs) (320); Middle Age (40-64 yrs) (360); Aged (65 yrs &amp;amp; older) (380). Tests &amp;amp; Measures: Mini Mental State Examination; Wechsler Abbreviated Scale of Intelligence DOI: 10.1037/t15170-000. Methodology: Empirical Study; Quantitative Study. References Available: Y. Page Count: 19. Issue Publication Date: Feb, 2009.","page":"125-143","publisher":"Taylor &amp; Francis","publisher-place":"Antonova, E., Department of Psychology, Institute of Psychiatry, King’s College London, PO Box 78, De Crespigny Park, London, United Kingdom, SE5 8AF","title":"Age-related neural activity during allocentric spatial memory","type":"article-journal","volume":"17"},"uris":["http://www.mendeley.com/documents/?uuid=66fba3ae-d3bb-4db6-abd6-faffc6c15034"]}],"mendeley":{"formattedCitation":"[2]","plainTextFormattedCitation":"[2]","previouslyFormattedCitation":"[2]"},"properties":{"noteIndex":0},"schema":"https://github.com/citation-style-language/schema/raw/master/csl-citation.json"}</w:instrText>
      </w:r>
      <w:r>
        <w:rPr>
          <w:rFonts w:ascii="Times New Roman" w:hAnsi="Times New Roman" w:cs="Times New Roman"/>
        </w:rPr>
        <w:fldChar w:fldCharType="separate"/>
      </w:r>
      <w:r w:rsidRPr="00B12442">
        <w:rPr>
          <w:rFonts w:ascii="Times New Roman" w:hAnsi="Times New Roman" w:cs="Times New Roman"/>
          <w:noProof/>
        </w:rPr>
        <w:t>[2]</w:t>
      </w:r>
      <w:r>
        <w:rPr>
          <w:rFonts w:ascii="Times New Roman" w:hAnsi="Times New Roman" w:cs="Times New Roman"/>
        </w:rPr>
        <w:fldChar w:fldCharType="end"/>
      </w:r>
      <w:r>
        <w:rPr>
          <w:rFonts w:ascii="Times New Roman" w:hAnsi="Times New Roman" w:cs="Times New Roman"/>
        </w:rPr>
        <w:t xml:space="preserve"> </w:t>
      </w:r>
      <w:r w:rsidRPr="00983792">
        <w:rPr>
          <w:rFonts w:ascii="Times New Roman" w:hAnsi="Times New Roman" w:cs="Times New Roman"/>
        </w:rPr>
        <w:t>(</w:t>
      </w:r>
      <w:r w:rsidRPr="00983792">
        <w:rPr>
          <w:rFonts w:ascii="Times New Roman" w:hAnsi="Times New Roman" w:cs="Times New Roman"/>
          <w:i/>
        </w:rPr>
        <w:t>n</w:t>
      </w:r>
      <w:r w:rsidRPr="00983792">
        <w:rPr>
          <w:rFonts w:ascii="Times New Roman" w:hAnsi="Times New Roman" w:cs="Times New Roman"/>
        </w:rPr>
        <w:t xml:space="preserve">=20, </w:t>
      </w:r>
      <w:r w:rsidRPr="00983792">
        <w:rPr>
          <w:rFonts w:ascii="Times New Roman" w:hAnsi="Times New Roman" w:cs="Times New Roman"/>
          <w:i/>
        </w:rPr>
        <w:t>k</w:t>
      </w:r>
      <w:r w:rsidRPr="00983792">
        <w:rPr>
          <w:rFonts w:ascii="Times New Roman" w:hAnsi="Times New Roman" w:cs="Times New Roman"/>
        </w:rPr>
        <w:t xml:space="preserve">=5 foci) was removed. Both cluster 3 and 4 remained stable in all other instances, indicating robustness in 94% of analyses. Finally, cluster 5 in anterior Crus I/II remained in 83% of all analyses but did not survive correction for multiple comparisons upon removal of studies that were the main contributors to this cluster </w:t>
      </w:r>
      <w:r w:rsidRPr="00983792">
        <w:rPr>
          <w:rFonts w:ascii="Times New Roman" w:hAnsi="Times New Roman" w:cs="Times New Roman"/>
        </w:rPr>
        <w:fldChar w:fldCharType="begin" w:fldLock="1"/>
      </w:r>
      <w:r>
        <w:rPr>
          <w:rFonts w:ascii="Times New Roman" w:hAnsi="Times New Roman" w:cs="Times New Roman"/>
        </w:rPr>
        <w:instrText>ADDIN CSL_CITATION {"citationItems":[{"id":"ITEM-1","itemData":{"DOI":"10.1007/s12311-016-0813-x","ISSN":"1473-4222","abstract":"This study examined patterns of cerebellar volumetric gray matter (GM) loss across the adult lifespan in a large cross-sectional sample. Four hundred and seventy-nine healthy participants (age range: 7–86 years) were drawn from the Brain Resource International Database who provided T1-weighted MRI scans. The spatially unbiased infratentorial template (SUIT) toolbox in SPM8 was used for normalisation of the cerebellum structures. Global volumetric and voxel-based morphometry analyses were performed to evaluate age-associated trends and gender-specific age-patterns. Global cerebellar GM shows a cross-sectional reduction with advancing age of 2.5 % per decade—approximately half the rate seen in the whole brain. The male cerebellum is larger with a lower percentage of GM, however, after controlling for total brain volume, no gender difference was detected. Analysis of age-related changes in GM volume revealed large bilateral clusters involving the vermis and cerebellar crus where regional loss occurred at nearly twice the average cerebellar rate. No gender-specific patterns were detected. These data confirm that regionally specific GM loss occurs in the cerebellum with age, and form a solid base for further investigation to find functional correlates for this global and focal loss. (PsycINFO Database Record (c) 2017 APA, all rights reserved)","author":[{"dropping-particle":"","family":"Yu","given":"Teresa","non-dropping-particle":"","parse-names":false,"suffix":""},{"dropping-particle":"","family":"Korgaonkar","given":"Mayuresh S","non-dropping-particle":"","parse-names":false,"suffix":""},{"dropping-particle":"","family":"Grieve","given":"Stuart M","non-dropping-particle":"","parse-names":false,"suffix":""}],"container-title":"The Cerebellum","id":"ITEM-1","issue":"2","issued":{"date-parts":[["2017","4"]]},"note":"From Duplicate 1 (Gray matter atrophy in the cerebellum—Evidence of increased vulnerability of the crus and vermis with advancing age - Yu, Teresa; Korgaonkar, Mayuresh S; Grieve, Stuart M)\n\nAccession Number: 2016-34181-001. PMID: 27395405 Partial author list: First Author &amp;amp; Affiliation: Yu, Teresa; The Brain Dynamics Centre, Westmead Millennium Institute, Sydney, NSW, Australia. Other Publishers: Taylor &amp;amp; Francis. Release Date: 20160714. Correction Date: 20170403. Publication Type: Journal (0100), Peer Reviewed Journal (0110). Format Covered: Electronic. Document Type: Journal Article. Language: English. Grant Information: Korgaonkar, Mayuresh S. Major Descriptor: Cerebellum; Gray Matter. Minor Descriptor: Magnetic Resonance Imaging. Classification: Neuropsychology &amp;amp; Neurology (2520). Population: Human (10); Male (30); Female (40). Location: Australia. Age Group: Childhood (birth-12 yrs) (100); School Age (6-12 yrs) (180); Adolescence (13-17 yrs) (200); Adulthood (18 yrs &amp;amp; older) (300); Young Adulthood (18-29 yrs) (320); Thirties (30-39 yrs) (340); Middle Age (40-64 yrs) (360); Aged (65 yrs &amp;amp; older) (380); Very Old (85 yrs &amp;amp; older) (390). Methodology: Brain Imaging; Empirical Study; Quantitative Study. Page Count: 10. Issue Publication Date: Apr, 2017. Publication History: First Posted Date: Jul 9, 2016. Copyright Statement: Springer Science+Business Media New York. 2016.\n\nFrom Duplicate 2 (Gray matter atrophy in the cerebellum—Evidence of increased vulnerability of the crus and vermis with advancing age - Yu, Teresa; Korgaonkar, Mayuresh S; Grieve, Stuart M)\n\nFrom Duplicate 2 (Gray matter atrophy in the cerebellum—Evidence of increased vulnerability of the crus and vermis with advancing age - Yu, Teresa; Korgaonkar, Mayuresh S; Grieve, Stuart M)\n\nAccession Number: 2016-34181-001. PMID: 27395405 Partial author list: First Author &amp;amp; Affiliation: Yu, Teresa; The Brain Dynamics Centre, Westmead Millennium Institute, Sydney, NSW, Australia. Other Publishers: Taylor &amp;amp; Francis. Release Date: 20160714. Correction Date: 20170403. Publication Type: Journal (0100), Peer Reviewed Journal (0110). Format Covered: Electronic. Document Type: Journal Article. Language: English. Grant Information: Korgaonkar, Mayuresh S. Major Descriptor: Cerebellum; Gray Matter. Minor Descriptor: Magnetic Resonance Imaging. Classification: Neuropsychology &amp;amp; Neurology (2520). Population: Human (10); Male (30); Female (40). Location: Australia. Age Group: Childhood (birth-12 yrs) (100); School Age (6-12 yrs) (180); Adolescence (13-17 yrs) (200); Adulthood (18 yrs &amp;amp; older) (300); Young Adulthood (18-29 yrs) (320); Thirties (30-39 yrs) (340); Middle Age (40-64 yrs) (360); Aged (65 yrs &amp;amp; older) (380); Very Old (85 yrs &amp;amp; older) (390). Methodology: Brain Imaging; Empirical Study; Quantitative Study. Page Count: 10. Issue Publication Date: Apr, 2017. Publication History: First Posted Date: Jul 9, 2016. Copyright Statement: Springer Science+Business Media New York. 2016.","page":"388-397","publisher":"Springer","publisher-place":"Grieve, Stuart M., Sydney Translational Imaging Laboratory, Heart Research Institute, Charles Perkins Centre and Sydney Medical School, University of Sydney, Sydney, NSW, Australia, 2006","title":"Gray matter atrophy in the cerebellum—Evidence of increased vulnerability of the crus and vermis with advancing age","type":"article-journal","volume":"16"},"uris":["http://www.mendeley.com/documents/?uuid=50a3f05a-3c6c-414d-bf55-907473e5db2d"]},{"id":"ITEM-2","itemData":{"DOI":"10.1080/09658210802077348","ISBN":"0965821080207","ISSN":"0965-8211","abstract":"Age-related decline in allocentric (viewer-independent) spatial memory is seen across species. We employed a virtual reality analogue of the Morris Water Maze to study the effect of healthy ageing on neural activity during allocentric spatial memory using functional magnetic resonance imaging. Voxel-based morphometry was used to ascertain hippocampal volumetric integrity. A widespread neural network comprising frontal, parietal, occipital, thalamic, and cerebellar regions was activated in young and older adults, but only young adults significantly activated bilateral hippocampus and left parahippocampus, as well as right frontal pole and dorso-lateral prefrontal cortex (DLPFC) during encoding and right DLPC during retrieval. Hippocampal grey matter volume was unchanged in older adults; however, prefrontal and parahippocampal functional attenuation was accompanied by volumetric reduction. We conclude that the decline in allocentric spatial memory with age is associated with attenuated hippocampal function, as well as compromised function and structure of prefrontal and parahippocampal regions. (PsycINFO Database Record (c) 2016 APA, all rights reserved)","author":[{"dropping-particle":"","family":"Antonova","given":"Elena","non-dropping-particle":"","parse-names":false,"suffix":""},{"dropping-particle":"","family":"Parslow","given":"D.","non-dropping-particle":"","parse-names":false,"suffix":""},{"dropping-particle":"","family":"Brammer","given":"M.","non-dropping-particle":"","parse-names":false,"suffix":""},{"dropping-particle":"","family":"Dawson","given":"G. R.","non-dropping-particle":"","parse-names":false,"suffix":""},{"dropping-particle":"","family":"Jackson","given":"S. H.D. D","non-dropping-particle":"","parse-names":false,"suffix":""},{"dropping-particle":"","family":"Morris","given":"R. G.","non-dropping-particle":"","parse-names":false,"suffix":""}],"container-title":"Memory","id":"ITEM-2","issue":"2","issued":{"date-parts":[["2009","2"]]},"note":"From Duplicate 1 (Age-related neural activity during allocentric spatial memory - Antonova, E; Parslow, D; Brammer, M; Dawson, G R; Jackson, S H D; Morris, R G)\n\nAccession Number: 2009-02112-001. PMID: 18608980 Partial author list: First Author &amp;amp; Affiliation: Antonova, E.; Institute of Psychiatry, King’s College London, London, United Kingdom. Release Date: 20090720. Correction Date: 20121119. Publication Type: Journal (0100), Peer Reviewed Journal (0110). Format Covered: Electronic. Document Type: Journal Article. Language: English. Major Descriptor: Aging; Neural Development; Neuropsychology; Spatial Memory. Classification: Neuropsychology &amp;amp; Neurology (2520); Developmental Psychology (2800). Population: Human (10). Location: United Kingdom. Age Group: Adulthood (18 yrs &amp;amp; older) (300); Young Adulthood (18-29 yrs) (320); Middle Age (40-64 yrs) (360); Aged (65 yrs &amp;amp; older) (380). Tests &amp;amp; Measures: Mini Mental State Examination; Wechsler Abbreviated Scale of Intelligence DOI: 10.1037/t15170-000. Methodology: Empirical Study; Quantitative Study. References Available: Y. Page Count: 19. Issue Publication Date: Feb, 2009.\n\nFrom Duplicate 2 (Age-related neural activity during allocentric spatial memory - Antonova, Elena; Parslow, D.; Brammer, M.; Dawson, G. R.; Jackson, S. H.D. D; Morris, R. G.)\n\nFrom Duplicate 1 (Age-related neural activity during allocentric spatial memory - Antonova, E; Parslow, D; Brammer, M; Dawson, G R; Jackson, S H D; Morris, R G)\n\nAccession Number: 2009-02112-001. PMID: 18608980 Partial author list: First Author &amp;amp; Affiliation: Antonova, E.; Institute of Psychiatry, King’s College London, London, United Kingdom. Release Date: 20090720. Correction Date: 20121119. Publication Type: Journal (0100), Peer Reviewed Journal (0110). Format Covered: Electronic. Document Type: Journal Article. Language: English. Major Descriptor: Aging; Neural Development; Neuropsychology; Spatial Memory. Classification: Neuropsychology &amp;amp; Neurology (2520); Developmental Psychology (2800). Population: Human (10). Location: United Kingdom. Age Group: Adulthood (18 yrs &amp;amp; older) (300); Young Adulthood (18-29 yrs) (320); Middle Age (40-64 yrs) (360); Aged (65 yrs &amp;amp; older) (380). Tests &amp;amp; Measures: Mini Mental State Examination; Wechsler Abbreviated Scale of Intelligence DOI: 10.1037/t15170-000. Methodology: Empirical Study; Quantitative Study. References Available: Y. Page Count: 19. Issue Publication Date: Feb, 2009.\n\nFrom Duplicate 2 (Age-related neural activity during allocentric spatial memory - Antonova, Elena; Parslow, D.; Brammer, M.; Dawson, G. R.; Jackson, S. H.D. D; Morris, R. G.)\n\nFrom Duplicate 1 (Age-related neural activity during allocentric spatial memory - Antonova, Elena; Parslow, D.; Brammer, M.; Dawson, G. R.; Jackson, S. H.D. D; Morris, R. G.)\n\nFrom Duplicate 2 (Age-related neural activity during allocentric spatial memory - Antonova, E; Parslow, D; Brammer, M; Dawson, G R; Jackson, S H D; Morris, R G)\n\nAccession Number: 2009-02112-001. PMID: 18608980 Partial author list: First Author &amp;amp; Affiliation: Antonova, E.; Institute of Psychiatry, King’s College London, London, United Kingdom. Release Date: 20090720. Correction Date: 20121119. Publication Type: Journal (0100), Peer Reviewed Journal (0110). Format Covered: Electronic. Document Type: Journal Article. Language: English. Major Descriptor: Aging; Neural Development; Neuropsychology; Spatial Memory. Classification: Neuropsychology &amp;amp; Neurology (2520); Developmental Psychology (2800). Population: Human (10). Location: United Kingdom. Age Group: Adulthood (18 yrs &amp;amp; older) (300); Young Adulthood (18-29 yrs) (320); Middle Age (40-64 yrs) (360); Aged (65 yrs &amp;amp; older) (380). Tests &amp;amp; Measures: Mini Mental State Examination; Wechsler Abbreviated Scale of Intelligence DOI: 10.1037/t15170-000. Methodology: Empirical Study; Quantitative Study. References Available: Y. Page Count: 19. Issue Publication Date: Feb, 2009.\n\nFrom Duplicate 2 (Age-related neural activity during allocentric spatial memory - Antonova, E; Parslow, D; Brammer, M; Dawson, G R; Jackson, S H D; Morris, R G)\n\nAccession Number: 2009-02112-001. PMID: 18608980 Partial author list: First Author &amp;amp; Affiliation: Antonova, E.; Institute of Psychiatry, King’s College London, London, United Kingdom. Release Date: 20090720. Correction Date: 20121119. Publication Type: Journal (0100), Peer Reviewed Journal (0110). Format Covered: Electronic. Document Type: Journal Article. Language: English. Major Descriptor: Aging; Neural Development; Neuropsychology; Spatial Memory. Classification: Neuropsychology &amp;amp; Neurology (2520); Developmental Psychology (2800). Population: Human (10). Location: United Kingdom. Age Group: Adulthood (18 yrs &amp;amp; older) (300); Young Adulthood (18-29 yrs) (320); Middle Age (40-64 yrs) (360); Aged (65 yrs &amp;amp; older) (380). Tests &amp;amp; Measures: Mini Mental State Examination; Wechsler Abbreviated Scale of Intelligence DOI: 10.1037/t15170-000. Methodology: Empirical Study; Quantitative Study. References Available: Y. Page Count: 19. Issue Publication Date: Feb, 2009.","page":"125-143","publisher":"Taylor &amp; Francis","publisher-place":"Antonova, E., Department of Psychology, Institute of Psychiatry, King’s College London, PO Box 78, De Crespigny Park, London, United Kingdom, SE5 8AF","title":"Age-related neural activity during allocentric spatial memory","type":"article-journal","volume":"17"},"uris":["http://www.mendeley.com/documents/?uuid=66fba3ae-d3bb-4db6-abd6-faffc6c15034"]},{"id":"ITEM-3","itemData":{"DOI":"10.1002/hbm.24347","ISSN":"1065-9471","abstract":"Inhibitory control or the ability to refrain from incorrect responses is a critical executive function known to diminish during aging. Imaging studies have elucidated cerebral changes that may underlie the age‐related deficits. However, it remains unclear whether the structural and functional changes occur in the same brain regions and whether reduced gray matter volumes (GMV) mediate decreased activation during inhibition. Here, in a sample of 149 participants, we addressed the issues using structural and functional magnetic resonance imaging. Individual's response inhibition was evaluated by the stop signal reaction time (SSRT) in a stop signal task. The results showed that age was associated with prolonged SSRT across participants. Many cortical and subcortical regions demonstrated age‐related reduction in GMV and activation to response inhibition. Additionally, age‐related diminution in inhibitory control, as indexed by the SSRT, was associated with both shared and distinct morphometric and functional changes. Voxel‐based morphometry demonstrated age‐related reduction in GMV in the right dorsolateral prefrontal cortex and caudate head as well as bilateral insula, in association with prolonged SSRT. In a contrast of stop success versus go success trials, age was associated with lower activation in the medial and inferior frontal cortex and inferior parietal cortex. Further, reduction in GMV mediated age‐related differences in activations only of the medial prefrontal cortex, providing limited evidence for structure function association. Thus, the decline in inhibitory control, as evidenced in the stop signal task, manifest with both shared and distinct structural and functional processes during aging. (PsycINFO Database Record (c) 2018 APA, all rights reserved)","author":[{"dropping-particle":"","family":"Hu","given":"Sien","non-dropping-particle":"","parse-names":false,"suffix":""},{"dropping-particle":"","family":"Ide","given":"Jaime S","non-dropping-particle":"","parse-names":false,"suffix":""},{"dropping-particle":"","family":"Chao","given":"Herta H","non-dropping-particle":"","parse-names":false,"suffix":""},{"dropping-particle":"","family":"Castagna","given":"Brittney","non-dropping-particle":"","parse-names":false,"suffix":""},{"dropping-particle":"","family":"Fischer","given":"Kimberly A","non-dropping-particle":"","parse-names":false,"suffix":""},{"dropping-particle":"","family":"Zhang","given":"Sheng","non-dropping-particle":"","parse-names":false,"suffix":""},{"dropping-particle":"","family":"Li","given":"Chiang‐shan R","non-dropping-particle":"","parse-names":false,"suffix":""}],"container-title":"Human Brain Mapping","id":"ITEM-3","issue":"12","issued":{"date-parts":[["2018","8","16"]]},"note":"From Duplicate 1 (Structural and functional cerebral bases of diminished inhibitory control during healthy aging - Hu, Sien; Ide, Jaime S; Chao, Herta H; Castagna, Brittney; Fischer, Kimberly A; Zhang, Sheng; Li, Chiang‐shan R)\n\nAccession Number: 2018-41080-001. Partial author list: First Author &amp;amp; Affiliation: Hu, Sien; Department of Psychology, State University of New York at Oswego, Oswego, NY, US. Release Date: 20180820. Correction Date: 20190117. Publication Type: Journal (0100), Peer Reviewed Journal (0110). Format Covered: Electronic. Document Type: Journal Article. Language: English. Major Descriptor: Aging; Response Inhibition. Minor Descriptor: Functional Magnetic Resonance Imaging. Classification: Neuropsychology &amp;amp; Neurology (2520). Population: Human (10); Male (30); Female (40). Age Group: Adulthood (18 yrs &amp;amp; older) (300); Young Adulthood (18-29 yrs) (320). Methodology: Empirical Study; Quantitative Study. Page Count: 12. Issue Publication Date: Dec, 2018. Publication History: Accepted Date: Jul 30, 2018; Revised Date: Jul 23, 2018; First Submitted Date: Jan 16, 2018. Copyright Statement: Wiley Periodicals, Inc. 2018.\n\nFrom Duplicate 2 (Structural and functional cerebral bases of diminished inhibitory control during healthy aging - Hu, Sien; Ide, Jaime S; Chao, Herta H; Castagna, Brittney; Fischer, Kimberly A; Zhang, Sheng; Li, Chiang‐shan R)\n\nFrom Duplicate 1 (Structural and functional cerebral bases of diminished inhibitory control during healthy aging - Hu, Sien; Ide, Jaime S; Chao, Herta H; Castagna, Brittney; Fischer, Kimberly A; Zhang, Sheng; Li, Chiang‐shan R)\n\nFrom Duplicate 1 (Structural and functional cerebral bases of diminished inhibitory control during healthy aging - Hu, Sien; Ide, Jaime S; Chao, Herta H; Castagna, Brittney; Fischer, Kimberly A; Zhang, Sheng; Li, Chiang‐shan R)\n\nAccession Number: 2018-41080-001. PMID: 30113124 Partial author list: First Author &amp;amp; Affiliation: Hu, Sien; Department of Psychology, State University of New York at Oswego, Oswego. Release Date: 20180820. Publication Type: Journal (0100), Peer Reviewed Journal (0110). Format Covered: Electronic. Language: English. Major Descriptor: No terms assigned. Classification: Neuropsychology &amp;amp; Neurology (2520). Publication History: Accepted Date: Jul 30, 2018; First Submitted Date: Jan 16, 2018. Copyright Statement: Wiley Periodicals, Inc. 2018.\n\nFrom Duplicate 2 (Structural and functional cerebral bases of diminished inhibitory control during healthy aging - Hu, Sien; Ide, Jaime S; Chao, Herta H; Castagna, Brittney; Fischer, Kimberly A; Zhang, Sheng; Li, Chiang‐shan R)\n\nAccession Number: 2018-41080-001. Partial author list: First Author &amp;amp; Affiliation: Hu, Sien; Department of Psychology, State University of New York at Oswego, Oswego, NY, US. Release Date: 20180820. Correction Date: 20190117. Publication Type: Journal (0100), Peer Reviewed Journal (0110). Format Covered: Electronic. Document Type: Journal Article. Language: English. Major Descriptor: Aging; Response Inhibition. Minor Descriptor: Functional Magnetic Resonance Imaging. Classification: Neuropsychology &amp;amp; Neurology (2520). Population: Human (10); Male (30); Female (40). Age Group: Adulthood (18 yrs &amp;amp; older) (300); Young Adulthood (18-29 yrs) (320). Methodology: Empirical Study; Quantitative Study. Page Count: 12. Issue Publication Date: Dec, 2018. Publication History: Accepted Date: Jul 30, 2018; Revised Date: Jul 23, 2018; First Submitted Date: Jan 16, 2018. Copyright Statement: Wiley Periodicals, Inc. 2018.\n\nFrom Duplicate 2 (Structural and functional cerebral bases of diminished inhibitory control during healthy aging - Hu, Sien; Ide, Jaime S; Chao, Herta H; Castagna, Brittney; Fischer, Kimberly A; Zhang, Sheng; Li, Chiang‐shan R)\n\nAccession Number: 2018-41080-001. Partial author list: First Author &amp;amp; Affiliation: Hu, Sien; Department of Psychology, State University of New York at Oswego, Oswego, NY, US. Release Date: 20180820. Correction Date: 20190117. Publication Type: Journal (0100), Peer Reviewed Journal (0110). Format Covered: Electronic. Document Type: Journal Article. Language: English. Major Descriptor: Aging; Response Inhibition. Minor Descriptor: Functional Magnetic Resonance Imaging. Classification: Neuropsychology &amp;amp; Neurology (2520). Population: Human (10); Male (30); Female (40). Age Group: Adulthood (18 yrs &amp;amp; older) (300); Young Adulthood (18-29 yrs) (320). Methodology: Empirical Study; Quantitative Study. Page Count: 12. Issue Publication Date: Dec, 2018. Publication History: Accepted Date: Jul 30, 2018; Revised Date: Jul 23, 2018; First Submitted Date: Jan 16, 2018. Copyright Statement: Wiley Periodicals, Inc. 2018.","page":"5085–5096","publisher":"John Wiley &amp; Sons","publisher-place":"Hu, Sien, Department of Psychology, 407 Mahar Hall, SUNY Oswego, Oswego, NY, US, 13126","title":"Structural and functional cerebral bases of diminished inhibitory control during healthy aging","type":"article-journal","volume":"39"},"uris":["http://www.mendeley.com/documents/?uuid=079b3efa-3497-4351-b160-2e09141c0e41"]},{"id":"ITEM-4","itemData":{"DOI":"10.1162/jocn.2008.21027","ISSN":"0898-929X","abstract":"This study set out to establish the relationship between changes in episodic memory retrieval in normal aging on the one hand and gray matter volume and ¹⁸FDG uptake on the other. Structural MRI, resting-state ¹⁸FDG-PET, and an episodic memory task manipulating the depth of encoding and the retention interval were administered to 46 healthy subjects divided into three groups according to their age (young, middle-aged, and elderly adults). Memory decline was found not to be linear in the course of normal aging: Whatever the retention interval, the retrieval of shallowly encoded words was impaired in both the middle-aged and the elderly, whereas the retrieval of deeply encoded words only declined in the elderly. In middle-aged and elderly subjects, the reduced performance in the shallow encoding condition was mainly related to posterior mediotemporal volume and metabolism. By contrast, the impaired retrieval of deeply encoded words in the elderly group was mainly related to frontal and parietal regions, suggesting the adoption of inefficient strategic processes. (PsycINFO Database Record (c) 2016 APA, all rights reserved)","author":[{"dropping-particle":"","family":"Kalpouzos","given":"Grégoria","non-dropping-particle":"","parse-names":false,"suffix":""},{"dropping-particle":"","family":"Chételat","given":"Gaël","non-dropping-particle":"","parse-names":false,"suffix":""},{"dropping-particle":"","family":"Landeau","given":"Brigitte","non-dropping-particle":"","parse-names":false,"suffix":""},{"dropping-particle":"","family":"Clochon","given":"Patrice","non-dropping-particle":"","parse-names":false,"suffix":""},{"dropping-particle":"","family":"Viader","given":"Fausto","non-dropping-particle":"","parse-names":false,"suffix":""},{"dropping-particle":"","family":"Eustache","given":"Francis","non-dropping-particle":"","parse-names":false,"suffix":""},{"dropping-particle":"","family":"Desgranges","given":"Béatrice","non-dropping-particle":"","parse-names":false,"suffix":""}],"container-title":"Journal of Cognitive Neuroscience","id":"ITEM-4","issue":"2","issued":{"date-parts":[["2009","2"]]},"note":"Accession Number: 2009-01181-013. PMID: 18510447 Partial author list: First Author &amp;amp; Affiliation: Kalpouzos, Grégoria; INSERM, EPHE, Universite de Caen/Basse-Normandie, U 923, Caen, France. Release Date: 20090727. Publication Type: Journal (0100), Peer Reviewed Journal (0110). Format Covered: Print. Document Type: Journal Article. Language: English. Major Descriptor: Aging; Episodic Memory; Human Information Storage; Neurochemistry; Gray Matter. Minor Descriptor: Frontal Lobe; Parietal Lobe. Classification: Neuropsychology &amp;amp; Neurology (2520). Population: Human (10); Male (30); Female (40). Age Group: Adulthood (18 yrs &amp;amp; older) (300); Young Adulthood (18-29 yrs) (320); Thirties (30-39 yrs) (340); Middle Age (40-64 yrs) (360); Aged (65 yrs &amp;amp; older) (380). Tests &amp;amp; Measures: Mattis Dementia Rating Scale. Methodology: Empirical Study; Quantitative Study. References Available: Y. Page Count: 18. Issue Publication Date: Feb, 2009.","page":"372-389","publisher":"MIT Press","publisher-place":"Desgranges, Béatrice, INSERM, EPHE, Universite de Caen/Basse-Normandie, U 923, Laboratoire de Neuropsychologie, CHU Cote de Nacre, 14033, Caen, France, Cedex","title":"Structural and metabolic correlates of episodic memory in relation to the depth of encoding in normal aging","type":"article-journal","volume":"21"},"uris":["http://www.mendeley.com/documents/?uuid=d7b31faa-4e0d-4612-ae3f-cbe744bd381e"]}],"mendeley":{"formattedCitation":"[1–4]","plainTextFormattedCitation":"[1–4]","previouslyFormattedCitation":"[1–4]"},"properties":{"noteIndex":0},"schema":"https://github.com/citation-style-language/schema/raw/master/csl-citation.json"}</w:instrText>
      </w:r>
      <w:r w:rsidRPr="00983792">
        <w:rPr>
          <w:rFonts w:ascii="Times New Roman" w:hAnsi="Times New Roman" w:cs="Times New Roman"/>
        </w:rPr>
        <w:fldChar w:fldCharType="separate"/>
      </w:r>
      <w:r w:rsidRPr="00B12442">
        <w:rPr>
          <w:rFonts w:ascii="Times New Roman" w:hAnsi="Times New Roman" w:cs="Times New Roman"/>
          <w:noProof/>
        </w:rPr>
        <w:t>[1–4]</w:t>
      </w:r>
      <w:r w:rsidRPr="00983792">
        <w:rPr>
          <w:rFonts w:ascii="Times New Roman" w:hAnsi="Times New Roman" w:cs="Times New Roman"/>
        </w:rPr>
        <w:fldChar w:fldCharType="end"/>
      </w:r>
      <w:r w:rsidRPr="00B12442">
        <w:rPr>
          <w:rFonts w:ascii="Times New Roman" w:hAnsi="Times New Roman" w:cs="Times New Roman"/>
        </w:rPr>
        <w:t xml:space="preserve">. </w:t>
      </w:r>
      <w:r w:rsidRPr="00983792">
        <w:rPr>
          <w:rFonts w:ascii="Times New Roman" w:hAnsi="Times New Roman" w:cs="Times New Roman"/>
        </w:rPr>
        <w:t>These also tended to be studies with a larger number of foci.</w:t>
      </w:r>
    </w:p>
    <w:p w14:paraId="565C3C8B" w14:textId="77777777" w:rsidR="00F44680" w:rsidRPr="008C1CBE" w:rsidRDefault="00F44680" w:rsidP="00F44680">
      <w:pPr>
        <w:spacing w:line="480" w:lineRule="auto"/>
        <w:rPr>
          <w:rFonts w:ascii="Times New Roman" w:hAnsi="Times New Roman" w:cs="Times New Roman"/>
        </w:rPr>
      </w:pPr>
      <w:r>
        <w:rPr>
          <w:rFonts w:ascii="Times New Roman" w:hAnsi="Times New Roman" w:cs="Times New Roman"/>
        </w:rPr>
        <w:tab/>
        <w:t>The two clusters for the AD meta-analysis remained present 85% of all jackknife analyses (Table D2), with two studies each resulting in either cluster 1 or cluster 2 not surviving the FEW</w:t>
      </w:r>
      <w:r>
        <w:rPr>
          <w:rFonts w:ascii="Times New Roman" w:hAnsi="Times New Roman" w:cs="Times New Roman"/>
          <w:i/>
          <w:iCs/>
        </w:rPr>
        <w:t xml:space="preserve"> p</w:t>
      </w:r>
      <w:r>
        <w:rPr>
          <w:rFonts w:ascii="Times New Roman" w:hAnsi="Times New Roman" w:cs="Times New Roman"/>
        </w:rPr>
        <w:t>&lt;.05 threshold (but it was never the case that both clusters disappeared).</w:t>
      </w:r>
    </w:p>
    <w:p w14:paraId="2B8B867A" w14:textId="77777777" w:rsidR="00F44680" w:rsidRPr="00530F3D" w:rsidRDefault="00F44680" w:rsidP="00F44680">
      <w:pPr>
        <w:spacing w:line="480" w:lineRule="auto"/>
        <w:rPr>
          <w:rFonts w:ascii="Times New Roman" w:hAnsi="Times New Roman" w:cs="Times New Roman"/>
        </w:rPr>
      </w:pPr>
      <w:r>
        <w:rPr>
          <w:rFonts w:ascii="Times New Roman" w:hAnsi="Times New Roman" w:cs="Times New Roman"/>
        </w:rPr>
        <w:t xml:space="preserve">In five instances, the two clusters merged into one larger cluster. Changes in the coordinate of the peak location of the cluster did occur but this change never affected the label of this location. In five cases, the cluster size was reduced (removal of studies by </w:t>
      </w:r>
      <w:r>
        <w:rPr>
          <w:rFonts w:ascii="Times New Roman" w:hAnsi="Times New Roman" w:cs="Times New Roman"/>
        </w:rPr>
        <w:fldChar w:fldCharType="begin" w:fldLock="1"/>
      </w:r>
      <w:r>
        <w:rPr>
          <w:rFonts w:ascii="Times New Roman" w:hAnsi="Times New Roman" w:cs="Times New Roman"/>
        </w:rPr>
        <w:instrText>ADDIN CSL_CITATION {"citationItems":[{"id":"ITEM-1","itemData":{"DOI":"10.3233/978-1-60750-793-2-487","ISBN":"9781607507925","ISSN":"22105727","abstract":"The macrostructural atrophy of Alzheimers disease (AD) has been fully described. Current literature reports that also microstructural alterations occur in AD since the early stages. However, whether the microstructural changes offer unique information independent from macrostructural atrophy is unclear. Aim of this study is to define the independent contribution of macrostructural atrophy and microstructural alterations on AD pathology. The study involved 17 moderate to severe AD patients and 13 healthy controls. All participants underwent conventional and non conventional MRI (respectively, T1-weighted and diffusion-weighted MR scanning). We processed the images in order to obtain gray and white matter volumes to assess macrostructural atrophy, and fractional anisotropy and mean diffusivity to assess the microstructural damage. Analyses of covariance between patients and controls were performed to investigate microstructural tissue damage independent of macrostructural tissue loss, and viceversa, voxel by voxel. We observed microstructural differences, independent of macrostructural atrophy, between patients and controls in temporal and retrosplenial regions, as well as in thalamus, corticopontine tracts, striatum and precentral gyrus. Volumetric differences, independent of microstructural alterations, were observed mainly in the entorhinal cortex, posterior cingulum, and splenium. Measures of microstructural damage provide unique information not obtainable with volumetric mapping in regions known to be pivotal in AD as well as in others thought to be spared. This work expands the understanding of the topography of pathological  changes in AD that can be captured with imaging techniques. © 2011 IOS Press and the authors. All rights reserved.","author":[{"dropping-particle":"","family":"Canu","given":"Elisa","non-dropping-particle":"","parse-names":false,"suffix":""},{"dropping-particle":"","family":"McLaren","given":"Donald G.","non-dropping-particle":"","parse-names":false,"suffix":""},{"dropping-particle":"","family":"Fitzgerald","given":"Michele E.","non-dropping-particle":"","parse-names":false,"suffix":""},{"dropping-particle":"","family":"Bendlin","given":"Barbara B.","non-dropping-particle":"","parse-names":false,"suffix":""},{"dropping-particle":"","family":"Zoccatelli","given":"Giada","non-dropping-particle":"","parse-names":false,"suffix":""},{"dropping-particle":"","family":"Alessandrini","given":"Franco","non-dropping-particle":"","parse-names":false,"suffix":""},{"dropping-particle":"","family":"Pizzini","given":"Francesca B.","non-dropping-particle":"","parse-names":false,"suffix":""},{"dropping-particle":"","family":"Ricciardi","given":"Giuseppe K.","non-dropping-particle":"","parse-names":false,"suffix":""},{"dropping-particle":"","family":"Beltramello","given":"Alberto","non-dropping-particle":"","parse-names":false,"suffix":""},{"dropping-particle":"","family":"Johnson","given":"Sterling C.","non-dropping-particle":"","parse-names":false,"suffix":""}],"container-title":"Advances in Alzheimer's Disease","id":"ITEM-1","issued":{"date-parts":[["2011"]]},"page":"487-498","title":"Mapping the structural brain changes in Alzheimer's disease: The independent contribution of two imaging modalities","type":"article-journal","volume":"2"},"uris":["http://www.mendeley.com/documents/?uuid=a5aca84b-159a-43fa-8ce9-19b69eec5e3b"]},{"id":"ITEM-2","itemData":{"DOI":"10.1093/brain/aww003","author":[{"dropping-particle":"","family":"Guo","given":"Christine C","non-dropping-particle":"","parse-names":false,"suffix":""},{"dropping-particle":"","family":"Tan","given":"Rachel","non-dropping-particle":"","parse-names":false,"suffix":""},{"dropping-particle":"","family":"Hodges","given":"John R","non-dropping-particle":"","parse-names":false,"suffix":""},{"dropping-particle":"","family":"Hu","given":"Xintao","non-dropping-particle":"","parse-names":false,"suffix":""},{"dropping-particle":"","family":"Sami","given":"Saber","non-dropping-particle":"","parse-names":false,"suffix":""},{"dropping-particle":"","family":"Hornberger","given":"Michael","non-dropping-particle":"","parse-names":false,"suffix":""}],"container-title":"Brain","id":"ITEM-2","issued":{"date-parts":[["2016"]]},"page":"1527-1538","title":"Network-selective vulnerability of the human cerebellum to Alzheimer’s disease and frontotemporal dementia","type":"article-journal","volume":"139"},"uris":["http://www.mendeley.com/documents/?uuid=f57a3404-880b-427f-a557-1ea8c31beb78"]},{"id":"ITEM-3","itemData":{"DOI":"10.1016/j.neurobiolaging.2010.09.021","ISSN":"01974580","abstract":"We investigated patterns of white matter (WM) loss in 18 early onset (EO) and 24 late onset (LO) Alzheimer's disease (AD) patients compared with 42 healthy controls (HC), and explored relationships of WM atrophy and apolipoprotein E (ApoE) genotype. Subjects underwent magnetic resonance imaging (MRI). Patterns of WM were assessed using voxel-based morphometry. Compared with healthy controls, LOAD patients had a selective parahippocampal WM loss, while EOAD patients experienced a more widespread pattern of posterior WM atrophy. The distinct regional distribution of WM atrophy reflected the topography of gray matter (GM) loss. ApoE ε4 status was associated with a greater parahippocampal WM loss in both AD groups. The greater WM atrophy in EOAD than LOAD fits with the evidence that EOAD is a more aggressive form of the disease. The ApoE ε4 effect on WM damage in AD is restricted to specific WM regions and does not seem to be related to age of onset. © 2012 Elsevier Inc.","author":[{"dropping-particle":"","family":"Canu","given":"Elisa","non-dropping-particle":"","parse-names":false,"suffix":""},{"dropping-particle":"","family":"Frisoni","given":"Giovanni B.","non-dropping-particle":"","parse-names":false,"suffix":""},{"dropping-particle":"","family":"Agosta","given":"Federica","non-dropping-particle":"","parse-names":false,"suffix":""},{"dropping-particle":"","family":"Pievani","given":"Michela","non-dropping-particle":"","parse-names":false,"suffix":""},{"dropping-particle":"","family":"Bonetti","given":"Matteo","non-dropping-particle":"","parse-names":false,"suffix":""},{"dropping-particle":"","family":"Filippi","given":"Massimo","non-dropping-particle":"","parse-names":false,"suffix":""}],"container-title":"Neurobiology of Aging","id":"ITEM-3","issue":"6","issued":{"date-parts":[["2012"]]},"page":"1023-1033","publisher":"Elsevier Inc.","title":"Early and late onset Alzheimer's disease patients have distinct patterns of white matter damage","type":"article-journal","volume":"33"},"uris":["http://www.mendeley.com/documents/?uuid=f05fae54-a843-4982-87f3-32a60d015b1f"]},{"id":"ITEM-4","itemData":{"DOI":"http://dx.doi.org/10.1016/j.neurobiolaging.2013.02.013","ISBN":"0197-4580","ISSN":"01974580","abstract":"We assessed patterns of gray matter atrophy according to-age-at-onset in a large sample of 215 Alzheimer's disease (AD) patients and 129 control subjects with voxel-based morphometry using 3-Tesla 3D T1-weighted magnetic resonance imaging. Local gray matter amounts were compared between late- and early-onset AD patients and older and younger control subjects, taking into account the effect of apolipoprotein E. Additionally, combined effects of age and diagnosis on volumes of hippocampus and precuneus were assessed. Compared with age-matched control subjects, late-onset AD patients exhibited atrophy of the hippocampus, right temporal lobe, and cerebellum, whereas early-onset AD patients showed gray matter atrophy in hippocampus, temporal lobes, precuneus, cingulate gyrus, and inferior frontal cortex. Direct comparisons between late- and early-onset AD patients revealed more pronounced atrophy of precuneus in early-onset AD patients and more severe atrophy in medial temporal lobe in late-onset AD patients. Age and diagnosis independently affected the hippocampus; moreover, the interaction between age and diagnosis showed that precuneus atrophy was most prominent in early-onset AD patients. Our results suggest that patterns of atrophy might vary in the spectrum of AD. © 2013 Elsevier Inc.","author":[{"dropping-particle":"","family":"Möller","given":"Christiane","non-dropping-particle":"","parse-names":false,"suffix":""},{"dropping-particle":"","family":"Vrenken","given":"Hugo","non-dropping-particle":"","parse-names":false,"suffix":""},{"dropping-particle":"","family":"Jiskoot","given":"Lize","non-dropping-particle":"","parse-names":false,"suffix":""},{"dropping-particle":"","family":"Versteeg","given":"Adriaan","non-dropping-particle":"","parse-names":false,"suffix":""},{"dropping-particle":"","family":"Barkhof","given":"Frederik","non-dropping-particle":"","parse-names":false,"suffix":""},{"dropping-particle":"","family":"Scheltens","given":"Philip","non-dropping-particle":"","parse-names":false,"suffix":""},{"dropping-particle":"","family":"Flier","given":"Wiesje M.","non-dropping-particle":"van der","parse-names":false,"suffix":""}],"container-title":"Neurobiology of aging","id":"ITEM-4","issue":"8","issued":{"date-parts":[["2013"]]},"page":"2014-2022","publisher":"Elsevier Ltd","title":"Different patterns of gray matter atrophy in early- and late-onset Alzheimer's disease","type":"article-journal","volume":"34"},"uris":["http://www.mendeley.com/documents/?uuid=7fb2affe-89a8-42db-9fcd-11d5bad6f42c"]},{"id":"ITEM-5","itemData":{"DOI":"10.3389/fncel.2018.00430","ISSN":"16625102","abstract":"The role of the cerebellum in cognitive function has been broadly investigated in the last decades from an anatomical, clinical and functional point of view and new evidence points towards a significant contribution of the posterior lobes of the cerebellum in cognition in Alzheimer’s disease (AD). In the present work we used SUIT-VBM (Voxel-Based-Morphometry) to perform an analysis of the pattern of cerebellar Grey Matter (GM) atrophy in amnestic mild cognitive impairment (a-MCI) and AD dementia patients compared to healthy subjects (HS), in order to follow the changes of non-motor features of cerebellar degeneration throughout disease progression. This template has been validated to guarantee a significant improvement in voxel-to-voxel alignment of the individual fissures and the deep cerebellar nuclei compared to MNI (Montreal Neurological Institute) whole-brain template. Our analysis shows a progression of cerebellar GM volume changes throughout a continuous spectrum from early to late clinical stages of AD. In particular vermis and paravermian areas of the anterior (I-V) and posterior (VI) lobes are involved since the a-MCI stage, with a later involvement of the hemispheric part of the posterior lobes (VI lobule) and Crus I in AD dementia patients only. These findings supports the importance of the role of the cerebellum in higher-level functions, and whilst confirming previous data on the involvement of Crus I in AD dementia, provides new evidence of an involvement of the vermis in the early stages of the disease.","author":[{"dropping-particle":"","family":"Toniolo","given":"Sofia","non-dropping-particle":"","parse-names":false,"suffix":""},{"dropping-particle":"","family":"Serra","given":"Laura","non-dropping-particle":"","parse-names":false,"suffix":""},{"dropping-particle":"","family":"Olivito","given":"Giusy","non-dropping-particle":"","parse-names":false,"suffix":""},{"dropping-particle":"","family":"Marra","given":"Camillo","non-dropping-particle":"","parse-names":false,"suffix":""},{"dropping-particle":"","family":"Bozzali","given":"Marco","non-dropping-particle":"","parse-names":false,"suffix":""},{"dropping-particle":"","family":"Cercignani","given":"Mara","non-dropping-particle":"","parse-names":false,"suffix":""}],"container-title":"Frontiers in Cellular Neuroscience","id":"ITEM-5","issue":"November","issued":{"date-parts":[["2018"]]},"page":"1-8","title":"Patterns of cerebellar gray matter atrophy across Alzheimer’s disease progression","type":"article-journal","volume":"12"},"uris":["http://www.mendeley.com/documents/?uuid=f207c8e2-06de-4fee-a3d4-d7455823144c"]}],"mendeley":{"formattedCitation":"[5–9]","plainTextFormattedCitation":"[5–9]","previouslyFormattedCitation":"[5–9]"},"properties":{"noteIndex":0},"schema":"https://github.com/citation-style-language/schema/raw/master/csl-citation.json"}</w:instrText>
      </w:r>
      <w:r>
        <w:rPr>
          <w:rFonts w:ascii="Times New Roman" w:hAnsi="Times New Roman" w:cs="Times New Roman"/>
        </w:rPr>
        <w:fldChar w:fldCharType="separate"/>
      </w:r>
      <w:r w:rsidRPr="00B12442">
        <w:rPr>
          <w:rFonts w:ascii="Times New Roman" w:hAnsi="Times New Roman" w:cs="Times New Roman"/>
          <w:noProof/>
        </w:rPr>
        <w:t>[5–9]</w:t>
      </w:r>
      <w:r>
        <w:rPr>
          <w:rFonts w:ascii="Times New Roman" w:hAnsi="Times New Roman" w:cs="Times New Roman"/>
        </w:rPr>
        <w:fldChar w:fldCharType="end"/>
      </w:r>
      <w:r>
        <w:rPr>
          <w:rFonts w:ascii="Times New Roman" w:hAnsi="Times New Roman" w:cs="Times New Roman"/>
        </w:rPr>
        <w:t xml:space="preserve">). </w:t>
      </w:r>
    </w:p>
    <w:p w14:paraId="22B2B1F7" w14:textId="77777777" w:rsidR="00F44680" w:rsidRDefault="00F44680" w:rsidP="00F44680">
      <w:pPr>
        <w:spacing w:line="480" w:lineRule="auto"/>
        <w:ind w:firstLine="720"/>
        <w:rPr>
          <w:rFonts w:ascii="Times New Roman" w:hAnsi="Times New Roman" w:cs="Times New Roman"/>
          <w:sz w:val="20"/>
          <w:szCs w:val="20"/>
        </w:rPr>
      </w:pPr>
      <w:r w:rsidRPr="00983792">
        <w:rPr>
          <w:rFonts w:ascii="Times New Roman" w:hAnsi="Times New Roman" w:cs="Times New Roman"/>
        </w:rPr>
        <w:t xml:space="preserve">Figures </w:t>
      </w:r>
      <w:r>
        <w:rPr>
          <w:rFonts w:ascii="Times New Roman" w:hAnsi="Times New Roman" w:cs="Times New Roman"/>
        </w:rPr>
        <w:t>D</w:t>
      </w:r>
      <w:r w:rsidRPr="00983792">
        <w:rPr>
          <w:rFonts w:ascii="Times New Roman" w:hAnsi="Times New Roman" w:cs="Times New Roman"/>
        </w:rPr>
        <w:t xml:space="preserve">1-3 </w:t>
      </w:r>
      <w:r>
        <w:rPr>
          <w:rFonts w:ascii="Times New Roman" w:hAnsi="Times New Roman" w:cs="Times New Roman"/>
        </w:rPr>
        <w:t>show</w:t>
      </w:r>
      <w:r w:rsidRPr="00983792">
        <w:rPr>
          <w:rFonts w:ascii="Times New Roman" w:hAnsi="Times New Roman" w:cs="Times New Roman"/>
        </w:rPr>
        <w:t xml:space="preserve"> cerebellar </w:t>
      </w:r>
      <w:proofErr w:type="spellStart"/>
      <w:r w:rsidRPr="00983792">
        <w:rPr>
          <w:rFonts w:ascii="Times New Roman" w:hAnsi="Times New Roman" w:cs="Times New Roman"/>
        </w:rPr>
        <w:t>flatmaps</w:t>
      </w:r>
      <w:proofErr w:type="spellEnd"/>
      <w:r w:rsidRPr="00983792">
        <w:rPr>
          <w:rFonts w:ascii="Times New Roman" w:hAnsi="Times New Roman" w:cs="Times New Roman"/>
        </w:rPr>
        <w:t xml:space="preserve"> and gradient maps for all one-study-removed analyses to visualise the changes in structural age </w:t>
      </w:r>
      <w:r>
        <w:rPr>
          <w:rFonts w:ascii="Times New Roman" w:hAnsi="Times New Roman" w:cs="Times New Roman"/>
        </w:rPr>
        <w:t xml:space="preserve">and AD </w:t>
      </w:r>
      <w:r w:rsidRPr="00983792">
        <w:rPr>
          <w:rFonts w:ascii="Times New Roman" w:hAnsi="Times New Roman" w:cs="Times New Roman"/>
        </w:rPr>
        <w:t>effects and their localisation onto functional gradients caused by the r</w:t>
      </w:r>
      <w:r>
        <w:rPr>
          <w:rFonts w:ascii="Times New Roman" w:hAnsi="Times New Roman" w:cs="Times New Roman"/>
        </w:rPr>
        <w:t>emoval of each individual study</w:t>
      </w:r>
      <w:r w:rsidRPr="00983792">
        <w:rPr>
          <w:rFonts w:ascii="Times New Roman" w:hAnsi="Times New Roman" w:cs="Times New Roman"/>
        </w:rPr>
        <w:t xml:space="preserve">. We further assessed the effect of the </w:t>
      </w:r>
      <w:proofErr w:type="spellStart"/>
      <w:r w:rsidRPr="00983792">
        <w:rPr>
          <w:rFonts w:ascii="Times New Roman" w:hAnsi="Times New Roman" w:cs="Times New Roman"/>
        </w:rPr>
        <w:t>jackknifing</w:t>
      </w:r>
      <w:proofErr w:type="spellEnd"/>
      <w:r w:rsidRPr="00983792">
        <w:rPr>
          <w:rFonts w:ascii="Times New Roman" w:hAnsi="Times New Roman" w:cs="Times New Roman"/>
        </w:rPr>
        <w:t xml:space="preserve"> procedure on mean gradient values and tested whether the difference in gradient values we observed between our full ageing analysis with all studies included and </w:t>
      </w:r>
      <w:r w:rsidRPr="00983792">
        <w:rPr>
          <w:rFonts w:ascii="Times New Roman" w:hAnsi="Times New Roman" w:cs="Times New Roman"/>
        </w:rPr>
        <w:lastRenderedPageBreak/>
        <w:t xml:space="preserve">our previous AD meta-analysis was robust to </w:t>
      </w:r>
      <w:proofErr w:type="spellStart"/>
      <w:r w:rsidRPr="00983792">
        <w:rPr>
          <w:rFonts w:ascii="Times New Roman" w:hAnsi="Times New Roman" w:cs="Times New Roman"/>
        </w:rPr>
        <w:t>jackknifing</w:t>
      </w:r>
      <w:proofErr w:type="spellEnd"/>
      <w:r w:rsidRPr="00983792">
        <w:rPr>
          <w:rFonts w:ascii="Times New Roman" w:hAnsi="Times New Roman" w:cs="Times New Roman"/>
        </w:rPr>
        <w:t xml:space="preserve"> (Figure </w:t>
      </w:r>
      <w:r>
        <w:rPr>
          <w:rFonts w:ascii="Times New Roman" w:hAnsi="Times New Roman" w:cs="Times New Roman"/>
        </w:rPr>
        <w:t>D</w:t>
      </w:r>
      <w:r w:rsidRPr="00983792">
        <w:rPr>
          <w:rFonts w:ascii="Times New Roman" w:hAnsi="Times New Roman" w:cs="Times New Roman"/>
        </w:rPr>
        <w:t xml:space="preserve">4 for a distribution of mean gradient </w:t>
      </w:r>
      <w:r w:rsidRPr="000603FD">
        <w:rPr>
          <w:rFonts w:ascii="Times New Roman" w:hAnsi="Times New Roman" w:cs="Times New Roman"/>
        </w:rPr>
        <w:t>values). Running the permutations to test for a difference in gradient values for each of the 13 AD and 18 ageing jackknife analyses revealed that on average, there was no difference in Gradient 1 values between healthy ageing and AD cases (</w:t>
      </w:r>
      <w:r w:rsidRPr="000603FD">
        <w:rPr>
          <w:rFonts w:ascii="Times New Roman" w:hAnsi="Times New Roman" w:cs="Times New Roman"/>
          <w:i/>
        </w:rPr>
        <w:t>Mean z-</w:t>
      </w:r>
      <w:r w:rsidRPr="000603FD">
        <w:rPr>
          <w:rFonts w:ascii="Times New Roman" w:hAnsi="Times New Roman" w:cs="Times New Roman"/>
          <w:iCs/>
        </w:rPr>
        <w:t>score based on</w:t>
      </w:r>
      <w:r w:rsidRPr="000603FD">
        <w:rPr>
          <w:rFonts w:ascii="Times New Roman" w:hAnsi="Times New Roman" w:cs="Times New Roman"/>
          <w:i/>
        </w:rPr>
        <w:t xml:space="preserve"> </w:t>
      </w:r>
      <w:r w:rsidRPr="000603FD">
        <w:rPr>
          <w:rFonts w:ascii="Times New Roman" w:hAnsi="Times New Roman" w:cs="Times New Roman"/>
          <w:iCs/>
        </w:rPr>
        <w:t xml:space="preserve">Wilcoxon rank sum=.145, </w:t>
      </w:r>
      <w:r w:rsidRPr="000603FD">
        <w:rPr>
          <w:rFonts w:ascii="Times New Roman" w:hAnsi="Times New Roman" w:cs="Times New Roman"/>
        </w:rPr>
        <w:t xml:space="preserve">95% </w:t>
      </w:r>
      <w:r w:rsidRPr="000603FD">
        <w:rPr>
          <w:rFonts w:ascii="Times New Roman" w:hAnsi="Times New Roman" w:cs="Times New Roman"/>
          <w:i/>
        </w:rPr>
        <w:t>CI</w:t>
      </w:r>
      <w:r w:rsidRPr="000603FD">
        <w:rPr>
          <w:rFonts w:ascii="Times New Roman" w:hAnsi="Times New Roman" w:cs="Times New Roman"/>
        </w:rPr>
        <w:t xml:space="preserve"> [-.682, .973];</w:t>
      </w:r>
      <w:r w:rsidRPr="000603FD">
        <w:rPr>
          <w:rFonts w:ascii="Times New Roman" w:hAnsi="Times New Roman" w:cs="Times New Roman"/>
          <w:i/>
        </w:rPr>
        <w:t xml:space="preserve"> Cohen’s U</w:t>
      </w:r>
      <w:r w:rsidRPr="000603FD">
        <w:rPr>
          <w:rFonts w:ascii="Times New Roman" w:hAnsi="Times New Roman" w:cs="Times New Roman"/>
          <w:i/>
          <w:vertAlign w:val="subscript"/>
        </w:rPr>
        <w:t>1</w:t>
      </w:r>
      <w:r w:rsidRPr="000603FD">
        <w:rPr>
          <w:rFonts w:ascii="Times New Roman" w:hAnsi="Times New Roman" w:cs="Times New Roman"/>
        </w:rPr>
        <w:t xml:space="preserve">=.215, 95% </w:t>
      </w:r>
      <w:r w:rsidRPr="000603FD">
        <w:rPr>
          <w:rFonts w:ascii="Times New Roman" w:hAnsi="Times New Roman" w:cs="Times New Roman"/>
          <w:i/>
        </w:rPr>
        <w:t>CI</w:t>
      </w:r>
      <w:r w:rsidRPr="000603FD">
        <w:rPr>
          <w:rFonts w:ascii="Times New Roman" w:hAnsi="Times New Roman" w:cs="Times New Roman"/>
        </w:rPr>
        <w:t xml:space="preserve"> [.182, .248]). Likewise, there was no difference in Gradient 2 values (</w:t>
      </w:r>
      <w:r w:rsidRPr="000603FD">
        <w:rPr>
          <w:rFonts w:ascii="Times New Roman" w:hAnsi="Times New Roman" w:cs="Times New Roman"/>
          <w:i/>
        </w:rPr>
        <w:t>Mean z</w:t>
      </w:r>
      <w:r w:rsidRPr="000603FD">
        <w:rPr>
          <w:rFonts w:ascii="Times New Roman" w:hAnsi="Times New Roman" w:cs="Times New Roman"/>
          <w:iCs/>
        </w:rPr>
        <w:t xml:space="preserve">=.928, </w:t>
      </w:r>
      <w:r w:rsidRPr="000603FD">
        <w:rPr>
          <w:rFonts w:ascii="Times New Roman" w:hAnsi="Times New Roman" w:cs="Times New Roman"/>
        </w:rPr>
        <w:t xml:space="preserve">95% </w:t>
      </w:r>
      <w:r w:rsidRPr="000603FD">
        <w:rPr>
          <w:rFonts w:ascii="Times New Roman" w:hAnsi="Times New Roman" w:cs="Times New Roman"/>
          <w:i/>
        </w:rPr>
        <w:t>CI</w:t>
      </w:r>
      <w:r w:rsidRPr="000603FD">
        <w:rPr>
          <w:rFonts w:ascii="Times New Roman" w:hAnsi="Times New Roman" w:cs="Times New Roman"/>
        </w:rPr>
        <w:t xml:space="preserve"> [.148, 1.707];</w:t>
      </w:r>
      <w:r w:rsidRPr="000603FD">
        <w:rPr>
          <w:rFonts w:ascii="Times New Roman" w:hAnsi="Times New Roman" w:cs="Times New Roman"/>
          <w:i/>
        </w:rPr>
        <w:t xml:space="preserve"> Cohen’s U</w:t>
      </w:r>
      <w:r w:rsidRPr="000603FD">
        <w:rPr>
          <w:rFonts w:ascii="Times New Roman" w:hAnsi="Times New Roman" w:cs="Times New Roman"/>
          <w:i/>
          <w:vertAlign w:val="subscript"/>
        </w:rPr>
        <w:t>1</w:t>
      </w:r>
      <w:r w:rsidRPr="000603FD">
        <w:rPr>
          <w:rFonts w:ascii="Times New Roman" w:hAnsi="Times New Roman" w:cs="Times New Roman"/>
        </w:rPr>
        <w:t xml:space="preserve">=.104, 95% </w:t>
      </w:r>
      <w:r w:rsidRPr="000603FD">
        <w:rPr>
          <w:rFonts w:ascii="Times New Roman" w:hAnsi="Times New Roman" w:cs="Times New Roman"/>
          <w:i/>
        </w:rPr>
        <w:t>CI</w:t>
      </w:r>
      <w:r w:rsidRPr="000603FD">
        <w:rPr>
          <w:rFonts w:ascii="Times New Roman" w:hAnsi="Times New Roman" w:cs="Times New Roman"/>
        </w:rPr>
        <w:t xml:space="preserve"> [.071, .137]).</w:t>
      </w:r>
      <w:r>
        <w:rPr>
          <w:rFonts w:ascii="Times New Roman" w:hAnsi="Times New Roman" w:cs="Times New Roman"/>
        </w:rPr>
        <w:t xml:space="preserve"> </w:t>
      </w:r>
      <w:r w:rsidRPr="000603FD">
        <w:rPr>
          <w:rFonts w:ascii="Times New Roman" w:hAnsi="Times New Roman" w:cs="Times New Roman"/>
        </w:rPr>
        <w:t>The distributions of Gradient 3 values in AD and healthy ageing were significantly non-overlapping across one-study removed analyses (</w:t>
      </w:r>
      <w:r w:rsidRPr="000603FD">
        <w:rPr>
          <w:rFonts w:ascii="Times New Roman" w:hAnsi="Times New Roman" w:cs="Times New Roman"/>
          <w:i/>
        </w:rPr>
        <w:t>Mean z</w:t>
      </w:r>
      <w:r w:rsidRPr="000603FD">
        <w:rPr>
          <w:rFonts w:ascii="Times New Roman" w:hAnsi="Times New Roman" w:cs="Times New Roman"/>
          <w:iCs/>
        </w:rPr>
        <w:t xml:space="preserve">=-9.681, </w:t>
      </w:r>
      <w:r w:rsidRPr="000603FD">
        <w:rPr>
          <w:rFonts w:ascii="Times New Roman" w:hAnsi="Times New Roman" w:cs="Times New Roman"/>
        </w:rPr>
        <w:t xml:space="preserve">95% </w:t>
      </w:r>
      <w:r w:rsidRPr="000603FD">
        <w:rPr>
          <w:rFonts w:ascii="Times New Roman" w:hAnsi="Times New Roman" w:cs="Times New Roman"/>
          <w:i/>
        </w:rPr>
        <w:t>CI</w:t>
      </w:r>
      <w:r w:rsidRPr="000603FD">
        <w:rPr>
          <w:rFonts w:ascii="Times New Roman" w:hAnsi="Times New Roman" w:cs="Times New Roman"/>
        </w:rPr>
        <w:t xml:space="preserve"> [-10.381,</w:t>
      </w:r>
      <w:r>
        <w:rPr>
          <w:rFonts w:ascii="Times New Roman" w:hAnsi="Times New Roman" w:cs="Times New Roman"/>
        </w:rPr>
        <w:t xml:space="preserve"> -</w:t>
      </w:r>
      <w:r w:rsidRPr="000603FD">
        <w:rPr>
          <w:rFonts w:ascii="Times New Roman" w:hAnsi="Times New Roman" w:cs="Times New Roman"/>
        </w:rPr>
        <w:t>8.981];</w:t>
      </w:r>
      <w:r w:rsidRPr="000603FD">
        <w:rPr>
          <w:rFonts w:ascii="Times New Roman" w:hAnsi="Times New Roman" w:cs="Times New Roman"/>
          <w:i/>
        </w:rPr>
        <w:t xml:space="preserve"> Cohen’s U</w:t>
      </w:r>
      <w:r w:rsidRPr="000603FD">
        <w:rPr>
          <w:rFonts w:ascii="Times New Roman" w:hAnsi="Times New Roman" w:cs="Times New Roman"/>
          <w:i/>
          <w:vertAlign w:val="subscript"/>
        </w:rPr>
        <w:t>1</w:t>
      </w:r>
      <w:r w:rsidRPr="000603FD">
        <w:rPr>
          <w:rFonts w:ascii="Times New Roman" w:hAnsi="Times New Roman" w:cs="Times New Roman"/>
        </w:rPr>
        <w:t xml:space="preserve">=.337, </w:t>
      </w:r>
      <w:r w:rsidRPr="00485F68">
        <w:rPr>
          <w:rFonts w:ascii="Times New Roman" w:hAnsi="Times New Roman" w:cs="Times New Roman"/>
        </w:rPr>
        <w:t xml:space="preserve">95% </w:t>
      </w:r>
      <w:r w:rsidRPr="00485F68">
        <w:rPr>
          <w:rFonts w:ascii="Times New Roman" w:hAnsi="Times New Roman" w:cs="Times New Roman"/>
          <w:i/>
        </w:rPr>
        <w:t>CI</w:t>
      </w:r>
      <w:r w:rsidRPr="00485F68">
        <w:rPr>
          <w:rFonts w:ascii="Times New Roman" w:hAnsi="Times New Roman" w:cs="Times New Roman"/>
        </w:rPr>
        <w:t xml:space="preserve"> [.308, .367]). </w:t>
      </w:r>
    </w:p>
    <w:p w14:paraId="680D4501" w14:textId="77777777" w:rsidR="00F4687C" w:rsidRPr="00A34BED" w:rsidRDefault="00F4687C" w:rsidP="00F4687C">
      <w:pPr>
        <w:spacing w:line="480" w:lineRule="auto"/>
        <w:ind w:firstLine="720"/>
        <w:rPr>
          <w:rFonts w:ascii="Times New Roman" w:hAnsi="Times New Roman" w:cs="Times New Roman"/>
          <w:sz w:val="20"/>
          <w:szCs w:val="20"/>
        </w:rPr>
        <w:sectPr w:rsidR="00F4687C" w:rsidRPr="00A34BED" w:rsidSect="00E429D6">
          <w:pgSz w:w="11900" w:h="16820"/>
          <w:pgMar w:top="1440" w:right="1440" w:bottom="1440" w:left="1440" w:header="720" w:footer="720" w:gutter="0"/>
          <w:cols w:space="720"/>
          <w:docGrid w:linePitch="360"/>
        </w:sectPr>
      </w:pPr>
    </w:p>
    <w:p w14:paraId="5996821E" w14:textId="77777777" w:rsidR="00F4687C" w:rsidRPr="00196A84" w:rsidRDefault="00F4687C" w:rsidP="00F4687C">
      <w:pPr>
        <w:rPr>
          <w:rFonts w:ascii="Times New Roman" w:hAnsi="Times New Roman" w:cs="Times New Roman"/>
          <w:b/>
          <w:sz w:val="20"/>
          <w:szCs w:val="20"/>
        </w:rPr>
      </w:pPr>
      <w:r w:rsidRPr="00196A84">
        <w:rPr>
          <w:rFonts w:ascii="Times New Roman" w:hAnsi="Times New Roman" w:cs="Times New Roman"/>
          <w:b/>
          <w:sz w:val="20"/>
          <w:szCs w:val="20"/>
        </w:rPr>
        <w:lastRenderedPageBreak/>
        <w:t xml:space="preserve">Table </w:t>
      </w:r>
      <w:r>
        <w:rPr>
          <w:rFonts w:ascii="Times New Roman" w:hAnsi="Times New Roman" w:cs="Times New Roman"/>
          <w:b/>
          <w:sz w:val="20"/>
          <w:szCs w:val="20"/>
        </w:rPr>
        <w:t>D1</w:t>
      </w:r>
      <w:r w:rsidRPr="00196A84">
        <w:rPr>
          <w:rFonts w:ascii="Times New Roman" w:hAnsi="Times New Roman" w:cs="Times New Roman"/>
          <w:b/>
          <w:sz w:val="20"/>
          <w:szCs w:val="20"/>
        </w:rPr>
        <w:t xml:space="preserve">. Results of the </w:t>
      </w:r>
      <w:proofErr w:type="spellStart"/>
      <w:r w:rsidRPr="00196A84">
        <w:rPr>
          <w:rFonts w:ascii="Times New Roman" w:hAnsi="Times New Roman" w:cs="Times New Roman"/>
          <w:b/>
          <w:sz w:val="20"/>
          <w:szCs w:val="20"/>
        </w:rPr>
        <w:t>jackknifing</w:t>
      </w:r>
      <w:proofErr w:type="spellEnd"/>
      <w:r w:rsidRPr="00196A84">
        <w:rPr>
          <w:rFonts w:ascii="Times New Roman" w:hAnsi="Times New Roman" w:cs="Times New Roman"/>
          <w:b/>
          <w:sz w:val="20"/>
          <w:szCs w:val="20"/>
        </w:rPr>
        <w:t xml:space="preserve"> procedure. One study at a time was excluded to test robustness of the clusters from the main analysis.</w:t>
      </w:r>
    </w:p>
    <w:tbl>
      <w:tblPr>
        <w:tblStyle w:val="TableGrid"/>
        <w:tblW w:w="14885" w:type="dxa"/>
        <w:tblInd w:w="-426" w:type="dxa"/>
        <w:tblLayout w:type="fixed"/>
        <w:tblLook w:val="04A0" w:firstRow="1" w:lastRow="0" w:firstColumn="1" w:lastColumn="0" w:noHBand="0" w:noVBand="1"/>
      </w:tblPr>
      <w:tblGrid>
        <w:gridCol w:w="1419"/>
        <w:gridCol w:w="987"/>
        <w:gridCol w:w="1080"/>
        <w:gridCol w:w="1476"/>
        <w:gridCol w:w="2268"/>
        <w:gridCol w:w="1134"/>
        <w:gridCol w:w="1701"/>
        <w:gridCol w:w="1418"/>
        <w:gridCol w:w="850"/>
        <w:gridCol w:w="2552"/>
      </w:tblGrid>
      <w:tr w:rsidR="00AD51EF" w:rsidRPr="009E279F" w14:paraId="71E8BBE0" w14:textId="77777777" w:rsidTr="00AD51EF">
        <w:trPr>
          <w:trHeight w:val="1547"/>
          <w:tblHeader/>
        </w:trPr>
        <w:tc>
          <w:tcPr>
            <w:tcW w:w="1419" w:type="dxa"/>
            <w:tcBorders>
              <w:top w:val="single" w:sz="4" w:space="0" w:color="auto"/>
              <w:left w:val="nil"/>
              <w:bottom w:val="single" w:sz="4" w:space="0" w:color="auto"/>
              <w:right w:val="nil"/>
            </w:tcBorders>
          </w:tcPr>
          <w:p w14:paraId="09676914" w14:textId="77777777" w:rsidR="00F4687C" w:rsidRPr="009E279F" w:rsidRDefault="00F4687C" w:rsidP="00BD0CFF">
            <w:pPr>
              <w:rPr>
                <w:rFonts w:ascii="Times New Roman" w:hAnsi="Times New Roman" w:cs="Times New Roman"/>
                <w:b/>
                <w:sz w:val="20"/>
                <w:szCs w:val="20"/>
              </w:rPr>
            </w:pPr>
            <w:r w:rsidRPr="009E279F">
              <w:rPr>
                <w:rFonts w:ascii="Times New Roman" w:hAnsi="Times New Roman" w:cs="Times New Roman"/>
                <w:b/>
                <w:sz w:val="20"/>
                <w:szCs w:val="20"/>
              </w:rPr>
              <w:t>Study Removed</w:t>
            </w:r>
          </w:p>
        </w:tc>
        <w:tc>
          <w:tcPr>
            <w:tcW w:w="987" w:type="dxa"/>
            <w:tcBorders>
              <w:top w:val="single" w:sz="4" w:space="0" w:color="auto"/>
              <w:left w:val="nil"/>
              <w:bottom w:val="single" w:sz="4" w:space="0" w:color="auto"/>
              <w:right w:val="nil"/>
            </w:tcBorders>
          </w:tcPr>
          <w:p w14:paraId="5F36CB01" w14:textId="77777777" w:rsidR="00F4687C" w:rsidRPr="009E279F" w:rsidRDefault="00F4687C" w:rsidP="00BD0CFF">
            <w:pPr>
              <w:rPr>
                <w:rFonts w:ascii="Times New Roman" w:hAnsi="Times New Roman" w:cs="Times New Roman"/>
                <w:b/>
                <w:sz w:val="20"/>
                <w:szCs w:val="20"/>
              </w:rPr>
            </w:pPr>
            <w:r w:rsidRPr="009E279F">
              <w:rPr>
                <w:rFonts w:ascii="Times New Roman" w:hAnsi="Times New Roman" w:cs="Times New Roman"/>
                <w:b/>
                <w:sz w:val="20"/>
                <w:szCs w:val="20"/>
              </w:rPr>
              <w:t>Number of foci</w:t>
            </w:r>
          </w:p>
        </w:tc>
        <w:tc>
          <w:tcPr>
            <w:tcW w:w="1080" w:type="dxa"/>
            <w:tcBorders>
              <w:top w:val="single" w:sz="4" w:space="0" w:color="auto"/>
              <w:left w:val="nil"/>
              <w:bottom w:val="single" w:sz="4" w:space="0" w:color="auto"/>
              <w:right w:val="nil"/>
            </w:tcBorders>
          </w:tcPr>
          <w:p w14:paraId="5416BBAE" w14:textId="77777777" w:rsidR="00F4687C" w:rsidRPr="009E279F" w:rsidRDefault="00F4687C" w:rsidP="00BD0CFF">
            <w:pPr>
              <w:rPr>
                <w:rFonts w:ascii="Times New Roman" w:hAnsi="Times New Roman" w:cs="Times New Roman"/>
                <w:b/>
                <w:sz w:val="20"/>
                <w:szCs w:val="20"/>
              </w:rPr>
            </w:pPr>
            <w:r w:rsidRPr="009E279F">
              <w:rPr>
                <w:rFonts w:ascii="Times New Roman" w:hAnsi="Times New Roman" w:cs="Times New Roman"/>
                <w:b/>
                <w:sz w:val="20"/>
                <w:szCs w:val="20"/>
              </w:rPr>
              <w:t>Number of subjects</w:t>
            </w:r>
          </w:p>
        </w:tc>
        <w:tc>
          <w:tcPr>
            <w:tcW w:w="1476" w:type="dxa"/>
            <w:tcBorders>
              <w:top w:val="single" w:sz="4" w:space="0" w:color="auto"/>
              <w:left w:val="nil"/>
              <w:bottom w:val="single" w:sz="4" w:space="0" w:color="auto"/>
              <w:right w:val="nil"/>
            </w:tcBorders>
          </w:tcPr>
          <w:p w14:paraId="072AE5A5" w14:textId="77777777" w:rsidR="00F4687C" w:rsidRPr="009E279F" w:rsidRDefault="00F4687C" w:rsidP="00BD0CFF">
            <w:pPr>
              <w:rPr>
                <w:rFonts w:ascii="Times New Roman" w:hAnsi="Times New Roman" w:cs="Times New Roman"/>
                <w:b/>
                <w:sz w:val="20"/>
                <w:szCs w:val="20"/>
              </w:rPr>
            </w:pPr>
            <w:r w:rsidRPr="009E279F">
              <w:rPr>
                <w:rFonts w:ascii="Times New Roman" w:hAnsi="Times New Roman" w:cs="Times New Roman"/>
                <w:b/>
                <w:sz w:val="20"/>
                <w:szCs w:val="20"/>
              </w:rPr>
              <w:t>Min cluster size (mm</w:t>
            </w:r>
            <w:r w:rsidRPr="009E279F">
              <w:rPr>
                <w:rFonts w:ascii="Times New Roman" w:hAnsi="Times New Roman" w:cs="Times New Roman"/>
                <w:b/>
                <w:sz w:val="20"/>
                <w:szCs w:val="20"/>
                <w:vertAlign w:val="superscript"/>
              </w:rPr>
              <w:t>3</w:t>
            </w:r>
            <w:r w:rsidRPr="009E279F">
              <w:rPr>
                <w:rFonts w:ascii="Times New Roman" w:hAnsi="Times New Roman" w:cs="Times New Roman"/>
                <w:b/>
                <w:sz w:val="20"/>
                <w:szCs w:val="20"/>
              </w:rPr>
              <w:t>)</w:t>
            </w:r>
            <w:r>
              <w:rPr>
                <w:rFonts w:ascii="Times New Roman" w:hAnsi="Times New Roman" w:cs="Times New Roman"/>
                <w:b/>
                <w:sz w:val="20"/>
                <w:szCs w:val="20"/>
              </w:rPr>
              <w:t xml:space="preserve"> by ALE algorithm</w:t>
            </w:r>
          </w:p>
        </w:tc>
        <w:tc>
          <w:tcPr>
            <w:tcW w:w="2268" w:type="dxa"/>
            <w:tcBorders>
              <w:top w:val="single" w:sz="4" w:space="0" w:color="auto"/>
              <w:left w:val="nil"/>
              <w:bottom w:val="single" w:sz="4" w:space="0" w:color="auto"/>
              <w:right w:val="nil"/>
            </w:tcBorders>
          </w:tcPr>
          <w:p w14:paraId="13B89FD8" w14:textId="77777777" w:rsidR="00F4687C" w:rsidRPr="009E279F" w:rsidRDefault="00F4687C" w:rsidP="00BD0CFF">
            <w:pPr>
              <w:rPr>
                <w:rFonts w:ascii="Times New Roman" w:hAnsi="Times New Roman" w:cs="Times New Roman"/>
                <w:b/>
                <w:sz w:val="20"/>
                <w:szCs w:val="20"/>
                <w:vertAlign w:val="superscript"/>
              </w:rPr>
            </w:pPr>
            <w:r w:rsidRPr="009E279F">
              <w:rPr>
                <w:rFonts w:ascii="Times New Roman" w:hAnsi="Times New Roman" w:cs="Times New Roman"/>
                <w:b/>
                <w:sz w:val="20"/>
                <w:szCs w:val="20"/>
              </w:rPr>
              <w:t>Cluster number (by size; ordered according to correspondence to main analysis cluster)</w:t>
            </w:r>
            <w:r w:rsidRPr="009E279F">
              <w:rPr>
                <w:rFonts w:ascii="Times New Roman" w:hAnsi="Times New Roman" w:cs="Times New Roman"/>
                <w:b/>
                <w:sz w:val="20"/>
                <w:szCs w:val="20"/>
                <w:vertAlign w:val="superscript"/>
              </w:rPr>
              <w:t>a</w:t>
            </w:r>
          </w:p>
        </w:tc>
        <w:tc>
          <w:tcPr>
            <w:tcW w:w="1134" w:type="dxa"/>
            <w:tcBorders>
              <w:top w:val="single" w:sz="4" w:space="0" w:color="auto"/>
              <w:left w:val="nil"/>
              <w:bottom w:val="single" w:sz="4" w:space="0" w:color="auto"/>
              <w:right w:val="nil"/>
            </w:tcBorders>
          </w:tcPr>
          <w:p w14:paraId="2CD8DE16" w14:textId="77777777" w:rsidR="00F4687C" w:rsidRPr="009E279F" w:rsidRDefault="00F4687C" w:rsidP="00BD0CFF">
            <w:pPr>
              <w:rPr>
                <w:rFonts w:ascii="Times New Roman" w:hAnsi="Times New Roman" w:cs="Times New Roman"/>
                <w:b/>
                <w:sz w:val="20"/>
                <w:szCs w:val="20"/>
              </w:rPr>
            </w:pPr>
            <w:r w:rsidRPr="009E279F">
              <w:rPr>
                <w:rFonts w:ascii="Times New Roman" w:hAnsi="Times New Roman" w:cs="Times New Roman"/>
                <w:b/>
                <w:sz w:val="20"/>
                <w:szCs w:val="20"/>
              </w:rPr>
              <w:t>Change in cluster size?</w:t>
            </w:r>
          </w:p>
        </w:tc>
        <w:tc>
          <w:tcPr>
            <w:tcW w:w="1701" w:type="dxa"/>
            <w:tcBorders>
              <w:top w:val="single" w:sz="4" w:space="0" w:color="auto"/>
              <w:left w:val="nil"/>
              <w:bottom w:val="single" w:sz="4" w:space="0" w:color="auto"/>
              <w:right w:val="nil"/>
            </w:tcBorders>
          </w:tcPr>
          <w:p w14:paraId="16CCC9D0" w14:textId="77777777" w:rsidR="00F4687C" w:rsidRPr="009E279F" w:rsidRDefault="00F4687C" w:rsidP="00BD0CFF">
            <w:pPr>
              <w:rPr>
                <w:rFonts w:ascii="Times New Roman" w:hAnsi="Times New Roman" w:cs="Times New Roman"/>
                <w:b/>
                <w:sz w:val="20"/>
                <w:szCs w:val="20"/>
              </w:rPr>
            </w:pPr>
            <w:r w:rsidRPr="009E279F">
              <w:rPr>
                <w:rFonts w:ascii="Times New Roman" w:hAnsi="Times New Roman" w:cs="Times New Roman"/>
                <w:b/>
                <w:sz w:val="20"/>
                <w:szCs w:val="20"/>
              </w:rPr>
              <w:t>Change in peak</w:t>
            </w:r>
          </w:p>
          <w:p w14:paraId="4966DF8B" w14:textId="77777777" w:rsidR="00F4687C" w:rsidRPr="009E279F" w:rsidRDefault="00F4687C" w:rsidP="00BD0CFF">
            <w:pPr>
              <w:rPr>
                <w:rFonts w:ascii="Times New Roman" w:hAnsi="Times New Roman" w:cs="Times New Roman"/>
                <w:b/>
                <w:sz w:val="20"/>
                <w:szCs w:val="20"/>
              </w:rPr>
            </w:pPr>
            <w:r w:rsidRPr="009E279F">
              <w:rPr>
                <w:rFonts w:ascii="Times New Roman" w:hAnsi="Times New Roman" w:cs="Times New Roman"/>
                <w:b/>
                <w:sz w:val="20"/>
                <w:szCs w:val="20"/>
              </w:rPr>
              <w:t>coordinate by &gt;2 in any direction?</w:t>
            </w:r>
          </w:p>
        </w:tc>
        <w:tc>
          <w:tcPr>
            <w:tcW w:w="1418" w:type="dxa"/>
            <w:tcBorders>
              <w:top w:val="single" w:sz="4" w:space="0" w:color="auto"/>
              <w:left w:val="nil"/>
              <w:bottom w:val="single" w:sz="4" w:space="0" w:color="auto"/>
              <w:right w:val="nil"/>
            </w:tcBorders>
          </w:tcPr>
          <w:p w14:paraId="0A9AAD11" w14:textId="77777777" w:rsidR="00F4687C" w:rsidRPr="009E279F" w:rsidRDefault="00F4687C" w:rsidP="00BD0CFF">
            <w:pPr>
              <w:rPr>
                <w:rFonts w:ascii="Times New Roman" w:hAnsi="Times New Roman" w:cs="Times New Roman"/>
                <w:b/>
                <w:sz w:val="20"/>
                <w:szCs w:val="20"/>
              </w:rPr>
            </w:pPr>
            <w:r w:rsidRPr="009E279F">
              <w:rPr>
                <w:rFonts w:ascii="Times New Roman" w:hAnsi="Times New Roman" w:cs="Times New Roman"/>
                <w:b/>
                <w:sz w:val="20"/>
                <w:szCs w:val="20"/>
              </w:rPr>
              <w:t>Change in label of peak coordinate</w:t>
            </w:r>
            <w:r>
              <w:rPr>
                <w:rFonts w:ascii="Times New Roman" w:hAnsi="Times New Roman" w:cs="Times New Roman"/>
                <w:b/>
                <w:sz w:val="20"/>
                <w:szCs w:val="20"/>
              </w:rPr>
              <w:t>s</w:t>
            </w:r>
            <w:r w:rsidRPr="009E279F">
              <w:rPr>
                <w:rFonts w:ascii="Times New Roman" w:hAnsi="Times New Roman" w:cs="Times New Roman"/>
                <w:b/>
                <w:sz w:val="20"/>
                <w:szCs w:val="20"/>
              </w:rPr>
              <w:t>?</w:t>
            </w:r>
          </w:p>
        </w:tc>
        <w:tc>
          <w:tcPr>
            <w:tcW w:w="850" w:type="dxa"/>
            <w:tcBorders>
              <w:top w:val="single" w:sz="4" w:space="0" w:color="auto"/>
              <w:left w:val="nil"/>
              <w:bottom w:val="single" w:sz="4" w:space="0" w:color="auto"/>
              <w:right w:val="nil"/>
            </w:tcBorders>
          </w:tcPr>
          <w:p w14:paraId="6AEE2949" w14:textId="77777777" w:rsidR="00F4687C" w:rsidRPr="009E279F" w:rsidRDefault="00F4687C" w:rsidP="00BD0CFF">
            <w:pPr>
              <w:rPr>
                <w:rFonts w:ascii="Times New Roman" w:hAnsi="Times New Roman" w:cs="Times New Roman"/>
                <w:b/>
                <w:sz w:val="20"/>
                <w:szCs w:val="20"/>
              </w:rPr>
            </w:pPr>
            <w:r w:rsidRPr="009E279F">
              <w:rPr>
                <w:rFonts w:ascii="Times New Roman" w:hAnsi="Times New Roman" w:cs="Times New Roman"/>
                <w:b/>
                <w:sz w:val="20"/>
                <w:szCs w:val="20"/>
              </w:rPr>
              <w:t>Extent</w:t>
            </w:r>
          </w:p>
          <w:p w14:paraId="4DB2B3A1" w14:textId="77777777" w:rsidR="00F4687C" w:rsidRPr="009E279F" w:rsidRDefault="00F4687C" w:rsidP="00BD0CFF">
            <w:pPr>
              <w:rPr>
                <w:rFonts w:ascii="Times New Roman" w:hAnsi="Times New Roman" w:cs="Times New Roman"/>
                <w:b/>
                <w:sz w:val="20"/>
                <w:szCs w:val="20"/>
              </w:rPr>
            </w:pPr>
            <w:r w:rsidRPr="009E279F">
              <w:rPr>
                <w:rFonts w:ascii="Times New Roman" w:hAnsi="Times New Roman" w:cs="Times New Roman"/>
                <w:b/>
                <w:sz w:val="20"/>
                <w:szCs w:val="20"/>
              </w:rPr>
              <w:t>(mm</w:t>
            </w:r>
            <w:r w:rsidRPr="009E279F">
              <w:rPr>
                <w:rFonts w:ascii="Times New Roman" w:hAnsi="Times New Roman" w:cs="Times New Roman"/>
                <w:b/>
                <w:sz w:val="20"/>
                <w:szCs w:val="20"/>
                <w:vertAlign w:val="superscript"/>
              </w:rPr>
              <w:t>3</w:t>
            </w:r>
            <w:r w:rsidRPr="009E279F">
              <w:rPr>
                <w:rFonts w:ascii="Times New Roman" w:hAnsi="Times New Roman" w:cs="Times New Roman"/>
                <w:b/>
                <w:sz w:val="20"/>
                <w:szCs w:val="20"/>
              </w:rPr>
              <w:t>)</w:t>
            </w:r>
          </w:p>
        </w:tc>
        <w:tc>
          <w:tcPr>
            <w:tcW w:w="2552" w:type="dxa"/>
            <w:tcBorders>
              <w:top w:val="single" w:sz="4" w:space="0" w:color="auto"/>
              <w:left w:val="nil"/>
              <w:bottom w:val="single" w:sz="4" w:space="0" w:color="auto"/>
              <w:right w:val="nil"/>
            </w:tcBorders>
          </w:tcPr>
          <w:p w14:paraId="5BA206B9" w14:textId="77777777" w:rsidR="00F4687C" w:rsidRPr="009E279F" w:rsidRDefault="00F4687C" w:rsidP="00BD0CFF">
            <w:pPr>
              <w:rPr>
                <w:rFonts w:ascii="Times New Roman" w:hAnsi="Times New Roman" w:cs="Times New Roman"/>
                <w:b/>
                <w:sz w:val="20"/>
                <w:szCs w:val="20"/>
              </w:rPr>
            </w:pPr>
            <w:r w:rsidRPr="009E279F">
              <w:rPr>
                <w:rFonts w:ascii="Times New Roman" w:hAnsi="Times New Roman" w:cs="Times New Roman"/>
                <w:b/>
                <w:sz w:val="20"/>
                <w:szCs w:val="20"/>
              </w:rPr>
              <w:t>Cluster coordinates</w:t>
            </w:r>
          </w:p>
        </w:tc>
      </w:tr>
      <w:tr w:rsidR="00F4687C" w:rsidRPr="009E279F" w14:paraId="271370EB" w14:textId="77777777" w:rsidTr="00AD51EF">
        <w:trPr>
          <w:trHeight w:val="161"/>
        </w:trPr>
        <w:tc>
          <w:tcPr>
            <w:tcW w:w="14885" w:type="dxa"/>
            <w:gridSpan w:val="10"/>
            <w:tcBorders>
              <w:top w:val="single" w:sz="4" w:space="0" w:color="auto"/>
              <w:left w:val="nil"/>
              <w:right w:val="nil"/>
            </w:tcBorders>
          </w:tcPr>
          <w:p w14:paraId="087C63F5" w14:textId="77777777" w:rsidR="00F4687C" w:rsidRPr="009E279F" w:rsidRDefault="00F4687C" w:rsidP="00BD0CFF">
            <w:pPr>
              <w:rPr>
                <w:rFonts w:ascii="Times New Roman" w:hAnsi="Times New Roman" w:cs="Times New Roman"/>
                <w:sz w:val="20"/>
                <w:szCs w:val="20"/>
                <w:lang w:val="de-DE"/>
              </w:rPr>
            </w:pPr>
            <w:r>
              <w:rPr>
                <w:rFonts w:ascii="Times New Roman" w:hAnsi="Times New Roman" w:cs="Times New Roman"/>
                <w:i/>
                <w:iCs/>
                <w:sz w:val="20"/>
                <w:szCs w:val="20"/>
              </w:rPr>
              <w:t>Healthy ageing</w:t>
            </w:r>
          </w:p>
        </w:tc>
      </w:tr>
      <w:tr w:rsidR="00AD51EF" w:rsidRPr="009E279F" w14:paraId="0E3490BB" w14:textId="77777777" w:rsidTr="00AD51EF">
        <w:trPr>
          <w:trHeight w:val="161"/>
        </w:trPr>
        <w:tc>
          <w:tcPr>
            <w:tcW w:w="1419" w:type="dxa"/>
            <w:vMerge w:val="restart"/>
            <w:tcBorders>
              <w:top w:val="single" w:sz="4" w:space="0" w:color="auto"/>
              <w:left w:val="nil"/>
              <w:right w:val="nil"/>
            </w:tcBorders>
          </w:tcPr>
          <w:p w14:paraId="2FDFA2B7"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None</w:t>
            </w:r>
          </w:p>
        </w:tc>
        <w:tc>
          <w:tcPr>
            <w:tcW w:w="987" w:type="dxa"/>
            <w:vMerge w:val="restart"/>
            <w:tcBorders>
              <w:top w:val="single" w:sz="4" w:space="0" w:color="auto"/>
              <w:left w:val="nil"/>
              <w:bottom w:val="nil"/>
              <w:right w:val="nil"/>
            </w:tcBorders>
          </w:tcPr>
          <w:p w14:paraId="31721AED"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64</w:t>
            </w:r>
          </w:p>
        </w:tc>
        <w:tc>
          <w:tcPr>
            <w:tcW w:w="1080" w:type="dxa"/>
            <w:vMerge w:val="restart"/>
            <w:tcBorders>
              <w:top w:val="single" w:sz="4" w:space="0" w:color="auto"/>
              <w:left w:val="nil"/>
              <w:bottom w:val="nil"/>
              <w:right w:val="nil"/>
            </w:tcBorders>
          </w:tcPr>
          <w:p w14:paraId="017FC4C7"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2441</w:t>
            </w:r>
          </w:p>
        </w:tc>
        <w:tc>
          <w:tcPr>
            <w:tcW w:w="1476" w:type="dxa"/>
            <w:vMerge w:val="restart"/>
            <w:tcBorders>
              <w:top w:val="single" w:sz="4" w:space="0" w:color="auto"/>
              <w:left w:val="nil"/>
              <w:bottom w:val="nil"/>
              <w:right w:val="nil"/>
            </w:tcBorders>
          </w:tcPr>
          <w:p w14:paraId="1DACAF22"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520</w:t>
            </w:r>
          </w:p>
        </w:tc>
        <w:tc>
          <w:tcPr>
            <w:tcW w:w="2268" w:type="dxa"/>
            <w:tcBorders>
              <w:top w:val="single" w:sz="4" w:space="0" w:color="auto"/>
              <w:left w:val="nil"/>
              <w:bottom w:val="nil"/>
              <w:right w:val="nil"/>
            </w:tcBorders>
          </w:tcPr>
          <w:p w14:paraId="04C75E9C"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1</w:t>
            </w:r>
          </w:p>
        </w:tc>
        <w:tc>
          <w:tcPr>
            <w:tcW w:w="1134" w:type="dxa"/>
            <w:tcBorders>
              <w:top w:val="single" w:sz="4" w:space="0" w:color="auto"/>
              <w:left w:val="nil"/>
              <w:bottom w:val="nil"/>
              <w:right w:val="nil"/>
            </w:tcBorders>
          </w:tcPr>
          <w:p w14:paraId="6F852893"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NA</w:t>
            </w:r>
          </w:p>
        </w:tc>
        <w:tc>
          <w:tcPr>
            <w:tcW w:w="1701" w:type="dxa"/>
            <w:tcBorders>
              <w:top w:val="single" w:sz="4" w:space="0" w:color="auto"/>
              <w:left w:val="nil"/>
              <w:bottom w:val="nil"/>
              <w:right w:val="nil"/>
            </w:tcBorders>
          </w:tcPr>
          <w:p w14:paraId="627283CD"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NA</w:t>
            </w:r>
          </w:p>
        </w:tc>
        <w:tc>
          <w:tcPr>
            <w:tcW w:w="1418" w:type="dxa"/>
            <w:tcBorders>
              <w:top w:val="single" w:sz="4" w:space="0" w:color="auto"/>
              <w:left w:val="nil"/>
              <w:bottom w:val="nil"/>
              <w:right w:val="nil"/>
            </w:tcBorders>
          </w:tcPr>
          <w:p w14:paraId="5E374363"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NA</w:t>
            </w:r>
          </w:p>
        </w:tc>
        <w:tc>
          <w:tcPr>
            <w:tcW w:w="850" w:type="dxa"/>
            <w:tcBorders>
              <w:top w:val="single" w:sz="4" w:space="0" w:color="auto"/>
              <w:left w:val="nil"/>
              <w:bottom w:val="nil"/>
              <w:right w:val="nil"/>
            </w:tcBorders>
          </w:tcPr>
          <w:p w14:paraId="092106BC"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lang w:val="de-DE"/>
              </w:rPr>
              <w:t>1504</w:t>
            </w:r>
          </w:p>
        </w:tc>
        <w:tc>
          <w:tcPr>
            <w:tcW w:w="2552" w:type="dxa"/>
            <w:tcBorders>
              <w:top w:val="single" w:sz="4" w:space="0" w:color="auto"/>
              <w:left w:val="nil"/>
              <w:bottom w:val="nil"/>
              <w:right w:val="nil"/>
            </w:tcBorders>
          </w:tcPr>
          <w:p w14:paraId="530BFEA3" w14:textId="77777777" w:rsidR="00F4687C" w:rsidRPr="009E279F" w:rsidRDefault="00F4687C" w:rsidP="00BD0CFF">
            <w:pPr>
              <w:rPr>
                <w:rFonts w:ascii="Times New Roman" w:hAnsi="Times New Roman" w:cs="Times New Roman"/>
                <w:sz w:val="20"/>
                <w:szCs w:val="20"/>
                <w:lang w:val="de-DE"/>
              </w:rPr>
            </w:pPr>
            <w:r w:rsidRPr="009E279F">
              <w:rPr>
                <w:rFonts w:ascii="Times New Roman" w:hAnsi="Times New Roman" w:cs="Times New Roman"/>
                <w:sz w:val="20"/>
                <w:szCs w:val="20"/>
                <w:lang w:val="de-DE"/>
              </w:rPr>
              <w:t xml:space="preserve">(24 -90 -42) </w:t>
            </w:r>
            <w:proofErr w:type="spellStart"/>
            <w:r w:rsidRPr="009E279F">
              <w:rPr>
                <w:rFonts w:ascii="Times New Roman" w:hAnsi="Times New Roman" w:cs="Times New Roman"/>
                <w:sz w:val="20"/>
                <w:szCs w:val="20"/>
                <w:lang w:val="de-DE"/>
              </w:rPr>
              <w:t>to</w:t>
            </w:r>
            <w:proofErr w:type="spellEnd"/>
            <w:r w:rsidRPr="009E279F">
              <w:rPr>
                <w:rFonts w:ascii="Times New Roman" w:hAnsi="Times New Roman" w:cs="Times New Roman"/>
                <w:sz w:val="20"/>
                <w:szCs w:val="20"/>
                <w:lang w:val="de-DE"/>
              </w:rPr>
              <w:t xml:space="preserve"> (40 -72 -30)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9E279F">
              <w:rPr>
                <w:rFonts w:ascii="Times New Roman" w:hAnsi="Times New Roman" w:cs="Times New Roman"/>
                <w:sz w:val="20"/>
                <w:szCs w:val="20"/>
                <w:lang w:val="de-DE"/>
              </w:rPr>
              <w:t>33 -81 -37</w:t>
            </w:r>
            <w:r w:rsidRPr="009E279F">
              <w:rPr>
                <w:rFonts w:ascii="Times New Roman" w:hAnsi="Times New Roman" w:cs="Times New Roman"/>
                <w:sz w:val="20"/>
                <w:szCs w:val="20"/>
              </w:rPr>
              <w:t>)</w:t>
            </w:r>
          </w:p>
        </w:tc>
      </w:tr>
      <w:tr w:rsidR="00AD51EF" w:rsidRPr="009E279F" w14:paraId="18DF30EC" w14:textId="77777777" w:rsidTr="00AD51EF">
        <w:trPr>
          <w:trHeight w:val="409"/>
        </w:trPr>
        <w:tc>
          <w:tcPr>
            <w:tcW w:w="1419" w:type="dxa"/>
            <w:vMerge/>
            <w:tcBorders>
              <w:left w:val="nil"/>
              <w:right w:val="nil"/>
            </w:tcBorders>
          </w:tcPr>
          <w:p w14:paraId="11A0FD6D" w14:textId="77777777" w:rsidR="00F4687C" w:rsidRPr="009E279F" w:rsidRDefault="00F4687C" w:rsidP="00BD0CFF">
            <w:pPr>
              <w:rPr>
                <w:rFonts w:ascii="Times New Roman" w:hAnsi="Times New Roman" w:cs="Times New Roman"/>
                <w:sz w:val="20"/>
                <w:szCs w:val="20"/>
              </w:rPr>
            </w:pPr>
          </w:p>
        </w:tc>
        <w:tc>
          <w:tcPr>
            <w:tcW w:w="987" w:type="dxa"/>
            <w:vMerge/>
            <w:tcBorders>
              <w:top w:val="nil"/>
              <w:left w:val="nil"/>
              <w:bottom w:val="nil"/>
              <w:right w:val="nil"/>
            </w:tcBorders>
          </w:tcPr>
          <w:p w14:paraId="6826E782" w14:textId="77777777" w:rsidR="00F4687C" w:rsidRPr="009E279F" w:rsidRDefault="00F4687C" w:rsidP="00BD0CFF">
            <w:pPr>
              <w:rPr>
                <w:rFonts w:ascii="Times New Roman" w:hAnsi="Times New Roman" w:cs="Times New Roman"/>
                <w:sz w:val="20"/>
                <w:szCs w:val="20"/>
              </w:rPr>
            </w:pPr>
          </w:p>
        </w:tc>
        <w:tc>
          <w:tcPr>
            <w:tcW w:w="1080" w:type="dxa"/>
            <w:vMerge/>
            <w:tcBorders>
              <w:top w:val="nil"/>
              <w:left w:val="nil"/>
              <w:bottom w:val="nil"/>
              <w:right w:val="nil"/>
            </w:tcBorders>
          </w:tcPr>
          <w:p w14:paraId="378C46CF" w14:textId="77777777" w:rsidR="00F4687C" w:rsidRPr="009E279F" w:rsidRDefault="00F4687C" w:rsidP="00BD0CFF">
            <w:pPr>
              <w:rPr>
                <w:rFonts w:ascii="Times New Roman" w:hAnsi="Times New Roman" w:cs="Times New Roman"/>
                <w:sz w:val="20"/>
                <w:szCs w:val="20"/>
              </w:rPr>
            </w:pPr>
          </w:p>
        </w:tc>
        <w:tc>
          <w:tcPr>
            <w:tcW w:w="1476" w:type="dxa"/>
            <w:vMerge/>
            <w:tcBorders>
              <w:top w:val="nil"/>
              <w:left w:val="nil"/>
              <w:bottom w:val="nil"/>
              <w:right w:val="nil"/>
            </w:tcBorders>
          </w:tcPr>
          <w:p w14:paraId="1B855236"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64AFA161"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2</w:t>
            </w:r>
          </w:p>
        </w:tc>
        <w:tc>
          <w:tcPr>
            <w:tcW w:w="1134" w:type="dxa"/>
            <w:tcBorders>
              <w:top w:val="nil"/>
              <w:left w:val="nil"/>
              <w:bottom w:val="nil"/>
              <w:right w:val="nil"/>
            </w:tcBorders>
          </w:tcPr>
          <w:p w14:paraId="40CEF62E" w14:textId="77777777" w:rsidR="00F4687C" w:rsidRPr="009E279F" w:rsidRDefault="00F4687C" w:rsidP="00BD0CFF">
            <w:pPr>
              <w:rPr>
                <w:rFonts w:ascii="Times New Roman" w:hAnsi="Times New Roman" w:cs="Times New Roman"/>
                <w:sz w:val="20"/>
                <w:szCs w:val="20"/>
              </w:rPr>
            </w:pPr>
          </w:p>
        </w:tc>
        <w:tc>
          <w:tcPr>
            <w:tcW w:w="1701" w:type="dxa"/>
            <w:tcBorders>
              <w:top w:val="nil"/>
              <w:left w:val="nil"/>
              <w:bottom w:val="nil"/>
              <w:right w:val="nil"/>
            </w:tcBorders>
          </w:tcPr>
          <w:p w14:paraId="5EC72AC9" w14:textId="77777777" w:rsidR="00F4687C" w:rsidRPr="009E279F" w:rsidRDefault="00F4687C" w:rsidP="00BD0CFF">
            <w:pPr>
              <w:rPr>
                <w:rFonts w:ascii="Times New Roman" w:hAnsi="Times New Roman" w:cs="Times New Roman"/>
                <w:sz w:val="20"/>
                <w:szCs w:val="20"/>
              </w:rPr>
            </w:pPr>
          </w:p>
        </w:tc>
        <w:tc>
          <w:tcPr>
            <w:tcW w:w="1418" w:type="dxa"/>
            <w:tcBorders>
              <w:top w:val="nil"/>
              <w:left w:val="nil"/>
              <w:bottom w:val="nil"/>
              <w:right w:val="nil"/>
            </w:tcBorders>
          </w:tcPr>
          <w:p w14:paraId="19C14653" w14:textId="77777777" w:rsidR="00F4687C" w:rsidRPr="009E279F" w:rsidRDefault="00F4687C" w:rsidP="00BD0CFF">
            <w:pPr>
              <w:rPr>
                <w:rFonts w:ascii="Times New Roman" w:hAnsi="Times New Roman" w:cs="Times New Roman"/>
                <w:sz w:val="20"/>
                <w:szCs w:val="20"/>
              </w:rPr>
            </w:pPr>
          </w:p>
        </w:tc>
        <w:tc>
          <w:tcPr>
            <w:tcW w:w="850" w:type="dxa"/>
            <w:tcBorders>
              <w:top w:val="nil"/>
              <w:left w:val="nil"/>
              <w:bottom w:val="nil"/>
              <w:right w:val="nil"/>
            </w:tcBorders>
          </w:tcPr>
          <w:p w14:paraId="26B3A7CF"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lang w:val="de-DE"/>
              </w:rPr>
              <w:t>1464</w:t>
            </w:r>
          </w:p>
        </w:tc>
        <w:tc>
          <w:tcPr>
            <w:tcW w:w="2552" w:type="dxa"/>
            <w:tcBorders>
              <w:top w:val="nil"/>
              <w:left w:val="nil"/>
              <w:bottom w:val="nil"/>
              <w:right w:val="nil"/>
            </w:tcBorders>
          </w:tcPr>
          <w:p w14:paraId="553978E1" w14:textId="77777777" w:rsidR="00F4687C" w:rsidRPr="009E279F" w:rsidRDefault="00F4687C" w:rsidP="00BD0CFF">
            <w:pPr>
              <w:rPr>
                <w:rFonts w:ascii="Times New Roman" w:hAnsi="Times New Roman" w:cs="Times New Roman"/>
                <w:sz w:val="20"/>
                <w:szCs w:val="20"/>
                <w:lang w:val="de-DE"/>
              </w:rPr>
            </w:pPr>
            <w:r w:rsidRPr="009E279F">
              <w:rPr>
                <w:rFonts w:ascii="Times New Roman" w:hAnsi="Times New Roman" w:cs="Times New Roman"/>
                <w:sz w:val="20"/>
                <w:szCs w:val="20"/>
                <w:lang w:val="de-DE"/>
              </w:rPr>
              <w:t xml:space="preserve">(28 -70 -34) </w:t>
            </w:r>
            <w:proofErr w:type="spellStart"/>
            <w:r w:rsidRPr="009E279F">
              <w:rPr>
                <w:rFonts w:ascii="Times New Roman" w:hAnsi="Times New Roman" w:cs="Times New Roman"/>
                <w:sz w:val="20"/>
                <w:szCs w:val="20"/>
                <w:lang w:val="de-DE"/>
              </w:rPr>
              <w:t>to</w:t>
            </w:r>
            <w:proofErr w:type="spellEnd"/>
            <w:r w:rsidRPr="009E279F">
              <w:rPr>
                <w:rFonts w:ascii="Times New Roman" w:hAnsi="Times New Roman" w:cs="Times New Roman"/>
                <w:sz w:val="20"/>
                <w:szCs w:val="20"/>
                <w:lang w:val="de-DE"/>
              </w:rPr>
              <w:t xml:space="preserve"> (42 -56 -22)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9E279F">
              <w:rPr>
                <w:rFonts w:ascii="Times New Roman" w:hAnsi="Times New Roman" w:cs="Times New Roman"/>
                <w:sz w:val="20"/>
                <w:szCs w:val="20"/>
                <w:lang w:val="de-DE"/>
              </w:rPr>
              <w:t>35 -63 -29</w:t>
            </w:r>
            <w:r w:rsidRPr="009E279F">
              <w:rPr>
                <w:rFonts w:ascii="Times New Roman" w:hAnsi="Times New Roman" w:cs="Times New Roman"/>
                <w:sz w:val="20"/>
                <w:szCs w:val="20"/>
              </w:rPr>
              <w:t>)</w:t>
            </w:r>
          </w:p>
        </w:tc>
      </w:tr>
      <w:tr w:rsidR="00AD51EF" w:rsidRPr="009E279F" w14:paraId="11389CBA" w14:textId="77777777" w:rsidTr="00AD51EF">
        <w:trPr>
          <w:trHeight w:val="350"/>
        </w:trPr>
        <w:tc>
          <w:tcPr>
            <w:tcW w:w="1419" w:type="dxa"/>
            <w:vMerge/>
            <w:tcBorders>
              <w:left w:val="nil"/>
              <w:right w:val="nil"/>
            </w:tcBorders>
          </w:tcPr>
          <w:p w14:paraId="456497C3" w14:textId="77777777" w:rsidR="00F4687C" w:rsidRPr="009E279F" w:rsidRDefault="00F4687C" w:rsidP="00BD0CFF">
            <w:pPr>
              <w:rPr>
                <w:rFonts w:ascii="Times New Roman" w:hAnsi="Times New Roman" w:cs="Times New Roman"/>
                <w:sz w:val="20"/>
                <w:szCs w:val="20"/>
              </w:rPr>
            </w:pPr>
          </w:p>
        </w:tc>
        <w:tc>
          <w:tcPr>
            <w:tcW w:w="987" w:type="dxa"/>
            <w:vMerge/>
            <w:tcBorders>
              <w:top w:val="nil"/>
              <w:left w:val="nil"/>
              <w:bottom w:val="nil"/>
              <w:right w:val="nil"/>
            </w:tcBorders>
          </w:tcPr>
          <w:p w14:paraId="3F1EFF5D" w14:textId="77777777" w:rsidR="00F4687C" w:rsidRPr="009E279F" w:rsidRDefault="00F4687C" w:rsidP="00BD0CFF">
            <w:pPr>
              <w:rPr>
                <w:rFonts w:ascii="Times New Roman" w:hAnsi="Times New Roman" w:cs="Times New Roman"/>
                <w:sz w:val="20"/>
                <w:szCs w:val="20"/>
              </w:rPr>
            </w:pPr>
          </w:p>
        </w:tc>
        <w:tc>
          <w:tcPr>
            <w:tcW w:w="1080" w:type="dxa"/>
            <w:vMerge/>
            <w:tcBorders>
              <w:top w:val="nil"/>
              <w:left w:val="nil"/>
              <w:bottom w:val="nil"/>
              <w:right w:val="nil"/>
            </w:tcBorders>
          </w:tcPr>
          <w:p w14:paraId="23375F5D" w14:textId="77777777" w:rsidR="00F4687C" w:rsidRPr="009E279F" w:rsidRDefault="00F4687C" w:rsidP="00BD0CFF">
            <w:pPr>
              <w:rPr>
                <w:rFonts w:ascii="Times New Roman" w:hAnsi="Times New Roman" w:cs="Times New Roman"/>
                <w:sz w:val="20"/>
                <w:szCs w:val="20"/>
              </w:rPr>
            </w:pPr>
          </w:p>
        </w:tc>
        <w:tc>
          <w:tcPr>
            <w:tcW w:w="1476" w:type="dxa"/>
            <w:vMerge/>
            <w:tcBorders>
              <w:top w:val="nil"/>
              <w:left w:val="nil"/>
              <w:bottom w:val="nil"/>
              <w:right w:val="nil"/>
            </w:tcBorders>
          </w:tcPr>
          <w:p w14:paraId="1E523EB1"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543BBFDA"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3</w:t>
            </w:r>
          </w:p>
        </w:tc>
        <w:tc>
          <w:tcPr>
            <w:tcW w:w="1134" w:type="dxa"/>
            <w:tcBorders>
              <w:top w:val="nil"/>
              <w:left w:val="nil"/>
              <w:bottom w:val="nil"/>
              <w:right w:val="nil"/>
            </w:tcBorders>
          </w:tcPr>
          <w:p w14:paraId="133BE6D7" w14:textId="77777777" w:rsidR="00F4687C" w:rsidRPr="009E279F" w:rsidRDefault="00F4687C" w:rsidP="00BD0CFF">
            <w:pPr>
              <w:rPr>
                <w:rFonts w:ascii="Times New Roman" w:hAnsi="Times New Roman" w:cs="Times New Roman"/>
                <w:sz w:val="20"/>
                <w:szCs w:val="20"/>
              </w:rPr>
            </w:pPr>
          </w:p>
        </w:tc>
        <w:tc>
          <w:tcPr>
            <w:tcW w:w="1701" w:type="dxa"/>
            <w:tcBorders>
              <w:top w:val="nil"/>
              <w:left w:val="nil"/>
              <w:bottom w:val="nil"/>
              <w:right w:val="nil"/>
            </w:tcBorders>
          </w:tcPr>
          <w:p w14:paraId="7C137502" w14:textId="77777777" w:rsidR="00F4687C" w:rsidRPr="009E279F" w:rsidRDefault="00F4687C" w:rsidP="00BD0CFF">
            <w:pPr>
              <w:rPr>
                <w:rFonts w:ascii="Times New Roman" w:hAnsi="Times New Roman" w:cs="Times New Roman"/>
                <w:sz w:val="20"/>
                <w:szCs w:val="20"/>
              </w:rPr>
            </w:pPr>
          </w:p>
        </w:tc>
        <w:tc>
          <w:tcPr>
            <w:tcW w:w="1418" w:type="dxa"/>
            <w:tcBorders>
              <w:top w:val="nil"/>
              <w:left w:val="nil"/>
              <w:bottom w:val="nil"/>
              <w:right w:val="nil"/>
            </w:tcBorders>
          </w:tcPr>
          <w:p w14:paraId="117CC2B1" w14:textId="77777777" w:rsidR="00F4687C" w:rsidRPr="009E279F" w:rsidRDefault="00F4687C" w:rsidP="00BD0CFF">
            <w:pPr>
              <w:rPr>
                <w:rFonts w:ascii="Times New Roman" w:hAnsi="Times New Roman" w:cs="Times New Roman"/>
                <w:sz w:val="20"/>
                <w:szCs w:val="20"/>
              </w:rPr>
            </w:pPr>
          </w:p>
        </w:tc>
        <w:tc>
          <w:tcPr>
            <w:tcW w:w="850" w:type="dxa"/>
            <w:tcBorders>
              <w:top w:val="nil"/>
              <w:left w:val="nil"/>
              <w:bottom w:val="nil"/>
              <w:right w:val="nil"/>
            </w:tcBorders>
          </w:tcPr>
          <w:p w14:paraId="7A45C89A"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lang w:val="de-DE"/>
              </w:rPr>
              <w:t>1288</w:t>
            </w:r>
          </w:p>
        </w:tc>
        <w:tc>
          <w:tcPr>
            <w:tcW w:w="2552" w:type="dxa"/>
            <w:tcBorders>
              <w:top w:val="nil"/>
              <w:left w:val="nil"/>
              <w:bottom w:val="nil"/>
              <w:right w:val="nil"/>
            </w:tcBorders>
          </w:tcPr>
          <w:p w14:paraId="622DC703" w14:textId="77777777" w:rsidR="00F4687C" w:rsidRPr="009E279F" w:rsidRDefault="00F4687C" w:rsidP="00BD0CFF">
            <w:pPr>
              <w:rPr>
                <w:rFonts w:ascii="Times New Roman" w:hAnsi="Times New Roman" w:cs="Times New Roman"/>
                <w:sz w:val="20"/>
                <w:szCs w:val="20"/>
                <w:lang w:val="de-DE"/>
              </w:rPr>
            </w:pPr>
            <w:r w:rsidRPr="009E279F">
              <w:rPr>
                <w:rFonts w:ascii="Times New Roman" w:hAnsi="Times New Roman" w:cs="Times New Roman"/>
                <w:sz w:val="20"/>
                <w:szCs w:val="20"/>
                <w:lang w:val="de-DE"/>
              </w:rPr>
              <w:t xml:space="preserve">(-46 -86 -44) </w:t>
            </w:r>
            <w:proofErr w:type="spellStart"/>
            <w:r w:rsidRPr="009E279F">
              <w:rPr>
                <w:rFonts w:ascii="Times New Roman" w:hAnsi="Times New Roman" w:cs="Times New Roman"/>
                <w:sz w:val="20"/>
                <w:szCs w:val="20"/>
                <w:lang w:val="de-DE"/>
              </w:rPr>
              <w:t>to</w:t>
            </w:r>
            <w:proofErr w:type="spellEnd"/>
            <w:r w:rsidRPr="009E279F">
              <w:rPr>
                <w:rFonts w:ascii="Times New Roman" w:hAnsi="Times New Roman" w:cs="Times New Roman"/>
                <w:sz w:val="20"/>
                <w:szCs w:val="20"/>
                <w:lang w:val="de-DE"/>
              </w:rPr>
              <w:t xml:space="preserve"> (-28 -68 -34)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9E279F">
              <w:rPr>
                <w:rFonts w:ascii="Times New Roman" w:hAnsi="Times New Roman" w:cs="Times New Roman"/>
                <w:sz w:val="20"/>
                <w:szCs w:val="20"/>
                <w:lang w:val="de-DE"/>
              </w:rPr>
              <w:t>-35 -77 -40</w:t>
            </w:r>
            <w:r w:rsidRPr="009E279F">
              <w:rPr>
                <w:rFonts w:ascii="Times New Roman" w:hAnsi="Times New Roman" w:cs="Times New Roman"/>
                <w:sz w:val="20"/>
                <w:szCs w:val="20"/>
              </w:rPr>
              <w:t>)</w:t>
            </w:r>
          </w:p>
        </w:tc>
      </w:tr>
      <w:tr w:rsidR="00AD51EF" w:rsidRPr="009E279F" w14:paraId="5550E70E" w14:textId="77777777" w:rsidTr="00AD51EF">
        <w:trPr>
          <w:trHeight w:val="350"/>
        </w:trPr>
        <w:tc>
          <w:tcPr>
            <w:tcW w:w="1419" w:type="dxa"/>
            <w:vMerge/>
            <w:tcBorders>
              <w:left w:val="nil"/>
              <w:right w:val="nil"/>
            </w:tcBorders>
          </w:tcPr>
          <w:p w14:paraId="43E14EDB"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359B05BF"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1738303A"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619EF19E"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29A81E5B"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4</w:t>
            </w:r>
          </w:p>
        </w:tc>
        <w:tc>
          <w:tcPr>
            <w:tcW w:w="1134" w:type="dxa"/>
            <w:tcBorders>
              <w:top w:val="nil"/>
              <w:left w:val="nil"/>
              <w:bottom w:val="nil"/>
              <w:right w:val="nil"/>
            </w:tcBorders>
          </w:tcPr>
          <w:p w14:paraId="31A14860" w14:textId="77777777" w:rsidR="00F4687C" w:rsidRPr="009E279F" w:rsidRDefault="00F4687C" w:rsidP="00BD0CFF">
            <w:pPr>
              <w:rPr>
                <w:rFonts w:ascii="Times New Roman" w:hAnsi="Times New Roman" w:cs="Times New Roman"/>
                <w:sz w:val="20"/>
                <w:szCs w:val="20"/>
              </w:rPr>
            </w:pPr>
          </w:p>
        </w:tc>
        <w:tc>
          <w:tcPr>
            <w:tcW w:w="1701" w:type="dxa"/>
            <w:tcBorders>
              <w:top w:val="nil"/>
              <w:left w:val="nil"/>
              <w:bottom w:val="nil"/>
              <w:right w:val="nil"/>
            </w:tcBorders>
          </w:tcPr>
          <w:p w14:paraId="13625103" w14:textId="77777777" w:rsidR="00F4687C" w:rsidRPr="009E279F" w:rsidRDefault="00F4687C" w:rsidP="00BD0CFF">
            <w:pPr>
              <w:rPr>
                <w:rFonts w:ascii="Times New Roman" w:hAnsi="Times New Roman" w:cs="Times New Roman"/>
                <w:sz w:val="20"/>
                <w:szCs w:val="20"/>
              </w:rPr>
            </w:pPr>
          </w:p>
        </w:tc>
        <w:tc>
          <w:tcPr>
            <w:tcW w:w="1418" w:type="dxa"/>
            <w:tcBorders>
              <w:top w:val="nil"/>
              <w:left w:val="nil"/>
              <w:bottom w:val="nil"/>
              <w:right w:val="nil"/>
            </w:tcBorders>
          </w:tcPr>
          <w:p w14:paraId="3DCA942A" w14:textId="77777777" w:rsidR="00F4687C" w:rsidRPr="009E279F" w:rsidRDefault="00F4687C" w:rsidP="00BD0CFF">
            <w:pPr>
              <w:rPr>
                <w:rFonts w:ascii="Times New Roman" w:hAnsi="Times New Roman" w:cs="Times New Roman"/>
                <w:sz w:val="20"/>
                <w:szCs w:val="20"/>
              </w:rPr>
            </w:pPr>
          </w:p>
        </w:tc>
        <w:tc>
          <w:tcPr>
            <w:tcW w:w="850" w:type="dxa"/>
            <w:tcBorders>
              <w:top w:val="nil"/>
              <w:left w:val="nil"/>
              <w:bottom w:val="nil"/>
              <w:right w:val="nil"/>
            </w:tcBorders>
          </w:tcPr>
          <w:p w14:paraId="1FA2F251"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lang w:val="de-DE"/>
              </w:rPr>
              <w:t>1112</w:t>
            </w:r>
          </w:p>
        </w:tc>
        <w:tc>
          <w:tcPr>
            <w:tcW w:w="2552" w:type="dxa"/>
            <w:tcBorders>
              <w:top w:val="nil"/>
              <w:left w:val="nil"/>
              <w:bottom w:val="nil"/>
              <w:right w:val="nil"/>
            </w:tcBorders>
          </w:tcPr>
          <w:p w14:paraId="4936C5D9" w14:textId="77777777" w:rsidR="00F4687C" w:rsidRPr="009E279F" w:rsidRDefault="00F4687C" w:rsidP="00BD0CFF">
            <w:pPr>
              <w:rPr>
                <w:rFonts w:ascii="Times New Roman" w:hAnsi="Times New Roman" w:cs="Times New Roman"/>
                <w:sz w:val="20"/>
                <w:szCs w:val="20"/>
                <w:lang w:val="de-DE"/>
              </w:rPr>
            </w:pPr>
            <w:r w:rsidRPr="009E279F">
              <w:rPr>
                <w:rFonts w:ascii="Times New Roman" w:hAnsi="Times New Roman" w:cs="Times New Roman"/>
                <w:sz w:val="20"/>
                <w:szCs w:val="20"/>
                <w:lang w:val="de-DE"/>
              </w:rPr>
              <w:t xml:space="preserve">(-10 -78 -22) </w:t>
            </w:r>
            <w:proofErr w:type="spellStart"/>
            <w:r w:rsidRPr="009E279F">
              <w:rPr>
                <w:rFonts w:ascii="Times New Roman" w:hAnsi="Times New Roman" w:cs="Times New Roman"/>
                <w:sz w:val="20"/>
                <w:szCs w:val="20"/>
                <w:lang w:val="de-DE"/>
              </w:rPr>
              <w:t>to</w:t>
            </w:r>
            <w:proofErr w:type="spellEnd"/>
            <w:r w:rsidRPr="009E279F">
              <w:rPr>
                <w:rFonts w:ascii="Times New Roman" w:hAnsi="Times New Roman" w:cs="Times New Roman"/>
                <w:sz w:val="20"/>
                <w:szCs w:val="20"/>
                <w:lang w:val="de-DE"/>
              </w:rPr>
              <w:t xml:space="preserve"> (8 -66 -10) </w:t>
            </w:r>
            <w:proofErr w:type="spellStart"/>
            <w:r w:rsidRPr="009E279F">
              <w:rPr>
                <w:rFonts w:ascii="Times New Roman" w:hAnsi="Times New Roman" w:cs="Times New Roman"/>
                <w:sz w:val="20"/>
                <w:szCs w:val="20"/>
                <w:lang w:val="de-DE"/>
              </w:rPr>
              <w:t>centered</w:t>
            </w:r>
            <w:proofErr w:type="spellEnd"/>
            <w:r w:rsidRPr="009E279F">
              <w:rPr>
                <w:rFonts w:ascii="Times New Roman" w:hAnsi="Times New Roman" w:cs="Times New Roman"/>
                <w:sz w:val="20"/>
                <w:szCs w:val="20"/>
                <w:lang w:val="de-DE"/>
              </w:rPr>
              <w:t xml:space="preserve"> at </w:t>
            </w:r>
            <w:r w:rsidRPr="009E279F">
              <w:rPr>
                <w:rFonts w:ascii="Times New Roman" w:hAnsi="Times New Roman" w:cs="Times New Roman"/>
                <w:sz w:val="20"/>
                <w:szCs w:val="20"/>
              </w:rPr>
              <w:t>(</w:t>
            </w:r>
            <w:r w:rsidRPr="009E279F">
              <w:rPr>
                <w:rFonts w:ascii="Times New Roman" w:hAnsi="Times New Roman" w:cs="Times New Roman"/>
                <w:sz w:val="20"/>
                <w:szCs w:val="20"/>
                <w:lang w:val="de-DE"/>
              </w:rPr>
              <w:t>1 -72 -15)</w:t>
            </w:r>
          </w:p>
        </w:tc>
      </w:tr>
      <w:tr w:rsidR="00AD51EF" w:rsidRPr="009E279F" w14:paraId="3D0C33BA" w14:textId="77777777" w:rsidTr="00AD51EF">
        <w:trPr>
          <w:trHeight w:val="548"/>
        </w:trPr>
        <w:tc>
          <w:tcPr>
            <w:tcW w:w="1419" w:type="dxa"/>
            <w:vMerge/>
            <w:tcBorders>
              <w:left w:val="nil"/>
              <w:bottom w:val="single" w:sz="4" w:space="0" w:color="auto"/>
              <w:right w:val="nil"/>
            </w:tcBorders>
          </w:tcPr>
          <w:p w14:paraId="1BBCDA08"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single" w:sz="4" w:space="0" w:color="auto"/>
              <w:right w:val="nil"/>
            </w:tcBorders>
          </w:tcPr>
          <w:p w14:paraId="3705257F"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single" w:sz="4" w:space="0" w:color="auto"/>
              <w:right w:val="nil"/>
            </w:tcBorders>
          </w:tcPr>
          <w:p w14:paraId="5B7C42A4"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single" w:sz="4" w:space="0" w:color="auto"/>
              <w:right w:val="nil"/>
            </w:tcBorders>
          </w:tcPr>
          <w:p w14:paraId="49156EAF"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single" w:sz="4" w:space="0" w:color="auto"/>
              <w:right w:val="nil"/>
            </w:tcBorders>
          </w:tcPr>
          <w:p w14:paraId="564418FF"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5</w:t>
            </w:r>
          </w:p>
        </w:tc>
        <w:tc>
          <w:tcPr>
            <w:tcW w:w="1134" w:type="dxa"/>
            <w:tcBorders>
              <w:top w:val="nil"/>
              <w:left w:val="nil"/>
              <w:bottom w:val="single" w:sz="4" w:space="0" w:color="auto"/>
              <w:right w:val="nil"/>
            </w:tcBorders>
          </w:tcPr>
          <w:p w14:paraId="0D7FDE49" w14:textId="77777777" w:rsidR="00F4687C" w:rsidRPr="009E279F" w:rsidRDefault="00F4687C" w:rsidP="00BD0CFF">
            <w:pPr>
              <w:rPr>
                <w:rFonts w:ascii="Times New Roman" w:hAnsi="Times New Roman" w:cs="Times New Roman"/>
                <w:sz w:val="20"/>
                <w:szCs w:val="20"/>
              </w:rPr>
            </w:pPr>
          </w:p>
        </w:tc>
        <w:tc>
          <w:tcPr>
            <w:tcW w:w="1701" w:type="dxa"/>
            <w:tcBorders>
              <w:top w:val="nil"/>
              <w:left w:val="nil"/>
              <w:bottom w:val="single" w:sz="4" w:space="0" w:color="auto"/>
              <w:right w:val="nil"/>
            </w:tcBorders>
          </w:tcPr>
          <w:p w14:paraId="7D7F3C5B" w14:textId="77777777" w:rsidR="00F4687C" w:rsidRPr="009E279F" w:rsidRDefault="00F4687C" w:rsidP="00BD0CFF">
            <w:pPr>
              <w:rPr>
                <w:rFonts w:ascii="Times New Roman" w:hAnsi="Times New Roman" w:cs="Times New Roman"/>
                <w:sz w:val="20"/>
                <w:szCs w:val="20"/>
              </w:rPr>
            </w:pPr>
          </w:p>
        </w:tc>
        <w:tc>
          <w:tcPr>
            <w:tcW w:w="1418" w:type="dxa"/>
            <w:tcBorders>
              <w:top w:val="nil"/>
              <w:left w:val="nil"/>
              <w:bottom w:val="single" w:sz="4" w:space="0" w:color="auto"/>
              <w:right w:val="nil"/>
            </w:tcBorders>
          </w:tcPr>
          <w:p w14:paraId="153B64D9" w14:textId="77777777" w:rsidR="00F4687C" w:rsidRPr="009E279F" w:rsidRDefault="00F4687C" w:rsidP="00BD0CFF">
            <w:pPr>
              <w:rPr>
                <w:rFonts w:ascii="Times New Roman" w:hAnsi="Times New Roman" w:cs="Times New Roman"/>
                <w:sz w:val="20"/>
                <w:szCs w:val="20"/>
              </w:rPr>
            </w:pPr>
          </w:p>
        </w:tc>
        <w:tc>
          <w:tcPr>
            <w:tcW w:w="850" w:type="dxa"/>
            <w:tcBorders>
              <w:top w:val="nil"/>
              <w:left w:val="nil"/>
              <w:bottom w:val="single" w:sz="4" w:space="0" w:color="auto"/>
              <w:right w:val="nil"/>
            </w:tcBorders>
          </w:tcPr>
          <w:p w14:paraId="2298A0FD"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lang w:val="de-DE"/>
              </w:rPr>
              <w:t>808</w:t>
            </w:r>
          </w:p>
        </w:tc>
        <w:tc>
          <w:tcPr>
            <w:tcW w:w="2552" w:type="dxa"/>
            <w:tcBorders>
              <w:top w:val="nil"/>
              <w:left w:val="nil"/>
              <w:bottom w:val="single" w:sz="4" w:space="0" w:color="auto"/>
              <w:right w:val="nil"/>
            </w:tcBorders>
          </w:tcPr>
          <w:p w14:paraId="5464E0AD" w14:textId="77777777" w:rsidR="00F4687C" w:rsidRPr="009E279F" w:rsidRDefault="00F4687C" w:rsidP="00BD0CFF">
            <w:pPr>
              <w:rPr>
                <w:rFonts w:ascii="Times New Roman" w:hAnsi="Times New Roman" w:cs="Times New Roman"/>
                <w:sz w:val="20"/>
                <w:szCs w:val="20"/>
                <w:lang w:val="de-DE"/>
              </w:rPr>
            </w:pPr>
            <w:r w:rsidRPr="009E279F">
              <w:rPr>
                <w:rFonts w:ascii="Times New Roman" w:hAnsi="Times New Roman" w:cs="Times New Roman"/>
                <w:sz w:val="20"/>
                <w:szCs w:val="20"/>
                <w:lang w:val="de-DE"/>
              </w:rPr>
              <w:t xml:space="preserve">(-48 -54 -46) </w:t>
            </w:r>
            <w:proofErr w:type="spellStart"/>
            <w:r w:rsidRPr="009E279F">
              <w:rPr>
                <w:rFonts w:ascii="Times New Roman" w:hAnsi="Times New Roman" w:cs="Times New Roman"/>
                <w:sz w:val="20"/>
                <w:szCs w:val="20"/>
                <w:lang w:val="de-DE"/>
              </w:rPr>
              <w:t>to</w:t>
            </w:r>
            <w:proofErr w:type="spellEnd"/>
            <w:r w:rsidRPr="009E279F">
              <w:rPr>
                <w:rFonts w:ascii="Times New Roman" w:hAnsi="Times New Roman" w:cs="Times New Roman"/>
                <w:sz w:val="20"/>
                <w:szCs w:val="20"/>
                <w:lang w:val="de-DE"/>
              </w:rPr>
              <w:t xml:space="preserve"> (-34 -36 -36) </w:t>
            </w:r>
            <w:proofErr w:type="spellStart"/>
            <w:r w:rsidRPr="009E279F">
              <w:rPr>
                <w:rFonts w:ascii="Times New Roman" w:hAnsi="Times New Roman" w:cs="Times New Roman"/>
                <w:sz w:val="20"/>
                <w:szCs w:val="20"/>
                <w:lang w:val="de-DE"/>
              </w:rPr>
              <w:t>centered</w:t>
            </w:r>
            <w:proofErr w:type="spellEnd"/>
            <w:r w:rsidRPr="009E279F">
              <w:rPr>
                <w:rFonts w:ascii="Times New Roman" w:hAnsi="Times New Roman" w:cs="Times New Roman"/>
                <w:sz w:val="20"/>
                <w:szCs w:val="20"/>
                <w:lang w:val="de-DE"/>
              </w:rPr>
              <w:t xml:space="preserve"> at </w:t>
            </w:r>
            <w:r w:rsidRPr="009E279F">
              <w:rPr>
                <w:rFonts w:ascii="Times New Roman" w:hAnsi="Times New Roman" w:cs="Times New Roman"/>
                <w:sz w:val="20"/>
                <w:szCs w:val="20"/>
              </w:rPr>
              <w:t>(</w:t>
            </w:r>
            <w:r w:rsidRPr="009E279F">
              <w:rPr>
                <w:rFonts w:ascii="Times New Roman" w:hAnsi="Times New Roman" w:cs="Times New Roman"/>
                <w:sz w:val="20"/>
                <w:szCs w:val="20"/>
                <w:lang w:val="de-DE"/>
              </w:rPr>
              <w:t>-40 -42 -41)</w:t>
            </w:r>
          </w:p>
        </w:tc>
      </w:tr>
      <w:tr w:rsidR="00AD51EF" w:rsidRPr="009E279F" w14:paraId="2E722C1F" w14:textId="77777777" w:rsidTr="00AD51EF">
        <w:trPr>
          <w:trHeight w:val="278"/>
        </w:trPr>
        <w:tc>
          <w:tcPr>
            <w:tcW w:w="1419" w:type="dxa"/>
            <w:vMerge w:val="restart"/>
            <w:tcBorders>
              <w:top w:val="single" w:sz="4" w:space="0" w:color="auto"/>
              <w:left w:val="nil"/>
              <w:right w:val="nil"/>
            </w:tcBorders>
          </w:tcPr>
          <w:p w14:paraId="1829291C" w14:textId="77777777" w:rsidR="00F4687C" w:rsidRDefault="00F4687C" w:rsidP="00BD0CFF">
            <w:pPr>
              <w:rPr>
                <w:rFonts w:ascii="Times New Roman" w:hAnsi="Times New Roman" w:cs="Times New Roman"/>
                <w:sz w:val="20"/>
                <w:szCs w:val="20"/>
              </w:rPr>
            </w:pPr>
            <w:r>
              <w:rPr>
                <w:rFonts w:ascii="Times New Roman" w:hAnsi="Times New Roman" w:cs="Times New Roman"/>
                <w:sz w:val="20"/>
                <w:szCs w:val="20"/>
              </w:rPr>
              <w:t>Abe et al., 2008</w:t>
            </w:r>
          </w:p>
          <w:p w14:paraId="7E1AD609" w14:textId="77777777" w:rsidR="00F4687C" w:rsidRPr="009E279F" w:rsidRDefault="00F4687C" w:rsidP="00BD0CFF">
            <w:pP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{"citationItems":[{"id":"ITEM-1","itemData":{"DOI":"10.1016/j.neurobiolaging.2006.09.003","ISSN":"1558-1497 (Electronic)","PMID":"17023094","abstract":"This study investigated the global and regional effects of aging on brain volume, mean diffusivity (MD), and fractional anisotropy (FA) in 73 normal female subjects using voxel-based analysis. On a global scale, gray matter volume and FA were negatively correlated, whereas MD was positively correlated with age. Voxel-wise analyses showed brain volume and FA were negatively correlated predominantly in anterior structures, whereas MD was positively correlated in the cortical gray matter and periventricular white matter. Volume preservation was observed in the cingulate gyrus and subjacent white matter. FA increase was observed in the putamen. Voxel-based direct comparisons of volume and diffusion properties showed FA was more strongly negatively correlated in the fronto-temporal white matter, compared with volume and MD. Stronger positive correlation of MD was observed in the thalamus, caudate nucleus, and midbrain and stronger negative correlation of brain volume was observed in the frontal lobe and basal ganglia, compared with the other. These results indicate that diffusion properties and brain volume are complementary markers to the effects of aging.","author":[{"dropping-particle":"","family":"Abe","given":"Osamu","non-dropping-particle":"","parse-names":false,"suffix":""},{"dropping-particle":"","family":"Yamasue","given":"Hidenori","non-dropping-particle":"","parse-names":false,"suffix":""},{"dropping-particle":"","family":"Aoki","given":"Shigeki","non-dropping-particle":"","parse-names":false,"suffix":""},{"dropping-particle":"","family":"Suga","given":"Motomu","non-dropping-particle":"","parse-names":false,"suffix":""},{"dropping-particle":"","family":"Yamada","given":"Haruyasu","non-dropping-particle":"","parse-names":false,"suffix":""},{"dropping-particle":"","family":"Kasai","given":"Kiyoto","non-dropping-particle":"","parse-names":false,"suffix":""},{"dropping-particle":"","family":"Masutani","given":"Yoshitaka","non-dropping-particle":"","parse-names":false,"suffix":""},{"dropping-particle":"","family":"Kato","given":"Nobuyuki","non-dropping-particle":"","parse-names":false,"suffix":""},{"dropping-particle":"","family":"Kato","given":"Nobumasa","non-dropping-particle":"","parse-names":false,"suffix":""},{"dropping-particle":"","family":"Ohtomo","given":"Kuni","non-dropping-particle":"","parse-names":false,"suffix":""}],"container-title":"Neurobiology of aging","id":"ITEM-1","issue":"1","issued":{"date-parts":[["2008","1"]]},"language":"eng","page":"102-116","publisher-place":"United States","title":"Aging in the CNS: comparison of gray/white matter volume and diffusion tensor data.","type":"article-journal","volume":"29"},"uris":["http://www.mendeley.com/documents/?uuid=554cc91c-5e78-4951-935f-82f1286d5bdc"]}],"mendeley":{"formattedCitation":"[11]","plainTextFormattedCitation":"[11]","previouslyFormattedCitation":"[11]"},"properties":{"noteIndex":0},"schema":"https://github.com/citation-style-language/schema/raw/master/csl-citation.json"}</w:instrText>
            </w:r>
            <w:r>
              <w:rPr>
                <w:rFonts w:ascii="Times New Roman" w:hAnsi="Times New Roman" w:cs="Times New Roman"/>
                <w:sz w:val="20"/>
                <w:szCs w:val="20"/>
              </w:rPr>
              <w:fldChar w:fldCharType="separate"/>
            </w:r>
            <w:r w:rsidRPr="00B12442">
              <w:rPr>
                <w:rFonts w:ascii="Times New Roman" w:hAnsi="Times New Roman" w:cs="Times New Roman"/>
                <w:noProof/>
                <w:sz w:val="20"/>
                <w:szCs w:val="20"/>
              </w:rPr>
              <w:t>[11]</w:t>
            </w:r>
            <w:r>
              <w:rPr>
                <w:rFonts w:ascii="Times New Roman" w:hAnsi="Times New Roman" w:cs="Times New Roman"/>
                <w:sz w:val="20"/>
                <w:szCs w:val="20"/>
              </w:rPr>
              <w:fldChar w:fldCharType="end"/>
            </w:r>
          </w:p>
        </w:tc>
        <w:tc>
          <w:tcPr>
            <w:tcW w:w="987" w:type="dxa"/>
            <w:tcBorders>
              <w:top w:val="single" w:sz="4" w:space="0" w:color="auto"/>
              <w:left w:val="nil"/>
              <w:bottom w:val="nil"/>
              <w:right w:val="nil"/>
            </w:tcBorders>
          </w:tcPr>
          <w:p w14:paraId="66920051"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62</w:t>
            </w:r>
          </w:p>
        </w:tc>
        <w:tc>
          <w:tcPr>
            <w:tcW w:w="1080" w:type="dxa"/>
            <w:tcBorders>
              <w:top w:val="single" w:sz="4" w:space="0" w:color="auto"/>
              <w:left w:val="nil"/>
              <w:bottom w:val="nil"/>
              <w:right w:val="nil"/>
            </w:tcBorders>
          </w:tcPr>
          <w:p w14:paraId="0A2316BE"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2368</w:t>
            </w:r>
          </w:p>
        </w:tc>
        <w:tc>
          <w:tcPr>
            <w:tcW w:w="1476" w:type="dxa"/>
            <w:tcBorders>
              <w:top w:val="single" w:sz="4" w:space="0" w:color="auto"/>
              <w:left w:val="nil"/>
              <w:bottom w:val="nil"/>
              <w:right w:val="nil"/>
            </w:tcBorders>
          </w:tcPr>
          <w:p w14:paraId="7F2C3F67"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488</w:t>
            </w:r>
          </w:p>
        </w:tc>
        <w:tc>
          <w:tcPr>
            <w:tcW w:w="2268" w:type="dxa"/>
            <w:tcBorders>
              <w:top w:val="single" w:sz="4" w:space="0" w:color="auto"/>
              <w:left w:val="nil"/>
              <w:bottom w:val="nil"/>
              <w:right w:val="nil"/>
            </w:tcBorders>
          </w:tcPr>
          <w:p w14:paraId="5F893E17"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3</w:t>
            </w:r>
          </w:p>
        </w:tc>
        <w:tc>
          <w:tcPr>
            <w:tcW w:w="1134" w:type="dxa"/>
            <w:tcBorders>
              <w:top w:val="single" w:sz="4" w:space="0" w:color="auto"/>
              <w:left w:val="nil"/>
              <w:bottom w:val="nil"/>
              <w:right w:val="nil"/>
            </w:tcBorders>
          </w:tcPr>
          <w:p w14:paraId="2F1FD2F2"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sym w:font="Symbol" w:char="F0AF"/>
            </w:r>
          </w:p>
        </w:tc>
        <w:tc>
          <w:tcPr>
            <w:tcW w:w="1701" w:type="dxa"/>
            <w:tcBorders>
              <w:top w:val="single" w:sz="4" w:space="0" w:color="auto"/>
              <w:left w:val="nil"/>
              <w:bottom w:val="nil"/>
              <w:right w:val="nil"/>
            </w:tcBorders>
          </w:tcPr>
          <w:p w14:paraId="72EC588A"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single" w:sz="4" w:space="0" w:color="auto"/>
              <w:left w:val="nil"/>
              <w:bottom w:val="nil"/>
              <w:right w:val="nil"/>
            </w:tcBorders>
          </w:tcPr>
          <w:p w14:paraId="700DA309"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single" w:sz="4" w:space="0" w:color="auto"/>
              <w:left w:val="nil"/>
              <w:bottom w:val="nil"/>
              <w:right w:val="nil"/>
            </w:tcBorders>
          </w:tcPr>
          <w:p w14:paraId="563488AE"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1160</w:t>
            </w:r>
          </w:p>
        </w:tc>
        <w:tc>
          <w:tcPr>
            <w:tcW w:w="2552" w:type="dxa"/>
            <w:tcBorders>
              <w:top w:val="single" w:sz="4" w:space="0" w:color="auto"/>
              <w:left w:val="nil"/>
              <w:bottom w:val="nil"/>
              <w:right w:val="nil"/>
            </w:tcBorders>
          </w:tcPr>
          <w:p w14:paraId="386C5128"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 xml:space="preserve">(28 -90 -42) to (40 -72 -32) </w:t>
            </w:r>
            <w:proofErr w:type="spellStart"/>
            <w:r w:rsidRPr="006354C0">
              <w:rPr>
                <w:rFonts w:ascii="Times New Roman" w:hAnsi="Times New Roman" w:cs="Times New Roman"/>
                <w:sz w:val="20"/>
                <w:szCs w:val="20"/>
              </w:rPr>
              <w:t>centered</w:t>
            </w:r>
            <w:proofErr w:type="spellEnd"/>
            <w:r w:rsidRPr="006354C0">
              <w:rPr>
                <w:rFonts w:ascii="Times New Roman" w:hAnsi="Times New Roman" w:cs="Times New Roman"/>
                <w:sz w:val="20"/>
                <w:szCs w:val="20"/>
              </w:rPr>
              <w:t xml:space="preserve"> at (34 -80 -38)</w:t>
            </w:r>
          </w:p>
        </w:tc>
      </w:tr>
      <w:tr w:rsidR="00AD51EF" w:rsidRPr="009E279F" w14:paraId="6330AB29" w14:textId="77777777" w:rsidTr="00AD51EF">
        <w:trPr>
          <w:trHeight w:val="278"/>
        </w:trPr>
        <w:tc>
          <w:tcPr>
            <w:tcW w:w="1419" w:type="dxa"/>
            <w:vMerge/>
            <w:tcBorders>
              <w:left w:val="nil"/>
              <w:right w:val="nil"/>
            </w:tcBorders>
          </w:tcPr>
          <w:p w14:paraId="6D136AC4"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1CF3C250"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4E723A1F"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0F2CA6E8"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3F0BDE7C"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1</w:t>
            </w:r>
          </w:p>
        </w:tc>
        <w:tc>
          <w:tcPr>
            <w:tcW w:w="1134" w:type="dxa"/>
            <w:tcBorders>
              <w:top w:val="nil"/>
              <w:left w:val="nil"/>
              <w:bottom w:val="nil"/>
              <w:right w:val="nil"/>
            </w:tcBorders>
          </w:tcPr>
          <w:p w14:paraId="45630A79"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sym w:font="Symbol" w:char="F0AD"/>
            </w:r>
          </w:p>
        </w:tc>
        <w:tc>
          <w:tcPr>
            <w:tcW w:w="1701" w:type="dxa"/>
            <w:tcBorders>
              <w:top w:val="nil"/>
              <w:left w:val="nil"/>
              <w:bottom w:val="nil"/>
              <w:right w:val="nil"/>
            </w:tcBorders>
          </w:tcPr>
          <w:p w14:paraId="03958C1E"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1B2D0B4E"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2A176FDA"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1472</w:t>
            </w:r>
          </w:p>
        </w:tc>
        <w:tc>
          <w:tcPr>
            <w:tcW w:w="2552" w:type="dxa"/>
            <w:tcBorders>
              <w:top w:val="nil"/>
              <w:left w:val="nil"/>
              <w:bottom w:val="nil"/>
              <w:right w:val="nil"/>
            </w:tcBorders>
          </w:tcPr>
          <w:p w14:paraId="602AC0BB"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 xml:space="preserve">(28 -70 -34) to (42 -56 -22)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6354C0">
              <w:rPr>
                <w:rFonts w:ascii="Times New Roman" w:hAnsi="Times New Roman" w:cs="Times New Roman"/>
                <w:sz w:val="20"/>
                <w:szCs w:val="20"/>
              </w:rPr>
              <w:t>35 -63 -29</w:t>
            </w:r>
            <w:r w:rsidRPr="009E279F">
              <w:rPr>
                <w:rFonts w:ascii="Times New Roman" w:hAnsi="Times New Roman" w:cs="Times New Roman"/>
                <w:sz w:val="20"/>
                <w:szCs w:val="20"/>
              </w:rPr>
              <w:t>)</w:t>
            </w:r>
          </w:p>
        </w:tc>
      </w:tr>
      <w:tr w:rsidR="00AD51EF" w:rsidRPr="009E279F" w14:paraId="069B8532" w14:textId="77777777" w:rsidTr="00AD51EF">
        <w:trPr>
          <w:trHeight w:val="81"/>
        </w:trPr>
        <w:tc>
          <w:tcPr>
            <w:tcW w:w="1419" w:type="dxa"/>
            <w:vMerge/>
            <w:tcBorders>
              <w:left w:val="nil"/>
              <w:bottom w:val="nil"/>
              <w:right w:val="nil"/>
            </w:tcBorders>
          </w:tcPr>
          <w:p w14:paraId="5D232CF1"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29800CB8"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3074A94A"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068F4970"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42010117"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2</w:t>
            </w:r>
          </w:p>
        </w:tc>
        <w:tc>
          <w:tcPr>
            <w:tcW w:w="1134" w:type="dxa"/>
            <w:tcBorders>
              <w:top w:val="nil"/>
              <w:left w:val="nil"/>
              <w:bottom w:val="nil"/>
              <w:right w:val="nil"/>
            </w:tcBorders>
          </w:tcPr>
          <w:p w14:paraId="3B939A0F"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w:t>
            </w:r>
          </w:p>
        </w:tc>
        <w:tc>
          <w:tcPr>
            <w:tcW w:w="1701" w:type="dxa"/>
            <w:tcBorders>
              <w:top w:val="nil"/>
              <w:left w:val="nil"/>
              <w:bottom w:val="nil"/>
              <w:right w:val="nil"/>
            </w:tcBorders>
          </w:tcPr>
          <w:p w14:paraId="288A0EF6"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536CC138"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0E3D509F"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1288</w:t>
            </w:r>
          </w:p>
        </w:tc>
        <w:tc>
          <w:tcPr>
            <w:tcW w:w="2552" w:type="dxa"/>
            <w:tcBorders>
              <w:top w:val="nil"/>
              <w:left w:val="nil"/>
              <w:bottom w:val="nil"/>
              <w:right w:val="nil"/>
            </w:tcBorders>
          </w:tcPr>
          <w:p w14:paraId="614A9DFB"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 xml:space="preserve">(-46 -86 -44) to (-28 -68 -34)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6354C0">
              <w:rPr>
                <w:rFonts w:ascii="Times New Roman" w:hAnsi="Times New Roman" w:cs="Times New Roman"/>
                <w:sz w:val="20"/>
                <w:szCs w:val="20"/>
              </w:rPr>
              <w:t>-35 -77 -40</w:t>
            </w:r>
            <w:r w:rsidRPr="009E279F">
              <w:rPr>
                <w:rFonts w:ascii="Times New Roman" w:hAnsi="Times New Roman" w:cs="Times New Roman"/>
                <w:sz w:val="20"/>
                <w:szCs w:val="20"/>
              </w:rPr>
              <w:t>)</w:t>
            </w:r>
          </w:p>
        </w:tc>
      </w:tr>
      <w:tr w:rsidR="00AD51EF" w:rsidRPr="009E279F" w14:paraId="7EBED403" w14:textId="77777777" w:rsidTr="00AD51EF">
        <w:trPr>
          <w:trHeight w:val="278"/>
        </w:trPr>
        <w:tc>
          <w:tcPr>
            <w:tcW w:w="1419" w:type="dxa"/>
            <w:tcBorders>
              <w:top w:val="nil"/>
              <w:left w:val="nil"/>
              <w:bottom w:val="nil"/>
              <w:right w:val="nil"/>
            </w:tcBorders>
          </w:tcPr>
          <w:p w14:paraId="17518EEE"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2EE50A0B"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23BF09B6"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72E44A0E"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3AF9EB1B"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4</w:t>
            </w:r>
          </w:p>
        </w:tc>
        <w:tc>
          <w:tcPr>
            <w:tcW w:w="1134" w:type="dxa"/>
            <w:tcBorders>
              <w:top w:val="nil"/>
              <w:left w:val="nil"/>
              <w:bottom w:val="nil"/>
              <w:right w:val="nil"/>
            </w:tcBorders>
          </w:tcPr>
          <w:p w14:paraId="20BD3391"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w:t>
            </w:r>
          </w:p>
        </w:tc>
        <w:tc>
          <w:tcPr>
            <w:tcW w:w="1701" w:type="dxa"/>
            <w:tcBorders>
              <w:top w:val="nil"/>
              <w:left w:val="nil"/>
              <w:bottom w:val="nil"/>
              <w:right w:val="nil"/>
            </w:tcBorders>
          </w:tcPr>
          <w:p w14:paraId="15700377"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0541B224"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445BD49D"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1112</w:t>
            </w:r>
          </w:p>
        </w:tc>
        <w:tc>
          <w:tcPr>
            <w:tcW w:w="2552" w:type="dxa"/>
            <w:tcBorders>
              <w:top w:val="nil"/>
              <w:left w:val="nil"/>
              <w:bottom w:val="nil"/>
              <w:right w:val="nil"/>
            </w:tcBorders>
          </w:tcPr>
          <w:p w14:paraId="11F85418"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 xml:space="preserve">(-10 -78 -22) to (8 -66 -10) </w:t>
            </w:r>
            <w:proofErr w:type="spellStart"/>
            <w:r w:rsidRPr="006354C0">
              <w:rPr>
                <w:rFonts w:ascii="Times New Roman" w:hAnsi="Times New Roman" w:cs="Times New Roman"/>
                <w:sz w:val="20"/>
                <w:szCs w:val="20"/>
              </w:rPr>
              <w:t>centered</w:t>
            </w:r>
            <w:proofErr w:type="spellEnd"/>
            <w:r w:rsidRPr="006354C0">
              <w:rPr>
                <w:rFonts w:ascii="Times New Roman" w:hAnsi="Times New Roman" w:cs="Times New Roman"/>
                <w:sz w:val="20"/>
                <w:szCs w:val="20"/>
              </w:rPr>
              <w:t xml:space="preserve"> at </w:t>
            </w:r>
            <w:r w:rsidRPr="009E279F">
              <w:rPr>
                <w:rFonts w:ascii="Times New Roman" w:hAnsi="Times New Roman" w:cs="Times New Roman"/>
                <w:sz w:val="20"/>
                <w:szCs w:val="20"/>
              </w:rPr>
              <w:t>(</w:t>
            </w:r>
            <w:r w:rsidRPr="006354C0">
              <w:rPr>
                <w:rFonts w:ascii="Times New Roman" w:hAnsi="Times New Roman" w:cs="Times New Roman"/>
                <w:sz w:val="20"/>
                <w:szCs w:val="20"/>
              </w:rPr>
              <w:t>1 -72 -15)</w:t>
            </w:r>
          </w:p>
        </w:tc>
      </w:tr>
      <w:tr w:rsidR="00AD51EF" w:rsidRPr="009E279F" w14:paraId="4B8200BA" w14:textId="77777777" w:rsidTr="00AD51EF">
        <w:trPr>
          <w:trHeight w:val="278"/>
        </w:trPr>
        <w:tc>
          <w:tcPr>
            <w:tcW w:w="1419" w:type="dxa"/>
            <w:tcBorders>
              <w:top w:val="nil"/>
              <w:left w:val="nil"/>
              <w:bottom w:val="single" w:sz="4" w:space="0" w:color="auto"/>
              <w:right w:val="nil"/>
            </w:tcBorders>
          </w:tcPr>
          <w:p w14:paraId="79D8793D"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single" w:sz="4" w:space="0" w:color="auto"/>
              <w:right w:val="nil"/>
            </w:tcBorders>
          </w:tcPr>
          <w:p w14:paraId="00B006A2"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single" w:sz="4" w:space="0" w:color="auto"/>
              <w:right w:val="nil"/>
            </w:tcBorders>
          </w:tcPr>
          <w:p w14:paraId="7BFB36DC"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single" w:sz="4" w:space="0" w:color="auto"/>
              <w:right w:val="nil"/>
            </w:tcBorders>
          </w:tcPr>
          <w:p w14:paraId="6F749719"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single" w:sz="4" w:space="0" w:color="auto"/>
              <w:right w:val="nil"/>
            </w:tcBorders>
          </w:tcPr>
          <w:p w14:paraId="66D58527"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5</w:t>
            </w:r>
          </w:p>
        </w:tc>
        <w:tc>
          <w:tcPr>
            <w:tcW w:w="1134" w:type="dxa"/>
            <w:tcBorders>
              <w:top w:val="nil"/>
              <w:left w:val="nil"/>
              <w:bottom w:val="single" w:sz="4" w:space="0" w:color="auto"/>
              <w:right w:val="nil"/>
            </w:tcBorders>
          </w:tcPr>
          <w:p w14:paraId="286218BD"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w:t>
            </w:r>
          </w:p>
        </w:tc>
        <w:tc>
          <w:tcPr>
            <w:tcW w:w="1701" w:type="dxa"/>
            <w:tcBorders>
              <w:top w:val="nil"/>
              <w:left w:val="nil"/>
              <w:bottom w:val="single" w:sz="4" w:space="0" w:color="auto"/>
              <w:right w:val="nil"/>
            </w:tcBorders>
          </w:tcPr>
          <w:p w14:paraId="565BCFE5"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single" w:sz="4" w:space="0" w:color="auto"/>
              <w:right w:val="nil"/>
            </w:tcBorders>
          </w:tcPr>
          <w:p w14:paraId="1B4357BD"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single" w:sz="4" w:space="0" w:color="auto"/>
              <w:right w:val="nil"/>
            </w:tcBorders>
          </w:tcPr>
          <w:p w14:paraId="0189B572"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808</w:t>
            </w:r>
          </w:p>
        </w:tc>
        <w:tc>
          <w:tcPr>
            <w:tcW w:w="2552" w:type="dxa"/>
            <w:tcBorders>
              <w:top w:val="nil"/>
              <w:left w:val="nil"/>
              <w:bottom w:val="single" w:sz="4" w:space="0" w:color="auto"/>
              <w:right w:val="nil"/>
            </w:tcBorders>
          </w:tcPr>
          <w:p w14:paraId="1B028A58"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 xml:space="preserve">(-48 -54 -46) to (-34 -36 -36) </w:t>
            </w:r>
            <w:proofErr w:type="spellStart"/>
            <w:r w:rsidRPr="006354C0">
              <w:rPr>
                <w:rFonts w:ascii="Times New Roman" w:hAnsi="Times New Roman" w:cs="Times New Roman"/>
                <w:sz w:val="20"/>
                <w:szCs w:val="20"/>
              </w:rPr>
              <w:t>centered</w:t>
            </w:r>
            <w:proofErr w:type="spellEnd"/>
            <w:r w:rsidRPr="006354C0">
              <w:rPr>
                <w:rFonts w:ascii="Times New Roman" w:hAnsi="Times New Roman" w:cs="Times New Roman"/>
                <w:sz w:val="20"/>
                <w:szCs w:val="20"/>
              </w:rPr>
              <w:t xml:space="preserve"> at </w:t>
            </w:r>
            <w:r w:rsidRPr="009E279F">
              <w:rPr>
                <w:rFonts w:ascii="Times New Roman" w:hAnsi="Times New Roman" w:cs="Times New Roman"/>
                <w:sz w:val="20"/>
                <w:szCs w:val="20"/>
              </w:rPr>
              <w:t>(</w:t>
            </w:r>
            <w:r w:rsidRPr="006354C0">
              <w:rPr>
                <w:rFonts w:ascii="Times New Roman" w:hAnsi="Times New Roman" w:cs="Times New Roman"/>
                <w:sz w:val="20"/>
                <w:szCs w:val="20"/>
              </w:rPr>
              <w:t>-40 -42 -41)</w:t>
            </w:r>
          </w:p>
        </w:tc>
      </w:tr>
      <w:tr w:rsidR="00AD51EF" w:rsidRPr="009E279F" w14:paraId="67E9DD85" w14:textId="77777777" w:rsidTr="00AD51EF">
        <w:trPr>
          <w:trHeight w:val="278"/>
        </w:trPr>
        <w:tc>
          <w:tcPr>
            <w:tcW w:w="1419" w:type="dxa"/>
            <w:vMerge w:val="restart"/>
            <w:tcBorders>
              <w:left w:val="nil"/>
              <w:right w:val="nil"/>
            </w:tcBorders>
          </w:tcPr>
          <w:p w14:paraId="5562ABBC" w14:textId="77777777" w:rsidR="00F4687C" w:rsidRDefault="00F4687C" w:rsidP="00BD0CFF">
            <w:pPr>
              <w:rPr>
                <w:rFonts w:ascii="Times New Roman" w:hAnsi="Times New Roman" w:cs="Times New Roman"/>
                <w:sz w:val="20"/>
                <w:szCs w:val="20"/>
              </w:rPr>
            </w:pPr>
            <w:r>
              <w:rPr>
                <w:rFonts w:ascii="Times New Roman" w:hAnsi="Times New Roman" w:cs="Times New Roman"/>
                <w:sz w:val="20"/>
                <w:szCs w:val="20"/>
              </w:rPr>
              <w:t>Alexander et al., 2006</w:t>
            </w:r>
          </w:p>
          <w:p w14:paraId="45632A75" w14:textId="77777777" w:rsidR="00F4687C" w:rsidRPr="009E279F" w:rsidRDefault="00F4687C" w:rsidP="00BD0CFF">
            <w:pP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{"citationItems":[{"id":"ITEM-1","itemData":{"DOI":"10.1097/01.wnr.0000220135.16844.b6","ISSN":"09594965","abstract":"Healthy aging has been associated with brain volume reductions preferentially affecting the frontal cortex, but also involving other regions. We used a network model of regional covariance, the Scaled Subprofile Model, with magnetic resonance imaging voxel-based morphometry to identify the regional distribution of gray matter associated with aging in 26 healthy adults, 22-77 years old. Scaled Subprofile Model analysis identified a pattern that was highly correlated with age (R2=0.66, P≤0.0001). Older age was associated with less gray matter in the bilateral frontal, temporal,thalamic, and right cerebellar regions. Gender differences suggested more advanced brain aging in the men. In this healthy adult sample, aging was associated with a regional pattern of gray matter atrophy most prominently involving the frontal and temporal cortices. Scaled Subprofile Model network analysis may aid in the detection and tracking of brain aging and in the evaluation of putative antiaging therapies. © 2006 Lippincott Williams &amp; Wilkins.","author":[{"dropping-particle":"","family":"Alexander","given":"Gene E.","non-dropping-particle":"","parse-names":false,"suffix":""},{"dropping-particle":"","family":"Chen","given":"Kewei","non-dropping-particle":"","parse-names":false,"suffix":""},{"dropping-particle":"","family":"Merkley","given":"Tricia L.","non-dropping-particle":"","parse-names":false,"suffix":""},{"dropping-particle":"","family":"Reiman","given":"Eric M.","non-dropping-particle":"","parse-names":false,"suffix":""},{"dropping-particle":"","family":"Caselli","given":"Richard J.","non-dropping-particle":"","parse-names":false,"suffix":""},{"dropping-particle":"","family":"Aschenbrenner","given":"Melaney","non-dropping-particle":"","parse-names":false,"suffix":""},{"dropping-particle":"","family":"Santerre-Lemmon","given":"Laura","non-dropping-particle":"","parse-names":false,"suffix":""},{"dropping-particle":"","family":"Lewis","given":"Diana J.","non-dropping-particle":"","parse-names":false,"suffix":""},{"dropping-particle":"","family":"Pietrini","given":"Pietro","non-dropping-particle":"","parse-names":false,"suffix":""},{"dropping-particle":"","family":"Teipel","given":"Stefan J.","non-dropping-particle":"","parse-names":false,"suffix":""},{"dropping-particle":"","family":"Hampel","given":"Harald","non-dropping-particle":"","parse-names":false,"suffix":""},{"dropping-particle":"","family":"Rapoport","given":"Stanley I.","non-dropping-particle":"","parse-names":false,"suffix":""},{"dropping-particle":"","family":"Moeller","given":"James R.","non-dropping-particle":"","parse-names":false,"suffix":""}],"container-title":"NeuroReport","id":"ITEM-1","issue":"10","issued":{"date-parts":[["2006","7"]]},"note":"From Duplicate 2 (Regional network of magnetic resonance imaging gray matter volume in healthy aging - Alexander, Gene E.; Chen, Kewei; Merkley, Tricia L.; Reiman, Eric M.; Caselli, Richard J.; Aschenbrenner, Melaney; Santerre-Lemmon, Laura; Lewis, Diana J.; Pietrini, Pietro; Teipel, Stefan J.; Hampel, Harald; Rapoport, Stanley I.; Moeller, James R.)\n\nFrom Duplicate 1 (Regional network of magnetic resonance imaging gray matter volume in healthy aging - Alexander, Gene E.; Chen, Kewei; Merkley, Tricia L.; Reiman, Eric M.; Caselli, Richard J.; Aschenbrenner, Melaney; Santerre-Lemmon, Laura; Lewis, Diana J.; Pietrini, Pietro; Teipel, Stefan J.; Hampel, Harald; Rapoport, Stanley I.; Moeller, James R.)\n\nFrom Duplicate 2 (Regional network of magnetic resonance imaging gray matter volume in healthy aging - Alexander, Gene E; Chen, Kewei; Merkley, Tricia L; Reiman, Eric M; Caselli, Richard J; Aschenbrenner, Melaney; Santerre-Lemmon, Laura; Lewis, Diana J; Pietrini, Pietro; Teipel, Stefan J; Hampel, Harald; Rapoport, Stanley I; Moeller, James R)\n\nAccession Number: 2006-08617-001. PMID: 16791083 Other Journal Title: Neuroreport: An International Journal for the Rapid Communication of Research in Neuroscience. Partial author list: First Author &amp;amp; Affiliation: Alexander, Gene E.; Neuroimage Analysis Laboratory, Department of Psychology, Arizona State University, Tempe, AZ, US. Release Date: 20070116. Correction Date: 20090831. Publication Type: Journal (0100), Peer Reviewed Journal (0110). Format Covered: Electronic. Document Type: Journal Article. Language: English. Conference Information: Meeting of the International Neuropsychological Society, Feb, 2004, Baltimore, MD, US. Conference Note: An early version of this work was presented, in part, at the aforementioned conference. Major Descriptor: Aging; Brain; Cerebral Cortex; Magnetic Resonance Imaging; Gray Matter. Classification: Gerontology (2860). Population: Human (10); Male (30); Female (40). Age Group: Adulthood (18 yrs &amp;amp; older) (300); Young Adulthood (18-29 yrs) (320); Thirties (30-39 yrs) (340); Middle Age (40-64 yrs) (360); Aged (65 yrs &amp;amp; older) (380). Tests &amp;amp; Measures: Mini Mental State Examination. Methodology: Empirical Study; Quantitative Study. References Available: Y. Page Count: 6. Issue Publication Date: Jul, 2006.\n\nFrom Duplicate 4 (Regional network of magnetic resonance imaging gray matter volume in healthy aging - Alexander, Gene E.; Chen, Kewei; Merkley, Tricia L.; Reiman, Eric M.; Caselli, Richard J.; Aschenbrenner, Melaney; Santerre-Lemmon, Laura; Lewis, Diana J.; Pietrini, Pietro; Teipel, Stefan J.; Hampel, Harald; Rapoport, Stanley I.; Moeller, James R.)\n\nFrom Duplicate 3 (Regional network of magnetic resonance imaging gray matter volume in healthy aging - Alexander, Gene E; Chen, Kewei; Merkley, Tricia L; Reiman, Eric M; Caselli, Richard J; Aschenbrenner, Melaney; Santerre-Lemmon, Laura; Lewis, Diana J; Pietrini, Pietro; Teipel, Stefan J; Hampel, Harald; Rapoport, Stanley I; Moeller, James R)\n\nAccession Number: 2006-08617-001. PMID: 16791083 Other Journal Title: Neuroreport: An International Journal for the Rapid Communication of Research in Neuroscience. Partial author list: First Author &amp;amp; Affiliation: Alexander, Gene E.; Neuroimage Analysis Laboratory, Department of Psychology, Arizona State University, Tempe, AZ, US. Release Date: 20070116. Correction Date: 20090831. Publication Type: Journal (0100), Peer Reviewed Journal (0110). Format Covered: Electronic. Document Type: Journal Article. Language: English. Conference Information: Meeting of the International Neuropsychological Society, Feb, 2004, Baltimore, MD, US. Conference Note: An early version of this work was presented, in part, at the aforementioned conference. Major Descriptor: Aging; Brain; Cerebral Cortex; Magnetic Resonance Imaging; Gray Matter. Classification: Gerontology (2860). Population: Human (10); Male (30); Female (40). Age Group: Adulthood (18 yrs &amp;amp; older) (300); Young Adulthood (18-29 yrs) (320); Thirties (30-39 yrs) (340); Middle Age (40-64 yrs) (360); Aged (65 yrs &amp;amp; older) (380). Tests &amp;amp; Measures: Mini Mental State Examination. Methodology: Empirical Study; Quantitative Study. References Available: Y. Page Count: 6. Issue Publication Date: Jul, 2006.","page":"951-956","publisher":"Lippincott Williams &amp; Wilkins","publisher-place":"Alexander, Gene E., Department of Psychology, Arizona State University, Tempe, AZ, US, 85287-1104","title":"Regional network of magnetic resonance imaging gray matter volume in healthy aging","type":"article-journal","volume":"17"},"uris":["http://www.mendeley.com/documents/?uuid=938161d0-40b9-4c43-b3ee-2ee8fdbfd238"]}],"mendeley":{"formattedCitation":"[12]","plainTextFormattedCitation":"[12]","previouslyFormattedCitation":"[12]"},"properties":{"noteIndex":0},"schema":"https://github.com/citation-style-language/schema/raw/master/csl-citation.json"}</w:instrText>
            </w:r>
            <w:r>
              <w:rPr>
                <w:rFonts w:ascii="Times New Roman" w:hAnsi="Times New Roman" w:cs="Times New Roman"/>
                <w:sz w:val="20"/>
                <w:szCs w:val="20"/>
              </w:rPr>
              <w:fldChar w:fldCharType="separate"/>
            </w:r>
            <w:r w:rsidRPr="00B12442">
              <w:rPr>
                <w:rFonts w:ascii="Times New Roman" w:hAnsi="Times New Roman" w:cs="Times New Roman"/>
                <w:noProof/>
                <w:sz w:val="20"/>
                <w:szCs w:val="20"/>
              </w:rPr>
              <w:t>[12]</w:t>
            </w:r>
            <w:r>
              <w:rPr>
                <w:rFonts w:ascii="Times New Roman" w:hAnsi="Times New Roman" w:cs="Times New Roman"/>
                <w:sz w:val="20"/>
                <w:szCs w:val="20"/>
              </w:rPr>
              <w:fldChar w:fldCharType="end"/>
            </w:r>
          </w:p>
        </w:tc>
        <w:tc>
          <w:tcPr>
            <w:tcW w:w="987" w:type="dxa"/>
            <w:tcBorders>
              <w:top w:val="nil"/>
              <w:left w:val="nil"/>
              <w:bottom w:val="nil"/>
              <w:right w:val="nil"/>
            </w:tcBorders>
          </w:tcPr>
          <w:p w14:paraId="08609835"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63</w:t>
            </w:r>
          </w:p>
        </w:tc>
        <w:tc>
          <w:tcPr>
            <w:tcW w:w="1080" w:type="dxa"/>
            <w:tcBorders>
              <w:top w:val="nil"/>
              <w:left w:val="nil"/>
              <w:bottom w:val="nil"/>
              <w:right w:val="nil"/>
            </w:tcBorders>
          </w:tcPr>
          <w:p w14:paraId="7CBBEA97"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2415</w:t>
            </w:r>
          </w:p>
        </w:tc>
        <w:tc>
          <w:tcPr>
            <w:tcW w:w="1476" w:type="dxa"/>
            <w:tcBorders>
              <w:top w:val="nil"/>
              <w:left w:val="nil"/>
              <w:bottom w:val="nil"/>
              <w:right w:val="nil"/>
            </w:tcBorders>
          </w:tcPr>
          <w:p w14:paraId="50238BAE"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520</w:t>
            </w:r>
          </w:p>
        </w:tc>
        <w:tc>
          <w:tcPr>
            <w:tcW w:w="2268" w:type="dxa"/>
            <w:tcBorders>
              <w:top w:val="nil"/>
              <w:left w:val="nil"/>
              <w:bottom w:val="nil"/>
              <w:right w:val="nil"/>
            </w:tcBorders>
          </w:tcPr>
          <w:p w14:paraId="7EB2708B"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1</w:t>
            </w:r>
          </w:p>
        </w:tc>
        <w:tc>
          <w:tcPr>
            <w:tcW w:w="1134" w:type="dxa"/>
            <w:tcBorders>
              <w:top w:val="nil"/>
              <w:left w:val="nil"/>
              <w:bottom w:val="nil"/>
              <w:right w:val="nil"/>
            </w:tcBorders>
          </w:tcPr>
          <w:p w14:paraId="1E9478A3"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sym w:font="Symbol" w:char="F0AF"/>
            </w:r>
          </w:p>
        </w:tc>
        <w:tc>
          <w:tcPr>
            <w:tcW w:w="1701" w:type="dxa"/>
            <w:tcBorders>
              <w:top w:val="nil"/>
              <w:left w:val="nil"/>
              <w:bottom w:val="nil"/>
              <w:right w:val="nil"/>
            </w:tcBorders>
          </w:tcPr>
          <w:p w14:paraId="40E4CDAC"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24B30BC3"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03D70E3C"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1464</w:t>
            </w:r>
          </w:p>
        </w:tc>
        <w:tc>
          <w:tcPr>
            <w:tcW w:w="2552" w:type="dxa"/>
            <w:tcBorders>
              <w:top w:val="nil"/>
              <w:left w:val="nil"/>
              <w:bottom w:val="nil"/>
              <w:right w:val="nil"/>
            </w:tcBorders>
          </w:tcPr>
          <w:p w14:paraId="6C49D7D4"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 xml:space="preserve">24 -90 -42) to (40 -72 -30)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6354C0">
              <w:rPr>
                <w:rFonts w:ascii="Times New Roman" w:hAnsi="Times New Roman" w:cs="Times New Roman"/>
                <w:sz w:val="20"/>
                <w:szCs w:val="20"/>
              </w:rPr>
              <w:t>33 -81 -37</w:t>
            </w:r>
            <w:r w:rsidRPr="009E279F">
              <w:rPr>
                <w:rFonts w:ascii="Times New Roman" w:hAnsi="Times New Roman" w:cs="Times New Roman"/>
                <w:sz w:val="20"/>
                <w:szCs w:val="20"/>
              </w:rPr>
              <w:t>)</w:t>
            </w:r>
          </w:p>
        </w:tc>
      </w:tr>
      <w:tr w:rsidR="00AD51EF" w:rsidRPr="009E279F" w14:paraId="33950DE4" w14:textId="77777777" w:rsidTr="00AD51EF">
        <w:trPr>
          <w:trHeight w:val="278"/>
        </w:trPr>
        <w:tc>
          <w:tcPr>
            <w:tcW w:w="1419" w:type="dxa"/>
            <w:vMerge/>
            <w:tcBorders>
              <w:left w:val="nil"/>
              <w:right w:val="nil"/>
            </w:tcBorders>
          </w:tcPr>
          <w:p w14:paraId="11E41AC0"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76E2ECA5"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7A9D7F48"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0728EB6A"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47DBF788"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2</w:t>
            </w:r>
          </w:p>
        </w:tc>
        <w:tc>
          <w:tcPr>
            <w:tcW w:w="1134" w:type="dxa"/>
            <w:tcBorders>
              <w:top w:val="nil"/>
              <w:left w:val="nil"/>
              <w:bottom w:val="nil"/>
              <w:right w:val="nil"/>
            </w:tcBorders>
          </w:tcPr>
          <w:p w14:paraId="5CB3F4D2"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w:t>
            </w:r>
          </w:p>
        </w:tc>
        <w:tc>
          <w:tcPr>
            <w:tcW w:w="1701" w:type="dxa"/>
            <w:tcBorders>
              <w:top w:val="nil"/>
              <w:left w:val="nil"/>
              <w:bottom w:val="nil"/>
              <w:right w:val="nil"/>
            </w:tcBorders>
          </w:tcPr>
          <w:p w14:paraId="7EC40303"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40B48B6B"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69554F20"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1464</w:t>
            </w:r>
          </w:p>
        </w:tc>
        <w:tc>
          <w:tcPr>
            <w:tcW w:w="2552" w:type="dxa"/>
            <w:tcBorders>
              <w:top w:val="nil"/>
              <w:left w:val="nil"/>
              <w:bottom w:val="nil"/>
              <w:right w:val="nil"/>
            </w:tcBorders>
          </w:tcPr>
          <w:p w14:paraId="08C974DE"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 xml:space="preserve">(28 -70 -34) to (42 -56 -22)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6354C0">
              <w:rPr>
                <w:rFonts w:ascii="Times New Roman" w:hAnsi="Times New Roman" w:cs="Times New Roman"/>
                <w:sz w:val="20"/>
                <w:szCs w:val="20"/>
              </w:rPr>
              <w:t>35 -63 -29</w:t>
            </w:r>
            <w:r w:rsidRPr="009E279F">
              <w:rPr>
                <w:rFonts w:ascii="Times New Roman" w:hAnsi="Times New Roman" w:cs="Times New Roman"/>
                <w:sz w:val="20"/>
                <w:szCs w:val="20"/>
              </w:rPr>
              <w:t>)</w:t>
            </w:r>
          </w:p>
        </w:tc>
      </w:tr>
      <w:tr w:rsidR="00AD51EF" w:rsidRPr="009E279F" w14:paraId="2D874F7E" w14:textId="77777777" w:rsidTr="00AD51EF">
        <w:trPr>
          <w:trHeight w:val="278"/>
        </w:trPr>
        <w:tc>
          <w:tcPr>
            <w:tcW w:w="1419" w:type="dxa"/>
            <w:vMerge/>
            <w:tcBorders>
              <w:left w:val="nil"/>
              <w:right w:val="nil"/>
            </w:tcBorders>
          </w:tcPr>
          <w:p w14:paraId="7842A1DE"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2F48AAC6"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11CC41C7"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64042C95"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0F2F404D"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3</w:t>
            </w:r>
          </w:p>
        </w:tc>
        <w:tc>
          <w:tcPr>
            <w:tcW w:w="1134" w:type="dxa"/>
            <w:tcBorders>
              <w:top w:val="nil"/>
              <w:left w:val="nil"/>
              <w:bottom w:val="nil"/>
              <w:right w:val="nil"/>
            </w:tcBorders>
          </w:tcPr>
          <w:p w14:paraId="22C27A3B"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w:t>
            </w:r>
          </w:p>
        </w:tc>
        <w:tc>
          <w:tcPr>
            <w:tcW w:w="1701" w:type="dxa"/>
            <w:tcBorders>
              <w:top w:val="nil"/>
              <w:left w:val="nil"/>
              <w:bottom w:val="nil"/>
              <w:right w:val="nil"/>
            </w:tcBorders>
          </w:tcPr>
          <w:p w14:paraId="19D7DC03"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092029DF"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31F30E21"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1288</w:t>
            </w:r>
          </w:p>
        </w:tc>
        <w:tc>
          <w:tcPr>
            <w:tcW w:w="2552" w:type="dxa"/>
            <w:tcBorders>
              <w:top w:val="nil"/>
              <w:left w:val="nil"/>
              <w:bottom w:val="nil"/>
              <w:right w:val="nil"/>
            </w:tcBorders>
          </w:tcPr>
          <w:p w14:paraId="5471D1B8"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 xml:space="preserve">(-46 -86 -44) to (-28 -68 -34)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6354C0">
              <w:rPr>
                <w:rFonts w:ascii="Times New Roman" w:hAnsi="Times New Roman" w:cs="Times New Roman"/>
                <w:sz w:val="20"/>
                <w:szCs w:val="20"/>
              </w:rPr>
              <w:t>-35 -77 -40</w:t>
            </w:r>
            <w:r w:rsidRPr="009E279F">
              <w:rPr>
                <w:rFonts w:ascii="Times New Roman" w:hAnsi="Times New Roman" w:cs="Times New Roman"/>
                <w:sz w:val="20"/>
                <w:szCs w:val="20"/>
              </w:rPr>
              <w:t>)</w:t>
            </w:r>
          </w:p>
        </w:tc>
      </w:tr>
      <w:tr w:rsidR="00AD51EF" w:rsidRPr="009E279F" w14:paraId="6A10A37E" w14:textId="77777777" w:rsidTr="00AD51EF">
        <w:trPr>
          <w:trHeight w:val="278"/>
        </w:trPr>
        <w:tc>
          <w:tcPr>
            <w:tcW w:w="1419" w:type="dxa"/>
            <w:vMerge/>
            <w:tcBorders>
              <w:left w:val="nil"/>
              <w:bottom w:val="nil"/>
              <w:right w:val="nil"/>
            </w:tcBorders>
          </w:tcPr>
          <w:p w14:paraId="3B0171D6"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4178E925"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56951871"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30D78563"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5724F4BD"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4</w:t>
            </w:r>
          </w:p>
        </w:tc>
        <w:tc>
          <w:tcPr>
            <w:tcW w:w="1134" w:type="dxa"/>
            <w:tcBorders>
              <w:top w:val="nil"/>
              <w:left w:val="nil"/>
              <w:bottom w:val="nil"/>
              <w:right w:val="nil"/>
            </w:tcBorders>
          </w:tcPr>
          <w:p w14:paraId="3FCDE554"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w:t>
            </w:r>
          </w:p>
        </w:tc>
        <w:tc>
          <w:tcPr>
            <w:tcW w:w="1701" w:type="dxa"/>
            <w:tcBorders>
              <w:top w:val="nil"/>
              <w:left w:val="nil"/>
              <w:bottom w:val="nil"/>
              <w:right w:val="nil"/>
            </w:tcBorders>
          </w:tcPr>
          <w:p w14:paraId="58E3AC38"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3152BEFB"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4E756678"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1112</w:t>
            </w:r>
          </w:p>
        </w:tc>
        <w:tc>
          <w:tcPr>
            <w:tcW w:w="2552" w:type="dxa"/>
            <w:tcBorders>
              <w:top w:val="nil"/>
              <w:left w:val="nil"/>
              <w:bottom w:val="nil"/>
              <w:right w:val="nil"/>
            </w:tcBorders>
          </w:tcPr>
          <w:p w14:paraId="08E8E7C8"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 xml:space="preserve">(-10 -78 -22) to (8 -66 -10) </w:t>
            </w:r>
            <w:proofErr w:type="spellStart"/>
            <w:r w:rsidRPr="006354C0">
              <w:rPr>
                <w:rFonts w:ascii="Times New Roman" w:hAnsi="Times New Roman" w:cs="Times New Roman"/>
                <w:sz w:val="20"/>
                <w:szCs w:val="20"/>
              </w:rPr>
              <w:t>centered</w:t>
            </w:r>
            <w:proofErr w:type="spellEnd"/>
            <w:r w:rsidRPr="006354C0">
              <w:rPr>
                <w:rFonts w:ascii="Times New Roman" w:hAnsi="Times New Roman" w:cs="Times New Roman"/>
                <w:sz w:val="20"/>
                <w:szCs w:val="20"/>
              </w:rPr>
              <w:t xml:space="preserve"> at </w:t>
            </w:r>
            <w:r w:rsidRPr="009E279F">
              <w:rPr>
                <w:rFonts w:ascii="Times New Roman" w:hAnsi="Times New Roman" w:cs="Times New Roman"/>
                <w:sz w:val="20"/>
                <w:szCs w:val="20"/>
              </w:rPr>
              <w:t>(</w:t>
            </w:r>
            <w:r w:rsidRPr="006354C0">
              <w:rPr>
                <w:rFonts w:ascii="Times New Roman" w:hAnsi="Times New Roman" w:cs="Times New Roman"/>
                <w:sz w:val="20"/>
                <w:szCs w:val="20"/>
              </w:rPr>
              <w:t>1 -72 -15)</w:t>
            </w:r>
          </w:p>
        </w:tc>
      </w:tr>
      <w:tr w:rsidR="00AD51EF" w:rsidRPr="009E279F" w14:paraId="05650AD2" w14:textId="77777777" w:rsidTr="00AD51EF">
        <w:trPr>
          <w:trHeight w:val="689"/>
        </w:trPr>
        <w:tc>
          <w:tcPr>
            <w:tcW w:w="1419" w:type="dxa"/>
            <w:tcBorders>
              <w:top w:val="nil"/>
              <w:left w:val="nil"/>
              <w:bottom w:val="single" w:sz="4" w:space="0" w:color="auto"/>
              <w:right w:val="nil"/>
            </w:tcBorders>
          </w:tcPr>
          <w:p w14:paraId="1B5D0FB0"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single" w:sz="4" w:space="0" w:color="auto"/>
              <w:right w:val="nil"/>
            </w:tcBorders>
          </w:tcPr>
          <w:p w14:paraId="5C2F9087"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single" w:sz="4" w:space="0" w:color="auto"/>
              <w:right w:val="nil"/>
            </w:tcBorders>
          </w:tcPr>
          <w:p w14:paraId="27C870B9"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single" w:sz="4" w:space="0" w:color="auto"/>
              <w:right w:val="nil"/>
            </w:tcBorders>
          </w:tcPr>
          <w:p w14:paraId="4F992F57"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single" w:sz="4" w:space="0" w:color="auto"/>
              <w:right w:val="nil"/>
            </w:tcBorders>
          </w:tcPr>
          <w:p w14:paraId="42B9F70B"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5</w:t>
            </w:r>
          </w:p>
        </w:tc>
        <w:tc>
          <w:tcPr>
            <w:tcW w:w="1134" w:type="dxa"/>
            <w:tcBorders>
              <w:top w:val="nil"/>
              <w:left w:val="nil"/>
              <w:bottom w:val="single" w:sz="4" w:space="0" w:color="auto"/>
              <w:right w:val="nil"/>
            </w:tcBorders>
          </w:tcPr>
          <w:p w14:paraId="7347440C"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w:t>
            </w:r>
          </w:p>
        </w:tc>
        <w:tc>
          <w:tcPr>
            <w:tcW w:w="1701" w:type="dxa"/>
            <w:tcBorders>
              <w:top w:val="nil"/>
              <w:left w:val="nil"/>
              <w:bottom w:val="single" w:sz="4" w:space="0" w:color="auto"/>
              <w:right w:val="nil"/>
            </w:tcBorders>
          </w:tcPr>
          <w:p w14:paraId="100A8583"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single" w:sz="4" w:space="0" w:color="auto"/>
              <w:right w:val="nil"/>
            </w:tcBorders>
          </w:tcPr>
          <w:p w14:paraId="7EB09D85"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single" w:sz="4" w:space="0" w:color="auto"/>
              <w:right w:val="nil"/>
            </w:tcBorders>
          </w:tcPr>
          <w:p w14:paraId="5897FA97"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808</w:t>
            </w:r>
          </w:p>
        </w:tc>
        <w:tc>
          <w:tcPr>
            <w:tcW w:w="2552" w:type="dxa"/>
            <w:tcBorders>
              <w:top w:val="nil"/>
              <w:left w:val="nil"/>
              <w:bottom w:val="single" w:sz="4" w:space="0" w:color="auto"/>
              <w:right w:val="nil"/>
            </w:tcBorders>
          </w:tcPr>
          <w:p w14:paraId="597555AF"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 xml:space="preserve">(-48 -54 -46) to (-34 -36 -36) </w:t>
            </w:r>
            <w:proofErr w:type="spellStart"/>
            <w:r w:rsidRPr="006354C0">
              <w:rPr>
                <w:rFonts w:ascii="Times New Roman" w:hAnsi="Times New Roman" w:cs="Times New Roman"/>
                <w:sz w:val="20"/>
                <w:szCs w:val="20"/>
              </w:rPr>
              <w:t>centered</w:t>
            </w:r>
            <w:proofErr w:type="spellEnd"/>
            <w:r w:rsidRPr="006354C0">
              <w:rPr>
                <w:rFonts w:ascii="Times New Roman" w:hAnsi="Times New Roman" w:cs="Times New Roman"/>
                <w:sz w:val="20"/>
                <w:szCs w:val="20"/>
              </w:rPr>
              <w:t xml:space="preserve"> at </w:t>
            </w:r>
            <w:r w:rsidRPr="009E279F">
              <w:rPr>
                <w:rFonts w:ascii="Times New Roman" w:hAnsi="Times New Roman" w:cs="Times New Roman"/>
                <w:sz w:val="20"/>
                <w:szCs w:val="20"/>
              </w:rPr>
              <w:t>(</w:t>
            </w:r>
            <w:r w:rsidRPr="006354C0">
              <w:rPr>
                <w:rFonts w:ascii="Times New Roman" w:hAnsi="Times New Roman" w:cs="Times New Roman"/>
                <w:sz w:val="20"/>
                <w:szCs w:val="20"/>
              </w:rPr>
              <w:t>-40 -42 -41)</w:t>
            </w:r>
          </w:p>
        </w:tc>
      </w:tr>
      <w:tr w:rsidR="00AD51EF" w:rsidRPr="009E279F" w14:paraId="24BE86E7" w14:textId="77777777" w:rsidTr="00AD51EF">
        <w:trPr>
          <w:trHeight w:val="278"/>
        </w:trPr>
        <w:tc>
          <w:tcPr>
            <w:tcW w:w="1419" w:type="dxa"/>
            <w:vMerge w:val="restart"/>
            <w:tcBorders>
              <w:top w:val="single" w:sz="4" w:space="0" w:color="auto"/>
              <w:left w:val="nil"/>
              <w:right w:val="nil"/>
            </w:tcBorders>
          </w:tcPr>
          <w:p w14:paraId="105CD184" w14:textId="77777777" w:rsidR="00F4687C" w:rsidRDefault="00F4687C" w:rsidP="00BD0CFF">
            <w:pPr>
              <w:rPr>
                <w:rFonts w:ascii="Times New Roman" w:hAnsi="Times New Roman" w:cs="Times New Roman"/>
                <w:sz w:val="20"/>
                <w:szCs w:val="20"/>
              </w:rPr>
            </w:pPr>
            <w:r>
              <w:rPr>
                <w:rFonts w:ascii="Times New Roman" w:hAnsi="Times New Roman" w:cs="Times New Roman"/>
                <w:sz w:val="20"/>
                <w:szCs w:val="20"/>
              </w:rPr>
              <w:lastRenderedPageBreak/>
              <w:t>Antonova et al., 2009</w:t>
            </w:r>
          </w:p>
          <w:p w14:paraId="53DE6368" w14:textId="77777777" w:rsidR="00F4687C" w:rsidRPr="009E279F" w:rsidRDefault="00F4687C" w:rsidP="00BD0CFF">
            <w:pP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{"citationItems":[{"id":"ITEM-1","itemData":{"DOI":"10.1080/09658210802077348","ISBN":"0965821080207","ISSN":"0965-8211","abstract":"Age-related decline in allocentric (viewer-independent) spatial memory is seen across species. We employed a virtual reality analogue of the Morris Water Maze to study the effect of healthy ageing on neural activity during allocentric spatial memory using functional magnetic resonance imaging. Voxel-based morphometry was used to ascertain hippocampal volumetric integrity. A widespread neural network comprising frontal, parietal, occipital, thalamic, and cerebellar regions was activated in young and older adults, but only young adults significantly activated bilateral hippocampus and left parahippocampus, as well as right frontal pole and dorso-lateral prefrontal cortex (DLPFC) during encoding and right DLPC during retrieval. Hippocampal grey matter volume was unchanged in older adults; however, prefrontal and parahippocampal functional attenuation was accompanied by volumetric reduction. We conclude that the decline in allocentric spatial memory with age is associated with attenuated hippocampal function, as well as compromised function and structure of prefrontal and parahippocampal regions. (PsycINFO Database Record (c) 2016 APA, all rights reserved)","author":[{"dropping-particle":"","family":"Antonova","given":"Elena","non-dropping-particle":"","parse-names":false,"suffix":""},{"dropping-particle":"","family":"Parslow","given":"D.","non-dropping-particle":"","parse-names":false,"suffix":""},{"dropping-particle":"","family":"Brammer","given":"M.","non-dropping-particle":"","parse-names":false,"suffix":""},{"dropping-particle":"","family":"Dawson","given":"G. R.","non-dropping-particle":"","parse-names":false,"suffix":""},{"dropping-particle":"","family":"Jackson","given":"S. H.D. D","non-dropping-particle":"","parse-names":false,"suffix":""},{"dropping-particle":"","family":"Morris","given":"R. G.","non-dropping-particle":"","parse-names":false,"suffix":""}],"container-title":"Memory","id":"ITEM-1","issue":"2","issued":{"date-parts":[["2009","2"]]},"note":"From Duplicate 1 (Age-related neural activity during allocentric spatial memory - Antonova, E; Parslow, D; Brammer, M; Dawson, G R; Jackson, S H D; Morris, R G)\n\nAccession Number: 2009-02112-001. PMID: 18608980 Partial author list: First Author &amp;amp; Affiliation: Antonova, E.; Institute of Psychiatry, King’s College London, London, United Kingdom. Release Date: 20090720. Correction Date: 20121119. Publication Type: Journal (0100), Peer Reviewed Journal (0110). Format Covered: Electronic. Document Type: Journal Article. Language: English. Major Descriptor: Aging; Neural Development; Neuropsychology; Spatial Memory. Classification: Neuropsychology &amp;amp; Neurology (2520); Developmental Psychology (2800). Population: Human (10). Location: United Kingdom. Age Group: Adulthood (18 yrs &amp;amp; older) (300); Young Adulthood (18-29 yrs) (320); Middle Age (40-64 yrs) (360); Aged (65 yrs &amp;amp; older) (380). Tests &amp;amp; Measures: Mini Mental State Examination; Wechsler Abbreviated Scale of Intelligence DOI: 10.1037/t15170-000. Methodology: Empirical Study; Quantitative Study. References Available: Y. Page Count: 19. Issue Publication Date: Feb, 2009.\n\nFrom Duplicate 2 (Age-related neural activity during allocentric spatial memory - Antonova, Elena; Parslow, D.; Brammer, M.; Dawson, G. R.; Jackson, S. H.D. D; Morris, R. G.)\n\nFrom Duplicate 1 (Age-related neural activity during allocentric spatial memory - Antonova, E; Parslow, D; Brammer, M; Dawson, G R; Jackson, S H D; Morris, R G)\n\nAccession Number: 2009-02112-001. PMID: 18608980 Partial author list: First Author &amp;amp; Affiliation: Antonova, E.; Institute of Psychiatry, King’s College London, London, United Kingdom. Release Date: 20090720. Correction Date: 20121119. Publication Type: Journal (0100), Peer Reviewed Journal (0110). Format Covered: Electronic. Document Type: Journal Article. Language: English. Major Descriptor: Aging; Neural Development; Neuropsychology; Spatial Memory. Classification: Neuropsychology &amp;amp; Neurology (2520); Developmental Psychology (2800). Population: Human (10). Location: United Kingdom. Age Group: Adulthood (18 yrs &amp;amp; older) (300); Young Adulthood (18-29 yrs) (320); Middle Age (40-64 yrs) (360); Aged (65 yrs &amp;amp; older) (380). Tests &amp;amp; Measures: Mini Mental State Examination; Wechsler Abbreviated Scale of Intelligence DOI: 10.1037/t15170-000. Methodology: Empirical Study; Quantitative Study. References Available: Y. Page Count: 19. Issue Publication Date: Feb, 2009.\n\nFrom Duplicate 2 (Age-related neural activity during allocentric spatial memory - Antonova, Elena; Parslow, D.; Brammer, M.; Dawson, G. R.; Jackson, S. H.D. D; Morris, R. G.)\n\nFrom Duplicate 1 (Age-related neural activity during allocentric spatial memory - Antonova, Elena; Parslow, D.; Brammer, M.; Dawson, G. R.; Jackson, S. H.D. D; Morris, R. G.)\n\nFrom Duplicate 2 (Age-related neural activity during allocentric spatial memory - Antonova, E; Parslow, D; Brammer, M; Dawson, G R; Jackson, S H D; Morris, R G)\n\nAccession Number: 2009-02112-001. PMID: 18608980 Partial author list: First Author &amp;amp; Affiliation: Antonova, E.; Institute of Psychiatry, King’s College London, London, United Kingdom. Release Date: 20090720. Correction Date: 20121119. Publication Type: Journal (0100), Peer Reviewed Journal (0110). Format Covered: Electronic. Document Type: Journal Article. Language: English. Major Descriptor: Aging; Neural Development; Neuropsychology; Spatial Memory. Classification: Neuropsychology &amp;amp; Neurology (2520); Developmental Psychology (2800). Population: Human (10). Location: United Kingdom. Age Group: Adulthood (18 yrs &amp;amp; older) (300); Young Adulthood (18-29 yrs) (320); Middle Age (40-64 yrs) (360); Aged (65 yrs &amp;amp; older) (380). Tests &amp;amp; Measures: Mini Mental State Examination; Wechsler Abbreviated Scale of Intelligence DOI: 10.1037/t15170-000. Methodology: Empirical Study; Quantitative Study. References Available: Y. Page Count: 19. Issue Publication Date: Feb, 2009.\n\nFrom Duplicate 2 (Age-related neural activity during allocentric spatial memory - Antonova, E; Parslow, D; Brammer, M; Dawson, G R; Jackson, S H D; Morris, R G)\n\nAccession Number: 2009-02112-001. PMID: 18608980 Partial author list: First Author &amp;amp; Affiliation: Antonova, E.; Institute of Psychiatry, King’s College London, London, United Kingdom. Release Date: 20090720. Correction Date: 20121119. Publication Type: Journal (0100), Peer Reviewed Journal (0110). Format Covered: Electronic. Document Type: Journal Article. Language: English. Major Descriptor: Aging; Neural Development; Neuropsychology; Spatial Memory. Classification: Neuropsychology &amp;amp; Neurology (2520); Developmental Psychology (2800). Population: Human (10). Location: United Kingdom. Age Group: Adulthood (18 yrs &amp;amp; older) (300); Young Adulthood (18-29 yrs) (320); Middle Age (40-64 yrs) (360); Aged (65 yrs &amp;amp; older) (380). Tests &amp;amp; Measures: Mini Mental State Examination; Wechsler Abbreviated Scale of Intelligence DOI: 10.1037/t15170-000. Methodology: Empirical Study; Quantitative Study. References Available: Y. Page Count: 19. Issue Publication Date: Feb, 2009.","page":"125-143","publisher":"Taylor &amp; Francis","publisher-place":"Antonova, E., Department of Psychology, Institute of Psychiatry, King’s College London, PO Box 78, De Crespigny Park, London, United Kingdom, SE5 8AF","title":"Age-related neural activity during allocentric spatial memory","type":"article-journal","volume":"17"},"uris":["http://www.mendeley.com/documents/?uuid=66fba3ae-d3bb-4db6-abd6-faffc6c15034"]}],"mendeley":{"formattedCitation":"[2]","plainTextFormattedCitation":"[2]","previouslyFormattedCitation":"[2]"},"properties":{"noteIndex":0},"schema":"https://github.com/citation-style-language/schema/raw/master/csl-citation.json"}</w:instrText>
            </w:r>
            <w:r>
              <w:rPr>
                <w:rFonts w:ascii="Times New Roman" w:hAnsi="Times New Roman" w:cs="Times New Roman"/>
                <w:sz w:val="20"/>
                <w:szCs w:val="20"/>
              </w:rPr>
              <w:fldChar w:fldCharType="separate"/>
            </w:r>
            <w:r w:rsidRPr="00B12442">
              <w:rPr>
                <w:rFonts w:ascii="Times New Roman" w:hAnsi="Times New Roman" w:cs="Times New Roman"/>
                <w:noProof/>
                <w:sz w:val="20"/>
                <w:szCs w:val="20"/>
              </w:rPr>
              <w:t>[2]</w:t>
            </w:r>
            <w:r>
              <w:rPr>
                <w:rFonts w:ascii="Times New Roman" w:hAnsi="Times New Roman" w:cs="Times New Roman"/>
                <w:sz w:val="20"/>
                <w:szCs w:val="20"/>
              </w:rPr>
              <w:fldChar w:fldCharType="end"/>
            </w:r>
          </w:p>
        </w:tc>
        <w:tc>
          <w:tcPr>
            <w:tcW w:w="987" w:type="dxa"/>
            <w:tcBorders>
              <w:top w:val="single" w:sz="4" w:space="0" w:color="auto"/>
              <w:left w:val="nil"/>
              <w:bottom w:val="nil"/>
              <w:right w:val="nil"/>
            </w:tcBorders>
          </w:tcPr>
          <w:p w14:paraId="15987E4D"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59</w:t>
            </w:r>
          </w:p>
        </w:tc>
        <w:tc>
          <w:tcPr>
            <w:tcW w:w="1080" w:type="dxa"/>
            <w:tcBorders>
              <w:top w:val="single" w:sz="4" w:space="0" w:color="auto"/>
              <w:left w:val="nil"/>
              <w:bottom w:val="nil"/>
              <w:right w:val="nil"/>
            </w:tcBorders>
          </w:tcPr>
          <w:p w14:paraId="16320A92"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2421</w:t>
            </w:r>
          </w:p>
        </w:tc>
        <w:tc>
          <w:tcPr>
            <w:tcW w:w="1476" w:type="dxa"/>
            <w:tcBorders>
              <w:top w:val="single" w:sz="4" w:space="0" w:color="auto"/>
              <w:left w:val="nil"/>
              <w:bottom w:val="nil"/>
              <w:right w:val="nil"/>
            </w:tcBorders>
          </w:tcPr>
          <w:p w14:paraId="18CC382A"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504</w:t>
            </w:r>
          </w:p>
        </w:tc>
        <w:tc>
          <w:tcPr>
            <w:tcW w:w="2268" w:type="dxa"/>
            <w:tcBorders>
              <w:top w:val="single" w:sz="4" w:space="0" w:color="auto"/>
              <w:left w:val="nil"/>
              <w:bottom w:val="nil"/>
              <w:right w:val="nil"/>
            </w:tcBorders>
          </w:tcPr>
          <w:p w14:paraId="6D9374C7"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1</w:t>
            </w:r>
          </w:p>
          <w:p w14:paraId="4CF3E81C" w14:textId="77777777" w:rsidR="00F4687C" w:rsidRPr="009E279F" w:rsidRDefault="00F4687C" w:rsidP="00BD0CFF">
            <w:pPr>
              <w:rPr>
                <w:rFonts w:ascii="Times New Roman" w:hAnsi="Times New Roman" w:cs="Times New Roman"/>
                <w:sz w:val="20"/>
                <w:szCs w:val="20"/>
              </w:rPr>
            </w:pPr>
          </w:p>
        </w:tc>
        <w:tc>
          <w:tcPr>
            <w:tcW w:w="1134" w:type="dxa"/>
            <w:tcBorders>
              <w:top w:val="single" w:sz="4" w:space="0" w:color="auto"/>
              <w:left w:val="nil"/>
              <w:bottom w:val="nil"/>
              <w:right w:val="nil"/>
            </w:tcBorders>
          </w:tcPr>
          <w:p w14:paraId="441C50B7"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w:t>
            </w:r>
          </w:p>
        </w:tc>
        <w:tc>
          <w:tcPr>
            <w:tcW w:w="1701" w:type="dxa"/>
            <w:tcBorders>
              <w:top w:val="single" w:sz="4" w:space="0" w:color="auto"/>
              <w:left w:val="nil"/>
              <w:bottom w:val="nil"/>
              <w:right w:val="nil"/>
            </w:tcBorders>
          </w:tcPr>
          <w:p w14:paraId="0D514E75"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single" w:sz="4" w:space="0" w:color="auto"/>
              <w:left w:val="nil"/>
              <w:bottom w:val="nil"/>
              <w:right w:val="nil"/>
            </w:tcBorders>
          </w:tcPr>
          <w:p w14:paraId="033B870B"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single" w:sz="4" w:space="0" w:color="auto"/>
              <w:left w:val="nil"/>
              <w:bottom w:val="nil"/>
              <w:right w:val="nil"/>
            </w:tcBorders>
          </w:tcPr>
          <w:p w14:paraId="1DB86EBD"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1504</w:t>
            </w:r>
          </w:p>
        </w:tc>
        <w:tc>
          <w:tcPr>
            <w:tcW w:w="2552" w:type="dxa"/>
            <w:tcBorders>
              <w:top w:val="single" w:sz="4" w:space="0" w:color="auto"/>
              <w:left w:val="nil"/>
              <w:bottom w:val="nil"/>
              <w:right w:val="nil"/>
            </w:tcBorders>
          </w:tcPr>
          <w:p w14:paraId="477D15EA"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 xml:space="preserve">(24 -90 -42) to (40 -72 -30)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6354C0">
              <w:rPr>
                <w:rFonts w:ascii="Times New Roman" w:hAnsi="Times New Roman" w:cs="Times New Roman"/>
                <w:sz w:val="20"/>
                <w:szCs w:val="20"/>
              </w:rPr>
              <w:t>33 -81 -37</w:t>
            </w:r>
            <w:r w:rsidRPr="009E279F">
              <w:rPr>
                <w:rFonts w:ascii="Times New Roman" w:hAnsi="Times New Roman" w:cs="Times New Roman"/>
                <w:sz w:val="20"/>
                <w:szCs w:val="20"/>
              </w:rPr>
              <w:t>)</w:t>
            </w:r>
          </w:p>
        </w:tc>
      </w:tr>
      <w:tr w:rsidR="00AD51EF" w:rsidRPr="009E279F" w14:paraId="0289781A" w14:textId="77777777" w:rsidTr="00AD51EF">
        <w:trPr>
          <w:trHeight w:val="278"/>
        </w:trPr>
        <w:tc>
          <w:tcPr>
            <w:tcW w:w="1419" w:type="dxa"/>
            <w:vMerge/>
            <w:tcBorders>
              <w:left w:val="nil"/>
              <w:right w:val="nil"/>
            </w:tcBorders>
          </w:tcPr>
          <w:p w14:paraId="3C4A1E0A"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026F4279"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0155D176"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54514381"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4C97A012"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3</w:t>
            </w:r>
          </w:p>
        </w:tc>
        <w:tc>
          <w:tcPr>
            <w:tcW w:w="1134" w:type="dxa"/>
            <w:tcBorders>
              <w:top w:val="nil"/>
              <w:left w:val="nil"/>
              <w:bottom w:val="nil"/>
              <w:right w:val="nil"/>
            </w:tcBorders>
          </w:tcPr>
          <w:p w14:paraId="6FE4B511"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sym w:font="Symbol" w:char="F0AF"/>
            </w:r>
          </w:p>
        </w:tc>
        <w:tc>
          <w:tcPr>
            <w:tcW w:w="1701" w:type="dxa"/>
            <w:tcBorders>
              <w:top w:val="nil"/>
              <w:left w:val="nil"/>
              <w:bottom w:val="nil"/>
              <w:right w:val="nil"/>
            </w:tcBorders>
          </w:tcPr>
          <w:p w14:paraId="340347E9"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7CEA7D7F"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4ADD78C2"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920</w:t>
            </w:r>
          </w:p>
        </w:tc>
        <w:tc>
          <w:tcPr>
            <w:tcW w:w="2552" w:type="dxa"/>
            <w:tcBorders>
              <w:top w:val="nil"/>
              <w:left w:val="nil"/>
              <w:bottom w:val="nil"/>
              <w:right w:val="nil"/>
            </w:tcBorders>
          </w:tcPr>
          <w:p w14:paraId="2D6E7BA0"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 xml:space="preserve">(28 -68 -34) to (42 -56 -24) </w:t>
            </w:r>
            <w:proofErr w:type="spellStart"/>
            <w:r w:rsidRPr="006354C0">
              <w:rPr>
                <w:rFonts w:ascii="Times New Roman" w:hAnsi="Times New Roman" w:cs="Times New Roman"/>
                <w:sz w:val="20"/>
                <w:szCs w:val="20"/>
              </w:rPr>
              <w:t>centered</w:t>
            </w:r>
            <w:proofErr w:type="spellEnd"/>
            <w:r w:rsidRPr="006354C0">
              <w:rPr>
                <w:rFonts w:ascii="Times New Roman" w:hAnsi="Times New Roman" w:cs="Times New Roman"/>
                <w:sz w:val="20"/>
                <w:szCs w:val="20"/>
              </w:rPr>
              <w:t xml:space="preserve"> at (35 -62 -29)</w:t>
            </w:r>
          </w:p>
        </w:tc>
      </w:tr>
      <w:tr w:rsidR="00AD51EF" w:rsidRPr="009E279F" w14:paraId="700B3E01" w14:textId="77777777" w:rsidTr="00AD51EF">
        <w:trPr>
          <w:trHeight w:val="540"/>
        </w:trPr>
        <w:tc>
          <w:tcPr>
            <w:tcW w:w="1419" w:type="dxa"/>
            <w:vMerge/>
            <w:tcBorders>
              <w:left w:val="nil"/>
              <w:bottom w:val="nil"/>
              <w:right w:val="nil"/>
            </w:tcBorders>
          </w:tcPr>
          <w:p w14:paraId="6ED14227"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6CE3C1A9"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78896C19"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4B04F717"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1887F883"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2</w:t>
            </w:r>
          </w:p>
        </w:tc>
        <w:tc>
          <w:tcPr>
            <w:tcW w:w="1134" w:type="dxa"/>
            <w:tcBorders>
              <w:top w:val="nil"/>
              <w:left w:val="nil"/>
              <w:bottom w:val="nil"/>
              <w:right w:val="nil"/>
            </w:tcBorders>
          </w:tcPr>
          <w:p w14:paraId="3355742F"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sym w:font="Symbol" w:char="F0AD"/>
            </w:r>
          </w:p>
        </w:tc>
        <w:tc>
          <w:tcPr>
            <w:tcW w:w="1701" w:type="dxa"/>
            <w:tcBorders>
              <w:top w:val="nil"/>
              <w:left w:val="nil"/>
              <w:bottom w:val="nil"/>
              <w:right w:val="nil"/>
            </w:tcBorders>
          </w:tcPr>
          <w:p w14:paraId="70570A8F"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Yes</w:t>
            </w:r>
          </w:p>
        </w:tc>
        <w:tc>
          <w:tcPr>
            <w:tcW w:w="1418" w:type="dxa"/>
            <w:tcBorders>
              <w:top w:val="nil"/>
              <w:left w:val="nil"/>
              <w:bottom w:val="nil"/>
              <w:right w:val="nil"/>
            </w:tcBorders>
          </w:tcPr>
          <w:p w14:paraId="563D07D5"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7E626831"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1312</w:t>
            </w:r>
          </w:p>
        </w:tc>
        <w:tc>
          <w:tcPr>
            <w:tcW w:w="2552" w:type="dxa"/>
            <w:tcBorders>
              <w:top w:val="nil"/>
              <w:left w:val="nil"/>
              <w:bottom w:val="nil"/>
              <w:right w:val="nil"/>
            </w:tcBorders>
          </w:tcPr>
          <w:p w14:paraId="20441CA2"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 xml:space="preserve">(-48 -86 -44) to (-28 -68 -34) </w:t>
            </w:r>
            <w:proofErr w:type="spellStart"/>
            <w:r w:rsidRPr="006354C0">
              <w:rPr>
                <w:rFonts w:ascii="Times New Roman" w:hAnsi="Times New Roman" w:cs="Times New Roman"/>
                <w:sz w:val="20"/>
                <w:szCs w:val="20"/>
              </w:rPr>
              <w:t>centered</w:t>
            </w:r>
            <w:proofErr w:type="spellEnd"/>
            <w:r w:rsidRPr="006354C0">
              <w:rPr>
                <w:rFonts w:ascii="Times New Roman" w:hAnsi="Times New Roman" w:cs="Times New Roman"/>
                <w:sz w:val="20"/>
                <w:szCs w:val="20"/>
              </w:rPr>
              <w:t xml:space="preserve"> at (-35 -77 -49)</w:t>
            </w:r>
          </w:p>
        </w:tc>
      </w:tr>
      <w:tr w:rsidR="00AD51EF" w:rsidRPr="009E279F" w14:paraId="0C1D7459" w14:textId="77777777" w:rsidTr="00AD51EF">
        <w:trPr>
          <w:trHeight w:val="315"/>
        </w:trPr>
        <w:tc>
          <w:tcPr>
            <w:tcW w:w="4962" w:type="dxa"/>
            <w:gridSpan w:val="4"/>
            <w:tcBorders>
              <w:top w:val="nil"/>
              <w:left w:val="nil"/>
              <w:bottom w:val="nil"/>
              <w:right w:val="nil"/>
            </w:tcBorders>
          </w:tcPr>
          <w:p w14:paraId="7A568D51" w14:textId="77777777" w:rsidR="00F4687C" w:rsidRPr="009E279F" w:rsidRDefault="00F4687C" w:rsidP="00BD0CFF">
            <w:pPr>
              <w:rPr>
                <w:rFonts w:ascii="Times New Roman" w:hAnsi="Times New Roman" w:cs="Times New Roman"/>
                <w:sz w:val="20"/>
                <w:szCs w:val="20"/>
              </w:rPr>
            </w:pPr>
            <w:r>
              <w:rPr>
                <w:rFonts w:ascii="Times New Roman" w:hAnsi="Times New Roman" w:cs="Times New Roman"/>
                <w:sz w:val="20"/>
                <w:szCs w:val="20"/>
              </w:rPr>
              <w:t>Cluster 5</w:t>
            </w:r>
            <w:r w:rsidRPr="009E279F">
              <w:rPr>
                <w:rFonts w:ascii="Times New Roman" w:hAnsi="Times New Roman" w:cs="Times New Roman"/>
                <w:sz w:val="20"/>
                <w:szCs w:val="20"/>
              </w:rPr>
              <w:t xml:space="preserve"> from main analysis does not survive</w:t>
            </w:r>
          </w:p>
        </w:tc>
        <w:tc>
          <w:tcPr>
            <w:tcW w:w="2268" w:type="dxa"/>
            <w:tcBorders>
              <w:top w:val="nil"/>
              <w:left w:val="nil"/>
              <w:bottom w:val="nil"/>
              <w:right w:val="nil"/>
            </w:tcBorders>
          </w:tcPr>
          <w:p w14:paraId="65785E6D" w14:textId="77777777" w:rsidR="00F4687C" w:rsidRPr="009E279F" w:rsidRDefault="00F4687C" w:rsidP="00BD0CFF">
            <w:pPr>
              <w:rPr>
                <w:rFonts w:ascii="Times New Roman" w:hAnsi="Times New Roman" w:cs="Times New Roman"/>
                <w:sz w:val="20"/>
                <w:szCs w:val="20"/>
              </w:rPr>
            </w:pPr>
            <w:r>
              <w:rPr>
                <w:rFonts w:ascii="Times New Roman" w:hAnsi="Times New Roman" w:cs="Times New Roman"/>
                <w:sz w:val="20"/>
                <w:szCs w:val="20"/>
              </w:rPr>
              <w:t>5</w:t>
            </w:r>
          </w:p>
        </w:tc>
        <w:tc>
          <w:tcPr>
            <w:tcW w:w="1134" w:type="dxa"/>
            <w:tcBorders>
              <w:top w:val="nil"/>
              <w:left w:val="nil"/>
              <w:bottom w:val="nil"/>
              <w:right w:val="nil"/>
            </w:tcBorders>
          </w:tcPr>
          <w:p w14:paraId="55CB5B21" w14:textId="77777777" w:rsidR="00F4687C" w:rsidRPr="009E279F" w:rsidRDefault="00F4687C" w:rsidP="00BD0CFF">
            <w:pPr>
              <w:rPr>
                <w:rFonts w:ascii="Times New Roman" w:hAnsi="Times New Roman" w:cs="Times New Roman"/>
                <w:sz w:val="20"/>
                <w:szCs w:val="20"/>
              </w:rPr>
            </w:pPr>
            <w:r>
              <w:rPr>
                <w:rFonts w:ascii="Times New Roman" w:hAnsi="Times New Roman" w:cs="Times New Roman"/>
                <w:sz w:val="20"/>
                <w:szCs w:val="20"/>
              </w:rPr>
              <w:t>NA</w:t>
            </w:r>
          </w:p>
        </w:tc>
        <w:tc>
          <w:tcPr>
            <w:tcW w:w="1701" w:type="dxa"/>
            <w:tcBorders>
              <w:top w:val="nil"/>
              <w:left w:val="nil"/>
              <w:bottom w:val="nil"/>
              <w:right w:val="nil"/>
            </w:tcBorders>
          </w:tcPr>
          <w:p w14:paraId="7573F187" w14:textId="77777777" w:rsidR="00F4687C" w:rsidRPr="009E279F" w:rsidRDefault="00F4687C" w:rsidP="00BD0CFF">
            <w:pPr>
              <w:rPr>
                <w:rFonts w:ascii="Times New Roman" w:hAnsi="Times New Roman" w:cs="Times New Roman"/>
                <w:sz w:val="20"/>
                <w:szCs w:val="20"/>
              </w:rPr>
            </w:pPr>
            <w:r>
              <w:rPr>
                <w:rFonts w:ascii="Times New Roman" w:hAnsi="Times New Roman" w:cs="Times New Roman"/>
                <w:sz w:val="20"/>
                <w:szCs w:val="20"/>
              </w:rPr>
              <w:t>NA</w:t>
            </w:r>
          </w:p>
        </w:tc>
        <w:tc>
          <w:tcPr>
            <w:tcW w:w="1418" w:type="dxa"/>
            <w:tcBorders>
              <w:top w:val="nil"/>
              <w:left w:val="nil"/>
              <w:bottom w:val="nil"/>
              <w:right w:val="nil"/>
            </w:tcBorders>
          </w:tcPr>
          <w:p w14:paraId="7C05C180" w14:textId="77777777" w:rsidR="00F4687C" w:rsidRPr="009E279F" w:rsidRDefault="00F4687C" w:rsidP="00BD0CFF">
            <w:pPr>
              <w:rPr>
                <w:rFonts w:ascii="Times New Roman" w:hAnsi="Times New Roman" w:cs="Times New Roman"/>
                <w:sz w:val="20"/>
                <w:szCs w:val="20"/>
              </w:rPr>
            </w:pPr>
            <w:r>
              <w:rPr>
                <w:rFonts w:ascii="Times New Roman" w:hAnsi="Times New Roman" w:cs="Times New Roman"/>
                <w:sz w:val="20"/>
                <w:szCs w:val="20"/>
              </w:rPr>
              <w:t>NA</w:t>
            </w:r>
          </w:p>
        </w:tc>
        <w:tc>
          <w:tcPr>
            <w:tcW w:w="850" w:type="dxa"/>
            <w:tcBorders>
              <w:top w:val="nil"/>
              <w:left w:val="nil"/>
              <w:bottom w:val="nil"/>
              <w:right w:val="nil"/>
            </w:tcBorders>
          </w:tcPr>
          <w:p w14:paraId="03DD3647" w14:textId="77777777" w:rsidR="00F4687C" w:rsidRPr="00415A52" w:rsidRDefault="00F4687C" w:rsidP="00BD0CFF">
            <w:pPr>
              <w:rPr>
                <w:rFonts w:ascii="Times New Roman" w:hAnsi="Times New Roman" w:cs="Times New Roman"/>
                <w:sz w:val="20"/>
                <w:szCs w:val="20"/>
              </w:rPr>
            </w:pPr>
            <w:r>
              <w:rPr>
                <w:rFonts w:ascii="Times New Roman" w:hAnsi="Times New Roman" w:cs="Times New Roman"/>
                <w:sz w:val="20"/>
                <w:szCs w:val="20"/>
              </w:rPr>
              <w:t>NA</w:t>
            </w:r>
          </w:p>
        </w:tc>
        <w:tc>
          <w:tcPr>
            <w:tcW w:w="2552" w:type="dxa"/>
            <w:tcBorders>
              <w:top w:val="nil"/>
              <w:left w:val="nil"/>
              <w:bottom w:val="nil"/>
              <w:right w:val="nil"/>
            </w:tcBorders>
          </w:tcPr>
          <w:p w14:paraId="5877EF20" w14:textId="77777777" w:rsidR="00F4687C" w:rsidRPr="00415A52" w:rsidRDefault="00F4687C" w:rsidP="00BD0CFF">
            <w:pPr>
              <w:rPr>
                <w:rFonts w:ascii="Times New Roman" w:hAnsi="Times New Roman" w:cs="Times New Roman"/>
                <w:sz w:val="20"/>
                <w:szCs w:val="20"/>
              </w:rPr>
            </w:pPr>
            <w:r>
              <w:rPr>
                <w:rFonts w:ascii="Times New Roman" w:hAnsi="Times New Roman" w:cs="Times New Roman"/>
                <w:sz w:val="20"/>
                <w:szCs w:val="20"/>
              </w:rPr>
              <w:t>NA</w:t>
            </w:r>
          </w:p>
        </w:tc>
      </w:tr>
      <w:tr w:rsidR="00AD51EF" w:rsidRPr="009E279F" w14:paraId="78A19061" w14:textId="77777777" w:rsidTr="00AD51EF">
        <w:trPr>
          <w:trHeight w:val="278"/>
        </w:trPr>
        <w:tc>
          <w:tcPr>
            <w:tcW w:w="4962" w:type="dxa"/>
            <w:gridSpan w:val="4"/>
            <w:tcBorders>
              <w:top w:val="nil"/>
              <w:left w:val="nil"/>
              <w:bottom w:val="single" w:sz="4" w:space="0" w:color="auto"/>
              <w:right w:val="nil"/>
            </w:tcBorders>
          </w:tcPr>
          <w:p w14:paraId="61052603"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single" w:sz="4" w:space="0" w:color="auto"/>
              <w:right w:val="nil"/>
            </w:tcBorders>
          </w:tcPr>
          <w:p w14:paraId="1D903D53"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4</w:t>
            </w:r>
          </w:p>
        </w:tc>
        <w:tc>
          <w:tcPr>
            <w:tcW w:w="1134" w:type="dxa"/>
            <w:tcBorders>
              <w:top w:val="nil"/>
              <w:left w:val="nil"/>
              <w:bottom w:val="single" w:sz="4" w:space="0" w:color="auto"/>
              <w:right w:val="nil"/>
            </w:tcBorders>
          </w:tcPr>
          <w:p w14:paraId="418D52C6"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w:t>
            </w:r>
          </w:p>
        </w:tc>
        <w:tc>
          <w:tcPr>
            <w:tcW w:w="1701" w:type="dxa"/>
            <w:tcBorders>
              <w:top w:val="nil"/>
              <w:left w:val="nil"/>
              <w:bottom w:val="single" w:sz="4" w:space="0" w:color="auto"/>
              <w:right w:val="nil"/>
            </w:tcBorders>
          </w:tcPr>
          <w:p w14:paraId="65AD438E"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single" w:sz="4" w:space="0" w:color="auto"/>
              <w:right w:val="nil"/>
            </w:tcBorders>
          </w:tcPr>
          <w:p w14:paraId="43057F52"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single" w:sz="4" w:space="0" w:color="auto"/>
              <w:right w:val="nil"/>
            </w:tcBorders>
          </w:tcPr>
          <w:p w14:paraId="44F2335F"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808</w:t>
            </w:r>
          </w:p>
        </w:tc>
        <w:tc>
          <w:tcPr>
            <w:tcW w:w="2552" w:type="dxa"/>
            <w:tcBorders>
              <w:top w:val="nil"/>
              <w:left w:val="nil"/>
              <w:bottom w:val="single" w:sz="4" w:space="0" w:color="auto"/>
              <w:right w:val="nil"/>
            </w:tcBorders>
          </w:tcPr>
          <w:p w14:paraId="1AA9A166" w14:textId="77777777" w:rsidR="00F4687C" w:rsidRPr="009E279F"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 xml:space="preserve">(-48 -54 -46) to (-34 -36 -36) </w:t>
            </w:r>
            <w:proofErr w:type="spellStart"/>
            <w:r w:rsidRPr="006354C0">
              <w:rPr>
                <w:rFonts w:ascii="Times New Roman" w:hAnsi="Times New Roman" w:cs="Times New Roman"/>
                <w:sz w:val="20"/>
                <w:szCs w:val="20"/>
              </w:rPr>
              <w:t>centered</w:t>
            </w:r>
            <w:proofErr w:type="spellEnd"/>
            <w:r w:rsidRPr="006354C0">
              <w:rPr>
                <w:rFonts w:ascii="Times New Roman" w:hAnsi="Times New Roman" w:cs="Times New Roman"/>
                <w:sz w:val="20"/>
                <w:szCs w:val="20"/>
              </w:rPr>
              <w:t xml:space="preserve"> at (-40 -42 -41)</w:t>
            </w:r>
          </w:p>
        </w:tc>
      </w:tr>
      <w:tr w:rsidR="00AD51EF" w:rsidRPr="009E279F" w14:paraId="1B1836BF" w14:textId="77777777" w:rsidTr="00AD51EF">
        <w:trPr>
          <w:trHeight w:val="278"/>
        </w:trPr>
        <w:tc>
          <w:tcPr>
            <w:tcW w:w="1419" w:type="dxa"/>
            <w:vMerge w:val="restart"/>
            <w:tcBorders>
              <w:left w:val="nil"/>
              <w:right w:val="nil"/>
            </w:tcBorders>
          </w:tcPr>
          <w:p w14:paraId="692CE0A2" w14:textId="77777777" w:rsidR="00F4687C" w:rsidRDefault="00F4687C" w:rsidP="00BD0CFF">
            <w:pPr>
              <w:rPr>
                <w:rFonts w:ascii="Times New Roman" w:hAnsi="Times New Roman" w:cs="Times New Roman"/>
                <w:sz w:val="20"/>
                <w:szCs w:val="20"/>
              </w:rPr>
            </w:pPr>
            <w:r>
              <w:rPr>
                <w:rFonts w:ascii="Times New Roman" w:hAnsi="Times New Roman" w:cs="Times New Roman"/>
                <w:sz w:val="20"/>
                <w:szCs w:val="20"/>
              </w:rPr>
              <w:t>Bauer et al., 2012</w:t>
            </w:r>
          </w:p>
          <w:p w14:paraId="79B28961" w14:textId="77777777" w:rsidR="00F4687C" w:rsidRPr="00686E7B" w:rsidRDefault="00F4687C" w:rsidP="00BD0CFF">
            <w:pPr>
              <w:rPr>
                <w:rFonts w:ascii="Times New Roman" w:hAnsi="Times New Roman" w:cs="Times New Roman"/>
                <w:sz w:val="20"/>
                <w:szCs w:val="20"/>
                <w:lang w:val="de-DE"/>
              </w:rPr>
            </w:pPr>
            <w:r>
              <w:rPr>
                <w:rFonts w:ascii="Times New Roman" w:hAnsi="Times New Roman" w:cs="Times New Roman"/>
                <w:sz w:val="20"/>
                <w:szCs w:val="20"/>
              </w:rPr>
              <w:fldChar w:fldCharType="begin" w:fldLock="1"/>
            </w:r>
            <w:r w:rsidRPr="00696347">
              <w:rPr>
                <w:rFonts w:ascii="Times New Roman" w:hAnsi="Times New Roman" w:cs="Times New Roman"/>
                <w:sz w:val="20"/>
                <w:szCs w:val="20"/>
              </w:rPr>
              <w:instrText>ADDIN CSL_CITATION {"citationItems":[{"id":"ITEM-1","itemData":{"DOI":"10.3389/fnhum.2012.00270","ISSN":"16625161","abstract":"The impact of aging on the negative priming (NP) effect has been subject of many studies using behavioral measures. Results are inconsistent and corresponding neural data do not exist. We were interested in, whether or not processing of NP is altered in older in comparison to young adults on behavioral and neural level. Eighteen young and eighteen older healthy adults performed a location-based NP paradigm during fMRI. Young adults behaviorally showed a NP effect and NP associated fronto-striatal activation, which is in accordance with the inhibitory model of NP. In older subjects no significant behavioral NP effect and no NP related activation in predefined brain regions could be found. One possible source for the lack of NP related activation is a reduction of gray matter volume in older subjects as shown using voxel based morphometry (VBM). © 2012 Bauer, Gebhardt, Gruppe, Gallhofer and Sammer.","author":[{"dropping-particle":"","family":"Bauer","given":"Eva","non-dropping-particle":"","par</w:instrText>
            </w:r>
            <w:r>
              <w:rPr>
                <w:rFonts w:ascii="Times New Roman" w:hAnsi="Times New Roman" w:cs="Times New Roman"/>
                <w:sz w:val="20"/>
                <w:szCs w:val="20"/>
                <w:lang w:val="de-DE"/>
              </w:rPr>
              <w:instrText>se-names":false,"suffix":""},{"dropping-particle":"","family":"Gebhardt","given":"Helge","non-dropping-particle":"","parse-names":false,"suffix":""},{"dropping-particle":"","family":"Gruppe","given":"Harald","non-dropping-particle":"","parse-names":false,"suffix":""},{"dropping-particle":"","family":"Gallhofer","given":"Bernd","non-dropping-particle":"","parse-names":false,"suffix":""},{"dropping-particle":"","family":"Sammer","given":"Gebhard","non-dropping-particle":"","parse-names":false,"suffix":""}],"container-title":"Frontiers in Human Neuroscience","id":"ITEM-1","issue":"SEPTEMBER","issued":{"date-parts":[["2012"]]},"page":"1-10","title":"Altered negative priming in older subjects: First evidence from behavioral and neural level","type":"article-journal","volume":"6"},"uris":["http://www.mendeley.com/documents/?uuid=e5f2e4f0-63d4-4332-aaf8-67182630a602"]}],"mendeley":{"formattedCitation":"[13]","plainTextFormattedCitation":"[13]","previouslyFormattedCitation":"[13]"},"properties":{"noteIndex":0},"schema":"https://github.com/citation-style-language/schema/raw/master/csl-citation.json"}</w:instrText>
            </w:r>
            <w:r>
              <w:rPr>
                <w:rFonts w:ascii="Times New Roman" w:hAnsi="Times New Roman" w:cs="Times New Roman"/>
                <w:sz w:val="20"/>
                <w:szCs w:val="20"/>
              </w:rPr>
              <w:fldChar w:fldCharType="separate"/>
            </w:r>
            <w:r w:rsidRPr="00B12442">
              <w:rPr>
                <w:rFonts w:ascii="Times New Roman" w:hAnsi="Times New Roman" w:cs="Times New Roman"/>
                <w:noProof/>
                <w:sz w:val="20"/>
                <w:szCs w:val="20"/>
                <w:lang w:val="de-DE"/>
              </w:rPr>
              <w:t>[13]</w:t>
            </w:r>
            <w:r>
              <w:rPr>
                <w:rFonts w:ascii="Times New Roman" w:hAnsi="Times New Roman" w:cs="Times New Roman"/>
                <w:sz w:val="20"/>
                <w:szCs w:val="20"/>
              </w:rPr>
              <w:fldChar w:fldCharType="end"/>
            </w:r>
          </w:p>
        </w:tc>
        <w:tc>
          <w:tcPr>
            <w:tcW w:w="987" w:type="dxa"/>
            <w:tcBorders>
              <w:top w:val="nil"/>
              <w:left w:val="nil"/>
              <w:bottom w:val="nil"/>
              <w:right w:val="nil"/>
            </w:tcBorders>
          </w:tcPr>
          <w:p w14:paraId="514D48F8"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62</w:t>
            </w:r>
          </w:p>
        </w:tc>
        <w:tc>
          <w:tcPr>
            <w:tcW w:w="1080" w:type="dxa"/>
            <w:tcBorders>
              <w:top w:val="nil"/>
              <w:left w:val="nil"/>
              <w:bottom w:val="nil"/>
              <w:right w:val="nil"/>
            </w:tcBorders>
          </w:tcPr>
          <w:p w14:paraId="1CF54051"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2405</w:t>
            </w:r>
          </w:p>
        </w:tc>
        <w:tc>
          <w:tcPr>
            <w:tcW w:w="1476" w:type="dxa"/>
            <w:tcBorders>
              <w:top w:val="nil"/>
              <w:left w:val="nil"/>
              <w:bottom w:val="nil"/>
              <w:right w:val="nil"/>
            </w:tcBorders>
          </w:tcPr>
          <w:p w14:paraId="07B11E53"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504</w:t>
            </w:r>
          </w:p>
        </w:tc>
        <w:tc>
          <w:tcPr>
            <w:tcW w:w="2268" w:type="dxa"/>
            <w:tcBorders>
              <w:top w:val="single" w:sz="4" w:space="0" w:color="auto"/>
              <w:left w:val="nil"/>
              <w:bottom w:val="nil"/>
              <w:right w:val="nil"/>
            </w:tcBorders>
          </w:tcPr>
          <w:p w14:paraId="30E500CA"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1</w:t>
            </w:r>
          </w:p>
        </w:tc>
        <w:tc>
          <w:tcPr>
            <w:tcW w:w="1134" w:type="dxa"/>
            <w:tcBorders>
              <w:top w:val="nil"/>
              <w:left w:val="nil"/>
              <w:bottom w:val="nil"/>
              <w:right w:val="nil"/>
            </w:tcBorders>
          </w:tcPr>
          <w:p w14:paraId="5C5C066B"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w:t>
            </w:r>
          </w:p>
        </w:tc>
        <w:tc>
          <w:tcPr>
            <w:tcW w:w="1701" w:type="dxa"/>
            <w:tcBorders>
              <w:top w:val="nil"/>
              <w:left w:val="nil"/>
              <w:bottom w:val="nil"/>
              <w:right w:val="nil"/>
            </w:tcBorders>
          </w:tcPr>
          <w:p w14:paraId="516F2A2F"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30B23BD2"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40ADAC99" w14:textId="77777777" w:rsidR="00F4687C" w:rsidRPr="009E279F" w:rsidRDefault="00F4687C" w:rsidP="00BD0CFF">
            <w:pPr>
              <w:rPr>
                <w:rFonts w:ascii="Times New Roman" w:hAnsi="Times New Roman" w:cs="Times New Roman"/>
                <w:sz w:val="20"/>
                <w:szCs w:val="20"/>
                <w:lang w:val="de-DE"/>
              </w:rPr>
            </w:pPr>
            <w:r w:rsidRPr="009E279F">
              <w:rPr>
                <w:rFonts w:ascii="Times New Roman" w:hAnsi="Times New Roman" w:cs="Times New Roman"/>
                <w:sz w:val="20"/>
                <w:szCs w:val="20"/>
                <w:lang w:val="de-DE"/>
              </w:rPr>
              <w:t>1504</w:t>
            </w:r>
          </w:p>
        </w:tc>
        <w:tc>
          <w:tcPr>
            <w:tcW w:w="2552" w:type="dxa"/>
            <w:tcBorders>
              <w:top w:val="nil"/>
              <w:left w:val="nil"/>
              <w:bottom w:val="nil"/>
              <w:right w:val="nil"/>
            </w:tcBorders>
          </w:tcPr>
          <w:p w14:paraId="61C34418" w14:textId="77777777" w:rsidR="00F4687C" w:rsidRPr="009E279F" w:rsidRDefault="00F4687C" w:rsidP="00BD0CFF">
            <w:pPr>
              <w:rPr>
                <w:rFonts w:ascii="Times New Roman" w:hAnsi="Times New Roman" w:cs="Times New Roman"/>
                <w:sz w:val="20"/>
                <w:szCs w:val="20"/>
                <w:lang w:val="de-DE"/>
              </w:rPr>
            </w:pPr>
            <w:r w:rsidRPr="009E279F">
              <w:rPr>
                <w:rFonts w:ascii="Times New Roman" w:hAnsi="Times New Roman" w:cs="Times New Roman"/>
                <w:sz w:val="20"/>
                <w:szCs w:val="20"/>
                <w:lang w:val="de-DE"/>
              </w:rPr>
              <w:t xml:space="preserve">(24 -90 -42) </w:t>
            </w:r>
            <w:proofErr w:type="spellStart"/>
            <w:r w:rsidRPr="009E279F">
              <w:rPr>
                <w:rFonts w:ascii="Times New Roman" w:hAnsi="Times New Roman" w:cs="Times New Roman"/>
                <w:sz w:val="20"/>
                <w:szCs w:val="20"/>
                <w:lang w:val="de-DE"/>
              </w:rPr>
              <w:t>to</w:t>
            </w:r>
            <w:proofErr w:type="spellEnd"/>
            <w:r w:rsidRPr="009E279F">
              <w:rPr>
                <w:rFonts w:ascii="Times New Roman" w:hAnsi="Times New Roman" w:cs="Times New Roman"/>
                <w:sz w:val="20"/>
                <w:szCs w:val="20"/>
                <w:lang w:val="de-DE"/>
              </w:rPr>
              <w:t xml:space="preserve"> (40 -72 -30)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9E279F">
              <w:rPr>
                <w:rFonts w:ascii="Times New Roman" w:hAnsi="Times New Roman" w:cs="Times New Roman"/>
                <w:sz w:val="20"/>
                <w:szCs w:val="20"/>
                <w:lang w:val="de-DE"/>
              </w:rPr>
              <w:t>33 -81 -37</w:t>
            </w:r>
            <w:r w:rsidRPr="009E279F">
              <w:rPr>
                <w:rFonts w:ascii="Times New Roman" w:hAnsi="Times New Roman" w:cs="Times New Roman"/>
                <w:sz w:val="20"/>
                <w:szCs w:val="20"/>
              </w:rPr>
              <w:t>)</w:t>
            </w:r>
          </w:p>
        </w:tc>
      </w:tr>
      <w:tr w:rsidR="00AD51EF" w:rsidRPr="009E279F" w14:paraId="5FF19B67" w14:textId="77777777" w:rsidTr="00AD51EF">
        <w:trPr>
          <w:trHeight w:val="278"/>
        </w:trPr>
        <w:tc>
          <w:tcPr>
            <w:tcW w:w="1419" w:type="dxa"/>
            <w:vMerge/>
            <w:tcBorders>
              <w:left w:val="nil"/>
              <w:right w:val="nil"/>
            </w:tcBorders>
          </w:tcPr>
          <w:p w14:paraId="0AF8F1B1"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0B5CBE8A"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00066032"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0FA50A26"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49831F2F"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4</w:t>
            </w:r>
          </w:p>
        </w:tc>
        <w:tc>
          <w:tcPr>
            <w:tcW w:w="1134" w:type="dxa"/>
            <w:tcBorders>
              <w:top w:val="nil"/>
              <w:left w:val="nil"/>
              <w:bottom w:val="nil"/>
              <w:right w:val="nil"/>
            </w:tcBorders>
          </w:tcPr>
          <w:p w14:paraId="46502B3B"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sym w:font="Symbol" w:char="F0AF"/>
            </w:r>
          </w:p>
        </w:tc>
        <w:tc>
          <w:tcPr>
            <w:tcW w:w="1701" w:type="dxa"/>
            <w:tcBorders>
              <w:top w:val="nil"/>
              <w:left w:val="nil"/>
              <w:bottom w:val="nil"/>
              <w:right w:val="nil"/>
            </w:tcBorders>
          </w:tcPr>
          <w:p w14:paraId="0C973FF1"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217CBB4C"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492A15AC" w14:textId="77777777" w:rsidR="00F4687C" w:rsidRPr="009E279F" w:rsidRDefault="00F4687C" w:rsidP="00BD0CFF">
            <w:pPr>
              <w:rPr>
                <w:rFonts w:ascii="Times New Roman" w:hAnsi="Times New Roman" w:cs="Times New Roman"/>
                <w:sz w:val="20"/>
                <w:szCs w:val="20"/>
                <w:lang w:val="de-DE"/>
              </w:rPr>
            </w:pPr>
            <w:r w:rsidRPr="009E279F">
              <w:rPr>
                <w:rFonts w:ascii="Times New Roman" w:hAnsi="Times New Roman" w:cs="Times New Roman"/>
                <w:sz w:val="20"/>
                <w:szCs w:val="20"/>
                <w:lang w:val="de-DE"/>
              </w:rPr>
              <w:t>1040</w:t>
            </w:r>
          </w:p>
        </w:tc>
        <w:tc>
          <w:tcPr>
            <w:tcW w:w="2552" w:type="dxa"/>
            <w:tcBorders>
              <w:top w:val="nil"/>
              <w:left w:val="nil"/>
              <w:bottom w:val="nil"/>
              <w:right w:val="nil"/>
            </w:tcBorders>
          </w:tcPr>
          <w:p w14:paraId="6E8E30C3" w14:textId="77777777" w:rsidR="00F4687C" w:rsidRPr="009E279F" w:rsidRDefault="00F4687C" w:rsidP="00BD0CFF">
            <w:pPr>
              <w:rPr>
                <w:rFonts w:ascii="Times New Roman" w:hAnsi="Times New Roman" w:cs="Times New Roman"/>
                <w:sz w:val="20"/>
                <w:szCs w:val="20"/>
                <w:lang w:val="de-DE"/>
              </w:rPr>
            </w:pPr>
            <w:r w:rsidRPr="009E279F">
              <w:rPr>
                <w:rFonts w:ascii="Times New Roman" w:hAnsi="Times New Roman" w:cs="Times New Roman"/>
                <w:sz w:val="20"/>
                <w:szCs w:val="20"/>
                <w:lang w:val="de-DE"/>
              </w:rPr>
              <w:t xml:space="preserve">(28 -70 -34) </w:t>
            </w:r>
            <w:proofErr w:type="spellStart"/>
            <w:r w:rsidRPr="009E279F">
              <w:rPr>
                <w:rFonts w:ascii="Times New Roman" w:hAnsi="Times New Roman" w:cs="Times New Roman"/>
                <w:sz w:val="20"/>
                <w:szCs w:val="20"/>
                <w:lang w:val="de-DE"/>
              </w:rPr>
              <w:t>to</w:t>
            </w:r>
            <w:proofErr w:type="spellEnd"/>
            <w:r w:rsidRPr="009E279F">
              <w:rPr>
                <w:rFonts w:ascii="Times New Roman" w:hAnsi="Times New Roman" w:cs="Times New Roman"/>
                <w:sz w:val="20"/>
                <w:szCs w:val="20"/>
                <w:lang w:val="de-DE"/>
              </w:rPr>
              <w:t xml:space="preserve"> (42 -56 -22)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9E279F">
              <w:rPr>
                <w:rFonts w:ascii="Times New Roman" w:hAnsi="Times New Roman" w:cs="Times New Roman"/>
                <w:sz w:val="20"/>
                <w:szCs w:val="20"/>
                <w:lang w:val="de-DE"/>
              </w:rPr>
              <w:t>36 -62 -28</w:t>
            </w:r>
            <w:r w:rsidRPr="009E279F">
              <w:rPr>
                <w:rFonts w:ascii="Times New Roman" w:hAnsi="Times New Roman" w:cs="Times New Roman"/>
                <w:sz w:val="20"/>
                <w:szCs w:val="20"/>
              </w:rPr>
              <w:t>)</w:t>
            </w:r>
          </w:p>
        </w:tc>
      </w:tr>
      <w:tr w:rsidR="00AD51EF" w:rsidRPr="009E279F" w14:paraId="35E0EC84" w14:textId="77777777" w:rsidTr="00AD51EF">
        <w:trPr>
          <w:trHeight w:val="278"/>
        </w:trPr>
        <w:tc>
          <w:tcPr>
            <w:tcW w:w="1419" w:type="dxa"/>
            <w:vMerge/>
            <w:tcBorders>
              <w:left w:val="nil"/>
              <w:right w:val="nil"/>
            </w:tcBorders>
          </w:tcPr>
          <w:p w14:paraId="52E3B448"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0487FD49"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700C85CD"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2B75F0BA"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66A0CEBC"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2</w:t>
            </w:r>
          </w:p>
        </w:tc>
        <w:tc>
          <w:tcPr>
            <w:tcW w:w="1134" w:type="dxa"/>
            <w:tcBorders>
              <w:top w:val="nil"/>
              <w:left w:val="nil"/>
              <w:bottom w:val="nil"/>
              <w:right w:val="nil"/>
            </w:tcBorders>
          </w:tcPr>
          <w:p w14:paraId="4227E0DB"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sym w:font="Symbol" w:char="F0AF"/>
            </w:r>
          </w:p>
        </w:tc>
        <w:tc>
          <w:tcPr>
            <w:tcW w:w="1701" w:type="dxa"/>
            <w:tcBorders>
              <w:top w:val="nil"/>
              <w:left w:val="nil"/>
              <w:bottom w:val="nil"/>
              <w:right w:val="nil"/>
            </w:tcBorders>
          </w:tcPr>
          <w:p w14:paraId="0EEA143E"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45174A77"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29909D0F" w14:textId="77777777" w:rsidR="00F4687C" w:rsidRPr="009E279F" w:rsidRDefault="00F4687C" w:rsidP="00BD0CFF">
            <w:pPr>
              <w:rPr>
                <w:rFonts w:ascii="Times New Roman" w:hAnsi="Times New Roman" w:cs="Times New Roman"/>
                <w:sz w:val="20"/>
                <w:szCs w:val="20"/>
                <w:lang w:val="de-DE"/>
              </w:rPr>
            </w:pPr>
            <w:r w:rsidRPr="009E279F">
              <w:rPr>
                <w:rFonts w:ascii="Times New Roman" w:hAnsi="Times New Roman" w:cs="Times New Roman"/>
                <w:sz w:val="20"/>
                <w:szCs w:val="20"/>
                <w:lang w:val="de-DE"/>
              </w:rPr>
              <w:t>1312</w:t>
            </w:r>
          </w:p>
        </w:tc>
        <w:tc>
          <w:tcPr>
            <w:tcW w:w="2552" w:type="dxa"/>
            <w:tcBorders>
              <w:top w:val="nil"/>
              <w:left w:val="nil"/>
              <w:bottom w:val="nil"/>
              <w:right w:val="nil"/>
            </w:tcBorders>
          </w:tcPr>
          <w:p w14:paraId="2BE61C85" w14:textId="77777777" w:rsidR="00F4687C" w:rsidRPr="009E279F" w:rsidRDefault="00F4687C" w:rsidP="00BD0CFF">
            <w:pPr>
              <w:rPr>
                <w:rFonts w:ascii="Times New Roman" w:hAnsi="Times New Roman" w:cs="Times New Roman"/>
                <w:sz w:val="20"/>
                <w:szCs w:val="20"/>
                <w:lang w:val="de-DE"/>
              </w:rPr>
            </w:pPr>
            <w:r w:rsidRPr="009E279F">
              <w:rPr>
                <w:rFonts w:ascii="Times New Roman" w:hAnsi="Times New Roman" w:cs="Times New Roman"/>
                <w:sz w:val="20"/>
                <w:szCs w:val="20"/>
                <w:lang w:val="de-DE"/>
              </w:rPr>
              <w:t xml:space="preserve">(-46 -86 -44) </w:t>
            </w:r>
            <w:proofErr w:type="spellStart"/>
            <w:r w:rsidRPr="009E279F">
              <w:rPr>
                <w:rFonts w:ascii="Times New Roman" w:hAnsi="Times New Roman" w:cs="Times New Roman"/>
                <w:sz w:val="20"/>
                <w:szCs w:val="20"/>
                <w:lang w:val="de-DE"/>
              </w:rPr>
              <w:t>to</w:t>
            </w:r>
            <w:proofErr w:type="spellEnd"/>
            <w:r w:rsidRPr="009E279F">
              <w:rPr>
                <w:rFonts w:ascii="Times New Roman" w:hAnsi="Times New Roman" w:cs="Times New Roman"/>
                <w:sz w:val="20"/>
                <w:szCs w:val="20"/>
                <w:lang w:val="de-DE"/>
              </w:rPr>
              <w:t xml:space="preserve"> (-28 -68 -34)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9E279F">
              <w:rPr>
                <w:rFonts w:ascii="Times New Roman" w:hAnsi="Times New Roman" w:cs="Times New Roman"/>
                <w:sz w:val="20"/>
                <w:szCs w:val="20"/>
                <w:lang w:val="de-DE"/>
              </w:rPr>
              <w:t>-35 -77 -40</w:t>
            </w:r>
            <w:r w:rsidRPr="009E279F">
              <w:rPr>
                <w:rFonts w:ascii="Times New Roman" w:hAnsi="Times New Roman" w:cs="Times New Roman"/>
                <w:sz w:val="20"/>
                <w:szCs w:val="20"/>
              </w:rPr>
              <w:t>)</w:t>
            </w:r>
          </w:p>
        </w:tc>
      </w:tr>
      <w:tr w:rsidR="00AD51EF" w:rsidRPr="009E279F" w14:paraId="1A776EED" w14:textId="77777777" w:rsidTr="00AD51EF">
        <w:trPr>
          <w:trHeight w:val="278"/>
        </w:trPr>
        <w:tc>
          <w:tcPr>
            <w:tcW w:w="1419" w:type="dxa"/>
            <w:vMerge/>
            <w:tcBorders>
              <w:left w:val="nil"/>
              <w:bottom w:val="nil"/>
              <w:right w:val="nil"/>
            </w:tcBorders>
          </w:tcPr>
          <w:p w14:paraId="10DE4166"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397F976F"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6EE14BB2"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5421EBB7"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345CB5A8"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3</w:t>
            </w:r>
          </w:p>
        </w:tc>
        <w:tc>
          <w:tcPr>
            <w:tcW w:w="1134" w:type="dxa"/>
            <w:tcBorders>
              <w:top w:val="nil"/>
              <w:left w:val="nil"/>
              <w:bottom w:val="nil"/>
              <w:right w:val="nil"/>
            </w:tcBorders>
          </w:tcPr>
          <w:p w14:paraId="63B1B044"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w:t>
            </w:r>
          </w:p>
        </w:tc>
        <w:tc>
          <w:tcPr>
            <w:tcW w:w="1701" w:type="dxa"/>
            <w:tcBorders>
              <w:top w:val="nil"/>
              <w:left w:val="nil"/>
              <w:bottom w:val="nil"/>
              <w:right w:val="nil"/>
            </w:tcBorders>
          </w:tcPr>
          <w:p w14:paraId="32C4106C"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26B6D268"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4EB2AB15" w14:textId="77777777" w:rsidR="00F4687C" w:rsidRPr="009E279F" w:rsidRDefault="00F4687C" w:rsidP="00BD0CFF">
            <w:pPr>
              <w:rPr>
                <w:rFonts w:ascii="Times New Roman" w:hAnsi="Times New Roman" w:cs="Times New Roman"/>
                <w:sz w:val="20"/>
                <w:szCs w:val="20"/>
                <w:lang w:val="de-DE"/>
              </w:rPr>
            </w:pPr>
            <w:r w:rsidRPr="009E279F">
              <w:rPr>
                <w:rFonts w:ascii="Times New Roman" w:hAnsi="Times New Roman" w:cs="Times New Roman"/>
                <w:sz w:val="20"/>
                <w:szCs w:val="20"/>
                <w:lang w:val="de-DE"/>
              </w:rPr>
              <w:t>1112</w:t>
            </w:r>
          </w:p>
        </w:tc>
        <w:tc>
          <w:tcPr>
            <w:tcW w:w="2552" w:type="dxa"/>
            <w:tcBorders>
              <w:top w:val="nil"/>
              <w:left w:val="nil"/>
              <w:bottom w:val="nil"/>
              <w:right w:val="nil"/>
            </w:tcBorders>
          </w:tcPr>
          <w:p w14:paraId="375A3386" w14:textId="77777777" w:rsidR="00F4687C" w:rsidRPr="009E279F" w:rsidRDefault="00F4687C" w:rsidP="00BD0CFF">
            <w:pPr>
              <w:rPr>
                <w:rFonts w:ascii="Times New Roman" w:hAnsi="Times New Roman" w:cs="Times New Roman"/>
                <w:sz w:val="20"/>
                <w:szCs w:val="20"/>
                <w:lang w:val="de-DE"/>
              </w:rPr>
            </w:pPr>
            <w:r w:rsidRPr="009E279F">
              <w:rPr>
                <w:rFonts w:ascii="Times New Roman" w:hAnsi="Times New Roman" w:cs="Times New Roman"/>
                <w:sz w:val="20"/>
                <w:szCs w:val="20"/>
                <w:lang w:val="de-DE"/>
              </w:rPr>
              <w:t xml:space="preserve">(-10 -78 -22) </w:t>
            </w:r>
            <w:proofErr w:type="spellStart"/>
            <w:r w:rsidRPr="009E279F">
              <w:rPr>
                <w:rFonts w:ascii="Times New Roman" w:hAnsi="Times New Roman" w:cs="Times New Roman"/>
                <w:sz w:val="20"/>
                <w:szCs w:val="20"/>
                <w:lang w:val="de-DE"/>
              </w:rPr>
              <w:t>to</w:t>
            </w:r>
            <w:proofErr w:type="spellEnd"/>
            <w:r w:rsidRPr="009E279F">
              <w:rPr>
                <w:rFonts w:ascii="Times New Roman" w:hAnsi="Times New Roman" w:cs="Times New Roman"/>
                <w:sz w:val="20"/>
                <w:szCs w:val="20"/>
                <w:lang w:val="de-DE"/>
              </w:rPr>
              <w:t xml:space="preserve"> (8 -66 -10) </w:t>
            </w:r>
            <w:proofErr w:type="spellStart"/>
            <w:r w:rsidRPr="009E279F">
              <w:rPr>
                <w:rFonts w:ascii="Times New Roman" w:hAnsi="Times New Roman" w:cs="Times New Roman"/>
                <w:sz w:val="20"/>
                <w:szCs w:val="20"/>
                <w:lang w:val="de-DE"/>
              </w:rPr>
              <w:t>centered</w:t>
            </w:r>
            <w:proofErr w:type="spellEnd"/>
            <w:r w:rsidRPr="009E279F">
              <w:rPr>
                <w:rFonts w:ascii="Times New Roman" w:hAnsi="Times New Roman" w:cs="Times New Roman"/>
                <w:sz w:val="20"/>
                <w:szCs w:val="20"/>
                <w:lang w:val="de-DE"/>
              </w:rPr>
              <w:t xml:space="preserve"> at </w:t>
            </w:r>
            <w:r w:rsidRPr="009E279F">
              <w:rPr>
                <w:rFonts w:ascii="Times New Roman" w:hAnsi="Times New Roman" w:cs="Times New Roman"/>
                <w:sz w:val="20"/>
                <w:szCs w:val="20"/>
              </w:rPr>
              <w:t>(</w:t>
            </w:r>
            <w:r w:rsidRPr="009E279F">
              <w:rPr>
                <w:rFonts w:ascii="Times New Roman" w:hAnsi="Times New Roman" w:cs="Times New Roman"/>
                <w:sz w:val="20"/>
                <w:szCs w:val="20"/>
                <w:lang w:val="de-DE"/>
              </w:rPr>
              <w:t>1 -72 -15)</w:t>
            </w:r>
          </w:p>
        </w:tc>
      </w:tr>
      <w:tr w:rsidR="00AD51EF" w:rsidRPr="009E279F" w14:paraId="6232935B" w14:textId="77777777" w:rsidTr="00AD51EF">
        <w:trPr>
          <w:trHeight w:val="278"/>
        </w:trPr>
        <w:tc>
          <w:tcPr>
            <w:tcW w:w="1419" w:type="dxa"/>
            <w:tcBorders>
              <w:top w:val="nil"/>
              <w:left w:val="nil"/>
              <w:bottom w:val="single" w:sz="4" w:space="0" w:color="auto"/>
              <w:right w:val="nil"/>
            </w:tcBorders>
          </w:tcPr>
          <w:p w14:paraId="72E74C5E"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single" w:sz="4" w:space="0" w:color="auto"/>
              <w:right w:val="nil"/>
            </w:tcBorders>
          </w:tcPr>
          <w:p w14:paraId="2E699CEC"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single" w:sz="4" w:space="0" w:color="auto"/>
              <w:right w:val="nil"/>
            </w:tcBorders>
          </w:tcPr>
          <w:p w14:paraId="24B5DD6E"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single" w:sz="4" w:space="0" w:color="auto"/>
              <w:right w:val="nil"/>
            </w:tcBorders>
          </w:tcPr>
          <w:p w14:paraId="6FFC9AAD"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single" w:sz="4" w:space="0" w:color="auto"/>
              <w:right w:val="nil"/>
            </w:tcBorders>
          </w:tcPr>
          <w:p w14:paraId="48C6D742"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5</w:t>
            </w:r>
          </w:p>
        </w:tc>
        <w:tc>
          <w:tcPr>
            <w:tcW w:w="1134" w:type="dxa"/>
            <w:tcBorders>
              <w:top w:val="nil"/>
              <w:left w:val="nil"/>
              <w:bottom w:val="single" w:sz="4" w:space="0" w:color="auto"/>
              <w:right w:val="nil"/>
            </w:tcBorders>
          </w:tcPr>
          <w:p w14:paraId="0F3CD4EC"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w:t>
            </w:r>
          </w:p>
        </w:tc>
        <w:tc>
          <w:tcPr>
            <w:tcW w:w="1701" w:type="dxa"/>
            <w:tcBorders>
              <w:top w:val="nil"/>
              <w:left w:val="nil"/>
              <w:bottom w:val="single" w:sz="4" w:space="0" w:color="auto"/>
              <w:right w:val="nil"/>
            </w:tcBorders>
          </w:tcPr>
          <w:p w14:paraId="2BC12253"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single" w:sz="4" w:space="0" w:color="auto"/>
              <w:right w:val="nil"/>
            </w:tcBorders>
          </w:tcPr>
          <w:p w14:paraId="2B4E93A9"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single" w:sz="4" w:space="0" w:color="auto"/>
              <w:right w:val="nil"/>
            </w:tcBorders>
          </w:tcPr>
          <w:p w14:paraId="00837524" w14:textId="77777777" w:rsidR="00F4687C" w:rsidRPr="009E279F" w:rsidRDefault="00F4687C" w:rsidP="00BD0CFF">
            <w:pPr>
              <w:rPr>
                <w:rFonts w:ascii="Times New Roman" w:hAnsi="Times New Roman" w:cs="Times New Roman"/>
                <w:sz w:val="20"/>
                <w:szCs w:val="20"/>
                <w:lang w:val="de-DE"/>
              </w:rPr>
            </w:pPr>
            <w:r w:rsidRPr="009E279F">
              <w:rPr>
                <w:rFonts w:ascii="Times New Roman" w:hAnsi="Times New Roman" w:cs="Times New Roman"/>
                <w:sz w:val="20"/>
                <w:szCs w:val="20"/>
                <w:lang w:val="de-DE"/>
              </w:rPr>
              <w:t>808</w:t>
            </w:r>
          </w:p>
        </w:tc>
        <w:tc>
          <w:tcPr>
            <w:tcW w:w="2552" w:type="dxa"/>
            <w:tcBorders>
              <w:top w:val="nil"/>
              <w:left w:val="nil"/>
              <w:bottom w:val="single" w:sz="4" w:space="0" w:color="auto"/>
              <w:right w:val="nil"/>
            </w:tcBorders>
          </w:tcPr>
          <w:p w14:paraId="4E31A923" w14:textId="77777777" w:rsidR="00F4687C" w:rsidRPr="009E279F" w:rsidRDefault="00F4687C" w:rsidP="00BD0CFF">
            <w:pPr>
              <w:rPr>
                <w:rFonts w:ascii="Times New Roman" w:hAnsi="Times New Roman" w:cs="Times New Roman"/>
                <w:sz w:val="20"/>
                <w:szCs w:val="20"/>
                <w:lang w:val="de-DE"/>
              </w:rPr>
            </w:pPr>
            <w:r w:rsidRPr="009E279F">
              <w:rPr>
                <w:rFonts w:ascii="Times New Roman" w:hAnsi="Times New Roman" w:cs="Times New Roman"/>
                <w:sz w:val="20"/>
                <w:szCs w:val="20"/>
                <w:lang w:val="de-DE"/>
              </w:rPr>
              <w:t xml:space="preserve">(-48 -54 -46) </w:t>
            </w:r>
            <w:proofErr w:type="spellStart"/>
            <w:r w:rsidRPr="009E279F">
              <w:rPr>
                <w:rFonts w:ascii="Times New Roman" w:hAnsi="Times New Roman" w:cs="Times New Roman"/>
                <w:sz w:val="20"/>
                <w:szCs w:val="20"/>
                <w:lang w:val="de-DE"/>
              </w:rPr>
              <w:t>to</w:t>
            </w:r>
            <w:proofErr w:type="spellEnd"/>
            <w:r w:rsidRPr="009E279F">
              <w:rPr>
                <w:rFonts w:ascii="Times New Roman" w:hAnsi="Times New Roman" w:cs="Times New Roman"/>
                <w:sz w:val="20"/>
                <w:szCs w:val="20"/>
                <w:lang w:val="de-DE"/>
              </w:rPr>
              <w:t xml:space="preserve"> (-34 -36 -36) </w:t>
            </w:r>
            <w:proofErr w:type="spellStart"/>
            <w:r w:rsidRPr="009E279F">
              <w:rPr>
                <w:rFonts w:ascii="Times New Roman" w:hAnsi="Times New Roman" w:cs="Times New Roman"/>
                <w:sz w:val="20"/>
                <w:szCs w:val="20"/>
                <w:lang w:val="de-DE"/>
              </w:rPr>
              <w:t>centered</w:t>
            </w:r>
            <w:proofErr w:type="spellEnd"/>
            <w:r w:rsidRPr="009E279F">
              <w:rPr>
                <w:rFonts w:ascii="Times New Roman" w:hAnsi="Times New Roman" w:cs="Times New Roman"/>
                <w:sz w:val="20"/>
                <w:szCs w:val="20"/>
                <w:lang w:val="de-DE"/>
              </w:rPr>
              <w:t xml:space="preserve"> at </w:t>
            </w:r>
            <w:r w:rsidRPr="009E279F">
              <w:rPr>
                <w:rFonts w:ascii="Times New Roman" w:hAnsi="Times New Roman" w:cs="Times New Roman"/>
                <w:sz w:val="20"/>
                <w:szCs w:val="20"/>
              </w:rPr>
              <w:t>(</w:t>
            </w:r>
            <w:r w:rsidRPr="009E279F">
              <w:rPr>
                <w:rFonts w:ascii="Times New Roman" w:hAnsi="Times New Roman" w:cs="Times New Roman"/>
                <w:sz w:val="20"/>
                <w:szCs w:val="20"/>
                <w:lang w:val="de-DE"/>
              </w:rPr>
              <w:t>-40 -42 -41)</w:t>
            </w:r>
          </w:p>
        </w:tc>
      </w:tr>
      <w:tr w:rsidR="00AD51EF" w:rsidRPr="009E279F" w14:paraId="0C440637" w14:textId="77777777" w:rsidTr="00AD51EF">
        <w:trPr>
          <w:trHeight w:val="278"/>
        </w:trPr>
        <w:tc>
          <w:tcPr>
            <w:tcW w:w="1419" w:type="dxa"/>
            <w:vMerge w:val="restart"/>
            <w:tcBorders>
              <w:left w:val="nil"/>
              <w:right w:val="nil"/>
            </w:tcBorders>
          </w:tcPr>
          <w:p w14:paraId="494C0816" w14:textId="77777777" w:rsidR="00F4687C" w:rsidRDefault="00F4687C" w:rsidP="00BD0CFF">
            <w:pPr>
              <w:rPr>
                <w:rFonts w:ascii="Times New Roman" w:hAnsi="Times New Roman" w:cs="Times New Roman"/>
                <w:sz w:val="20"/>
                <w:szCs w:val="20"/>
              </w:rPr>
            </w:pPr>
            <w:r>
              <w:rPr>
                <w:rFonts w:ascii="Times New Roman" w:hAnsi="Times New Roman" w:cs="Times New Roman"/>
                <w:sz w:val="20"/>
                <w:szCs w:val="20"/>
              </w:rPr>
              <w:t>Bauer et al., 2018</w:t>
            </w:r>
          </w:p>
          <w:p w14:paraId="04DF21C4" w14:textId="77777777" w:rsidR="00F4687C" w:rsidRPr="009E279F" w:rsidRDefault="00F4687C" w:rsidP="00BD0CFF">
            <w:pP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{"citationItems":[{"id":"ITEM-1","itemData":{"DOI":"10.3389/fnagi.2018.00265","ISSN":"1663-4365","abstract":"There is evidence that the neural response to increasing working memory (WM) load is modulated by age and performance level. For a valid interpretation of these effects, however, it is important to understand, whether and how they are related to gray matter atrophy. In the current work, we therefore used functional magnetic resonance imaging (fMRI) and voxel-based morphometry (VBM) to examine the association between age, performance level, spatial WM load-related brain activation and gray matter volume in 18 younger high-performers (YHP), 17 younger low-performers (YLP), 17 older high-performers (OHP), and 18 older low-performers (OLP). In multiple sub regions of the prefrontal cortex (PFC), load-related activation followed a linear trend with increasing activation at increasing load in all experimental groups. Results did not reveal differences between the sub groups. Older adults additionally showed a pattern of increasing activation from low to medium load but stable or even decreasing activation from medium to high load in other sub regions of the PFC (quadratic trend). Quadratic trend related brain activation was higher in older than in younger adults and in OLP compared to OHP. In OLP, quadratic trend related brain activation was negatively correlated with both performance accuracy and prefrontal gray matter volume. The results suggest an efficient upregulation of multiple PFC areas as response to increasing WM load in younger and older adults. Older adults and particularly OLP additionally show dysfunctional response patterns (i.e., enhanced quadratic trend related brain activation compared to younger adults and OHP, respectively) in other PFC clusters being associated with gray matter atrophy. (PsycINFO Database Record (c) 2018 APA, all rights reserved)","author":[{"dropping-particle":"","family":"Bauer","given":"Eva","non-dropping-particle":"","parse-names":false,"suffix":""},{"dropping-particle":"","family":"Sammer","given":"Gebhard","non-dropping-particle":"","parse-names":false,"suffix":""},{"dropping-particle":"","family":"Toepper","given":"Max","non-dropping-particle":"","parse-names":false,"suffix":""}],"container-title":"Frontiers in Aging Neuroscience","id":"ITEM-1","issue":"SEP","issued":{"date-parts":[["2018","9","11"]]},"note":"From Duplicate 1 (Performance level and cortical atrophy modulate the neural response to increasing working memory load in younger and older adults - Bauer, Eva; Sammer, Gebhard; Toepper, Max)\n\nFrom Duplicate 1 (Performance level and cortical atrophy modulate the neural response to increasing working memory load in younger and older adults - Bauer, Eva; Sammer, Gebhard; Toepper, Max)\n\nAccession Number: 2018-46749-001. PMID: 30254582 Partial author list: First Author &amp;amp; Affiliation: Bauer, Eva; Centre for Psychiatry, University of Giessen, Giessen, Germany. Other Publishers: Frontiers Research Foundation. Release Date: 20181011. Publication Type: Journal (0100), Peer Reviewed Journal (0110). Format Covered: Electronic. Document Type: Journal Article. Language: English. Major Descriptor: Aging; Cerebral Atrophy; Prefrontal Cortex; Short Term Memory; Gray Matter. Minor Descriptor: Magnetic Resonance Imaging. Classification: Neuropsychology &amp;amp; Neurology (2520). Population: Human (10); Male (30); Female (40). Age Group: Adulthood (18 yrs &amp;amp; older) (300); Young Adulthood (18-29 yrs) (320); Thirties (30-39 yrs) (340); Middle Age (40-64 yrs) (360); Aged (65 yrs &amp;amp; older) (380). Methodology: Brain Imaging; Empirical Study; Quantitative Study. Supplemental Data: Other Internet. ArtID: 265. Issue Publication Date: Sep 11, 2018. Publication History: First Posted Date: Sep 11, 2018; Accepted Date: Aug 17, 2018; First Submitted Date: Oct 13, 2017. Copyright Statement: This is an open-access article distributed under the terms of the Creative Commons Attribution License (CC BY). The use, distribution or reproduction in other forums is permitted, provided the original author(s) and the copyright owner(s) are credited and that the original publication in this journal is cited, in accordance with accepted academic practice. No use, distribution or reproduction is permitted which does not comply with these terms. Bauer, Sammer and Toepper. 2018.","page":"1-15","publisher":"Frontiers Media S.A.","publisher-place":"Sammer, Gebhard","title":"Performance level and cortical atrophy modulate the neural response to increasing working memory load in younger and older adults","type":"article-journal","volume":"10"},"uris":["http://www.mendeley.com/documents/?uuid=298b8e38-747e-421a-8b49-caf47e35536d"]}],"mendeley":{"formattedCitation":"[14]","plainTextFormattedCitation":"[14]","previouslyFormattedCitation":"[14]"},"properties":{"noteIndex":0},"schema":"https://github.com/citation-style-language/schema/raw/master/csl-citation.json"}</w:instrText>
            </w:r>
            <w:r>
              <w:rPr>
                <w:rFonts w:ascii="Times New Roman" w:hAnsi="Times New Roman" w:cs="Times New Roman"/>
                <w:sz w:val="20"/>
                <w:szCs w:val="20"/>
              </w:rPr>
              <w:fldChar w:fldCharType="separate"/>
            </w:r>
            <w:r w:rsidRPr="00B12442">
              <w:rPr>
                <w:rFonts w:ascii="Times New Roman" w:hAnsi="Times New Roman" w:cs="Times New Roman"/>
                <w:noProof/>
                <w:sz w:val="20"/>
                <w:szCs w:val="20"/>
              </w:rPr>
              <w:t>[14]</w:t>
            </w:r>
            <w:r>
              <w:rPr>
                <w:rFonts w:ascii="Times New Roman" w:hAnsi="Times New Roman" w:cs="Times New Roman"/>
                <w:sz w:val="20"/>
                <w:szCs w:val="20"/>
              </w:rPr>
              <w:fldChar w:fldCharType="end"/>
            </w:r>
          </w:p>
        </w:tc>
        <w:tc>
          <w:tcPr>
            <w:tcW w:w="987" w:type="dxa"/>
            <w:tcBorders>
              <w:top w:val="nil"/>
              <w:left w:val="nil"/>
              <w:bottom w:val="nil"/>
              <w:right w:val="nil"/>
            </w:tcBorders>
          </w:tcPr>
          <w:p w14:paraId="7F1F13A6"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60</w:t>
            </w:r>
          </w:p>
        </w:tc>
        <w:tc>
          <w:tcPr>
            <w:tcW w:w="1080" w:type="dxa"/>
            <w:tcBorders>
              <w:top w:val="nil"/>
              <w:left w:val="nil"/>
              <w:bottom w:val="nil"/>
              <w:right w:val="nil"/>
            </w:tcBorders>
          </w:tcPr>
          <w:p w14:paraId="6641B107"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2371</w:t>
            </w:r>
          </w:p>
        </w:tc>
        <w:tc>
          <w:tcPr>
            <w:tcW w:w="1476" w:type="dxa"/>
            <w:tcBorders>
              <w:top w:val="nil"/>
              <w:left w:val="nil"/>
              <w:bottom w:val="nil"/>
              <w:right w:val="nil"/>
            </w:tcBorders>
          </w:tcPr>
          <w:p w14:paraId="01313EC6"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464</w:t>
            </w:r>
          </w:p>
        </w:tc>
        <w:tc>
          <w:tcPr>
            <w:tcW w:w="2268" w:type="dxa"/>
            <w:tcBorders>
              <w:top w:val="nil"/>
              <w:left w:val="nil"/>
              <w:bottom w:val="nil"/>
              <w:right w:val="nil"/>
            </w:tcBorders>
          </w:tcPr>
          <w:p w14:paraId="5941F49D"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3</w:t>
            </w:r>
          </w:p>
        </w:tc>
        <w:tc>
          <w:tcPr>
            <w:tcW w:w="1134" w:type="dxa"/>
            <w:tcBorders>
              <w:top w:val="nil"/>
              <w:left w:val="nil"/>
              <w:bottom w:val="nil"/>
              <w:right w:val="nil"/>
            </w:tcBorders>
          </w:tcPr>
          <w:p w14:paraId="52521E33"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sym w:font="Symbol" w:char="F0AF"/>
            </w:r>
          </w:p>
        </w:tc>
        <w:tc>
          <w:tcPr>
            <w:tcW w:w="1701" w:type="dxa"/>
            <w:tcBorders>
              <w:top w:val="nil"/>
              <w:left w:val="nil"/>
              <w:bottom w:val="nil"/>
              <w:right w:val="nil"/>
            </w:tcBorders>
          </w:tcPr>
          <w:p w14:paraId="335D76CD"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23A35C02"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4D0D81C8"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1152</w:t>
            </w:r>
          </w:p>
        </w:tc>
        <w:tc>
          <w:tcPr>
            <w:tcW w:w="2552" w:type="dxa"/>
            <w:tcBorders>
              <w:top w:val="nil"/>
              <w:left w:val="nil"/>
              <w:bottom w:val="nil"/>
              <w:right w:val="nil"/>
            </w:tcBorders>
          </w:tcPr>
          <w:p w14:paraId="1A38B352"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 xml:space="preserve">(24 -90 -42) to (40 -72 -30)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723DF1">
              <w:rPr>
                <w:rFonts w:ascii="Times New Roman" w:hAnsi="Times New Roman" w:cs="Times New Roman"/>
                <w:sz w:val="20"/>
                <w:szCs w:val="20"/>
              </w:rPr>
              <w:t>33 -82 -37</w:t>
            </w:r>
            <w:r w:rsidRPr="009E279F">
              <w:rPr>
                <w:rFonts w:ascii="Times New Roman" w:hAnsi="Times New Roman" w:cs="Times New Roman"/>
                <w:sz w:val="20"/>
                <w:szCs w:val="20"/>
              </w:rPr>
              <w:t>)</w:t>
            </w:r>
          </w:p>
        </w:tc>
      </w:tr>
      <w:tr w:rsidR="00AD51EF" w:rsidRPr="009E279F" w14:paraId="7D6B6951" w14:textId="77777777" w:rsidTr="00AD51EF">
        <w:trPr>
          <w:trHeight w:val="278"/>
        </w:trPr>
        <w:tc>
          <w:tcPr>
            <w:tcW w:w="1419" w:type="dxa"/>
            <w:vMerge/>
            <w:tcBorders>
              <w:left w:val="nil"/>
              <w:right w:val="nil"/>
            </w:tcBorders>
          </w:tcPr>
          <w:p w14:paraId="28AF3304"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6444DB6B"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40A29633"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386905CF"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3010A387"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1</w:t>
            </w:r>
          </w:p>
        </w:tc>
        <w:tc>
          <w:tcPr>
            <w:tcW w:w="1134" w:type="dxa"/>
            <w:tcBorders>
              <w:top w:val="nil"/>
              <w:left w:val="nil"/>
              <w:bottom w:val="nil"/>
              <w:right w:val="nil"/>
            </w:tcBorders>
          </w:tcPr>
          <w:p w14:paraId="095E36E8"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sym w:font="Symbol" w:char="F0AD"/>
            </w:r>
          </w:p>
        </w:tc>
        <w:tc>
          <w:tcPr>
            <w:tcW w:w="1701" w:type="dxa"/>
            <w:tcBorders>
              <w:top w:val="nil"/>
              <w:left w:val="nil"/>
              <w:bottom w:val="nil"/>
              <w:right w:val="nil"/>
            </w:tcBorders>
          </w:tcPr>
          <w:p w14:paraId="7E6D12FB"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397E29EF"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381B8E51"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1520</w:t>
            </w:r>
          </w:p>
        </w:tc>
        <w:tc>
          <w:tcPr>
            <w:tcW w:w="2552" w:type="dxa"/>
            <w:tcBorders>
              <w:top w:val="nil"/>
              <w:left w:val="nil"/>
              <w:bottom w:val="nil"/>
              <w:right w:val="nil"/>
            </w:tcBorders>
          </w:tcPr>
          <w:p w14:paraId="142F80C3"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 xml:space="preserve">(26 -70 -34) to (42 -56 -22)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723DF1">
              <w:rPr>
                <w:rFonts w:ascii="Times New Roman" w:hAnsi="Times New Roman" w:cs="Times New Roman"/>
                <w:sz w:val="20"/>
                <w:szCs w:val="20"/>
              </w:rPr>
              <w:t>35 -63 -29</w:t>
            </w:r>
            <w:r w:rsidRPr="009E279F">
              <w:rPr>
                <w:rFonts w:ascii="Times New Roman" w:hAnsi="Times New Roman" w:cs="Times New Roman"/>
                <w:sz w:val="20"/>
                <w:szCs w:val="20"/>
              </w:rPr>
              <w:t>)</w:t>
            </w:r>
          </w:p>
        </w:tc>
      </w:tr>
      <w:tr w:rsidR="00AD51EF" w:rsidRPr="009E279F" w14:paraId="3DB15251" w14:textId="77777777" w:rsidTr="00AD51EF">
        <w:trPr>
          <w:trHeight w:val="278"/>
        </w:trPr>
        <w:tc>
          <w:tcPr>
            <w:tcW w:w="1419" w:type="dxa"/>
            <w:vMerge/>
            <w:tcBorders>
              <w:left w:val="nil"/>
              <w:bottom w:val="nil"/>
              <w:right w:val="nil"/>
            </w:tcBorders>
          </w:tcPr>
          <w:p w14:paraId="1CB43646"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4892D9FF"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44C1D8D0"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5BA780D9"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4406E424"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4</w:t>
            </w:r>
          </w:p>
        </w:tc>
        <w:tc>
          <w:tcPr>
            <w:tcW w:w="1134" w:type="dxa"/>
            <w:tcBorders>
              <w:top w:val="nil"/>
              <w:left w:val="nil"/>
              <w:bottom w:val="nil"/>
              <w:right w:val="nil"/>
            </w:tcBorders>
          </w:tcPr>
          <w:p w14:paraId="576B14B7"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sym w:font="Symbol" w:char="F0AF"/>
            </w:r>
          </w:p>
        </w:tc>
        <w:tc>
          <w:tcPr>
            <w:tcW w:w="1701" w:type="dxa"/>
            <w:tcBorders>
              <w:top w:val="nil"/>
              <w:left w:val="nil"/>
              <w:bottom w:val="nil"/>
              <w:right w:val="nil"/>
            </w:tcBorders>
          </w:tcPr>
          <w:p w14:paraId="42068FF0"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Yes</w:t>
            </w:r>
          </w:p>
        </w:tc>
        <w:tc>
          <w:tcPr>
            <w:tcW w:w="1418" w:type="dxa"/>
            <w:tcBorders>
              <w:top w:val="nil"/>
              <w:left w:val="nil"/>
              <w:bottom w:val="nil"/>
              <w:right w:val="nil"/>
            </w:tcBorders>
          </w:tcPr>
          <w:p w14:paraId="10CCD3C4"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1CE4B70F"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736</w:t>
            </w:r>
          </w:p>
        </w:tc>
        <w:tc>
          <w:tcPr>
            <w:tcW w:w="2552" w:type="dxa"/>
            <w:tcBorders>
              <w:top w:val="nil"/>
              <w:left w:val="nil"/>
              <w:bottom w:val="nil"/>
              <w:right w:val="nil"/>
            </w:tcBorders>
          </w:tcPr>
          <w:p w14:paraId="0D4F7E6A"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 xml:space="preserve">(-48 -86 -44) to (-28 -74 -34)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723DF1">
              <w:rPr>
                <w:rFonts w:ascii="Times New Roman" w:hAnsi="Times New Roman" w:cs="Times New Roman"/>
                <w:sz w:val="20"/>
                <w:szCs w:val="20"/>
              </w:rPr>
              <w:t>-35 -81 -39</w:t>
            </w:r>
            <w:r w:rsidRPr="009E279F">
              <w:rPr>
                <w:rFonts w:ascii="Times New Roman" w:hAnsi="Times New Roman" w:cs="Times New Roman"/>
                <w:sz w:val="20"/>
                <w:szCs w:val="20"/>
              </w:rPr>
              <w:t>)</w:t>
            </w:r>
          </w:p>
        </w:tc>
      </w:tr>
      <w:tr w:rsidR="00AD51EF" w:rsidRPr="009E279F" w14:paraId="0FC2D8D9" w14:textId="77777777" w:rsidTr="00AD51EF">
        <w:trPr>
          <w:trHeight w:val="305"/>
        </w:trPr>
        <w:tc>
          <w:tcPr>
            <w:tcW w:w="1419" w:type="dxa"/>
            <w:tcBorders>
              <w:top w:val="nil"/>
              <w:left w:val="nil"/>
              <w:bottom w:val="nil"/>
              <w:right w:val="nil"/>
            </w:tcBorders>
          </w:tcPr>
          <w:p w14:paraId="56AFD4E7"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328775D7"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11C07D5E"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209644D6"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3FDB765F"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2</w:t>
            </w:r>
          </w:p>
        </w:tc>
        <w:tc>
          <w:tcPr>
            <w:tcW w:w="1134" w:type="dxa"/>
            <w:tcBorders>
              <w:top w:val="nil"/>
              <w:left w:val="nil"/>
              <w:bottom w:val="nil"/>
              <w:right w:val="nil"/>
            </w:tcBorders>
          </w:tcPr>
          <w:p w14:paraId="6158EFEE"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sym w:font="Symbol" w:char="F0AD"/>
            </w:r>
          </w:p>
        </w:tc>
        <w:tc>
          <w:tcPr>
            <w:tcW w:w="1701" w:type="dxa"/>
            <w:tcBorders>
              <w:top w:val="nil"/>
              <w:left w:val="nil"/>
              <w:bottom w:val="nil"/>
              <w:right w:val="nil"/>
            </w:tcBorders>
          </w:tcPr>
          <w:p w14:paraId="2BF95A00"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17FE71FE"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1767D566"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1176</w:t>
            </w:r>
          </w:p>
        </w:tc>
        <w:tc>
          <w:tcPr>
            <w:tcW w:w="2552" w:type="dxa"/>
            <w:tcBorders>
              <w:top w:val="nil"/>
              <w:left w:val="nil"/>
              <w:bottom w:val="nil"/>
              <w:right w:val="nil"/>
            </w:tcBorders>
          </w:tcPr>
          <w:p w14:paraId="05725F68"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 xml:space="preserve">(-10 -78 -22) to (8 -66 -10) </w:t>
            </w:r>
            <w:proofErr w:type="spellStart"/>
            <w:r w:rsidRPr="00723DF1">
              <w:rPr>
                <w:rFonts w:ascii="Times New Roman" w:hAnsi="Times New Roman" w:cs="Times New Roman"/>
                <w:sz w:val="20"/>
                <w:szCs w:val="20"/>
              </w:rPr>
              <w:t>centered</w:t>
            </w:r>
            <w:proofErr w:type="spellEnd"/>
            <w:r w:rsidRPr="00723DF1">
              <w:rPr>
                <w:rFonts w:ascii="Times New Roman" w:hAnsi="Times New Roman" w:cs="Times New Roman"/>
                <w:sz w:val="20"/>
                <w:szCs w:val="20"/>
              </w:rPr>
              <w:t xml:space="preserve"> at </w:t>
            </w:r>
            <w:r w:rsidRPr="009E279F">
              <w:rPr>
                <w:rFonts w:ascii="Times New Roman" w:hAnsi="Times New Roman" w:cs="Times New Roman"/>
                <w:sz w:val="20"/>
                <w:szCs w:val="20"/>
              </w:rPr>
              <w:t>(</w:t>
            </w:r>
            <w:r w:rsidRPr="00723DF1">
              <w:rPr>
                <w:rFonts w:ascii="Times New Roman" w:hAnsi="Times New Roman" w:cs="Times New Roman"/>
                <w:sz w:val="20"/>
                <w:szCs w:val="20"/>
              </w:rPr>
              <w:t>1 -72 -15)</w:t>
            </w:r>
          </w:p>
        </w:tc>
      </w:tr>
      <w:tr w:rsidR="00AD51EF" w:rsidRPr="009E279F" w14:paraId="351A083F" w14:textId="77777777" w:rsidTr="00AD51EF">
        <w:trPr>
          <w:trHeight w:val="305"/>
        </w:trPr>
        <w:tc>
          <w:tcPr>
            <w:tcW w:w="4962" w:type="dxa"/>
            <w:gridSpan w:val="4"/>
            <w:tcBorders>
              <w:top w:val="nil"/>
              <w:left w:val="nil"/>
              <w:bottom w:val="nil"/>
              <w:right w:val="nil"/>
            </w:tcBorders>
          </w:tcPr>
          <w:p w14:paraId="4105BBEC"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Note that cluster 5 from the original analysis split into two sub-clusters in this analysis</w:t>
            </w:r>
          </w:p>
        </w:tc>
        <w:tc>
          <w:tcPr>
            <w:tcW w:w="2268" w:type="dxa"/>
            <w:tcBorders>
              <w:top w:val="nil"/>
              <w:left w:val="nil"/>
              <w:bottom w:val="nil"/>
              <w:right w:val="nil"/>
            </w:tcBorders>
          </w:tcPr>
          <w:p w14:paraId="14072454"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5</w:t>
            </w:r>
          </w:p>
        </w:tc>
        <w:tc>
          <w:tcPr>
            <w:tcW w:w="1134" w:type="dxa"/>
            <w:tcBorders>
              <w:top w:val="nil"/>
              <w:left w:val="nil"/>
              <w:bottom w:val="nil"/>
              <w:right w:val="nil"/>
            </w:tcBorders>
          </w:tcPr>
          <w:p w14:paraId="71096AF4"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sym w:font="Symbol" w:char="F0AF"/>
            </w:r>
          </w:p>
        </w:tc>
        <w:tc>
          <w:tcPr>
            <w:tcW w:w="1701" w:type="dxa"/>
            <w:tcBorders>
              <w:top w:val="nil"/>
              <w:left w:val="nil"/>
              <w:bottom w:val="nil"/>
              <w:right w:val="nil"/>
            </w:tcBorders>
          </w:tcPr>
          <w:p w14:paraId="1158F493"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Yes</w:t>
            </w:r>
          </w:p>
        </w:tc>
        <w:tc>
          <w:tcPr>
            <w:tcW w:w="1418" w:type="dxa"/>
            <w:tcBorders>
              <w:top w:val="nil"/>
              <w:left w:val="nil"/>
              <w:bottom w:val="nil"/>
              <w:right w:val="nil"/>
            </w:tcBorders>
          </w:tcPr>
          <w:p w14:paraId="1CAB6E77"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77B99482"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616</w:t>
            </w:r>
          </w:p>
        </w:tc>
        <w:tc>
          <w:tcPr>
            <w:tcW w:w="2552" w:type="dxa"/>
            <w:tcBorders>
              <w:top w:val="nil"/>
              <w:left w:val="nil"/>
              <w:bottom w:val="nil"/>
              <w:right w:val="nil"/>
            </w:tcBorders>
          </w:tcPr>
          <w:p w14:paraId="258331CB"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 xml:space="preserve">(-46 -46 -44) to (-34 -36 -36) </w:t>
            </w:r>
            <w:proofErr w:type="spellStart"/>
            <w:r w:rsidRPr="00723DF1">
              <w:rPr>
                <w:rFonts w:ascii="Times New Roman" w:hAnsi="Times New Roman" w:cs="Times New Roman"/>
                <w:sz w:val="20"/>
                <w:szCs w:val="20"/>
              </w:rPr>
              <w:t>centered</w:t>
            </w:r>
            <w:proofErr w:type="spellEnd"/>
            <w:r w:rsidRPr="00723DF1">
              <w:rPr>
                <w:rFonts w:ascii="Times New Roman" w:hAnsi="Times New Roman" w:cs="Times New Roman"/>
                <w:sz w:val="20"/>
                <w:szCs w:val="20"/>
              </w:rPr>
              <w:t xml:space="preserve"> at (-39 -40 -41)</w:t>
            </w:r>
          </w:p>
        </w:tc>
      </w:tr>
      <w:tr w:rsidR="00AD51EF" w:rsidRPr="009E279F" w14:paraId="513124A9" w14:textId="77777777" w:rsidTr="00AD51EF">
        <w:trPr>
          <w:trHeight w:val="728"/>
        </w:trPr>
        <w:tc>
          <w:tcPr>
            <w:tcW w:w="4962" w:type="dxa"/>
            <w:gridSpan w:val="4"/>
            <w:tcBorders>
              <w:top w:val="nil"/>
              <w:left w:val="nil"/>
              <w:bottom w:val="single" w:sz="4" w:space="0" w:color="auto"/>
              <w:right w:val="nil"/>
            </w:tcBorders>
          </w:tcPr>
          <w:p w14:paraId="42BB2803"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single" w:sz="4" w:space="0" w:color="auto"/>
              <w:right w:val="nil"/>
            </w:tcBorders>
          </w:tcPr>
          <w:p w14:paraId="20FACDBD"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6</w:t>
            </w:r>
          </w:p>
        </w:tc>
        <w:tc>
          <w:tcPr>
            <w:tcW w:w="1134" w:type="dxa"/>
            <w:tcBorders>
              <w:top w:val="nil"/>
              <w:left w:val="nil"/>
              <w:bottom w:val="single" w:sz="4" w:space="0" w:color="auto"/>
              <w:right w:val="nil"/>
            </w:tcBorders>
          </w:tcPr>
          <w:p w14:paraId="50B38C8C"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sym w:font="Symbol" w:char="F0AF"/>
            </w:r>
          </w:p>
        </w:tc>
        <w:tc>
          <w:tcPr>
            <w:tcW w:w="1701" w:type="dxa"/>
            <w:tcBorders>
              <w:top w:val="nil"/>
              <w:left w:val="nil"/>
              <w:bottom w:val="single" w:sz="4" w:space="0" w:color="auto"/>
              <w:right w:val="nil"/>
            </w:tcBorders>
          </w:tcPr>
          <w:p w14:paraId="1323BC3E"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Yes</w:t>
            </w:r>
          </w:p>
        </w:tc>
        <w:tc>
          <w:tcPr>
            <w:tcW w:w="1418" w:type="dxa"/>
            <w:tcBorders>
              <w:top w:val="nil"/>
              <w:left w:val="nil"/>
              <w:bottom w:val="single" w:sz="4" w:space="0" w:color="auto"/>
              <w:right w:val="nil"/>
            </w:tcBorders>
          </w:tcPr>
          <w:p w14:paraId="5CF940C8"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single" w:sz="4" w:space="0" w:color="auto"/>
              <w:right w:val="nil"/>
            </w:tcBorders>
          </w:tcPr>
          <w:p w14:paraId="61372394"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472</w:t>
            </w:r>
          </w:p>
        </w:tc>
        <w:tc>
          <w:tcPr>
            <w:tcW w:w="2552" w:type="dxa"/>
            <w:tcBorders>
              <w:top w:val="nil"/>
              <w:left w:val="nil"/>
              <w:bottom w:val="single" w:sz="4" w:space="0" w:color="auto"/>
              <w:right w:val="nil"/>
            </w:tcBorders>
          </w:tcPr>
          <w:p w14:paraId="1B5CC653"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 xml:space="preserve">(46 -58 -34) to (54 -52 -26) </w:t>
            </w:r>
            <w:proofErr w:type="spellStart"/>
            <w:r w:rsidRPr="00723DF1">
              <w:rPr>
                <w:rFonts w:ascii="Times New Roman" w:hAnsi="Times New Roman" w:cs="Times New Roman"/>
                <w:sz w:val="20"/>
                <w:szCs w:val="20"/>
              </w:rPr>
              <w:t>centered</w:t>
            </w:r>
            <w:proofErr w:type="spellEnd"/>
            <w:r w:rsidRPr="00723DF1">
              <w:rPr>
                <w:rFonts w:ascii="Times New Roman" w:hAnsi="Times New Roman" w:cs="Times New Roman"/>
                <w:sz w:val="20"/>
                <w:szCs w:val="20"/>
              </w:rPr>
              <w:t xml:space="preserve"> at (50 -55 -30)</w:t>
            </w:r>
          </w:p>
        </w:tc>
      </w:tr>
      <w:tr w:rsidR="00AD51EF" w:rsidRPr="009E279F" w14:paraId="4BF6D1A6" w14:textId="77777777" w:rsidTr="00AD51EF">
        <w:trPr>
          <w:trHeight w:val="278"/>
        </w:trPr>
        <w:tc>
          <w:tcPr>
            <w:tcW w:w="1419" w:type="dxa"/>
            <w:vMerge w:val="restart"/>
            <w:tcBorders>
              <w:left w:val="nil"/>
              <w:right w:val="nil"/>
            </w:tcBorders>
          </w:tcPr>
          <w:p w14:paraId="65583E4F" w14:textId="77777777" w:rsidR="00F4687C" w:rsidRDefault="00F4687C" w:rsidP="00BD0CFF">
            <w:pPr>
              <w:rPr>
                <w:rFonts w:ascii="Times New Roman" w:hAnsi="Times New Roman" w:cs="Times New Roman"/>
                <w:sz w:val="20"/>
                <w:szCs w:val="20"/>
              </w:rPr>
            </w:pPr>
            <w:proofErr w:type="spellStart"/>
            <w:r>
              <w:rPr>
                <w:rFonts w:ascii="Times New Roman" w:hAnsi="Times New Roman" w:cs="Times New Roman"/>
                <w:sz w:val="20"/>
                <w:szCs w:val="20"/>
              </w:rPr>
              <w:lastRenderedPageBreak/>
              <w:t>Bergfield</w:t>
            </w:r>
            <w:proofErr w:type="spellEnd"/>
            <w:r>
              <w:rPr>
                <w:rFonts w:ascii="Times New Roman" w:hAnsi="Times New Roman" w:cs="Times New Roman"/>
                <w:sz w:val="20"/>
                <w:szCs w:val="20"/>
              </w:rPr>
              <w:t xml:space="preserve"> et al., 2009</w:t>
            </w:r>
          </w:p>
          <w:p w14:paraId="055B5184" w14:textId="77777777" w:rsidR="00F4687C" w:rsidRPr="009E279F" w:rsidRDefault="00F4687C" w:rsidP="00BD0CFF">
            <w:pP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{"citationItems":[{"id":"ITEM-1","itemData":{"DOI":"10.1016/j.neuroimage.2009.09.051","ISSN":"10538119","abstract":"Healthy aging is associated with brain volume reductions that involve the frontal cortex, but also affect other brain regions. We sought to identify an age-related network pattern of MRI gray matter using a multivariate statistical model of regional covariance, the Scaled Subprofile Model (SSM) with voxel based morphometry (VBM)in 29 healthy adults, 23-84 years of age (Group 1). In addition,we evaluated the reproducibility of the age-related graymatter pattern derived from a prior SSMVBMstudy of 26 healthy adults, 22-77 years of age (Group 2; Alexander et al., 2006) in relation to the current sample and tested the ability of the network analysis to extract an age-related pattern from both cohorts combined. The SSM VBM analysis of Group 1 identified a regional pattern of gray matter atrophy associated with healthy aging (R² = 0.64, p &lt; 0.000001) that included extensive reductions in bilateral dorsolateral and medial frontal, anterior cingulate, insula/perisylvian, precuneus, parietotemporal, and caudate regions with areas of relative preservation in bilateral cerebellum, thalamus, putamen,mid cingulate, and temporal pole regions. The age-related SSM VBM graymatter pattern, previously reported for Group 2,was highly expressed in Group 1 (R² = 0.52, p &lt; 0.00002). SSM analysis of the combined cohorts extracted a common age-related pattern of gray matter showing reductions involving bilateral medial frontal, insula/perisylvian, anterior cingulate and, to a lesser extent, bilateral dorsolateral prefrontal, lateral temporal, parietal, and caudate brain regions with relative preservation in bilateral cerebellum, temporal pole, and right thalamic regions. The results suggest that healthy aging is associated with a regionally distributed pattern of gray matter atrophy that has reproducible regional features. Whereas the network patterns of atrophy included parietal, temporal, and subcortical regions, involvement of the frontal brain regions showed the most consistently extensive and reliable reductions across samples. Network analysis with SSM VBM can help detect reproducible age-related MRI patterns, assisting efforts in the study of healthy and pathological aging. (PsycINFO Database Record (c) 2016 APA, all rights reserved)","author":[{"dropping-particle":"","family":"Bergfield","given":"Kaitlin L.","non-dropping-particle":"","parse-names":false,"suffix":""},{"dropping-particle":"","family":"Hanson","given":"Krista D.","non-dropping-particle":"","parse-names":false,"suffix":""},{"dropping-particle":"","family":"Chen","given":"Kewei","non-dropping-particle":"","parse-names":false,"suffix":""},{"dropping-particle":"","family":"Teipel","given":"Stefan J.","non-dropping-particle":"","parse-names":false,"suffix":""},{"dropping-particle":"","family":"Hampel","given":"Harald","non-dropping-particle":"","parse-names":false,"suffix":""},{"dropping-particle":"","family":"Rapoport","given":"Stanley I.","non-dropping-particle":"","parse-names":false,"suffix":""},{"dropping-particle":"","family":"Moeller","given":"James R.","non-dropping-particle":"","parse-names":false,"suffix":""},{"dropping-particle":"","family":"Alexander","given":"Gene E.","non-dropping-particle":"","parse-names":false,"suffix":""}],"container-title":"NeuroImage","id":"ITEM-1","issue":"2","issued":{"date-parts":[["2010","1","15"]]},"note":"From Duplicate 1 (Age-related networks of regional covariance in MRI gray matter: Reproducible multivariate patterns in healthy aging - Bergfield, Kaitlin L.; Hanson, Krista D.; Chen, Kewei; Teipel, Stefan J.; Hampel, Harald; Rapoport, Stanley I.; Moeller, James R.; Alexander, Gene E.)\n\nFrom Duplicate 1 (Age-related networks of regional covariance in MRI gray matter: Reproducible multivariate patterns in healthy aging - Bergfield, Kaitlin L.; Hanson, Krista D.; Chen, Kewei; Teipel, Stefan J.; Hampel, Harald; Rapoport, Stanley I.; Moeller, James R.; Alexander, Gene E.)\n\nFrom Duplicate 2 (Age-related networks of regional covariance in MRI gray matter: Reproducible multivariate patterns in healthy aging - Bergfield, Kaitlin L; Hanson, Krista D; Chen, Kewei; Teipel, Stefan J; Hampel, Harald; Rapoport, Stanley I; Moeller, James R; Alexander, Gene E)\n\nAccession Number: 2009-20030-001. PMID: 19796692 Partial author list: First Author &amp;amp; Affiliation: Bergfield, Kaitlin L.; Neuroscience Graduate Interdisciplinary Program, University of Arizona, Tucson, AZ, US. Release Date: 20091026. Correction Date: 20120618. Publication Type: Journal (0100), Peer Reviewed Journal (0110). Format Covered: Electronic. Document Type: Journal Article. Language: English. Conference Information: Meeting of the Society for Neuroscience, Nov, 2008, Washington, DC, US. Grant Information: Bergfield, Kaitlin L. Conference Note: An early version of this work was presented at the aforementioned meeting. Major Descriptor: Aging; Magnetic Resonance Imaging; Gray Matter. Minor Descriptor: Models; Statistics. Classification: Neuropsychology &amp;amp; Neurology (2520). Population: Human (10); Male (30); Female (40). Age Group: Adulthood (18 yrs &amp;amp; older) (300); Young Adulthood (18-29 yrs) (320); Thirties (30-39 yrs) (340); Middle Age (40-64 yrs) (360); Aged (65 yrs &amp;amp; older) (380). Tests &amp;amp; Measures: Mini Mental State Examination. Methodology: Empirical Study; Quantitative Study. References Available: Y. Page Count: 10. Issue Publication Date: Jan 15, 2010. Publication History: First Posted Date: Sep 28, 2009; Accepted Date: Sep 22, 2009; Revised Date: Sep 5, 2009; First Submitted Date: May 29, 2009. Copyright Statement: All rights reserved. Elsevier Inc. 2009.\n\nFrom Duplicate 2 (Age-related networks of regional covariance in MRI gray matter: Reproducible multivariate patterns in healthy aging - Bergfield, Kaitlin L; Hanson, Krista D; Chen, Kewei; Teipel, Stefan J; Hampel, Harald; Rapoport, Stanley I; Moeller, James R; Alexander, Gene E)\nAnd Duplicate 3 (Age-related networks of regional covariance in MRI gray matter: Reproducible multivariate patterns in healthy aging - Bergfield, Kaitlin L; Hanson, Krista D; Chen, Kewei; Teipel, Stefan J; Hampel, Harald; Rapoport, Stanley I; Moeller, James R; Alexander, Gene E)\n\nAccession Number: 2009-20030-001. PMID: 19796692 Partial author list: First Author &amp;amp; Affiliation: Bergfield, Kaitlin L.; Neuroscience Graduate Interdisciplinary Program, University of Arizona, Tucson, AZ, US. Release Date: 20091026. Correction Date: 20120618. Publication Type: Journal (0100), Peer Reviewed Journal (0110). Format Covered: Electronic. Document Type: Journal Article. Language: English. Conference Information: Meeting of the Society for Neuroscience, Nov, 2008, Washington, DC, US. Grant Information: Bergfield, Kaitlin L. Conference Note: An early version of this work was presented at the aforementioned meeting. Major Descriptor: Aging; Magnetic Resonance Imaging; Gray Matter. Minor Descriptor: Models; Statistics. Classification: Neuropsychology &amp;amp; Neurology (2520). Population: Human (10); Male (30); Female (40). Age Group: Adulthood (18 yrs &amp;amp; older) (300); Young Adulthood (18-29 yrs) (320); Thirties (30-39 yrs) (340); Middle Age (40-64 yrs) (360); Aged (65 yrs &amp;amp; older) (380). Tests &amp;amp; Measures: Mini Mental State Examination. Methodology: Empirical Study; Quantitative Study. References Available: Y. Page Count: 10. Issue Publication Date: Jan 15, 2010. Publication History: First Posted Date: Sep 28, 2009; Accepted Date: Sep 22, 2009; Revised Date: Sep 5, 2009; First Submitted Date: May 29, 2009. Copyright Statement: All rights reserved. Elsevier Inc. 2009.\n\nFrom Duplicate 2 (Age-related networks of regional covariance in MRI gray matter: Reproducible multivariate patterns in healthy aging - Bergfield, Kaitlin L.; Hanson, Krista D.; Chen, Kewei; Teipel, Stefan J.; Hampel, Harald; Rapoport, Stanley I.; Moeller, James R.; Alexander, Gene E.)\n\nFrom Duplicate 2 (Age-related networks of regional covariance in MRI gray matter: Reproducible multivariate patterns in healthy aging - Bergfield, Kaitlin L; Hanson, Krista D; Chen, Kewei; Teipel, Stefan J; Hampel, Harald; Rapoport, Stanley I; Moeller, James R; Alexander, Gene E)\n\nAccession Number: 2009-20030-001. PMID: 19796692 Partial author list: First Author &amp;amp; Affiliation: Bergfield, Kaitlin L.; Neuroscience Graduate Interdisciplinary Program, University of Arizona, Tucson, AZ, US. Release Date: 20091026. Correction Date: 20120618. Publication Type: Journal (0100), Peer Reviewed Journal (0110). Format Covered: Electronic. Document Type: Journal Article. Language: English. Conference Information: Meeting of the Society for Neuroscience, Nov, 2008, Washington, DC, US. Grant Information: Bergfield, Kaitlin L. Conference Note: An early version of this work was presented at the aforementioned meeting. Major Descriptor: Aging; Magnetic Resonance Imaging; Gray Matter. Minor Descriptor: Models; Statistics. Classification: Neuropsychology &amp;amp; Neurology (2520). Population: Human (10); Male (30); Female (40). Age Group: Adulthood (18 yrs &amp;amp; older) (300); Young Adulthood (18-29 yrs) (320); Thirties (30-39 yrs) (340); Middle Age (40-64 yrs) (360); Aged (65 yrs &amp;amp; older) (380). Tests &amp;amp; Measures: Mini Mental State Examination. Methodology: Empirical Study; Quantitative Study. References Available: Y. Page Count: 10. Issue Publication Date: Jan 15, 2010. Publication History: First Posted Date: Sep 28, 2009; Accepted Date: Sep 22, 2009; Revised Date: Sep 5, 2009; First Submitted Date: May 29, 2009. Copyright Statement: All rights reserved. Elsevier Inc. 2009.","page":"1750-1759","publisher":"Elsevier Science","publisher-place":"Alexander, Gene E., Department of Psychology, University of Arizona, Tucson, AZ, US, 85721","title":"Age-related networks of regional covariance in MRI gray matter: Reproducible multivariate patterns in healthy aging","type":"article-journal","volume":"49"},"uris":["http://www.mendeley.com/documents/?uuid=c7b21e75-8023-4851-9dd8-c527968065f2"]}],"mendeley":{"formattedCitation":"[15]","plainTextFormattedCitation":"[15]","previouslyFormattedCitation":"[15]"},"properties":{"noteIndex":0},"schema":"https://github.com/citation-style-language/schema/raw/master/csl-citation.json"}</w:instrText>
            </w:r>
            <w:r>
              <w:rPr>
                <w:rFonts w:ascii="Times New Roman" w:hAnsi="Times New Roman" w:cs="Times New Roman"/>
                <w:sz w:val="20"/>
                <w:szCs w:val="20"/>
              </w:rPr>
              <w:fldChar w:fldCharType="separate"/>
            </w:r>
            <w:r w:rsidRPr="00B12442">
              <w:rPr>
                <w:rFonts w:ascii="Times New Roman" w:hAnsi="Times New Roman" w:cs="Times New Roman"/>
                <w:noProof/>
                <w:sz w:val="20"/>
                <w:szCs w:val="20"/>
              </w:rPr>
              <w:t>[15]</w:t>
            </w:r>
            <w:r>
              <w:rPr>
                <w:rFonts w:ascii="Times New Roman" w:hAnsi="Times New Roman" w:cs="Times New Roman"/>
                <w:sz w:val="20"/>
                <w:szCs w:val="20"/>
              </w:rPr>
              <w:fldChar w:fldCharType="end"/>
            </w:r>
          </w:p>
        </w:tc>
        <w:tc>
          <w:tcPr>
            <w:tcW w:w="987" w:type="dxa"/>
            <w:tcBorders>
              <w:top w:val="nil"/>
              <w:left w:val="nil"/>
              <w:bottom w:val="nil"/>
              <w:right w:val="nil"/>
            </w:tcBorders>
          </w:tcPr>
          <w:p w14:paraId="1B52EF40"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63</w:t>
            </w:r>
          </w:p>
        </w:tc>
        <w:tc>
          <w:tcPr>
            <w:tcW w:w="1080" w:type="dxa"/>
            <w:tcBorders>
              <w:top w:val="nil"/>
              <w:left w:val="nil"/>
              <w:bottom w:val="nil"/>
              <w:right w:val="nil"/>
            </w:tcBorders>
          </w:tcPr>
          <w:p w14:paraId="57B129DD"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2412</w:t>
            </w:r>
          </w:p>
        </w:tc>
        <w:tc>
          <w:tcPr>
            <w:tcW w:w="1476" w:type="dxa"/>
            <w:tcBorders>
              <w:top w:val="nil"/>
              <w:left w:val="nil"/>
              <w:bottom w:val="nil"/>
              <w:right w:val="nil"/>
            </w:tcBorders>
          </w:tcPr>
          <w:p w14:paraId="429FE54B"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528</w:t>
            </w:r>
          </w:p>
        </w:tc>
        <w:tc>
          <w:tcPr>
            <w:tcW w:w="2268" w:type="dxa"/>
            <w:tcBorders>
              <w:top w:val="nil"/>
              <w:left w:val="nil"/>
              <w:bottom w:val="nil"/>
              <w:right w:val="nil"/>
            </w:tcBorders>
          </w:tcPr>
          <w:p w14:paraId="0B2C3834"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1</w:t>
            </w:r>
          </w:p>
        </w:tc>
        <w:tc>
          <w:tcPr>
            <w:tcW w:w="1134" w:type="dxa"/>
            <w:tcBorders>
              <w:top w:val="nil"/>
              <w:left w:val="nil"/>
              <w:bottom w:val="nil"/>
              <w:right w:val="nil"/>
            </w:tcBorders>
          </w:tcPr>
          <w:p w14:paraId="3A74E115"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w:t>
            </w:r>
          </w:p>
        </w:tc>
        <w:tc>
          <w:tcPr>
            <w:tcW w:w="1701" w:type="dxa"/>
            <w:tcBorders>
              <w:top w:val="nil"/>
              <w:left w:val="nil"/>
              <w:bottom w:val="nil"/>
              <w:right w:val="nil"/>
            </w:tcBorders>
          </w:tcPr>
          <w:p w14:paraId="30EBB354"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5D4B690B"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3109A86F"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1504</w:t>
            </w:r>
          </w:p>
        </w:tc>
        <w:tc>
          <w:tcPr>
            <w:tcW w:w="2552" w:type="dxa"/>
            <w:tcBorders>
              <w:top w:val="nil"/>
              <w:left w:val="nil"/>
              <w:bottom w:val="nil"/>
              <w:right w:val="nil"/>
            </w:tcBorders>
          </w:tcPr>
          <w:p w14:paraId="5A8F7135"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 xml:space="preserve">(24 -90 -42) to (40 -72 -30)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723DF1">
              <w:rPr>
                <w:rFonts w:ascii="Times New Roman" w:hAnsi="Times New Roman" w:cs="Times New Roman"/>
                <w:sz w:val="20"/>
                <w:szCs w:val="20"/>
              </w:rPr>
              <w:t>33 -81 -37</w:t>
            </w:r>
            <w:r w:rsidRPr="009E279F">
              <w:rPr>
                <w:rFonts w:ascii="Times New Roman" w:hAnsi="Times New Roman" w:cs="Times New Roman"/>
                <w:sz w:val="20"/>
                <w:szCs w:val="20"/>
              </w:rPr>
              <w:t>)</w:t>
            </w:r>
          </w:p>
        </w:tc>
      </w:tr>
      <w:tr w:rsidR="00AD51EF" w:rsidRPr="009E279F" w14:paraId="6B37EF6C" w14:textId="77777777" w:rsidTr="00AD51EF">
        <w:trPr>
          <w:trHeight w:val="278"/>
        </w:trPr>
        <w:tc>
          <w:tcPr>
            <w:tcW w:w="1419" w:type="dxa"/>
            <w:vMerge/>
            <w:tcBorders>
              <w:left w:val="nil"/>
              <w:right w:val="nil"/>
            </w:tcBorders>
          </w:tcPr>
          <w:p w14:paraId="56D5AD83"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5E6E5D1E"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4AF742A1"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0AC40890"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1D892946"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2</w:t>
            </w:r>
          </w:p>
        </w:tc>
        <w:tc>
          <w:tcPr>
            <w:tcW w:w="1134" w:type="dxa"/>
            <w:tcBorders>
              <w:top w:val="nil"/>
              <w:left w:val="nil"/>
              <w:bottom w:val="nil"/>
              <w:right w:val="nil"/>
            </w:tcBorders>
          </w:tcPr>
          <w:p w14:paraId="3201154F"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sym w:font="Symbol" w:char="F0AD"/>
            </w:r>
          </w:p>
        </w:tc>
        <w:tc>
          <w:tcPr>
            <w:tcW w:w="1701" w:type="dxa"/>
            <w:tcBorders>
              <w:top w:val="nil"/>
              <w:left w:val="nil"/>
              <w:bottom w:val="nil"/>
              <w:right w:val="nil"/>
            </w:tcBorders>
          </w:tcPr>
          <w:p w14:paraId="6E9B37FC"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53BFB8E7"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7D256795"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1472</w:t>
            </w:r>
          </w:p>
        </w:tc>
        <w:tc>
          <w:tcPr>
            <w:tcW w:w="2552" w:type="dxa"/>
            <w:tcBorders>
              <w:top w:val="nil"/>
              <w:left w:val="nil"/>
              <w:bottom w:val="nil"/>
              <w:right w:val="nil"/>
            </w:tcBorders>
          </w:tcPr>
          <w:p w14:paraId="1F03AE06"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 xml:space="preserve">(28 -70 -34) to (42 -56 -22)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723DF1">
              <w:rPr>
                <w:rFonts w:ascii="Times New Roman" w:hAnsi="Times New Roman" w:cs="Times New Roman"/>
                <w:sz w:val="20"/>
                <w:szCs w:val="20"/>
              </w:rPr>
              <w:t>35 -63 -29</w:t>
            </w:r>
            <w:r w:rsidRPr="009E279F">
              <w:rPr>
                <w:rFonts w:ascii="Times New Roman" w:hAnsi="Times New Roman" w:cs="Times New Roman"/>
                <w:sz w:val="20"/>
                <w:szCs w:val="20"/>
              </w:rPr>
              <w:t>)</w:t>
            </w:r>
          </w:p>
        </w:tc>
      </w:tr>
      <w:tr w:rsidR="00AD51EF" w:rsidRPr="009E279F" w14:paraId="7DC17FFE" w14:textId="77777777" w:rsidTr="00AD51EF">
        <w:trPr>
          <w:trHeight w:val="278"/>
        </w:trPr>
        <w:tc>
          <w:tcPr>
            <w:tcW w:w="1419" w:type="dxa"/>
            <w:vMerge/>
            <w:tcBorders>
              <w:left w:val="nil"/>
              <w:right w:val="nil"/>
            </w:tcBorders>
          </w:tcPr>
          <w:p w14:paraId="5BE8FADE"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13ED0193"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06621F99"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7D62F716"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58AE0445"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3</w:t>
            </w:r>
          </w:p>
        </w:tc>
        <w:tc>
          <w:tcPr>
            <w:tcW w:w="1134" w:type="dxa"/>
            <w:tcBorders>
              <w:top w:val="nil"/>
              <w:left w:val="nil"/>
              <w:bottom w:val="nil"/>
              <w:right w:val="nil"/>
            </w:tcBorders>
          </w:tcPr>
          <w:p w14:paraId="26E6BFE2"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w:t>
            </w:r>
          </w:p>
        </w:tc>
        <w:tc>
          <w:tcPr>
            <w:tcW w:w="1701" w:type="dxa"/>
            <w:tcBorders>
              <w:top w:val="nil"/>
              <w:left w:val="nil"/>
              <w:bottom w:val="nil"/>
              <w:right w:val="nil"/>
            </w:tcBorders>
          </w:tcPr>
          <w:p w14:paraId="7D5BFB64"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4CC837AB"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380C7D34"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1288</w:t>
            </w:r>
          </w:p>
        </w:tc>
        <w:tc>
          <w:tcPr>
            <w:tcW w:w="2552" w:type="dxa"/>
            <w:tcBorders>
              <w:top w:val="nil"/>
              <w:left w:val="nil"/>
              <w:bottom w:val="nil"/>
              <w:right w:val="nil"/>
            </w:tcBorders>
          </w:tcPr>
          <w:p w14:paraId="522C04D0"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 xml:space="preserve">(-46 -86 -44) to (-28 -68 -34)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723DF1">
              <w:rPr>
                <w:rFonts w:ascii="Times New Roman" w:hAnsi="Times New Roman" w:cs="Times New Roman"/>
                <w:sz w:val="20"/>
                <w:szCs w:val="20"/>
              </w:rPr>
              <w:t>-35 -77 -40</w:t>
            </w:r>
            <w:r w:rsidRPr="009E279F">
              <w:rPr>
                <w:rFonts w:ascii="Times New Roman" w:hAnsi="Times New Roman" w:cs="Times New Roman"/>
                <w:sz w:val="20"/>
                <w:szCs w:val="20"/>
              </w:rPr>
              <w:t>)</w:t>
            </w:r>
          </w:p>
        </w:tc>
      </w:tr>
      <w:tr w:rsidR="00AD51EF" w:rsidRPr="009E279F" w14:paraId="1371E144" w14:textId="77777777" w:rsidTr="00AD51EF">
        <w:trPr>
          <w:trHeight w:val="278"/>
        </w:trPr>
        <w:tc>
          <w:tcPr>
            <w:tcW w:w="1419" w:type="dxa"/>
            <w:vMerge/>
            <w:tcBorders>
              <w:left w:val="nil"/>
              <w:right w:val="nil"/>
            </w:tcBorders>
          </w:tcPr>
          <w:p w14:paraId="03582AB7"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686B5045"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77F36432"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4F57B90A"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73629D9B"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4</w:t>
            </w:r>
          </w:p>
        </w:tc>
        <w:tc>
          <w:tcPr>
            <w:tcW w:w="1134" w:type="dxa"/>
            <w:tcBorders>
              <w:top w:val="nil"/>
              <w:left w:val="nil"/>
              <w:bottom w:val="nil"/>
              <w:right w:val="nil"/>
            </w:tcBorders>
          </w:tcPr>
          <w:p w14:paraId="29452F82"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w:t>
            </w:r>
          </w:p>
        </w:tc>
        <w:tc>
          <w:tcPr>
            <w:tcW w:w="1701" w:type="dxa"/>
            <w:tcBorders>
              <w:top w:val="nil"/>
              <w:left w:val="nil"/>
              <w:bottom w:val="nil"/>
              <w:right w:val="nil"/>
            </w:tcBorders>
          </w:tcPr>
          <w:p w14:paraId="5E3C4CCA"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4A5AD4EC"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19A73F06"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1112</w:t>
            </w:r>
          </w:p>
        </w:tc>
        <w:tc>
          <w:tcPr>
            <w:tcW w:w="2552" w:type="dxa"/>
            <w:tcBorders>
              <w:top w:val="nil"/>
              <w:left w:val="nil"/>
              <w:bottom w:val="nil"/>
              <w:right w:val="nil"/>
            </w:tcBorders>
          </w:tcPr>
          <w:p w14:paraId="40298220"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 xml:space="preserve">(-10 -78 -22) to (8 -66 -10) </w:t>
            </w:r>
            <w:proofErr w:type="spellStart"/>
            <w:r w:rsidRPr="00723DF1">
              <w:rPr>
                <w:rFonts w:ascii="Times New Roman" w:hAnsi="Times New Roman" w:cs="Times New Roman"/>
                <w:sz w:val="20"/>
                <w:szCs w:val="20"/>
              </w:rPr>
              <w:t>centered</w:t>
            </w:r>
            <w:proofErr w:type="spellEnd"/>
            <w:r w:rsidRPr="00723DF1">
              <w:rPr>
                <w:rFonts w:ascii="Times New Roman" w:hAnsi="Times New Roman" w:cs="Times New Roman"/>
                <w:sz w:val="20"/>
                <w:szCs w:val="20"/>
              </w:rPr>
              <w:t xml:space="preserve"> at </w:t>
            </w:r>
            <w:r w:rsidRPr="009E279F">
              <w:rPr>
                <w:rFonts w:ascii="Times New Roman" w:hAnsi="Times New Roman" w:cs="Times New Roman"/>
                <w:sz w:val="20"/>
                <w:szCs w:val="20"/>
              </w:rPr>
              <w:t>(</w:t>
            </w:r>
            <w:r w:rsidRPr="00723DF1">
              <w:rPr>
                <w:rFonts w:ascii="Times New Roman" w:hAnsi="Times New Roman" w:cs="Times New Roman"/>
                <w:sz w:val="20"/>
                <w:szCs w:val="20"/>
              </w:rPr>
              <w:t>1 -72 -15)</w:t>
            </w:r>
          </w:p>
        </w:tc>
      </w:tr>
      <w:tr w:rsidR="00AD51EF" w:rsidRPr="009E279F" w14:paraId="2412242B" w14:textId="77777777" w:rsidTr="00AD51EF">
        <w:trPr>
          <w:trHeight w:val="278"/>
        </w:trPr>
        <w:tc>
          <w:tcPr>
            <w:tcW w:w="1419" w:type="dxa"/>
            <w:vMerge/>
            <w:tcBorders>
              <w:left w:val="nil"/>
              <w:bottom w:val="single" w:sz="4" w:space="0" w:color="auto"/>
              <w:right w:val="nil"/>
            </w:tcBorders>
          </w:tcPr>
          <w:p w14:paraId="12DBA6CD"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single" w:sz="4" w:space="0" w:color="auto"/>
              <w:right w:val="nil"/>
            </w:tcBorders>
          </w:tcPr>
          <w:p w14:paraId="0F9AC9B0"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single" w:sz="4" w:space="0" w:color="auto"/>
              <w:right w:val="nil"/>
            </w:tcBorders>
          </w:tcPr>
          <w:p w14:paraId="403815CB"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single" w:sz="4" w:space="0" w:color="auto"/>
              <w:right w:val="nil"/>
            </w:tcBorders>
          </w:tcPr>
          <w:p w14:paraId="42A8D0B5"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single" w:sz="4" w:space="0" w:color="auto"/>
              <w:right w:val="nil"/>
            </w:tcBorders>
          </w:tcPr>
          <w:p w14:paraId="615B7FED"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5</w:t>
            </w:r>
          </w:p>
        </w:tc>
        <w:tc>
          <w:tcPr>
            <w:tcW w:w="1134" w:type="dxa"/>
            <w:tcBorders>
              <w:top w:val="nil"/>
              <w:left w:val="nil"/>
              <w:bottom w:val="single" w:sz="4" w:space="0" w:color="auto"/>
              <w:right w:val="nil"/>
            </w:tcBorders>
          </w:tcPr>
          <w:p w14:paraId="0E478E94"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w:t>
            </w:r>
          </w:p>
        </w:tc>
        <w:tc>
          <w:tcPr>
            <w:tcW w:w="1701" w:type="dxa"/>
            <w:tcBorders>
              <w:top w:val="nil"/>
              <w:left w:val="nil"/>
              <w:bottom w:val="single" w:sz="4" w:space="0" w:color="auto"/>
              <w:right w:val="nil"/>
            </w:tcBorders>
          </w:tcPr>
          <w:p w14:paraId="6A357152"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single" w:sz="4" w:space="0" w:color="auto"/>
              <w:right w:val="nil"/>
            </w:tcBorders>
          </w:tcPr>
          <w:p w14:paraId="1F49416A"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single" w:sz="4" w:space="0" w:color="auto"/>
              <w:right w:val="nil"/>
            </w:tcBorders>
          </w:tcPr>
          <w:p w14:paraId="585F4531"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808</w:t>
            </w:r>
          </w:p>
        </w:tc>
        <w:tc>
          <w:tcPr>
            <w:tcW w:w="2552" w:type="dxa"/>
            <w:tcBorders>
              <w:top w:val="nil"/>
              <w:left w:val="nil"/>
              <w:bottom w:val="single" w:sz="4" w:space="0" w:color="auto"/>
              <w:right w:val="nil"/>
            </w:tcBorders>
          </w:tcPr>
          <w:p w14:paraId="59EE3FCB"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 xml:space="preserve">(-48 -54 -46) to (-34 -36 -36) </w:t>
            </w:r>
            <w:proofErr w:type="spellStart"/>
            <w:r w:rsidRPr="00723DF1">
              <w:rPr>
                <w:rFonts w:ascii="Times New Roman" w:hAnsi="Times New Roman" w:cs="Times New Roman"/>
                <w:sz w:val="20"/>
                <w:szCs w:val="20"/>
              </w:rPr>
              <w:t>centered</w:t>
            </w:r>
            <w:proofErr w:type="spellEnd"/>
            <w:r w:rsidRPr="00723DF1">
              <w:rPr>
                <w:rFonts w:ascii="Times New Roman" w:hAnsi="Times New Roman" w:cs="Times New Roman"/>
                <w:sz w:val="20"/>
                <w:szCs w:val="20"/>
              </w:rPr>
              <w:t xml:space="preserve"> at </w:t>
            </w:r>
            <w:r w:rsidRPr="009E279F">
              <w:rPr>
                <w:rFonts w:ascii="Times New Roman" w:hAnsi="Times New Roman" w:cs="Times New Roman"/>
                <w:sz w:val="20"/>
                <w:szCs w:val="20"/>
              </w:rPr>
              <w:t>(</w:t>
            </w:r>
            <w:r w:rsidRPr="00723DF1">
              <w:rPr>
                <w:rFonts w:ascii="Times New Roman" w:hAnsi="Times New Roman" w:cs="Times New Roman"/>
                <w:sz w:val="20"/>
                <w:szCs w:val="20"/>
              </w:rPr>
              <w:t>-40 -42 -41)</w:t>
            </w:r>
          </w:p>
        </w:tc>
      </w:tr>
      <w:tr w:rsidR="00AD51EF" w:rsidRPr="009E279F" w14:paraId="2202CE63" w14:textId="77777777" w:rsidTr="00AD51EF">
        <w:trPr>
          <w:trHeight w:val="278"/>
        </w:trPr>
        <w:tc>
          <w:tcPr>
            <w:tcW w:w="1419" w:type="dxa"/>
            <w:vMerge w:val="restart"/>
            <w:tcBorders>
              <w:left w:val="nil"/>
              <w:right w:val="nil"/>
            </w:tcBorders>
          </w:tcPr>
          <w:p w14:paraId="67023BCB" w14:textId="77777777" w:rsidR="00F4687C" w:rsidRDefault="00F4687C" w:rsidP="00BD0CFF">
            <w:pPr>
              <w:rPr>
                <w:rFonts w:ascii="Times New Roman" w:hAnsi="Times New Roman" w:cs="Times New Roman"/>
                <w:sz w:val="20"/>
                <w:szCs w:val="20"/>
              </w:rPr>
            </w:pPr>
            <w:r>
              <w:rPr>
                <w:rFonts w:ascii="Times New Roman" w:hAnsi="Times New Roman" w:cs="Times New Roman"/>
                <w:sz w:val="20"/>
                <w:szCs w:val="20"/>
              </w:rPr>
              <w:t>Dickie et al., 2015</w:t>
            </w:r>
          </w:p>
          <w:p w14:paraId="5BBCC119" w14:textId="77777777" w:rsidR="00F4687C" w:rsidRPr="009E279F" w:rsidRDefault="00F4687C" w:rsidP="00BD0CFF">
            <w:pP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{"citationItems":[{"id":"ITEM-1","itemData":{"DOI":"10.1371/journal.pone.0127939","ISSN":"1932-6203 (Electronic)","PMID":"26023913","abstract":"INTRODUCTION: Neurodegenerative disease diagnoses may be supported by the comparison of an individual patient's brain magnetic resonance image (MRI) with a voxel-based atlas of normal brain MRI. Most current brain MRI atlases are of young to middle-aged adults and parametric, e.g., mean +/- standard deviation (SD); these atlases require data to be Gaussian. Brain MRI data, e.g., grey matter (GM) proportion images, from normal older subjects are apparently not Gaussian. We created a nonparametric and a parametric atlas of the normal limits of GM proportions in older subjects and compared their classifications of GM proportions in Alzheimer's disease (AD) patients. METHODS: Using publicly available brain MRI from 138 normal subjects and 138 subjects diagnosed with AD (all 55-90 years), we created: a mean +/- SD atlas to estimate parametrically the percentile ranks and limits of normal ageing GM; and, separately, a nonparametric, rank order-based GM atlas from the same normal ageing subjects. GM images from AD patients were then classified with respect to each atlas to determine the effect statistical distributions had on classifications of proportions of GM in AD patients. RESULTS: The parametric atlas often defined the lower normal limit of the proportion of GM to be negative (which does not make sense physiologically as the lowest possible proportion is zero). Because of this, for approximately half of the AD subjects, 25-45% of voxels were classified as normal when compared to the parametric atlas; but were classified as abnormal when compared to the nonparametric atlas. These voxels were mainly concentrated in the frontal and occipital lobes. DISCUSSION: To our knowledge, we have presented the first nonparametric brain MRI atlas. In conditions where there is increasing variability in brain structure, such as in old age, nonparametric brain MRI atlases may represent the limits of normal brain structure more accurately than parametric approaches. Therefore, we conclude that the statistical method used for construction of brain MRI atlases should be selected taking into account the population and aim under study. Parametric methods are generally robust for defining central tendencies, e.g., means, of brain structure. Nonparametric methods are advisable when studying the limits of brain structure in ageing and neurodegenerative disease.","author":[{"dropping-particle":"","family":"Dickie","given":"David Alexander","non-dropping-particle":"","parse-names":false,"suffix":""},{"dropping-particle":"","family":"Job","given":"Dominic E","non-dropping-particle":"","parse-names":false,"suffix":""},{"dropping-particle":"","family":"Gonzalez","given":"David Rodriguez","non-dropping-particle":"","parse-names":false,"suffix":""},{"dropping-particle":"","family":"Shenkin","given":"Susan D","non-dropping-particle":"","parse-names":false,"suffix":""},{"dropping-particle":"","family":"Wardlaw","given":"Joanna M","non-dropping-particle":"","parse-names":false,"suffix":""}],"container-title":"PloS one","id":"ITEM-1","issue":"5","issued":{"date-parts":[["2015"]]},"language":"eng","page":"e0127939","publisher-place":"United States","title":"Use of brain MRI atlases to determine boundaries of age-related pathology: the importance of statistical method.","type":"article-journal","volume":"10"},"uris":["http://www.mendeley.com/documents/?uuid=09e591d9-bf10-4e43-b2a0-432d9429d49a"]}],"mendeley":{"formattedCitation":"[16]","plainTextFormattedCitation":"[16]","previouslyFormattedCitation":"[16]"},"properties":{"noteIndex":0},"schema":"https://github.com/citation-style-language/schema/raw/master/csl-citation.json"}</w:instrText>
            </w:r>
            <w:r>
              <w:rPr>
                <w:rFonts w:ascii="Times New Roman" w:hAnsi="Times New Roman" w:cs="Times New Roman"/>
                <w:sz w:val="20"/>
                <w:szCs w:val="20"/>
              </w:rPr>
              <w:fldChar w:fldCharType="separate"/>
            </w:r>
            <w:r w:rsidRPr="00B12442">
              <w:rPr>
                <w:rFonts w:ascii="Times New Roman" w:hAnsi="Times New Roman" w:cs="Times New Roman"/>
                <w:noProof/>
                <w:sz w:val="20"/>
                <w:szCs w:val="20"/>
              </w:rPr>
              <w:t>[16]</w:t>
            </w:r>
            <w:r>
              <w:rPr>
                <w:rFonts w:ascii="Times New Roman" w:hAnsi="Times New Roman" w:cs="Times New Roman"/>
                <w:sz w:val="20"/>
                <w:szCs w:val="20"/>
              </w:rPr>
              <w:fldChar w:fldCharType="end"/>
            </w:r>
          </w:p>
        </w:tc>
        <w:tc>
          <w:tcPr>
            <w:tcW w:w="987" w:type="dxa"/>
            <w:tcBorders>
              <w:top w:val="nil"/>
              <w:left w:val="nil"/>
              <w:bottom w:val="nil"/>
              <w:right w:val="nil"/>
            </w:tcBorders>
          </w:tcPr>
          <w:p w14:paraId="7348BA90"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62</w:t>
            </w:r>
          </w:p>
        </w:tc>
        <w:tc>
          <w:tcPr>
            <w:tcW w:w="1080" w:type="dxa"/>
            <w:tcBorders>
              <w:top w:val="nil"/>
              <w:left w:val="nil"/>
              <w:bottom w:val="nil"/>
              <w:right w:val="nil"/>
            </w:tcBorders>
          </w:tcPr>
          <w:p w14:paraId="482A2863"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2361</w:t>
            </w:r>
          </w:p>
        </w:tc>
        <w:tc>
          <w:tcPr>
            <w:tcW w:w="1476" w:type="dxa"/>
            <w:tcBorders>
              <w:top w:val="nil"/>
              <w:left w:val="nil"/>
              <w:bottom w:val="nil"/>
              <w:right w:val="nil"/>
            </w:tcBorders>
          </w:tcPr>
          <w:p w14:paraId="145C4465"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512</w:t>
            </w:r>
          </w:p>
        </w:tc>
        <w:tc>
          <w:tcPr>
            <w:tcW w:w="2268" w:type="dxa"/>
            <w:tcBorders>
              <w:top w:val="nil"/>
              <w:left w:val="nil"/>
              <w:bottom w:val="nil"/>
              <w:right w:val="nil"/>
            </w:tcBorders>
          </w:tcPr>
          <w:p w14:paraId="32B895C8"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1</w:t>
            </w:r>
          </w:p>
        </w:tc>
        <w:tc>
          <w:tcPr>
            <w:tcW w:w="1134" w:type="dxa"/>
            <w:tcBorders>
              <w:top w:val="nil"/>
              <w:left w:val="nil"/>
              <w:bottom w:val="nil"/>
              <w:right w:val="nil"/>
            </w:tcBorders>
          </w:tcPr>
          <w:p w14:paraId="6E56F13F"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sym w:font="Symbol" w:char="F0AD"/>
            </w:r>
          </w:p>
        </w:tc>
        <w:tc>
          <w:tcPr>
            <w:tcW w:w="1701" w:type="dxa"/>
            <w:tcBorders>
              <w:top w:val="nil"/>
              <w:left w:val="nil"/>
              <w:bottom w:val="nil"/>
              <w:right w:val="nil"/>
            </w:tcBorders>
          </w:tcPr>
          <w:p w14:paraId="1871E4B1"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645F15DE"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2ED6CF00"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1512</w:t>
            </w:r>
          </w:p>
        </w:tc>
        <w:tc>
          <w:tcPr>
            <w:tcW w:w="2552" w:type="dxa"/>
            <w:tcBorders>
              <w:top w:val="nil"/>
              <w:left w:val="nil"/>
              <w:bottom w:val="nil"/>
              <w:right w:val="nil"/>
            </w:tcBorders>
          </w:tcPr>
          <w:p w14:paraId="01CFF551"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 xml:space="preserve">(24 -90 -42) to (40 -72 -30)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723DF1">
              <w:rPr>
                <w:rFonts w:ascii="Times New Roman" w:hAnsi="Times New Roman" w:cs="Times New Roman"/>
                <w:sz w:val="20"/>
                <w:szCs w:val="20"/>
              </w:rPr>
              <w:t>33 -81 -37</w:t>
            </w:r>
            <w:r w:rsidRPr="009E279F">
              <w:rPr>
                <w:rFonts w:ascii="Times New Roman" w:hAnsi="Times New Roman" w:cs="Times New Roman"/>
                <w:sz w:val="20"/>
                <w:szCs w:val="20"/>
              </w:rPr>
              <w:t>)</w:t>
            </w:r>
          </w:p>
        </w:tc>
      </w:tr>
      <w:tr w:rsidR="00AD51EF" w:rsidRPr="009E279F" w14:paraId="09B4DB66" w14:textId="77777777" w:rsidTr="00AD51EF">
        <w:trPr>
          <w:trHeight w:val="278"/>
        </w:trPr>
        <w:tc>
          <w:tcPr>
            <w:tcW w:w="1419" w:type="dxa"/>
            <w:vMerge/>
            <w:tcBorders>
              <w:left w:val="nil"/>
              <w:right w:val="nil"/>
            </w:tcBorders>
          </w:tcPr>
          <w:p w14:paraId="60B47B04"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06E02B23"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60E399A8"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168AA7DD"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605676FD"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2</w:t>
            </w:r>
          </w:p>
        </w:tc>
        <w:tc>
          <w:tcPr>
            <w:tcW w:w="1134" w:type="dxa"/>
            <w:tcBorders>
              <w:top w:val="nil"/>
              <w:left w:val="nil"/>
              <w:bottom w:val="nil"/>
              <w:right w:val="nil"/>
            </w:tcBorders>
          </w:tcPr>
          <w:p w14:paraId="701FC078"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sym w:font="Symbol" w:char="F0AD"/>
            </w:r>
          </w:p>
        </w:tc>
        <w:tc>
          <w:tcPr>
            <w:tcW w:w="1701" w:type="dxa"/>
            <w:tcBorders>
              <w:top w:val="nil"/>
              <w:left w:val="nil"/>
              <w:bottom w:val="nil"/>
              <w:right w:val="nil"/>
            </w:tcBorders>
          </w:tcPr>
          <w:p w14:paraId="0D279F67"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441AE3CC"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56A1D77C"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1496</w:t>
            </w:r>
          </w:p>
        </w:tc>
        <w:tc>
          <w:tcPr>
            <w:tcW w:w="2552" w:type="dxa"/>
            <w:tcBorders>
              <w:top w:val="nil"/>
              <w:left w:val="nil"/>
              <w:bottom w:val="nil"/>
              <w:right w:val="nil"/>
            </w:tcBorders>
          </w:tcPr>
          <w:p w14:paraId="19D489BD"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 xml:space="preserve">(28 -70 -34) to (42 -56 -22)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723DF1">
              <w:rPr>
                <w:rFonts w:ascii="Times New Roman" w:hAnsi="Times New Roman" w:cs="Times New Roman"/>
                <w:sz w:val="20"/>
                <w:szCs w:val="20"/>
              </w:rPr>
              <w:t>35 -63 -29</w:t>
            </w:r>
            <w:r w:rsidRPr="009E279F">
              <w:rPr>
                <w:rFonts w:ascii="Times New Roman" w:hAnsi="Times New Roman" w:cs="Times New Roman"/>
                <w:sz w:val="20"/>
                <w:szCs w:val="20"/>
              </w:rPr>
              <w:t>)</w:t>
            </w:r>
          </w:p>
        </w:tc>
      </w:tr>
      <w:tr w:rsidR="00AD51EF" w:rsidRPr="009E279F" w14:paraId="1DDD91DB" w14:textId="77777777" w:rsidTr="00AD51EF">
        <w:trPr>
          <w:trHeight w:val="278"/>
        </w:trPr>
        <w:tc>
          <w:tcPr>
            <w:tcW w:w="1419" w:type="dxa"/>
            <w:vMerge/>
            <w:tcBorders>
              <w:left w:val="nil"/>
              <w:right w:val="nil"/>
            </w:tcBorders>
          </w:tcPr>
          <w:p w14:paraId="7A519352"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268DA4A1"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22F18770"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26E58A16"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4EEF42E3"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3</w:t>
            </w:r>
          </w:p>
        </w:tc>
        <w:tc>
          <w:tcPr>
            <w:tcW w:w="1134" w:type="dxa"/>
            <w:tcBorders>
              <w:top w:val="nil"/>
              <w:left w:val="nil"/>
              <w:bottom w:val="nil"/>
              <w:right w:val="nil"/>
            </w:tcBorders>
          </w:tcPr>
          <w:p w14:paraId="4BE5D096"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sym w:font="Symbol" w:char="F0AD"/>
            </w:r>
          </w:p>
        </w:tc>
        <w:tc>
          <w:tcPr>
            <w:tcW w:w="1701" w:type="dxa"/>
            <w:tcBorders>
              <w:top w:val="nil"/>
              <w:left w:val="nil"/>
              <w:bottom w:val="nil"/>
              <w:right w:val="nil"/>
            </w:tcBorders>
          </w:tcPr>
          <w:p w14:paraId="4A7FE754"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27DA5D61"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7F3D203C"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1336</w:t>
            </w:r>
          </w:p>
        </w:tc>
        <w:tc>
          <w:tcPr>
            <w:tcW w:w="2552" w:type="dxa"/>
            <w:tcBorders>
              <w:top w:val="nil"/>
              <w:left w:val="nil"/>
              <w:bottom w:val="nil"/>
              <w:right w:val="nil"/>
            </w:tcBorders>
          </w:tcPr>
          <w:p w14:paraId="670AA15E"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 xml:space="preserve">(-48 -86 -44) to (-28 -68 -34)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723DF1">
              <w:rPr>
                <w:rFonts w:ascii="Times New Roman" w:hAnsi="Times New Roman" w:cs="Times New Roman"/>
                <w:sz w:val="20"/>
                <w:szCs w:val="20"/>
              </w:rPr>
              <w:t>-35 -77 -40</w:t>
            </w:r>
            <w:r w:rsidRPr="009E279F">
              <w:rPr>
                <w:rFonts w:ascii="Times New Roman" w:hAnsi="Times New Roman" w:cs="Times New Roman"/>
                <w:sz w:val="20"/>
                <w:szCs w:val="20"/>
              </w:rPr>
              <w:t>)</w:t>
            </w:r>
          </w:p>
        </w:tc>
      </w:tr>
      <w:tr w:rsidR="00AD51EF" w:rsidRPr="009E279F" w14:paraId="73949351" w14:textId="77777777" w:rsidTr="00AD51EF">
        <w:trPr>
          <w:trHeight w:val="278"/>
        </w:trPr>
        <w:tc>
          <w:tcPr>
            <w:tcW w:w="1419" w:type="dxa"/>
            <w:vMerge/>
            <w:tcBorders>
              <w:left w:val="nil"/>
              <w:right w:val="nil"/>
            </w:tcBorders>
          </w:tcPr>
          <w:p w14:paraId="583137F4"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733C6AB9"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6FD7284D"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2C31FDCC"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14E23D46"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4</w:t>
            </w:r>
          </w:p>
        </w:tc>
        <w:tc>
          <w:tcPr>
            <w:tcW w:w="1134" w:type="dxa"/>
            <w:tcBorders>
              <w:top w:val="nil"/>
              <w:left w:val="nil"/>
              <w:bottom w:val="nil"/>
              <w:right w:val="nil"/>
            </w:tcBorders>
          </w:tcPr>
          <w:p w14:paraId="465568D1"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sym w:font="Symbol" w:char="F0AD"/>
            </w:r>
          </w:p>
        </w:tc>
        <w:tc>
          <w:tcPr>
            <w:tcW w:w="1701" w:type="dxa"/>
            <w:tcBorders>
              <w:top w:val="nil"/>
              <w:left w:val="nil"/>
              <w:bottom w:val="nil"/>
              <w:right w:val="nil"/>
            </w:tcBorders>
          </w:tcPr>
          <w:p w14:paraId="55A2F137"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670CBC45"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6E9F957B"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1176</w:t>
            </w:r>
          </w:p>
        </w:tc>
        <w:tc>
          <w:tcPr>
            <w:tcW w:w="2552" w:type="dxa"/>
            <w:tcBorders>
              <w:top w:val="nil"/>
              <w:left w:val="nil"/>
              <w:bottom w:val="nil"/>
              <w:right w:val="nil"/>
            </w:tcBorders>
          </w:tcPr>
          <w:p w14:paraId="7B367788"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 xml:space="preserve">(-10 -78 -22) to (8 -66 -10) </w:t>
            </w:r>
            <w:proofErr w:type="spellStart"/>
            <w:r w:rsidRPr="00723DF1">
              <w:rPr>
                <w:rFonts w:ascii="Times New Roman" w:hAnsi="Times New Roman" w:cs="Times New Roman"/>
                <w:sz w:val="20"/>
                <w:szCs w:val="20"/>
              </w:rPr>
              <w:t>centered</w:t>
            </w:r>
            <w:proofErr w:type="spellEnd"/>
            <w:r w:rsidRPr="00723DF1">
              <w:rPr>
                <w:rFonts w:ascii="Times New Roman" w:hAnsi="Times New Roman" w:cs="Times New Roman"/>
                <w:sz w:val="20"/>
                <w:szCs w:val="20"/>
              </w:rPr>
              <w:t xml:space="preserve"> at </w:t>
            </w:r>
            <w:r w:rsidRPr="009E279F">
              <w:rPr>
                <w:rFonts w:ascii="Times New Roman" w:hAnsi="Times New Roman" w:cs="Times New Roman"/>
                <w:sz w:val="20"/>
                <w:szCs w:val="20"/>
              </w:rPr>
              <w:t>(</w:t>
            </w:r>
            <w:r w:rsidRPr="00723DF1">
              <w:rPr>
                <w:rFonts w:ascii="Times New Roman" w:hAnsi="Times New Roman" w:cs="Times New Roman"/>
                <w:sz w:val="20"/>
                <w:szCs w:val="20"/>
              </w:rPr>
              <w:t>1 -72 -15)</w:t>
            </w:r>
          </w:p>
        </w:tc>
      </w:tr>
      <w:tr w:rsidR="00AD51EF" w:rsidRPr="009E279F" w14:paraId="4914CC31" w14:textId="77777777" w:rsidTr="00AD51EF">
        <w:trPr>
          <w:trHeight w:val="278"/>
        </w:trPr>
        <w:tc>
          <w:tcPr>
            <w:tcW w:w="1419" w:type="dxa"/>
            <w:vMerge/>
            <w:tcBorders>
              <w:left w:val="nil"/>
              <w:bottom w:val="single" w:sz="4" w:space="0" w:color="auto"/>
              <w:right w:val="nil"/>
            </w:tcBorders>
          </w:tcPr>
          <w:p w14:paraId="25E46E75"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single" w:sz="4" w:space="0" w:color="auto"/>
              <w:right w:val="nil"/>
            </w:tcBorders>
          </w:tcPr>
          <w:p w14:paraId="476E44DD"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single" w:sz="4" w:space="0" w:color="auto"/>
              <w:right w:val="nil"/>
            </w:tcBorders>
          </w:tcPr>
          <w:p w14:paraId="6C549B43"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single" w:sz="4" w:space="0" w:color="auto"/>
              <w:right w:val="nil"/>
            </w:tcBorders>
          </w:tcPr>
          <w:p w14:paraId="04D55666"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single" w:sz="4" w:space="0" w:color="auto"/>
              <w:right w:val="nil"/>
            </w:tcBorders>
          </w:tcPr>
          <w:p w14:paraId="076040AE"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5</w:t>
            </w:r>
          </w:p>
        </w:tc>
        <w:tc>
          <w:tcPr>
            <w:tcW w:w="1134" w:type="dxa"/>
            <w:tcBorders>
              <w:top w:val="nil"/>
              <w:left w:val="nil"/>
              <w:bottom w:val="single" w:sz="4" w:space="0" w:color="auto"/>
              <w:right w:val="nil"/>
            </w:tcBorders>
          </w:tcPr>
          <w:p w14:paraId="129DFA7A"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w:t>
            </w:r>
          </w:p>
        </w:tc>
        <w:tc>
          <w:tcPr>
            <w:tcW w:w="1701" w:type="dxa"/>
            <w:tcBorders>
              <w:top w:val="nil"/>
              <w:left w:val="nil"/>
              <w:bottom w:val="single" w:sz="4" w:space="0" w:color="auto"/>
              <w:right w:val="nil"/>
            </w:tcBorders>
          </w:tcPr>
          <w:p w14:paraId="519ED4B0"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single" w:sz="4" w:space="0" w:color="auto"/>
              <w:right w:val="nil"/>
            </w:tcBorders>
          </w:tcPr>
          <w:p w14:paraId="555250E2"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single" w:sz="4" w:space="0" w:color="auto"/>
              <w:right w:val="nil"/>
            </w:tcBorders>
          </w:tcPr>
          <w:p w14:paraId="51F5CBFC"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808</w:t>
            </w:r>
          </w:p>
        </w:tc>
        <w:tc>
          <w:tcPr>
            <w:tcW w:w="2552" w:type="dxa"/>
            <w:tcBorders>
              <w:top w:val="nil"/>
              <w:left w:val="nil"/>
              <w:bottom w:val="single" w:sz="4" w:space="0" w:color="auto"/>
              <w:right w:val="nil"/>
            </w:tcBorders>
          </w:tcPr>
          <w:p w14:paraId="5D9F733D"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 xml:space="preserve">(-48 -54 -46) to (-34 -36 -36) </w:t>
            </w:r>
            <w:proofErr w:type="spellStart"/>
            <w:r w:rsidRPr="00723DF1">
              <w:rPr>
                <w:rFonts w:ascii="Times New Roman" w:hAnsi="Times New Roman" w:cs="Times New Roman"/>
                <w:sz w:val="20"/>
                <w:szCs w:val="20"/>
              </w:rPr>
              <w:t>centered</w:t>
            </w:r>
            <w:proofErr w:type="spellEnd"/>
            <w:r w:rsidRPr="00723DF1">
              <w:rPr>
                <w:rFonts w:ascii="Times New Roman" w:hAnsi="Times New Roman" w:cs="Times New Roman"/>
                <w:sz w:val="20"/>
                <w:szCs w:val="20"/>
              </w:rPr>
              <w:t xml:space="preserve"> at </w:t>
            </w:r>
            <w:r w:rsidRPr="009E279F">
              <w:rPr>
                <w:rFonts w:ascii="Times New Roman" w:hAnsi="Times New Roman" w:cs="Times New Roman"/>
                <w:sz w:val="20"/>
                <w:szCs w:val="20"/>
              </w:rPr>
              <w:t>(</w:t>
            </w:r>
            <w:r w:rsidRPr="00723DF1">
              <w:rPr>
                <w:rFonts w:ascii="Times New Roman" w:hAnsi="Times New Roman" w:cs="Times New Roman"/>
                <w:sz w:val="20"/>
                <w:szCs w:val="20"/>
              </w:rPr>
              <w:t>-40 -42 -41)</w:t>
            </w:r>
          </w:p>
        </w:tc>
      </w:tr>
      <w:tr w:rsidR="00AD51EF" w:rsidRPr="009E279F" w14:paraId="3CD13F8A" w14:textId="77777777" w:rsidTr="00AD51EF">
        <w:trPr>
          <w:trHeight w:val="278"/>
        </w:trPr>
        <w:tc>
          <w:tcPr>
            <w:tcW w:w="1419" w:type="dxa"/>
            <w:vMerge w:val="restart"/>
            <w:tcBorders>
              <w:left w:val="nil"/>
              <w:right w:val="nil"/>
            </w:tcBorders>
          </w:tcPr>
          <w:p w14:paraId="3DEA5642" w14:textId="77777777" w:rsidR="00F4687C" w:rsidRDefault="00F4687C" w:rsidP="00BD0CFF">
            <w:pPr>
              <w:rPr>
                <w:rFonts w:ascii="Times New Roman" w:hAnsi="Times New Roman" w:cs="Times New Roman"/>
                <w:sz w:val="20"/>
                <w:szCs w:val="20"/>
              </w:rPr>
            </w:pPr>
            <w:proofErr w:type="spellStart"/>
            <w:r>
              <w:rPr>
                <w:rFonts w:ascii="Times New Roman" w:hAnsi="Times New Roman" w:cs="Times New Roman"/>
                <w:sz w:val="20"/>
                <w:szCs w:val="20"/>
              </w:rPr>
              <w:t>Draganski</w:t>
            </w:r>
            <w:proofErr w:type="spellEnd"/>
            <w:r>
              <w:rPr>
                <w:rFonts w:ascii="Times New Roman" w:hAnsi="Times New Roman" w:cs="Times New Roman"/>
                <w:sz w:val="20"/>
                <w:szCs w:val="20"/>
              </w:rPr>
              <w:t xml:space="preserve"> et al., 2011</w:t>
            </w:r>
          </w:p>
          <w:p w14:paraId="61FBEF60" w14:textId="77777777" w:rsidR="00F4687C" w:rsidRPr="009E279F" w:rsidRDefault="00F4687C" w:rsidP="00BD0CFF">
            <w:pP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{"citationItems":[{"id":"ITEM-1","itemData":{"DOI":"10.1016/j.neuroimage.2011.01.052","ISSN":"1053-8119","abstract":"Normal ageing is associated with characteristic changes in brain microstructure. Although in vivo neuroimaging captures spatial and temporal patterns of age-related changes of anatomy at the macroscopic scale, our knowledge of the underlying (patho)physiological processes at cellular and molecular levels is still limited. The aim of this study is to explore brain tissue properties in normal ageing using quantitative magnetic resonance imaging (MRI) alongside conventional morphological assessment. Using a whole-brain approach in a cohort of 26 adults, aged 18–85 years, we performed voxel-based morphometric (VBM) analysis and voxel-based quantification (VBQ) of diffusion tensor, magnetization transfer (MT), R1, and R2 relaxation parameters. We found age-related reductions in cortical and subcortical grey matter volume paralleled by changes in fractional anisotropy (FA), mean diffusivity (MD), MT and R2. The latter were regionally specific depending on their differential sensitivity to microscopic tissue properties. VBQ of white matter revealed distinct anatomical patterns of age-related change in microstructure. Widespread and profound reduction in MT contrasted with local FA decreases paralleled by MD increases. R1 reductions and R2 increases were observed to a smaller extent in overlapping occipito-parietal white matter regions. We interpret our findings, based on current biophysical models, as a fingerprint of age-dependent brain atrophy and underlying microstructural changes in myelin, iron deposits and water. The VBQ approach we present allows for systematic unbiased exploration of the interaction between imaging parameters and extends current methods for detection of neurodegenerative processes in the brain. The demonstrated parameter-specific distribution patterns offer insights into age-related brain structure changes in vivo and provide essential baseline data for studying disease against a background of healthy ageing. (PsycINFO Database Record (c) 2016 APA, all rights reserved)","author":[{"dropping-particle":"","family":"Draganski","given":"B.","non-dropping-particle":"","parse-names":false,"suffix":""},{"dropping-particle":"","family":"Ashburner","given":"J.","non-dropping-particle":"","parse-names":false,"suffix":""},{"dropping-particle":"","family":"Hutton","given":"C.","non-dropping-particle":"","parse-names":false,"suffix":""},{"dropping-particle":"","family":"Kherif","given":"F.","non-dropping-particle":"","parse-names":false,"suffix":""},{"dropping-particle":"","family":"Frackowiak","given":"R. S.J. J","non-dropping-particle":"","parse-names":false,"suffix":""},{"dropping-particle":"","family":"Helms","given":"G.","non-dropping-particle":"","parse-names":false,"suffix":""},{"dropping-particle":"","family":"Weiskopf","given":"N.","non-dropping-particle":"","parse-names":false,"suffix":""}],"container-title":"NeuroImage","id":"ITEM-1","issue":"4","issued":{"date-parts":[["2011","4","15"]]},"note":"From Duplicate 1 (Regional specificity of MRI contrast parameter changes in normal ageing revealed by voxel-based quantification (VBQ) - Draganski, B; Ashburner, J; Hutton, C; Kherif, F; Frackowiak, R S J; Helms, G; Weiskopf, N)\n\nAccession Number: 2011-03535-001. PMID: 21277375 Partial author list: First Author &amp;amp; Affiliation: Draganski, B.; LREN, Departement des Neurosciences Cliniques, CHUV, Universite de Lausanne, Lausanne, Switzerland. Release Date: 20110221. Correction Date: 20120618. Publication Type: Journal (0100), Peer Reviewed Journal (0110). Format Covered: Electronic. Document Type: Journal Article. Language: English. Major Descriptor: Aging; Magnetic Resonance Imaging; Neuroimaging; Neurodegeneration. Minor Descriptor: Brain; Morphology. Classification: Neuropsychology &amp;amp; Neurology (2520); Gerontology (2860). Population: Human (10); Male (30); Female (40). Age Group: Adulthood (18 yrs &amp;amp; older) (300); Young Adulthood (18-29 yrs) (320); Thirties (30-39 yrs) (340); Middle Age (40-64 yrs) (360); Aged (65 yrs &amp;amp; older) (380); Very Old (85 yrs &amp;amp; older) (390). Methodology: Brain Imaging; Empirical Study; Quantitative Study. References Available: Y. Page Count: 12. Issue Publication Date: Apr 15, 2011. Publication History: First Posted Date: Jan 28, 2011; Accepted Date: Jan 20, 2011; Revised Date: Jan 17, 2011; First Submitted Date: Jul 8, 2010. Copyright Statement: All rights reserved. Elsevier Inc. 2011.\n\nFrom Duplicate 2 (Regional specificity of MRI contrast parameter changes in normal ageing revealed by voxel-based quantification (VBQ) - Draganski, B.; Ashburner, J.; Hutton, C.; Kherif, F.; Frackowiak, R. S.J. J; Helms, G.; Weiskopf, N.)\n\nFrom Duplicate 1 (Regional specificity of MRI contrast parameter changes in normal ageing revealed by voxel-based quantification (VBQ) - Draganski, B.; Ashburner, J.; Hutton, C.; Kherif, F.; Frackowiak, R. S.J. J; Helms, G.; Weiskopf, N.)\n\nFrom Duplicate 1 (Regional specificity of MRI contrast parameter changes in normal ageing revealed by voxel-based quantification (VBQ) - Draganski, B; Ashburner, J; Hutton, C; Kherif, F; Frackowiak, R S J; Helms, G; Weiskopf, N)\nAnd Duplicate 2 (Regional specificity of MRI contrast parameter changes in normal ageing revealed by voxel-based quantification (VBQ) - Draganski, B; Ashburner, J; Hutton, C; Kherif, F; Frackowiak, R S J; Helms, G; Weiskopf, N)\n\nAccession Number: 2011-03535-001. PMID: 21277375 Partial author list: First Author &amp;amp; Affiliation: Draganski, B.; LREN, Departement des Neurosciences Cliniques, CHUV, Universite de Lausanne, Lausanne, Switzerland. Release Date: 20110221. Correction Date: 20120618. Publication Type: Journal (0100), Peer Reviewed Journal (0110). Format Covered: Electronic. Document Type: Journal Article. Language: English. Major Descriptor: Aging; Magnetic Resonance Imaging; Neuroimaging; Neurodegeneration. Minor Descriptor: Brain; Morphology. Classification: Neuropsychology &amp;amp; Neurology (2520); Gerontology (2860). Population: Human (10); Male (30); Female (40). Age Group: Adulthood (18 yrs &amp;amp; older) (300); Young Adulthood (18-29 yrs) (320); Thirties (30-39 yrs) (340); Middle Age (40-64 yrs) (360); Aged (65 yrs &amp;amp; older) (380); Very Old (85 yrs &amp;amp; older) (390). Methodology: Brain Imaging; Empirical Study; Quantitative Study. References Available: Y. Page Count: 12. Issue Publication Date: Apr 15, 2011. Publication History: First Posted Date: Jan 28, 2011; Accepted Date: Jan 20, 2011; Revised Date: Jan 17, 2011; First Submitted Date: Jul 8, 2010. Copyright Statement: All rights reserved. Elsevier Inc. 2011.\n\nFrom Duplicate 3 (Regional specificity of MRI contrast parameter changes in normal ageing revealed by voxel-based quantification (VBQ) - Draganski, B.; Ashburner, J.; Hutton, C.; Kherif, F.; Frackowiak, R. S.J. J; Helms, G.; Weiskopf, N.)\n\nFrom Duplicate 1 (Regional specificity of MRI contrast parameter changes in normal ageing revealed by voxel-based quantification (VBQ) - Draganski, B; Ashburner, J; Hutton, C; Kherif, F; Frackowiak, R S J; Helms, G; Weiskopf, N)\n\nAccession Number: 2011-03535-001. PMID: 21277375 Partial author list: First Author &amp;amp; Affiliation: Draganski, B.; LREN, Departement des Neurosciences Cliniques, CHUV, Universite de Lausanne, Lausanne, Switzerland. Release Date: 20110221. Correction Date: 20120618. Publication Type: Journal (0100), Peer Reviewed Journal (0110). Format Covered: Electronic. Document Type: Journal Article. Language: English. Major Descriptor: Aging; Magnetic Resonance Imaging; Neuroimaging; Neurodegeneration. Minor Descriptor: Brain; Morphology. Classification: Neuropsychology &amp;amp; Neurology (2520); Gerontology (2860). Population: Human (10); Male (30); Female (40). Age Group: Adulthood (18 yrs &amp;amp; older) (300); Young Adulthood (18-29 yrs) (320); Thirties (30-39 yrs) (340); Middle Age (40-64 yrs) (360); Aged (65 yrs &amp;amp; older) (380); Very Old (85 yrs &amp;amp; older) (390). Methodology: Brain Imaging; Empirical Study; Quantitative Study. References Available: Y. Page Count: 12. Issue Publication Date: Apr 15, 2011. Publication History: First Posted Date: Jan 28, 2011; Accepted Date: Jan 20, 2011; Revised Date: Jan 17, 2011; First Submitted Date: Jul 8, 2010. Copyright Statement: All rights reserved. Elsevier Inc. 2011.\n\nFrom Duplicate 2 (Regional specificity of MRI contrast parameter changes in normal ageing revealed by voxel-based quantification (VBQ) - Draganski, B; Ashburner, J; Hutton, C; Kherif, F; Frackowiak, R S J; Helms, G; Weiskopf, N)\n\nAccession Number: 2011-03535-001. PMID: 21277375 Partial author list: First Author &amp;amp; Affiliation: Draganski, B.; LREN, Departement des Neurosciences Cliniques, CHUV, Universite de Lausanne, Lausanne, Switzerland. Release Date: 20110221. Correction Date: 20120618. Publication Type: Journal (0100), Peer Reviewed Journal (0110). Format Covered: Electronic. Document Type: Journal Article. Language: English. Major Descriptor: Aging; Magnetic Resonance Imaging; Neuroimaging; Neurodegeneration. Minor Descriptor: Brain; Morphology. Classification: Neuropsychology &amp;amp; Neurology (2520); Gerontology (2860). Population: Human (10); Male (30); Female (40). Age Group: Adulthood (18 yrs &amp;amp; older) (300); Young Adulthood (18-29 yrs) (320); Thirties (30-39 yrs) (340); Middle Age (40-64 yrs) (360); Aged (65 yrs &amp;amp; older) (380); Very Old (85 yrs &amp;amp; older) (390). Methodology: Brain Imaging; Empirical Study; Quantitative Study. References Available: Y. Page Count: 12. Issue Publication Date: Apr 15, 2011. Publication History: First Posted Date: Jan 28, 2011; Accepted Date: Jan 20, 2011; Revised Date: Jan 17, 2011; First Submitted Date: Jul 8, 2010. Copyright Statement: All rights reserved. Elsevier Inc. 2011.","page":"1423-1434","publisher":"Elsevier Science","publisher-place":"Draganski, B., LREN, Departement des Neurosciences Cliniques, CHUV, Universite de Lausanne, Lausanne, Switzerland","title":"Regional specificity of MRI contrast parameter changes in normal ageing revealed by voxel-based quantification (VBQ)","type":"article-journal","volume":"55"},"uris":["http://www.mendeley.com/documents/?uuid=4b08ef8c-d6e4-441c-9c85-850e623c4662"]}],"mendeley":{"formattedCitation":"[17]","plainTextFormattedCitation":"[17]","previouslyFormattedCitation":"[17]"},"properties":{"noteIndex":0},"schema":"https://github.com/citation-style-language/schema/raw/master/csl-citation.json"}</w:instrText>
            </w:r>
            <w:r>
              <w:rPr>
                <w:rFonts w:ascii="Times New Roman" w:hAnsi="Times New Roman" w:cs="Times New Roman"/>
                <w:sz w:val="20"/>
                <w:szCs w:val="20"/>
              </w:rPr>
              <w:fldChar w:fldCharType="separate"/>
            </w:r>
            <w:r w:rsidRPr="00B12442">
              <w:rPr>
                <w:rFonts w:ascii="Times New Roman" w:hAnsi="Times New Roman" w:cs="Times New Roman"/>
                <w:noProof/>
                <w:sz w:val="20"/>
                <w:szCs w:val="20"/>
              </w:rPr>
              <w:t>[17]</w:t>
            </w:r>
            <w:r>
              <w:rPr>
                <w:rFonts w:ascii="Times New Roman" w:hAnsi="Times New Roman" w:cs="Times New Roman"/>
                <w:sz w:val="20"/>
                <w:szCs w:val="20"/>
              </w:rPr>
              <w:fldChar w:fldCharType="end"/>
            </w:r>
          </w:p>
        </w:tc>
        <w:tc>
          <w:tcPr>
            <w:tcW w:w="987" w:type="dxa"/>
            <w:tcBorders>
              <w:top w:val="nil"/>
              <w:left w:val="nil"/>
              <w:bottom w:val="nil"/>
              <w:right w:val="nil"/>
            </w:tcBorders>
          </w:tcPr>
          <w:p w14:paraId="191B2812"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62</w:t>
            </w:r>
          </w:p>
        </w:tc>
        <w:tc>
          <w:tcPr>
            <w:tcW w:w="1080" w:type="dxa"/>
            <w:tcBorders>
              <w:top w:val="nil"/>
              <w:left w:val="nil"/>
              <w:bottom w:val="nil"/>
              <w:right w:val="nil"/>
            </w:tcBorders>
          </w:tcPr>
          <w:p w14:paraId="41DCE71F"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2415</w:t>
            </w:r>
          </w:p>
        </w:tc>
        <w:tc>
          <w:tcPr>
            <w:tcW w:w="1476" w:type="dxa"/>
            <w:tcBorders>
              <w:top w:val="nil"/>
              <w:left w:val="nil"/>
              <w:bottom w:val="nil"/>
              <w:right w:val="nil"/>
            </w:tcBorders>
          </w:tcPr>
          <w:p w14:paraId="529B6D06"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496</w:t>
            </w:r>
          </w:p>
        </w:tc>
        <w:tc>
          <w:tcPr>
            <w:tcW w:w="2268" w:type="dxa"/>
            <w:tcBorders>
              <w:top w:val="nil"/>
              <w:left w:val="nil"/>
              <w:bottom w:val="nil"/>
              <w:right w:val="nil"/>
            </w:tcBorders>
          </w:tcPr>
          <w:p w14:paraId="2FB25413"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1</w:t>
            </w:r>
          </w:p>
        </w:tc>
        <w:tc>
          <w:tcPr>
            <w:tcW w:w="1134" w:type="dxa"/>
            <w:tcBorders>
              <w:top w:val="nil"/>
              <w:left w:val="nil"/>
              <w:bottom w:val="nil"/>
              <w:right w:val="nil"/>
            </w:tcBorders>
          </w:tcPr>
          <w:p w14:paraId="67502F06"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w:t>
            </w:r>
          </w:p>
        </w:tc>
        <w:tc>
          <w:tcPr>
            <w:tcW w:w="1701" w:type="dxa"/>
            <w:tcBorders>
              <w:top w:val="nil"/>
              <w:left w:val="nil"/>
              <w:bottom w:val="nil"/>
              <w:right w:val="nil"/>
            </w:tcBorders>
          </w:tcPr>
          <w:p w14:paraId="0A28D605"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5BA73350"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3868786D"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1504</w:t>
            </w:r>
          </w:p>
        </w:tc>
        <w:tc>
          <w:tcPr>
            <w:tcW w:w="2552" w:type="dxa"/>
            <w:tcBorders>
              <w:top w:val="nil"/>
              <w:left w:val="nil"/>
              <w:bottom w:val="nil"/>
              <w:right w:val="nil"/>
            </w:tcBorders>
          </w:tcPr>
          <w:p w14:paraId="1AE0CAD0"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 xml:space="preserve">(24 -90 -42) to (40 -72 -30)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723DF1">
              <w:rPr>
                <w:rFonts w:ascii="Times New Roman" w:hAnsi="Times New Roman" w:cs="Times New Roman"/>
                <w:sz w:val="20"/>
                <w:szCs w:val="20"/>
              </w:rPr>
              <w:t>33 -81 -37</w:t>
            </w:r>
            <w:r w:rsidRPr="009E279F">
              <w:rPr>
                <w:rFonts w:ascii="Times New Roman" w:hAnsi="Times New Roman" w:cs="Times New Roman"/>
                <w:sz w:val="20"/>
                <w:szCs w:val="20"/>
              </w:rPr>
              <w:t>)</w:t>
            </w:r>
          </w:p>
        </w:tc>
      </w:tr>
      <w:tr w:rsidR="00AD51EF" w:rsidRPr="009E279F" w14:paraId="37C1D4D2" w14:textId="77777777" w:rsidTr="00AD51EF">
        <w:trPr>
          <w:trHeight w:val="278"/>
        </w:trPr>
        <w:tc>
          <w:tcPr>
            <w:tcW w:w="1419" w:type="dxa"/>
            <w:vMerge/>
            <w:tcBorders>
              <w:left w:val="nil"/>
              <w:right w:val="nil"/>
            </w:tcBorders>
          </w:tcPr>
          <w:p w14:paraId="427F70E4"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2E1AB9EA"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525B0CBD"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0A049A7C"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6DA74922"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4</w:t>
            </w:r>
          </w:p>
        </w:tc>
        <w:tc>
          <w:tcPr>
            <w:tcW w:w="1134" w:type="dxa"/>
            <w:tcBorders>
              <w:top w:val="nil"/>
              <w:left w:val="nil"/>
              <w:bottom w:val="nil"/>
              <w:right w:val="nil"/>
            </w:tcBorders>
          </w:tcPr>
          <w:p w14:paraId="45AD7F22"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sym w:font="Symbol" w:char="F0AF"/>
            </w:r>
          </w:p>
        </w:tc>
        <w:tc>
          <w:tcPr>
            <w:tcW w:w="1701" w:type="dxa"/>
            <w:tcBorders>
              <w:top w:val="nil"/>
              <w:left w:val="nil"/>
              <w:bottom w:val="nil"/>
              <w:right w:val="nil"/>
            </w:tcBorders>
          </w:tcPr>
          <w:p w14:paraId="2BF316D7"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27C007A1"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0CF176F2"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1088</w:t>
            </w:r>
          </w:p>
        </w:tc>
        <w:tc>
          <w:tcPr>
            <w:tcW w:w="2552" w:type="dxa"/>
            <w:tcBorders>
              <w:top w:val="nil"/>
              <w:left w:val="nil"/>
              <w:bottom w:val="nil"/>
              <w:right w:val="nil"/>
            </w:tcBorders>
          </w:tcPr>
          <w:p w14:paraId="266CD205"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 xml:space="preserve">(28 -70 -32) to (40 -58 -22)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723DF1">
              <w:rPr>
                <w:rFonts w:ascii="Times New Roman" w:hAnsi="Times New Roman" w:cs="Times New Roman"/>
                <w:sz w:val="20"/>
                <w:szCs w:val="20"/>
              </w:rPr>
              <w:t>34 -64 -28</w:t>
            </w:r>
            <w:r w:rsidRPr="009E279F">
              <w:rPr>
                <w:rFonts w:ascii="Times New Roman" w:hAnsi="Times New Roman" w:cs="Times New Roman"/>
                <w:sz w:val="20"/>
                <w:szCs w:val="20"/>
              </w:rPr>
              <w:t>)</w:t>
            </w:r>
          </w:p>
        </w:tc>
      </w:tr>
      <w:tr w:rsidR="00AD51EF" w:rsidRPr="009E279F" w14:paraId="29E3B7B5" w14:textId="77777777" w:rsidTr="00AD51EF">
        <w:trPr>
          <w:trHeight w:val="278"/>
        </w:trPr>
        <w:tc>
          <w:tcPr>
            <w:tcW w:w="1419" w:type="dxa"/>
            <w:vMerge/>
            <w:tcBorders>
              <w:left w:val="nil"/>
              <w:bottom w:val="nil"/>
              <w:right w:val="nil"/>
            </w:tcBorders>
          </w:tcPr>
          <w:p w14:paraId="220E4F50"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1A056D6E"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5D43E5BB"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10D12FCC"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44235810"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2</w:t>
            </w:r>
          </w:p>
        </w:tc>
        <w:tc>
          <w:tcPr>
            <w:tcW w:w="1134" w:type="dxa"/>
            <w:tcBorders>
              <w:top w:val="nil"/>
              <w:left w:val="nil"/>
              <w:bottom w:val="nil"/>
              <w:right w:val="nil"/>
            </w:tcBorders>
          </w:tcPr>
          <w:p w14:paraId="1AF62512"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sym w:font="Symbol" w:char="F0AD"/>
            </w:r>
          </w:p>
        </w:tc>
        <w:tc>
          <w:tcPr>
            <w:tcW w:w="1701" w:type="dxa"/>
            <w:tcBorders>
              <w:top w:val="nil"/>
              <w:left w:val="nil"/>
              <w:bottom w:val="nil"/>
              <w:right w:val="nil"/>
            </w:tcBorders>
          </w:tcPr>
          <w:p w14:paraId="6FF8F369"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3C9EF51C"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392E17A7"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1312</w:t>
            </w:r>
          </w:p>
        </w:tc>
        <w:tc>
          <w:tcPr>
            <w:tcW w:w="2552" w:type="dxa"/>
            <w:tcBorders>
              <w:top w:val="nil"/>
              <w:left w:val="nil"/>
              <w:bottom w:val="nil"/>
              <w:right w:val="nil"/>
            </w:tcBorders>
          </w:tcPr>
          <w:p w14:paraId="384E2B66"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 xml:space="preserve">(-48 -86 -44) to (-28 -68 -34)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723DF1">
              <w:rPr>
                <w:rFonts w:ascii="Times New Roman" w:hAnsi="Times New Roman" w:cs="Times New Roman"/>
                <w:sz w:val="20"/>
                <w:szCs w:val="20"/>
              </w:rPr>
              <w:t>-35 -77 -40</w:t>
            </w:r>
            <w:r w:rsidRPr="009E279F">
              <w:rPr>
                <w:rFonts w:ascii="Times New Roman" w:hAnsi="Times New Roman" w:cs="Times New Roman"/>
                <w:sz w:val="20"/>
                <w:szCs w:val="20"/>
              </w:rPr>
              <w:t>)</w:t>
            </w:r>
          </w:p>
        </w:tc>
      </w:tr>
      <w:tr w:rsidR="00AD51EF" w:rsidRPr="009E279F" w14:paraId="7230554C" w14:textId="77777777" w:rsidTr="00AD51EF">
        <w:trPr>
          <w:trHeight w:val="278"/>
        </w:trPr>
        <w:tc>
          <w:tcPr>
            <w:tcW w:w="1419" w:type="dxa"/>
            <w:tcBorders>
              <w:top w:val="nil"/>
              <w:left w:val="nil"/>
              <w:bottom w:val="nil"/>
              <w:right w:val="nil"/>
            </w:tcBorders>
          </w:tcPr>
          <w:p w14:paraId="200B5174"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6D40998B"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624F517F"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17F65379"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5FED16BB"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3</w:t>
            </w:r>
          </w:p>
        </w:tc>
        <w:tc>
          <w:tcPr>
            <w:tcW w:w="1134" w:type="dxa"/>
            <w:tcBorders>
              <w:top w:val="nil"/>
              <w:left w:val="nil"/>
              <w:bottom w:val="nil"/>
              <w:right w:val="nil"/>
            </w:tcBorders>
          </w:tcPr>
          <w:p w14:paraId="258DF29B"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w:t>
            </w:r>
          </w:p>
        </w:tc>
        <w:tc>
          <w:tcPr>
            <w:tcW w:w="1701" w:type="dxa"/>
            <w:tcBorders>
              <w:top w:val="nil"/>
              <w:left w:val="nil"/>
              <w:bottom w:val="nil"/>
              <w:right w:val="nil"/>
            </w:tcBorders>
          </w:tcPr>
          <w:p w14:paraId="51A0E2A6"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2423D8F1"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0E4658D7"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1112</w:t>
            </w:r>
          </w:p>
        </w:tc>
        <w:tc>
          <w:tcPr>
            <w:tcW w:w="2552" w:type="dxa"/>
            <w:tcBorders>
              <w:top w:val="nil"/>
              <w:left w:val="nil"/>
              <w:bottom w:val="nil"/>
              <w:right w:val="nil"/>
            </w:tcBorders>
          </w:tcPr>
          <w:p w14:paraId="3BCAE7ED"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 xml:space="preserve">(-10 -78 -22) to (8 -66 -10) </w:t>
            </w:r>
            <w:proofErr w:type="spellStart"/>
            <w:r w:rsidRPr="00723DF1">
              <w:rPr>
                <w:rFonts w:ascii="Times New Roman" w:hAnsi="Times New Roman" w:cs="Times New Roman"/>
                <w:sz w:val="20"/>
                <w:szCs w:val="20"/>
              </w:rPr>
              <w:t>centered</w:t>
            </w:r>
            <w:proofErr w:type="spellEnd"/>
            <w:r w:rsidRPr="00723DF1">
              <w:rPr>
                <w:rFonts w:ascii="Times New Roman" w:hAnsi="Times New Roman" w:cs="Times New Roman"/>
                <w:sz w:val="20"/>
                <w:szCs w:val="20"/>
              </w:rPr>
              <w:t xml:space="preserve"> at </w:t>
            </w:r>
            <w:r w:rsidRPr="009E279F">
              <w:rPr>
                <w:rFonts w:ascii="Times New Roman" w:hAnsi="Times New Roman" w:cs="Times New Roman"/>
                <w:sz w:val="20"/>
                <w:szCs w:val="20"/>
              </w:rPr>
              <w:t>(</w:t>
            </w:r>
            <w:r w:rsidRPr="00723DF1">
              <w:rPr>
                <w:rFonts w:ascii="Times New Roman" w:hAnsi="Times New Roman" w:cs="Times New Roman"/>
                <w:sz w:val="20"/>
                <w:szCs w:val="20"/>
              </w:rPr>
              <w:t>1 -72 -15)</w:t>
            </w:r>
          </w:p>
        </w:tc>
      </w:tr>
      <w:tr w:rsidR="00AD51EF" w:rsidRPr="009E279F" w14:paraId="66DAA3DC" w14:textId="77777777" w:rsidTr="00AD51EF">
        <w:trPr>
          <w:trHeight w:val="278"/>
        </w:trPr>
        <w:tc>
          <w:tcPr>
            <w:tcW w:w="1419" w:type="dxa"/>
            <w:tcBorders>
              <w:top w:val="nil"/>
              <w:left w:val="nil"/>
              <w:bottom w:val="single" w:sz="4" w:space="0" w:color="auto"/>
              <w:right w:val="nil"/>
            </w:tcBorders>
          </w:tcPr>
          <w:p w14:paraId="43453B85"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single" w:sz="4" w:space="0" w:color="auto"/>
              <w:right w:val="nil"/>
            </w:tcBorders>
          </w:tcPr>
          <w:p w14:paraId="52094158"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single" w:sz="4" w:space="0" w:color="auto"/>
              <w:right w:val="nil"/>
            </w:tcBorders>
          </w:tcPr>
          <w:p w14:paraId="481CB99D"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single" w:sz="4" w:space="0" w:color="auto"/>
              <w:right w:val="nil"/>
            </w:tcBorders>
          </w:tcPr>
          <w:p w14:paraId="1109A46A"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single" w:sz="4" w:space="0" w:color="auto"/>
              <w:right w:val="nil"/>
            </w:tcBorders>
          </w:tcPr>
          <w:p w14:paraId="39F52AF5"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5</w:t>
            </w:r>
          </w:p>
        </w:tc>
        <w:tc>
          <w:tcPr>
            <w:tcW w:w="1134" w:type="dxa"/>
            <w:tcBorders>
              <w:top w:val="nil"/>
              <w:left w:val="nil"/>
              <w:bottom w:val="single" w:sz="4" w:space="0" w:color="auto"/>
              <w:right w:val="nil"/>
            </w:tcBorders>
          </w:tcPr>
          <w:p w14:paraId="0D7DD88A"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w:t>
            </w:r>
          </w:p>
        </w:tc>
        <w:tc>
          <w:tcPr>
            <w:tcW w:w="1701" w:type="dxa"/>
            <w:tcBorders>
              <w:top w:val="nil"/>
              <w:left w:val="nil"/>
              <w:bottom w:val="single" w:sz="4" w:space="0" w:color="auto"/>
              <w:right w:val="nil"/>
            </w:tcBorders>
          </w:tcPr>
          <w:p w14:paraId="2FE8F050"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single" w:sz="4" w:space="0" w:color="auto"/>
              <w:right w:val="nil"/>
            </w:tcBorders>
          </w:tcPr>
          <w:p w14:paraId="16580029"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single" w:sz="4" w:space="0" w:color="auto"/>
              <w:right w:val="nil"/>
            </w:tcBorders>
          </w:tcPr>
          <w:p w14:paraId="490AE93B"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808</w:t>
            </w:r>
          </w:p>
        </w:tc>
        <w:tc>
          <w:tcPr>
            <w:tcW w:w="2552" w:type="dxa"/>
            <w:tcBorders>
              <w:top w:val="nil"/>
              <w:left w:val="nil"/>
              <w:bottom w:val="single" w:sz="4" w:space="0" w:color="auto"/>
              <w:right w:val="nil"/>
            </w:tcBorders>
          </w:tcPr>
          <w:p w14:paraId="42A24916"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 xml:space="preserve">(-48 -54 -46) to (-34 -36 -36) </w:t>
            </w:r>
            <w:proofErr w:type="spellStart"/>
            <w:r w:rsidRPr="00723DF1">
              <w:rPr>
                <w:rFonts w:ascii="Times New Roman" w:hAnsi="Times New Roman" w:cs="Times New Roman"/>
                <w:sz w:val="20"/>
                <w:szCs w:val="20"/>
              </w:rPr>
              <w:t>centered</w:t>
            </w:r>
            <w:proofErr w:type="spellEnd"/>
            <w:r w:rsidRPr="00723DF1">
              <w:rPr>
                <w:rFonts w:ascii="Times New Roman" w:hAnsi="Times New Roman" w:cs="Times New Roman"/>
                <w:sz w:val="20"/>
                <w:szCs w:val="20"/>
              </w:rPr>
              <w:t xml:space="preserve"> at </w:t>
            </w:r>
            <w:r w:rsidRPr="009E279F">
              <w:rPr>
                <w:rFonts w:ascii="Times New Roman" w:hAnsi="Times New Roman" w:cs="Times New Roman"/>
                <w:sz w:val="20"/>
                <w:szCs w:val="20"/>
              </w:rPr>
              <w:t>(</w:t>
            </w:r>
            <w:r w:rsidRPr="00723DF1">
              <w:rPr>
                <w:rFonts w:ascii="Times New Roman" w:hAnsi="Times New Roman" w:cs="Times New Roman"/>
                <w:sz w:val="20"/>
                <w:szCs w:val="20"/>
              </w:rPr>
              <w:t>-40 -42 -41)</w:t>
            </w:r>
          </w:p>
        </w:tc>
      </w:tr>
      <w:tr w:rsidR="00AD51EF" w:rsidRPr="009E279F" w14:paraId="2C239476" w14:textId="77777777" w:rsidTr="00AD51EF">
        <w:trPr>
          <w:trHeight w:val="278"/>
        </w:trPr>
        <w:tc>
          <w:tcPr>
            <w:tcW w:w="1419" w:type="dxa"/>
            <w:tcBorders>
              <w:top w:val="single" w:sz="4" w:space="0" w:color="auto"/>
              <w:left w:val="nil"/>
              <w:bottom w:val="nil"/>
              <w:right w:val="nil"/>
            </w:tcBorders>
          </w:tcPr>
          <w:p w14:paraId="6CCD2B13" w14:textId="77777777" w:rsidR="00F4687C" w:rsidRDefault="00F4687C" w:rsidP="00BD0CFF">
            <w:pPr>
              <w:rPr>
                <w:rFonts w:ascii="Times New Roman" w:hAnsi="Times New Roman" w:cs="Times New Roman"/>
                <w:sz w:val="20"/>
                <w:szCs w:val="20"/>
              </w:rPr>
            </w:pPr>
          </w:p>
          <w:p w14:paraId="15FA7749" w14:textId="77777777" w:rsidR="00F4687C" w:rsidRDefault="00F4687C" w:rsidP="00BD0CFF">
            <w:pPr>
              <w:rPr>
                <w:rFonts w:ascii="Times New Roman" w:hAnsi="Times New Roman" w:cs="Times New Roman"/>
                <w:sz w:val="20"/>
                <w:szCs w:val="20"/>
              </w:rPr>
            </w:pPr>
          </w:p>
          <w:p w14:paraId="44BED6E7" w14:textId="77777777" w:rsidR="00F4687C" w:rsidRDefault="00F4687C" w:rsidP="00BD0CFF">
            <w:pPr>
              <w:rPr>
                <w:rFonts w:ascii="Times New Roman" w:hAnsi="Times New Roman" w:cs="Times New Roman"/>
                <w:sz w:val="20"/>
                <w:szCs w:val="20"/>
              </w:rPr>
            </w:pPr>
          </w:p>
          <w:p w14:paraId="68473C46" w14:textId="77777777" w:rsidR="00F4687C" w:rsidRPr="009E279F" w:rsidRDefault="00F4687C" w:rsidP="00BD0CFF">
            <w:pPr>
              <w:rPr>
                <w:rFonts w:ascii="Times New Roman" w:hAnsi="Times New Roman" w:cs="Times New Roman"/>
                <w:sz w:val="20"/>
                <w:szCs w:val="20"/>
              </w:rPr>
            </w:pPr>
          </w:p>
        </w:tc>
        <w:tc>
          <w:tcPr>
            <w:tcW w:w="987" w:type="dxa"/>
            <w:tcBorders>
              <w:top w:val="single" w:sz="4" w:space="0" w:color="auto"/>
              <w:left w:val="nil"/>
              <w:bottom w:val="nil"/>
              <w:right w:val="nil"/>
            </w:tcBorders>
          </w:tcPr>
          <w:p w14:paraId="0FE039E6" w14:textId="77777777" w:rsidR="00F4687C" w:rsidRPr="009E279F" w:rsidRDefault="00F4687C" w:rsidP="00BD0CFF">
            <w:pPr>
              <w:rPr>
                <w:rFonts w:ascii="Times New Roman" w:hAnsi="Times New Roman" w:cs="Times New Roman"/>
                <w:sz w:val="20"/>
                <w:szCs w:val="20"/>
              </w:rPr>
            </w:pPr>
          </w:p>
        </w:tc>
        <w:tc>
          <w:tcPr>
            <w:tcW w:w="1080" w:type="dxa"/>
            <w:tcBorders>
              <w:top w:val="single" w:sz="4" w:space="0" w:color="auto"/>
              <w:left w:val="nil"/>
              <w:bottom w:val="nil"/>
              <w:right w:val="nil"/>
            </w:tcBorders>
          </w:tcPr>
          <w:p w14:paraId="2819F8AF" w14:textId="77777777" w:rsidR="00F4687C" w:rsidRPr="009E279F" w:rsidRDefault="00F4687C" w:rsidP="00BD0CFF">
            <w:pPr>
              <w:rPr>
                <w:rFonts w:ascii="Times New Roman" w:hAnsi="Times New Roman" w:cs="Times New Roman"/>
                <w:sz w:val="20"/>
                <w:szCs w:val="20"/>
              </w:rPr>
            </w:pPr>
          </w:p>
        </w:tc>
        <w:tc>
          <w:tcPr>
            <w:tcW w:w="1476" w:type="dxa"/>
            <w:tcBorders>
              <w:top w:val="single" w:sz="4" w:space="0" w:color="auto"/>
              <w:left w:val="nil"/>
              <w:bottom w:val="nil"/>
              <w:right w:val="nil"/>
            </w:tcBorders>
          </w:tcPr>
          <w:p w14:paraId="07661A09" w14:textId="77777777" w:rsidR="00F4687C" w:rsidRPr="009E279F" w:rsidRDefault="00F4687C" w:rsidP="00BD0CFF">
            <w:pPr>
              <w:rPr>
                <w:rFonts w:ascii="Times New Roman" w:hAnsi="Times New Roman" w:cs="Times New Roman"/>
                <w:sz w:val="20"/>
                <w:szCs w:val="20"/>
              </w:rPr>
            </w:pPr>
          </w:p>
        </w:tc>
        <w:tc>
          <w:tcPr>
            <w:tcW w:w="2268" w:type="dxa"/>
            <w:tcBorders>
              <w:top w:val="single" w:sz="4" w:space="0" w:color="auto"/>
              <w:left w:val="nil"/>
              <w:bottom w:val="nil"/>
              <w:right w:val="nil"/>
            </w:tcBorders>
          </w:tcPr>
          <w:p w14:paraId="7301712E" w14:textId="77777777" w:rsidR="00F4687C" w:rsidRPr="009E279F" w:rsidRDefault="00F4687C" w:rsidP="00BD0CFF">
            <w:pPr>
              <w:rPr>
                <w:rFonts w:ascii="Times New Roman" w:hAnsi="Times New Roman" w:cs="Times New Roman"/>
                <w:sz w:val="20"/>
                <w:szCs w:val="20"/>
              </w:rPr>
            </w:pPr>
          </w:p>
        </w:tc>
        <w:tc>
          <w:tcPr>
            <w:tcW w:w="1134" w:type="dxa"/>
            <w:tcBorders>
              <w:top w:val="single" w:sz="4" w:space="0" w:color="auto"/>
              <w:left w:val="nil"/>
              <w:bottom w:val="nil"/>
              <w:right w:val="nil"/>
            </w:tcBorders>
          </w:tcPr>
          <w:p w14:paraId="195FEE78" w14:textId="77777777" w:rsidR="00F4687C" w:rsidRPr="009E279F" w:rsidRDefault="00F4687C" w:rsidP="00BD0CFF">
            <w:pPr>
              <w:rPr>
                <w:rFonts w:ascii="Times New Roman" w:hAnsi="Times New Roman" w:cs="Times New Roman"/>
                <w:sz w:val="20"/>
                <w:szCs w:val="20"/>
              </w:rPr>
            </w:pPr>
          </w:p>
        </w:tc>
        <w:tc>
          <w:tcPr>
            <w:tcW w:w="1701" w:type="dxa"/>
            <w:tcBorders>
              <w:top w:val="single" w:sz="4" w:space="0" w:color="auto"/>
              <w:left w:val="nil"/>
              <w:bottom w:val="nil"/>
              <w:right w:val="nil"/>
            </w:tcBorders>
          </w:tcPr>
          <w:p w14:paraId="104C35B5" w14:textId="77777777" w:rsidR="00F4687C" w:rsidRPr="009E279F" w:rsidRDefault="00F4687C" w:rsidP="00BD0CFF">
            <w:pPr>
              <w:rPr>
                <w:rFonts w:ascii="Times New Roman" w:hAnsi="Times New Roman" w:cs="Times New Roman"/>
                <w:sz w:val="20"/>
                <w:szCs w:val="20"/>
              </w:rPr>
            </w:pPr>
          </w:p>
        </w:tc>
        <w:tc>
          <w:tcPr>
            <w:tcW w:w="1418" w:type="dxa"/>
            <w:tcBorders>
              <w:top w:val="single" w:sz="4" w:space="0" w:color="auto"/>
              <w:left w:val="nil"/>
              <w:bottom w:val="nil"/>
              <w:right w:val="nil"/>
            </w:tcBorders>
          </w:tcPr>
          <w:p w14:paraId="56B51880" w14:textId="77777777" w:rsidR="00F4687C" w:rsidRPr="009E279F" w:rsidRDefault="00F4687C" w:rsidP="00BD0CFF">
            <w:pPr>
              <w:rPr>
                <w:rFonts w:ascii="Times New Roman" w:hAnsi="Times New Roman" w:cs="Times New Roman"/>
                <w:sz w:val="20"/>
                <w:szCs w:val="20"/>
              </w:rPr>
            </w:pPr>
          </w:p>
        </w:tc>
        <w:tc>
          <w:tcPr>
            <w:tcW w:w="850" w:type="dxa"/>
            <w:tcBorders>
              <w:top w:val="single" w:sz="4" w:space="0" w:color="auto"/>
              <w:left w:val="nil"/>
              <w:bottom w:val="nil"/>
              <w:right w:val="nil"/>
            </w:tcBorders>
          </w:tcPr>
          <w:p w14:paraId="7C79C5BB" w14:textId="77777777" w:rsidR="00F4687C" w:rsidRPr="00723DF1" w:rsidRDefault="00F4687C" w:rsidP="00BD0CFF">
            <w:pPr>
              <w:rPr>
                <w:rFonts w:ascii="Times New Roman" w:hAnsi="Times New Roman" w:cs="Times New Roman"/>
                <w:sz w:val="20"/>
                <w:szCs w:val="20"/>
              </w:rPr>
            </w:pPr>
          </w:p>
        </w:tc>
        <w:tc>
          <w:tcPr>
            <w:tcW w:w="2552" w:type="dxa"/>
            <w:tcBorders>
              <w:top w:val="single" w:sz="4" w:space="0" w:color="auto"/>
              <w:left w:val="nil"/>
              <w:bottom w:val="nil"/>
              <w:right w:val="nil"/>
            </w:tcBorders>
          </w:tcPr>
          <w:p w14:paraId="66A391F7" w14:textId="77777777" w:rsidR="00F4687C" w:rsidRPr="00723DF1" w:rsidRDefault="00F4687C" w:rsidP="00BD0CFF">
            <w:pPr>
              <w:rPr>
                <w:rFonts w:ascii="Times New Roman" w:hAnsi="Times New Roman" w:cs="Times New Roman"/>
                <w:sz w:val="20"/>
                <w:szCs w:val="20"/>
              </w:rPr>
            </w:pPr>
          </w:p>
        </w:tc>
      </w:tr>
      <w:tr w:rsidR="00AD51EF" w:rsidRPr="009E279F" w14:paraId="58D72598" w14:textId="77777777" w:rsidTr="00AD51EF">
        <w:trPr>
          <w:trHeight w:val="278"/>
        </w:trPr>
        <w:tc>
          <w:tcPr>
            <w:tcW w:w="1419" w:type="dxa"/>
            <w:tcBorders>
              <w:top w:val="nil"/>
              <w:left w:val="nil"/>
              <w:bottom w:val="nil"/>
              <w:right w:val="nil"/>
            </w:tcBorders>
          </w:tcPr>
          <w:p w14:paraId="6C0343A3" w14:textId="77777777" w:rsidR="00F4687C" w:rsidRDefault="00F4687C" w:rsidP="00BD0CFF">
            <w:pPr>
              <w:rPr>
                <w:rFonts w:ascii="Times New Roman" w:hAnsi="Times New Roman" w:cs="Times New Roman"/>
                <w:sz w:val="20"/>
                <w:szCs w:val="20"/>
              </w:rPr>
            </w:pPr>
            <w:r>
              <w:rPr>
                <w:rFonts w:ascii="Times New Roman" w:hAnsi="Times New Roman" w:cs="Times New Roman"/>
                <w:sz w:val="20"/>
                <w:szCs w:val="20"/>
              </w:rPr>
              <w:lastRenderedPageBreak/>
              <w:t>Good et al., 2001</w:t>
            </w:r>
          </w:p>
          <w:p w14:paraId="5446BD13" w14:textId="77777777" w:rsidR="00F4687C" w:rsidRPr="009E279F" w:rsidRDefault="00F4687C" w:rsidP="00BD0CFF">
            <w:pP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{"citationItems":[{"id":"ITEM-1","itemData":{"DOI":"10.1006/nimg.2001.0786","ISSN":"10538119","PMID":"11525331","abstract":"Voxel-based-morphometry (VBM) is a whole-brain, unbiased technique for characterizing regional cerebral volume and tissue concentration differences in structural magnetic resonance images. We describe an optimized method of VBM to examine the effects of age on grey and white matter and CSF in 465 normal adults. Global grey matter volume decreased linearly with age, with a significantly steeper decline in males. Local areas of accelerated loss were observed bilaterally in the insula, superior parietal gyri, central sulci, and cingulate sulci. Areas exhibiting little or no age effect (relative preservation) were noted in the amygdala, hippocampi, and entorhinal cortex. Global white matter did not decline with age, but local areas of relative accelerated loss and preservation were seen. There was no interaction of age with sex for regionally specific effects. These results corroborate previous reports and indicate that VBM is a useful technique for studying structural brain correlates of ageing through life in humans. © 2001 Academic Press.","author":[{"dropping-particle":"","family":"Good","given":"Catriona D.","non-dropping-particle":"","parse-names":false,"suffix":""},{"dropping-particle":"","family":"Johnsrude","given":"Ingrid S.","non-dropping-particle":"","parse-names":false,"suffix":""},{"dropping-particle":"","family":"Ashburner","given":"John","non-dropping-particle":"","parse-names":false,"suffix":""},{"dropping-particle":"","family":"Henson","given":"Richard N.A.","non-dropping-particle":"","parse-names":false,"suffix":""},{"dropping-particle":"","family":"Friston","given":"Karl J.","non-dropping-particle":"","parse-names":false,"suffix":""},{"dropping-particle":"","family":"Frackowiak","given":"Richard S.J.","non-dropping-particle":"","parse-names":false,"suffix":""}],"container-title":"NeuroImage","id":"ITEM-1","issue":"1 I","issued":{"date-parts":[["2001","7"]]},"language":"eng","page":"21-36","publisher-place":"United States","title":"A voxel-based morphometric study of ageing in 465 normal adult human brains","type":"article-journal","volume":"14"},"uris":["http://www.mendeley.com/documents/?uuid=d898216b-66c8-4f43-a03d-9297a75c35cd"]}],"mendeley":{"formattedCitation":"[18]","plainTextFormattedCitation":"[18]","previouslyFormattedCitation":"[18]"},"properties":{"noteIndex":0},"schema":"https://github.com/citation-style-language/schema/raw/master/csl-citation.json"}</w:instrText>
            </w:r>
            <w:r>
              <w:rPr>
                <w:rFonts w:ascii="Times New Roman" w:hAnsi="Times New Roman" w:cs="Times New Roman"/>
                <w:sz w:val="20"/>
                <w:szCs w:val="20"/>
              </w:rPr>
              <w:fldChar w:fldCharType="separate"/>
            </w:r>
            <w:r w:rsidRPr="00B12442">
              <w:rPr>
                <w:rFonts w:ascii="Times New Roman" w:hAnsi="Times New Roman" w:cs="Times New Roman"/>
                <w:noProof/>
                <w:sz w:val="20"/>
                <w:szCs w:val="20"/>
              </w:rPr>
              <w:t>[18]</w:t>
            </w:r>
            <w:r>
              <w:rPr>
                <w:rFonts w:ascii="Times New Roman" w:hAnsi="Times New Roman" w:cs="Times New Roman"/>
                <w:sz w:val="20"/>
                <w:szCs w:val="20"/>
              </w:rPr>
              <w:fldChar w:fldCharType="end"/>
            </w:r>
          </w:p>
        </w:tc>
        <w:tc>
          <w:tcPr>
            <w:tcW w:w="987" w:type="dxa"/>
            <w:tcBorders>
              <w:top w:val="nil"/>
              <w:left w:val="nil"/>
              <w:bottom w:val="nil"/>
              <w:right w:val="nil"/>
            </w:tcBorders>
          </w:tcPr>
          <w:p w14:paraId="38D05B4B"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63</w:t>
            </w:r>
          </w:p>
        </w:tc>
        <w:tc>
          <w:tcPr>
            <w:tcW w:w="1080" w:type="dxa"/>
            <w:tcBorders>
              <w:top w:val="nil"/>
              <w:left w:val="nil"/>
              <w:bottom w:val="nil"/>
              <w:right w:val="nil"/>
            </w:tcBorders>
          </w:tcPr>
          <w:p w14:paraId="2C4B1A79"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1976</w:t>
            </w:r>
          </w:p>
        </w:tc>
        <w:tc>
          <w:tcPr>
            <w:tcW w:w="1476" w:type="dxa"/>
            <w:tcBorders>
              <w:top w:val="nil"/>
              <w:left w:val="nil"/>
              <w:bottom w:val="nil"/>
              <w:right w:val="nil"/>
            </w:tcBorders>
          </w:tcPr>
          <w:p w14:paraId="58435FB5"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512</w:t>
            </w:r>
          </w:p>
        </w:tc>
        <w:tc>
          <w:tcPr>
            <w:tcW w:w="2268" w:type="dxa"/>
            <w:tcBorders>
              <w:top w:val="nil"/>
              <w:left w:val="nil"/>
              <w:bottom w:val="nil"/>
              <w:right w:val="nil"/>
            </w:tcBorders>
          </w:tcPr>
          <w:p w14:paraId="2BBB9519"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4</w:t>
            </w:r>
          </w:p>
        </w:tc>
        <w:tc>
          <w:tcPr>
            <w:tcW w:w="1134" w:type="dxa"/>
            <w:tcBorders>
              <w:top w:val="nil"/>
              <w:left w:val="nil"/>
              <w:bottom w:val="nil"/>
              <w:right w:val="nil"/>
            </w:tcBorders>
          </w:tcPr>
          <w:p w14:paraId="56539A9A"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sym w:font="Symbol" w:char="F0AF"/>
            </w:r>
          </w:p>
        </w:tc>
        <w:tc>
          <w:tcPr>
            <w:tcW w:w="1701" w:type="dxa"/>
            <w:tcBorders>
              <w:top w:val="nil"/>
              <w:left w:val="nil"/>
              <w:bottom w:val="nil"/>
              <w:right w:val="nil"/>
            </w:tcBorders>
          </w:tcPr>
          <w:p w14:paraId="605EDA76"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Yes</w:t>
            </w:r>
          </w:p>
        </w:tc>
        <w:tc>
          <w:tcPr>
            <w:tcW w:w="1418" w:type="dxa"/>
            <w:tcBorders>
              <w:top w:val="nil"/>
              <w:left w:val="nil"/>
              <w:bottom w:val="nil"/>
              <w:right w:val="nil"/>
            </w:tcBorders>
          </w:tcPr>
          <w:p w14:paraId="31EFDCE0"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59F94874" w14:textId="77777777" w:rsidR="00F4687C" w:rsidRPr="009E279F" w:rsidRDefault="00F4687C" w:rsidP="00BD0CFF">
            <w:pPr>
              <w:rPr>
                <w:rFonts w:ascii="Times New Roman" w:hAnsi="Times New Roman" w:cs="Times New Roman"/>
                <w:sz w:val="20"/>
                <w:szCs w:val="20"/>
                <w:lang w:val="de-DE"/>
              </w:rPr>
            </w:pPr>
            <w:r w:rsidRPr="009E279F">
              <w:rPr>
                <w:rFonts w:ascii="Times New Roman" w:hAnsi="Times New Roman" w:cs="Times New Roman"/>
                <w:sz w:val="20"/>
                <w:szCs w:val="20"/>
                <w:lang w:val="de-DE"/>
              </w:rPr>
              <w:t>992</w:t>
            </w:r>
          </w:p>
        </w:tc>
        <w:tc>
          <w:tcPr>
            <w:tcW w:w="2552" w:type="dxa"/>
            <w:tcBorders>
              <w:top w:val="nil"/>
              <w:left w:val="nil"/>
              <w:bottom w:val="nil"/>
              <w:right w:val="nil"/>
            </w:tcBorders>
          </w:tcPr>
          <w:p w14:paraId="4B5D6421" w14:textId="77777777" w:rsidR="00F4687C" w:rsidRPr="009E279F" w:rsidRDefault="00F4687C" w:rsidP="00BD0CFF">
            <w:pPr>
              <w:rPr>
                <w:rFonts w:ascii="Times New Roman" w:hAnsi="Times New Roman" w:cs="Times New Roman"/>
                <w:sz w:val="20"/>
                <w:szCs w:val="20"/>
                <w:lang w:val="de-DE"/>
              </w:rPr>
            </w:pPr>
            <w:r w:rsidRPr="009E279F">
              <w:rPr>
                <w:rFonts w:ascii="Times New Roman" w:hAnsi="Times New Roman" w:cs="Times New Roman"/>
                <w:sz w:val="20"/>
                <w:szCs w:val="20"/>
                <w:lang w:val="de-DE"/>
              </w:rPr>
              <w:t xml:space="preserve">(28 -86 -42) </w:t>
            </w:r>
            <w:proofErr w:type="spellStart"/>
            <w:r w:rsidRPr="009E279F">
              <w:rPr>
                <w:rFonts w:ascii="Times New Roman" w:hAnsi="Times New Roman" w:cs="Times New Roman"/>
                <w:sz w:val="20"/>
                <w:szCs w:val="20"/>
                <w:lang w:val="de-DE"/>
              </w:rPr>
              <w:t>to</w:t>
            </w:r>
            <w:proofErr w:type="spellEnd"/>
            <w:r w:rsidRPr="009E279F">
              <w:rPr>
                <w:rFonts w:ascii="Times New Roman" w:hAnsi="Times New Roman" w:cs="Times New Roman"/>
                <w:sz w:val="20"/>
                <w:szCs w:val="20"/>
                <w:lang w:val="de-DE"/>
              </w:rPr>
              <w:t xml:space="preserve"> (40 -72 -36)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9E279F">
              <w:rPr>
                <w:rFonts w:ascii="Times New Roman" w:hAnsi="Times New Roman" w:cs="Times New Roman"/>
                <w:sz w:val="20"/>
                <w:szCs w:val="20"/>
                <w:lang w:val="de-DE"/>
              </w:rPr>
              <w:t>34 -78 -39</w:t>
            </w:r>
            <w:r w:rsidRPr="009E279F">
              <w:rPr>
                <w:rFonts w:ascii="Times New Roman" w:hAnsi="Times New Roman" w:cs="Times New Roman"/>
                <w:sz w:val="20"/>
                <w:szCs w:val="20"/>
              </w:rPr>
              <w:t>)</w:t>
            </w:r>
          </w:p>
        </w:tc>
      </w:tr>
      <w:tr w:rsidR="00AD51EF" w:rsidRPr="009E279F" w14:paraId="1D54B53D" w14:textId="77777777" w:rsidTr="00AD51EF">
        <w:trPr>
          <w:trHeight w:val="438"/>
        </w:trPr>
        <w:tc>
          <w:tcPr>
            <w:tcW w:w="1419" w:type="dxa"/>
            <w:tcBorders>
              <w:top w:val="nil"/>
              <w:left w:val="nil"/>
              <w:bottom w:val="nil"/>
              <w:right w:val="nil"/>
            </w:tcBorders>
          </w:tcPr>
          <w:p w14:paraId="50CA2FBB"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7795E7E8"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4CEE9A5A"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78A45E43"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54C11BF0"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1</w:t>
            </w:r>
          </w:p>
        </w:tc>
        <w:tc>
          <w:tcPr>
            <w:tcW w:w="1134" w:type="dxa"/>
            <w:tcBorders>
              <w:top w:val="nil"/>
              <w:left w:val="nil"/>
              <w:bottom w:val="nil"/>
              <w:right w:val="nil"/>
            </w:tcBorders>
          </w:tcPr>
          <w:p w14:paraId="0F5999BC"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sym w:font="Symbol" w:char="F0AF"/>
            </w:r>
          </w:p>
        </w:tc>
        <w:tc>
          <w:tcPr>
            <w:tcW w:w="1701" w:type="dxa"/>
            <w:tcBorders>
              <w:top w:val="nil"/>
              <w:left w:val="nil"/>
              <w:bottom w:val="nil"/>
              <w:right w:val="nil"/>
            </w:tcBorders>
          </w:tcPr>
          <w:p w14:paraId="7B6B8913"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67769E8D"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4CAD82C7" w14:textId="77777777" w:rsidR="00F4687C" w:rsidRPr="009E279F" w:rsidRDefault="00F4687C" w:rsidP="00BD0CFF">
            <w:pPr>
              <w:rPr>
                <w:rFonts w:ascii="Times New Roman" w:hAnsi="Times New Roman" w:cs="Times New Roman"/>
                <w:sz w:val="20"/>
                <w:szCs w:val="20"/>
                <w:lang w:val="de-DE"/>
              </w:rPr>
            </w:pPr>
            <w:r w:rsidRPr="009E279F">
              <w:rPr>
                <w:rFonts w:ascii="Times New Roman" w:hAnsi="Times New Roman" w:cs="Times New Roman"/>
                <w:sz w:val="20"/>
                <w:szCs w:val="20"/>
                <w:lang w:val="de-DE"/>
              </w:rPr>
              <w:t>1472</w:t>
            </w:r>
          </w:p>
        </w:tc>
        <w:tc>
          <w:tcPr>
            <w:tcW w:w="2552" w:type="dxa"/>
            <w:tcBorders>
              <w:top w:val="nil"/>
              <w:left w:val="nil"/>
              <w:bottom w:val="nil"/>
              <w:right w:val="nil"/>
            </w:tcBorders>
          </w:tcPr>
          <w:p w14:paraId="377EFA4A" w14:textId="77777777" w:rsidR="00F4687C" w:rsidRPr="009E279F" w:rsidRDefault="00F4687C" w:rsidP="00BD0CFF">
            <w:pPr>
              <w:rPr>
                <w:rFonts w:ascii="Times New Roman" w:hAnsi="Times New Roman" w:cs="Times New Roman"/>
                <w:sz w:val="20"/>
                <w:szCs w:val="20"/>
                <w:lang w:val="de-DE"/>
              </w:rPr>
            </w:pPr>
            <w:r w:rsidRPr="009E279F">
              <w:rPr>
                <w:rFonts w:ascii="Times New Roman" w:hAnsi="Times New Roman" w:cs="Times New Roman"/>
                <w:sz w:val="20"/>
                <w:szCs w:val="20"/>
                <w:lang w:val="de-DE"/>
              </w:rPr>
              <w:t xml:space="preserve">(28 -70 -34) </w:t>
            </w:r>
            <w:proofErr w:type="spellStart"/>
            <w:r w:rsidRPr="009E279F">
              <w:rPr>
                <w:rFonts w:ascii="Times New Roman" w:hAnsi="Times New Roman" w:cs="Times New Roman"/>
                <w:sz w:val="20"/>
                <w:szCs w:val="20"/>
                <w:lang w:val="de-DE"/>
              </w:rPr>
              <w:t>to</w:t>
            </w:r>
            <w:proofErr w:type="spellEnd"/>
            <w:r w:rsidRPr="009E279F">
              <w:rPr>
                <w:rFonts w:ascii="Times New Roman" w:hAnsi="Times New Roman" w:cs="Times New Roman"/>
                <w:sz w:val="20"/>
                <w:szCs w:val="20"/>
                <w:lang w:val="de-DE"/>
              </w:rPr>
              <w:t xml:space="preserve"> (35 -63 -29)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9E279F">
              <w:rPr>
                <w:rFonts w:ascii="Times New Roman" w:hAnsi="Times New Roman" w:cs="Times New Roman"/>
                <w:sz w:val="20"/>
                <w:szCs w:val="20"/>
                <w:lang w:val="de-DE"/>
              </w:rPr>
              <w:t>36 -60 -30</w:t>
            </w:r>
            <w:r w:rsidRPr="009E279F">
              <w:rPr>
                <w:rFonts w:ascii="Times New Roman" w:hAnsi="Times New Roman" w:cs="Times New Roman"/>
                <w:sz w:val="20"/>
                <w:szCs w:val="20"/>
              </w:rPr>
              <w:t>)</w:t>
            </w:r>
          </w:p>
        </w:tc>
      </w:tr>
      <w:tr w:rsidR="00AD51EF" w:rsidRPr="009E279F" w14:paraId="083C0657" w14:textId="77777777" w:rsidTr="00AD51EF">
        <w:trPr>
          <w:trHeight w:val="278"/>
        </w:trPr>
        <w:tc>
          <w:tcPr>
            <w:tcW w:w="1419" w:type="dxa"/>
            <w:tcBorders>
              <w:top w:val="nil"/>
              <w:left w:val="nil"/>
              <w:bottom w:val="nil"/>
              <w:right w:val="nil"/>
            </w:tcBorders>
          </w:tcPr>
          <w:p w14:paraId="55B99C28"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4CA890CF"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79C82CB6"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0F684851"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2EAB0B31"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2</w:t>
            </w:r>
          </w:p>
        </w:tc>
        <w:tc>
          <w:tcPr>
            <w:tcW w:w="1134" w:type="dxa"/>
            <w:tcBorders>
              <w:top w:val="nil"/>
              <w:left w:val="nil"/>
              <w:bottom w:val="nil"/>
              <w:right w:val="nil"/>
            </w:tcBorders>
          </w:tcPr>
          <w:p w14:paraId="72D92061"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sym w:font="Symbol" w:char="F0AD"/>
            </w:r>
          </w:p>
        </w:tc>
        <w:tc>
          <w:tcPr>
            <w:tcW w:w="1701" w:type="dxa"/>
            <w:tcBorders>
              <w:top w:val="nil"/>
              <w:left w:val="nil"/>
              <w:bottom w:val="nil"/>
              <w:right w:val="nil"/>
            </w:tcBorders>
          </w:tcPr>
          <w:p w14:paraId="0EBC1151"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5FF10F70"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3DEA32AD" w14:textId="77777777" w:rsidR="00F4687C" w:rsidRPr="009E279F" w:rsidRDefault="00F4687C" w:rsidP="00BD0CFF">
            <w:pPr>
              <w:rPr>
                <w:rFonts w:ascii="Times New Roman" w:hAnsi="Times New Roman" w:cs="Times New Roman"/>
                <w:sz w:val="20"/>
                <w:szCs w:val="20"/>
                <w:lang w:val="de-DE"/>
              </w:rPr>
            </w:pPr>
            <w:r w:rsidRPr="009E279F">
              <w:rPr>
                <w:rFonts w:ascii="Times New Roman" w:hAnsi="Times New Roman" w:cs="Times New Roman"/>
                <w:sz w:val="20"/>
                <w:szCs w:val="20"/>
                <w:lang w:val="de-DE"/>
              </w:rPr>
              <w:t>1312</w:t>
            </w:r>
          </w:p>
        </w:tc>
        <w:tc>
          <w:tcPr>
            <w:tcW w:w="2552" w:type="dxa"/>
            <w:tcBorders>
              <w:top w:val="nil"/>
              <w:left w:val="nil"/>
              <w:bottom w:val="nil"/>
              <w:right w:val="nil"/>
            </w:tcBorders>
          </w:tcPr>
          <w:p w14:paraId="5CA6DB68" w14:textId="77777777" w:rsidR="00F4687C" w:rsidRPr="009E279F" w:rsidRDefault="00F4687C" w:rsidP="00BD0CFF">
            <w:pPr>
              <w:rPr>
                <w:rFonts w:ascii="Times New Roman" w:hAnsi="Times New Roman" w:cs="Times New Roman"/>
                <w:sz w:val="20"/>
                <w:szCs w:val="20"/>
                <w:lang w:val="de-DE"/>
              </w:rPr>
            </w:pPr>
            <w:r w:rsidRPr="009E279F">
              <w:rPr>
                <w:rFonts w:ascii="Times New Roman" w:hAnsi="Times New Roman" w:cs="Times New Roman"/>
                <w:sz w:val="20"/>
                <w:szCs w:val="20"/>
                <w:lang w:val="de-DE"/>
              </w:rPr>
              <w:t xml:space="preserve">(-48 -86 -44) </w:t>
            </w:r>
            <w:proofErr w:type="spellStart"/>
            <w:r w:rsidRPr="009E279F">
              <w:rPr>
                <w:rFonts w:ascii="Times New Roman" w:hAnsi="Times New Roman" w:cs="Times New Roman"/>
                <w:sz w:val="20"/>
                <w:szCs w:val="20"/>
                <w:lang w:val="de-DE"/>
              </w:rPr>
              <w:t>to</w:t>
            </w:r>
            <w:proofErr w:type="spellEnd"/>
            <w:r w:rsidRPr="009E279F">
              <w:rPr>
                <w:rFonts w:ascii="Times New Roman" w:hAnsi="Times New Roman" w:cs="Times New Roman"/>
                <w:sz w:val="20"/>
                <w:szCs w:val="20"/>
                <w:lang w:val="de-DE"/>
              </w:rPr>
              <w:t xml:space="preserve"> (-28 -68 -34)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9E279F">
              <w:rPr>
                <w:rFonts w:ascii="Times New Roman" w:hAnsi="Times New Roman" w:cs="Times New Roman"/>
                <w:sz w:val="20"/>
                <w:szCs w:val="20"/>
                <w:lang w:val="de-DE"/>
              </w:rPr>
              <w:t>-35 -77 -40</w:t>
            </w:r>
            <w:r w:rsidRPr="009E279F">
              <w:rPr>
                <w:rFonts w:ascii="Times New Roman" w:hAnsi="Times New Roman" w:cs="Times New Roman"/>
                <w:sz w:val="20"/>
                <w:szCs w:val="20"/>
              </w:rPr>
              <w:t>)</w:t>
            </w:r>
          </w:p>
        </w:tc>
      </w:tr>
      <w:tr w:rsidR="00AD51EF" w:rsidRPr="009E279F" w14:paraId="2BEF6381" w14:textId="77777777" w:rsidTr="00AD51EF">
        <w:trPr>
          <w:trHeight w:val="278"/>
        </w:trPr>
        <w:tc>
          <w:tcPr>
            <w:tcW w:w="1419" w:type="dxa"/>
            <w:tcBorders>
              <w:top w:val="nil"/>
              <w:left w:val="nil"/>
              <w:bottom w:val="nil"/>
              <w:right w:val="nil"/>
            </w:tcBorders>
          </w:tcPr>
          <w:p w14:paraId="01CBFE1E"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09E07575"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0306B199"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32D7E582"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1F8C79E3"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3</w:t>
            </w:r>
          </w:p>
        </w:tc>
        <w:tc>
          <w:tcPr>
            <w:tcW w:w="1134" w:type="dxa"/>
            <w:tcBorders>
              <w:top w:val="nil"/>
              <w:left w:val="nil"/>
              <w:bottom w:val="nil"/>
              <w:right w:val="nil"/>
            </w:tcBorders>
          </w:tcPr>
          <w:p w14:paraId="6B2CABE4"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sym w:font="Symbol" w:char="F0AF"/>
            </w:r>
          </w:p>
        </w:tc>
        <w:tc>
          <w:tcPr>
            <w:tcW w:w="1701" w:type="dxa"/>
            <w:tcBorders>
              <w:top w:val="nil"/>
              <w:left w:val="nil"/>
              <w:bottom w:val="nil"/>
              <w:right w:val="nil"/>
            </w:tcBorders>
          </w:tcPr>
          <w:p w14:paraId="2BCB2D09"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2C8B78A1"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7D9F8177" w14:textId="77777777" w:rsidR="00F4687C" w:rsidRPr="009E279F" w:rsidRDefault="00F4687C" w:rsidP="00BD0CFF">
            <w:pPr>
              <w:rPr>
                <w:rFonts w:ascii="Times New Roman" w:hAnsi="Times New Roman" w:cs="Times New Roman"/>
                <w:sz w:val="20"/>
                <w:szCs w:val="20"/>
                <w:lang w:val="de-DE"/>
              </w:rPr>
            </w:pPr>
            <w:r w:rsidRPr="009E279F">
              <w:rPr>
                <w:rFonts w:ascii="Times New Roman" w:hAnsi="Times New Roman" w:cs="Times New Roman"/>
                <w:sz w:val="20"/>
                <w:szCs w:val="20"/>
                <w:lang w:val="de-DE"/>
              </w:rPr>
              <w:t>1112</w:t>
            </w:r>
          </w:p>
        </w:tc>
        <w:tc>
          <w:tcPr>
            <w:tcW w:w="2552" w:type="dxa"/>
            <w:tcBorders>
              <w:top w:val="nil"/>
              <w:left w:val="nil"/>
              <w:bottom w:val="nil"/>
              <w:right w:val="nil"/>
            </w:tcBorders>
          </w:tcPr>
          <w:p w14:paraId="6B36AF49" w14:textId="77777777" w:rsidR="00F4687C" w:rsidRPr="009E279F" w:rsidRDefault="00F4687C" w:rsidP="00BD0CFF">
            <w:pPr>
              <w:rPr>
                <w:rFonts w:ascii="Times New Roman" w:hAnsi="Times New Roman" w:cs="Times New Roman"/>
                <w:sz w:val="20"/>
                <w:szCs w:val="20"/>
                <w:lang w:val="de-DE"/>
              </w:rPr>
            </w:pPr>
            <w:r w:rsidRPr="009E279F">
              <w:rPr>
                <w:rFonts w:ascii="Times New Roman" w:hAnsi="Times New Roman" w:cs="Times New Roman"/>
                <w:sz w:val="20"/>
                <w:szCs w:val="20"/>
                <w:lang w:val="de-DE"/>
              </w:rPr>
              <w:t xml:space="preserve">(-10 -78,-22) </w:t>
            </w:r>
            <w:proofErr w:type="spellStart"/>
            <w:r w:rsidRPr="009E279F">
              <w:rPr>
                <w:rFonts w:ascii="Times New Roman" w:hAnsi="Times New Roman" w:cs="Times New Roman"/>
                <w:sz w:val="20"/>
                <w:szCs w:val="20"/>
                <w:lang w:val="de-DE"/>
              </w:rPr>
              <w:t>to</w:t>
            </w:r>
            <w:proofErr w:type="spellEnd"/>
            <w:r w:rsidRPr="009E279F">
              <w:rPr>
                <w:rFonts w:ascii="Times New Roman" w:hAnsi="Times New Roman" w:cs="Times New Roman"/>
                <w:sz w:val="20"/>
                <w:szCs w:val="20"/>
                <w:lang w:val="de-DE"/>
              </w:rPr>
              <w:t xml:space="preserve"> (8,-66,-10) </w:t>
            </w:r>
            <w:proofErr w:type="spellStart"/>
            <w:r w:rsidRPr="009E279F">
              <w:rPr>
                <w:rFonts w:ascii="Times New Roman" w:hAnsi="Times New Roman" w:cs="Times New Roman"/>
                <w:sz w:val="20"/>
                <w:szCs w:val="20"/>
                <w:lang w:val="de-DE"/>
              </w:rPr>
              <w:t>centered</w:t>
            </w:r>
            <w:proofErr w:type="spellEnd"/>
            <w:r w:rsidRPr="009E279F">
              <w:rPr>
                <w:rFonts w:ascii="Times New Roman" w:hAnsi="Times New Roman" w:cs="Times New Roman"/>
                <w:sz w:val="20"/>
                <w:szCs w:val="20"/>
                <w:lang w:val="de-DE"/>
              </w:rPr>
              <w:t xml:space="preserve"> at </w:t>
            </w:r>
            <w:r w:rsidRPr="009E279F">
              <w:rPr>
                <w:rFonts w:ascii="Times New Roman" w:hAnsi="Times New Roman" w:cs="Times New Roman"/>
                <w:sz w:val="20"/>
                <w:szCs w:val="20"/>
              </w:rPr>
              <w:t>(</w:t>
            </w:r>
            <w:r w:rsidRPr="009E279F">
              <w:rPr>
                <w:rFonts w:ascii="Times New Roman" w:hAnsi="Times New Roman" w:cs="Times New Roman"/>
                <w:sz w:val="20"/>
                <w:szCs w:val="20"/>
                <w:lang w:val="de-DE"/>
              </w:rPr>
              <w:t>1 -72 -15)</w:t>
            </w:r>
          </w:p>
        </w:tc>
      </w:tr>
      <w:tr w:rsidR="00AD51EF" w:rsidRPr="009E279F" w14:paraId="18C51B2F" w14:textId="77777777" w:rsidTr="00AD51EF">
        <w:trPr>
          <w:trHeight w:val="278"/>
        </w:trPr>
        <w:tc>
          <w:tcPr>
            <w:tcW w:w="1419" w:type="dxa"/>
            <w:tcBorders>
              <w:top w:val="nil"/>
              <w:left w:val="nil"/>
              <w:bottom w:val="single" w:sz="4" w:space="0" w:color="auto"/>
              <w:right w:val="nil"/>
            </w:tcBorders>
          </w:tcPr>
          <w:p w14:paraId="19C91991"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single" w:sz="4" w:space="0" w:color="auto"/>
              <w:right w:val="nil"/>
            </w:tcBorders>
          </w:tcPr>
          <w:p w14:paraId="52E69103"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single" w:sz="4" w:space="0" w:color="auto"/>
              <w:right w:val="nil"/>
            </w:tcBorders>
          </w:tcPr>
          <w:p w14:paraId="725608E9"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single" w:sz="4" w:space="0" w:color="auto"/>
              <w:right w:val="nil"/>
            </w:tcBorders>
          </w:tcPr>
          <w:p w14:paraId="69A0D744"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single" w:sz="4" w:space="0" w:color="auto"/>
              <w:right w:val="nil"/>
            </w:tcBorders>
          </w:tcPr>
          <w:p w14:paraId="5A6F3906"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5</w:t>
            </w:r>
          </w:p>
        </w:tc>
        <w:tc>
          <w:tcPr>
            <w:tcW w:w="1134" w:type="dxa"/>
            <w:tcBorders>
              <w:top w:val="nil"/>
              <w:left w:val="nil"/>
              <w:bottom w:val="single" w:sz="4" w:space="0" w:color="auto"/>
              <w:right w:val="nil"/>
            </w:tcBorders>
          </w:tcPr>
          <w:p w14:paraId="77EB758A"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w:t>
            </w:r>
          </w:p>
        </w:tc>
        <w:tc>
          <w:tcPr>
            <w:tcW w:w="1701" w:type="dxa"/>
            <w:tcBorders>
              <w:top w:val="nil"/>
              <w:left w:val="nil"/>
              <w:bottom w:val="single" w:sz="4" w:space="0" w:color="auto"/>
              <w:right w:val="nil"/>
            </w:tcBorders>
          </w:tcPr>
          <w:p w14:paraId="1F093196"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single" w:sz="4" w:space="0" w:color="auto"/>
              <w:right w:val="nil"/>
            </w:tcBorders>
          </w:tcPr>
          <w:p w14:paraId="3EC0041C"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single" w:sz="4" w:space="0" w:color="auto"/>
              <w:right w:val="nil"/>
            </w:tcBorders>
          </w:tcPr>
          <w:p w14:paraId="676A7DFC" w14:textId="77777777" w:rsidR="00F4687C" w:rsidRPr="009E279F" w:rsidRDefault="00F4687C" w:rsidP="00BD0CFF">
            <w:pPr>
              <w:rPr>
                <w:rFonts w:ascii="Times New Roman" w:hAnsi="Times New Roman" w:cs="Times New Roman"/>
                <w:sz w:val="20"/>
                <w:szCs w:val="20"/>
                <w:lang w:val="de-DE"/>
              </w:rPr>
            </w:pPr>
            <w:r w:rsidRPr="009E279F">
              <w:rPr>
                <w:rFonts w:ascii="Times New Roman" w:hAnsi="Times New Roman" w:cs="Times New Roman"/>
                <w:sz w:val="20"/>
                <w:szCs w:val="20"/>
                <w:lang w:val="de-DE"/>
              </w:rPr>
              <w:t>808</w:t>
            </w:r>
          </w:p>
        </w:tc>
        <w:tc>
          <w:tcPr>
            <w:tcW w:w="2552" w:type="dxa"/>
            <w:tcBorders>
              <w:top w:val="nil"/>
              <w:left w:val="nil"/>
              <w:bottom w:val="single" w:sz="4" w:space="0" w:color="auto"/>
              <w:right w:val="nil"/>
            </w:tcBorders>
          </w:tcPr>
          <w:p w14:paraId="7B702840" w14:textId="77777777" w:rsidR="00F4687C" w:rsidRPr="009E279F" w:rsidRDefault="00F4687C" w:rsidP="00BD0CFF">
            <w:pPr>
              <w:rPr>
                <w:rFonts w:ascii="Times New Roman" w:hAnsi="Times New Roman" w:cs="Times New Roman"/>
                <w:sz w:val="20"/>
                <w:szCs w:val="20"/>
                <w:lang w:val="de-DE"/>
              </w:rPr>
            </w:pPr>
            <w:r w:rsidRPr="009E279F">
              <w:rPr>
                <w:rFonts w:ascii="Times New Roman" w:hAnsi="Times New Roman" w:cs="Times New Roman"/>
                <w:sz w:val="20"/>
                <w:szCs w:val="20"/>
                <w:lang w:val="de-DE"/>
              </w:rPr>
              <w:t xml:space="preserve">(-48 -54 -46) </w:t>
            </w:r>
            <w:proofErr w:type="spellStart"/>
            <w:r w:rsidRPr="009E279F">
              <w:rPr>
                <w:rFonts w:ascii="Times New Roman" w:hAnsi="Times New Roman" w:cs="Times New Roman"/>
                <w:sz w:val="20"/>
                <w:szCs w:val="20"/>
                <w:lang w:val="de-DE"/>
              </w:rPr>
              <w:t>to</w:t>
            </w:r>
            <w:proofErr w:type="spellEnd"/>
            <w:r w:rsidRPr="009E279F">
              <w:rPr>
                <w:rFonts w:ascii="Times New Roman" w:hAnsi="Times New Roman" w:cs="Times New Roman"/>
                <w:sz w:val="20"/>
                <w:szCs w:val="20"/>
                <w:lang w:val="de-DE"/>
              </w:rPr>
              <w:t xml:space="preserve"> (-34 -36 -36) </w:t>
            </w:r>
            <w:proofErr w:type="spellStart"/>
            <w:r w:rsidRPr="009E279F">
              <w:rPr>
                <w:rFonts w:ascii="Times New Roman" w:hAnsi="Times New Roman" w:cs="Times New Roman"/>
                <w:sz w:val="20"/>
                <w:szCs w:val="20"/>
                <w:lang w:val="de-DE"/>
              </w:rPr>
              <w:t>centered</w:t>
            </w:r>
            <w:proofErr w:type="spellEnd"/>
            <w:r w:rsidRPr="009E279F">
              <w:rPr>
                <w:rFonts w:ascii="Times New Roman" w:hAnsi="Times New Roman" w:cs="Times New Roman"/>
                <w:sz w:val="20"/>
                <w:szCs w:val="20"/>
                <w:lang w:val="de-DE"/>
              </w:rPr>
              <w:t xml:space="preserve"> at </w:t>
            </w:r>
            <w:r w:rsidRPr="009E279F">
              <w:rPr>
                <w:rFonts w:ascii="Times New Roman" w:hAnsi="Times New Roman" w:cs="Times New Roman"/>
                <w:sz w:val="20"/>
                <w:szCs w:val="20"/>
              </w:rPr>
              <w:t>(</w:t>
            </w:r>
            <w:r w:rsidRPr="009E279F">
              <w:rPr>
                <w:rFonts w:ascii="Times New Roman" w:hAnsi="Times New Roman" w:cs="Times New Roman"/>
                <w:sz w:val="20"/>
                <w:szCs w:val="20"/>
                <w:lang w:val="de-DE"/>
              </w:rPr>
              <w:t>-40 -42 -41)</w:t>
            </w:r>
          </w:p>
        </w:tc>
      </w:tr>
      <w:tr w:rsidR="00AD51EF" w:rsidRPr="009E279F" w14:paraId="6AEDFC98" w14:textId="77777777" w:rsidTr="00AD51EF">
        <w:trPr>
          <w:trHeight w:val="548"/>
        </w:trPr>
        <w:tc>
          <w:tcPr>
            <w:tcW w:w="1419" w:type="dxa"/>
            <w:tcBorders>
              <w:left w:val="nil"/>
              <w:bottom w:val="nil"/>
              <w:right w:val="nil"/>
            </w:tcBorders>
          </w:tcPr>
          <w:p w14:paraId="5CB09E55" w14:textId="77777777" w:rsidR="00F4687C" w:rsidRDefault="00F4687C" w:rsidP="00BD0CFF">
            <w:pPr>
              <w:rPr>
                <w:rFonts w:ascii="Times New Roman" w:hAnsi="Times New Roman" w:cs="Times New Roman"/>
                <w:sz w:val="20"/>
                <w:szCs w:val="20"/>
              </w:rPr>
            </w:pPr>
            <w:r>
              <w:rPr>
                <w:rFonts w:ascii="Times New Roman" w:hAnsi="Times New Roman" w:cs="Times New Roman"/>
                <w:sz w:val="20"/>
                <w:szCs w:val="20"/>
              </w:rPr>
              <w:t>Hu et al., 2018</w:t>
            </w:r>
          </w:p>
          <w:p w14:paraId="7EB70EEC" w14:textId="77777777" w:rsidR="00F4687C" w:rsidRPr="009E279F" w:rsidRDefault="00F4687C" w:rsidP="00BD0CFF">
            <w:pP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{"citationItems":[{"id":"ITEM-1","itemData":{"DOI":"10.1002/hbm.24347","ISSN":"1065-9471","abstract":"Inhibitory control or the ability to refrain from incorrect responses is a critical executive function known to diminish during aging. Imaging studies have elucidated cerebral changes that may underlie the age‐related deficits. However, it remains unclear whether the structural and functional changes occur in the same brain regions and whether reduced gray matter volumes (GMV) mediate decreased activation during inhibition. Here, in a sample of 149 participants, we addressed the issues using structural and functional magnetic resonance imaging. Individual's response inhibition was evaluated by the stop signal reaction time (SSRT) in a stop signal task. The results showed that age was associated with prolonged SSRT across participants. Many cortical and subcortical regions demonstrated age‐related reduction in GMV and activation to response inhibition. Additionally, age‐related diminution in inhibitory control, as indexed by the SSRT, was associated with both shared and distinct morphometric and functional changes. Voxel‐based morphometry demonstrated age‐related reduction in GMV in the right dorsolateral prefrontal cortex and caudate head as well as bilateral insula, in association with prolonged SSRT. In a contrast of stop success versus go success trials, age was associated with lower activation in the medial and inferior frontal cortex and inferior parietal cortex. Further, reduction in GMV mediated age‐related differences in activations only of the medial prefrontal cortex, providing limited evidence for structure function association. Thus, the decline in inhibitory control, as evidenced in the stop signal task, manifest with both shared and distinct structural and functional processes during aging. (PsycINFO Database Record (c) 2018 APA, all rights reserved)","author":[{"dropping-particle":"","family":"Hu","given":"Sien","non-dropping-particle":"","parse-names":false,"suffix":""},{"dropping-particle":"","family":"Ide","given":"Jaime S","non-dropping-particle":"","parse-names":false,"suffix":""},{"dropping-particle":"","family":"Chao","given":"Herta H","non-dropping-particle":"","parse-names":false,"suffix":""},{"dropping-particle":"","family":"Castagna","given":"Brittney","non-dropping-particle":"","parse-names":false,"suffix":""},{"dropping-particle":"","family":"Fischer","given":"Kimberly A","non-dropping-particle":"","parse-names":false,"suffix":""},{"dropping-particle":"","family":"Zhang","given":"Sheng","non-dropping-particle":"","parse-names":false,"suffix":""},{"dropping-particle":"","family":"Li","given":"Chiang‐shan R","non-dropping-particle":"","parse-names":false,"suffix":""}],"container-title":"Human Brain Mapping","id":"ITEM-1","issue":"12","issued":{"date-parts":[["2018","8","16"]]},"note":"From Duplicate 1 (Structural and functional cerebral bases of diminished inhibitory control during healthy aging - Hu, Sien; Ide, Jaime S; Chao, Herta H; Castagna, Brittney; Fischer, Kimberly A; Zhang, Sheng; Li, Chiang‐shan R)\n\nAccession Number: 2018-41080-001. Partial author list: First Author &amp;amp; Affiliation: Hu, Sien; Department of Psychology, State University of New York at Oswego, Oswego, NY, US. Release Date: 20180820. Correction Date: 20190117. Publication Type: Journal (0100), Peer Reviewed Journal (0110). Format Covered: Electronic. Document Type: Journal Article. Language: English. Major Descriptor: Aging; Response Inhibition. Minor Descriptor: Functional Magnetic Resonance Imaging. Classification: Neuropsychology &amp;amp; Neurology (2520). Population: Human (10); Male (30); Female (40). Age Group: Adulthood (18 yrs &amp;amp; older) (300); Young Adulthood (18-29 yrs) (320). Methodology: Empirical Study; Quantitative Study. Page Count: 12. Issue Publication Date: Dec, 2018. Publication History: Accepted Date: Jul 30, 2018; Revised Date: Jul 23, 2018; First Submitted Date: Jan 16, 2018. Copyright Statement: Wiley Periodicals, Inc. 2018.\n\nFrom Duplicate 2 (Structural and functional cerebral bases of diminished inhibitory control during healthy aging - Hu, Sien; Ide, Jaime S; Chao, Herta H; Castagna, Brittney; Fischer, Kimberly A; Zhang, Sheng; Li, Chiang‐shan R)\n\nFrom Duplicate 1 (Structural and functional cerebral bases of diminished inhibitory control during healthy aging - Hu, Sien; Ide, Jaime S; Chao, Herta H; Castagna, Brittney; Fischer, Kimberly A; Zhang, Sheng; Li, Chiang‐shan R)\n\nFrom Duplicate 1 (Structural and functional cerebral bases of diminished inhibitory control during healthy aging - Hu, Sien; Ide, Jaime S; Chao, Herta H; Castagna, Brittney; Fischer, Kimberly A; Zhang, Sheng; Li, Chiang‐shan R)\n\nAccession Number: 2018-41080-001. PMID: 30113124 Partial author list: First Author &amp;amp; Affiliation: Hu, Sien; Department of Psychology, State University of New York at Oswego, Oswego. Release Date: 20180820. Publication Type: Journal (0100), Peer Reviewed Journal (0110). Format Covered: Electronic. Language: English. Major Descriptor: No terms assigned. Classification: Neuropsychology &amp;amp; Neurology (2520). Publication History: Accepted Date: Jul 30, 2018; First Submitted Date: Jan 16, 2018. Copyright Statement: Wiley Periodicals, Inc. 2018.\n\nFrom Duplicate 2 (Structural and functional cerebral bases of diminished inhibitory control during healthy aging - Hu, Sien; Ide, Jaime S; Chao, Herta H; Castagna, Brittney; Fischer, Kimberly A; Zhang, Sheng; Li, Chiang‐shan R)\n\nAccession Number: 2018-41080-001. Partial author list: First Author &amp;amp; Affiliation: Hu, Sien; Department of Psychology, State University of New York at Oswego, Oswego, NY, US. Release Date: 20180820. Correction Date: 20190117. Publication Type: Journal (0100), Peer Reviewed Journal (0110). Format Covered: Electronic. Document Type: Journal Article. Language: English. Major Descriptor: Aging; Response Inhibition. Minor Descriptor: Functional Magnetic Resonance Imaging. Classification: Neuropsychology &amp;amp; Neurology (2520). Population: Human (10); Male (30); Female (40). Age Group: Adulthood (18 yrs &amp;amp; older) (300); Young Adulthood (18-29 yrs) (320). Methodology: Empirical Study; Quantitative Study. Page Count: 12. Issue Publication Date: Dec, 2018. Publication History: Accepted Date: Jul 30, 2018; Revised Date: Jul 23, 2018; First Submitted Date: Jan 16, 2018. Copyright Statement: Wiley Periodicals, Inc. 2018.\n\nFrom Duplicate 2 (Structural and functional cerebral bases of diminished inhibitory control during healthy aging - Hu, Sien; Ide, Jaime S; Chao, Herta H; Castagna, Brittney; Fischer, Kimberly A; Zhang, Sheng; Li, Chiang‐shan R)\n\nAccession Number: 2018-41080-001. Partial author list: First Author &amp;amp; Affiliation: Hu, Sien; Department of Psychology, State University of New York at Oswego, Oswego, NY, US. Release Date: 20180820. Correction Date: 20190117. Publication Type: Journal (0100), Peer Reviewed Journal (0110). Format Covered: Electronic. Document Type: Journal Article. Language: English. Major Descriptor: Aging; Response Inhibition. Minor Descriptor: Functional Magnetic Resonance Imaging. Classification: Neuropsychology &amp;amp; Neurology (2520). Population: Human (10); Male (30); Female (40). Age Group: Adulthood (18 yrs &amp;amp; older) (300); Young Adulthood (18-29 yrs) (320). Methodology: Empirical Study; Quantitative Study. Page Count: 12. Issue Publication Date: Dec, 2018. Publication History: Accepted Date: Jul 30, 2018; Revised Date: Jul 23, 2018; First Submitted Date: Jan 16, 2018. Copyright Statement: Wiley Periodicals, Inc. 2018.","page":"5085–5096","publisher":"John Wiley &amp; Sons","publisher-place":"Hu, Sien, Department of Psychology, 407 Mahar Hall, SUNY Oswego, Oswego, NY, US, 13126","title":"Structural and functional cerebral bases of diminished inhibitory control during healthy aging","type":"article-journal","volume":"39"},"uris":["http://www.mendeley.com/documents/?uuid=079b3efa-3497-4351-b160-2e09141c0e41"]}],"mendeley":{"formattedCitation":"[1]","plainTextFormattedCitation":"[1]","previouslyFormattedCitation":"[1]"},"properties":{"noteIndex":0},"schema":"https://github.com/citation-style-language/schema/raw/master/csl-citation.json"}</w:instrText>
            </w:r>
            <w:r>
              <w:rPr>
                <w:rFonts w:ascii="Times New Roman" w:hAnsi="Times New Roman" w:cs="Times New Roman"/>
                <w:sz w:val="20"/>
                <w:szCs w:val="20"/>
              </w:rPr>
              <w:fldChar w:fldCharType="separate"/>
            </w:r>
            <w:r w:rsidRPr="00B12442">
              <w:rPr>
                <w:rFonts w:ascii="Times New Roman" w:hAnsi="Times New Roman" w:cs="Times New Roman"/>
                <w:noProof/>
                <w:sz w:val="20"/>
                <w:szCs w:val="20"/>
              </w:rPr>
              <w:t>[1]</w:t>
            </w:r>
            <w:r>
              <w:rPr>
                <w:rFonts w:ascii="Times New Roman" w:hAnsi="Times New Roman" w:cs="Times New Roman"/>
                <w:sz w:val="20"/>
                <w:szCs w:val="20"/>
              </w:rPr>
              <w:fldChar w:fldCharType="end"/>
            </w:r>
          </w:p>
        </w:tc>
        <w:tc>
          <w:tcPr>
            <w:tcW w:w="987" w:type="dxa"/>
            <w:tcBorders>
              <w:top w:val="nil"/>
              <w:left w:val="nil"/>
              <w:bottom w:val="nil"/>
              <w:right w:val="nil"/>
            </w:tcBorders>
          </w:tcPr>
          <w:p w14:paraId="4FC47117"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59</w:t>
            </w:r>
          </w:p>
        </w:tc>
        <w:tc>
          <w:tcPr>
            <w:tcW w:w="1080" w:type="dxa"/>
            <w:tcBorders>
              <w:top w:val="nil"/>
              <w:left w:val="nil"/>
              <w:bottom w:val="nil"/>
              <w:right w:val="nil"/>
            </w:tcBorders>
          </w:tcPr>
          <w:p w14:paraId="3E3354D9"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2293</w:t>
            </w:r>
          </w:p>
        </w:tc>
        <w:tc>
          <w:tcPr>
            <w:tcW w:w="1476" w:type="dxa"/>
            <w:tcBorders>
              <w:top w:val="nil"/>
              <w:left w:val="nil"/>
              <w:bottom w:val="nil"/>
              <w:right w:val="nil"/>
            </w:tcBorders>
          </w:tcPr>
          <w:p w14:paraId="524AEC56"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536</w:t>
            </w:r>
          </w:p>
        </w:tc>
        <w:tc>
          <w:tcPr>
            <w:tcW w:w="2268" w:type="dxa"/>
            <w:tcBorders>
              <w:top w:val="nil"/>
              <w:left w:val="nil"/>
              <w:bottom w:val="nil"/>
              <w:right w:val="nil"/>
            </w:tcBorders>
          </w:tcPr>
          <w:p w14:paraId="1F59817A"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2</w:t>
            </w:r>
          </w:p>
        </w:tc>
        <w:tc>
          <w:tcPr>
            <w:tcW w:w="1134" w:type="dxa"/>
            <w:tcBorders>
              <w:top w:val="nil"/>
              <w:left w:val="nil"/>
              <w:bottom w:val="nil"/>
              <w:right w:val="nil"/>
            </w:tcBorders>
          </w:tcPr>
          <w:p w14:paraId="47C8DDD1"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sym w:font="Symbol" w:char="F0AF"/>
            </w:r>
          </w:p>
        </w:tc>
        <w:tc>
          <w:tcPr>
            <w:tcW w:w="1701" w:type="dxa"/>
            <w:tcBorders>
              <w:top w:val="nil"/>
              <w:left w:val="nil"/>
              <w:bottom w:val="nil"/>
              <w:right w:val="nil"/>
            </w:tcBorders>
          </w:tcPr>
          <w:p w14:paraId="7FF2731D"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133717B9"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4395D52C"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1128</w:t>
            </w:r>
          </w:p>
        </w:tc>
        <w:tc>
          <w:tcPr>
            <w:tcW w:w="2552" w:type="dxa"/>
            <w:tcBorders>
              <w:top w:val="nil"/>
              <w:left w:val="nil"/>
              <w:bottom w:val="nil"/>
              <w:right w:val="nil"/>
            </w:tcBorders>
          </w:tcPr>
          <w:p w14:paraId="661FBEF7"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 xml:space="preserve">(24 -90 -42) to (40 -72 -30)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723DF1">
              <w:rPr>
                <w:rFonts w:ascii="Times New Roman" w:hAnsi="Times New Roman" w:cs="Times New Roman"/>
                <w:sz w:val="20"/>
                <w:szCs w:val="20"/>
              </w:rPr>
              <w:t>33 -81 -37</w:t>
            </w:r>
            <w:r w:rsidRPr="009E279F">
              <w:rPr>
                <w:rFonts w:ascii="Times New Roman" w:hAnsi="Times New Roman" w:cs="Times New Roman"/>
                <w:sz w:val="20"/>
                <w:szCs w:val="20"/>
              </w:rPr>
              <w:t>)</w:t>
            </w:r>
          </w:p>
        </w:tc>
      </w:tr>
      <w:tr w:rsidR="00AD51EF" w:rsidRPr="009E279F" w14:paraId="5F531F92" w14:textId="77777777" w:rsidTr="00AD51EF">
        <w:trPr>
          <w:trHeight w:val="548"/>
        </w:trPr>
        <w:tc>
          <w:tcPr>
            <w:tcW w:w="1419" w:type="dxa"/>
            <w:tcBorders>
              <w:top w:val="nil"/>
              <w:left w:val="nil"/>
              <w:bottom w:val="nil"/>
              <w:right w:val="nil"/>
            </w:tcBorders>
          </w:tcPr>
          <w:p w14:paraId="47003E84"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6F6B2BFC"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7D83612C"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3433D44A"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4363E5BC"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1</w:t>
            </w:r>
          </w:p>
        </w:tc>
        <w:tc>
          <w:tcPr>
            <w:tcW w:w="1134" w:type="dxa"/>
            <w:tcBorders>
              <w:top w:val="nil"/>
              <w:left w:val="nil"/>
              <w:bottom w:val="nil"/>
              <w:right w:val="nil"/>
            </w:tcBorders>
          </w:tcPr>
          <w:p w14:paraId="6A7148BE"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sym w:font="Symbol" w:char="F0AD"/>
            </w:r>
          </w:p>
        </w:tc>
        <w:tc>
          <w:tcPr>
            <w:tcW w:w="1701" w:type="dxa"/>
            <w:tcBorders>
              <w:top w:val="nil"/>
              <w:left w:val="nil"/>
              <w:bottom w:val="nil"/>
              <w:right w:val="nil"/>
            </w:tcBorders>
          </w:tcPr>
          <w:p w14:paraId="17008CFF"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0B2DE2AA"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7A5D46EE"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1544</w:t>
            </w:r>
          </w:p>
        </w:tc>
        <w:tc>
          <w:tcPr>
            <w:tcW w:w="2552" w:type="dxa"/>
            <w:tcBorders>
              <w:top w:val="nil"/>
              <w:left w:val="nil"/>
              <w:bottom w:val="nil"/>
              <w:right w:val="nil"/>
            </w:tcBorders>
          </w:tcPr>
          <w:p w14:paraId="67771AFC"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 xml:space="preserve">(26 -70 -34) to (42 -56 -22)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723DF1">
              <w:rPr>
                <w:rFonts w:ascii="Times New Roman" w:hAnsi="Times New Roman" w:cs="Times New Roman"/>
                <w:sz w:val="20"/>
                <w:szCs w:val="20"/>
              </w:rPr>
              <w:t>35 -63 -29</w:t>
            </w:r>
            <w:r w:rsidRPr="009E279F">
              <w:rPr>
                <w:rFonts w:ascii="Times New Roman" w:hAnsi="Times New Roman" w:cs="Times New Roman"/>
                <w:sz w:val="20"/>
                <w:szCs w:val="20"/>
              </w:rPr>
              <w:t>)</w:t>
            </w:r>
          </w:p>
        </w:tc>
      </w:tr>
      <w:tr w:rsidR="00AD51EF" w:rsidRPr="009E279F" w14:paraId="2F39E4EB" w14:textId="77777777" w:rsidTr="00AD51EF">
        <w:trPr>
          <w:trHeight w:val="584"/>
        </w:trPr>
        <w:tc>
          <w:tcPr>
            <w:tcW w:w="7230" w:type="dxa"/>
            <w:gridSpan w:val="5"/>
            <w:tcBorders>
              <w:top w:val="nil"/>
              <w:left w:val="nil"/>
              <w:bottom w:val="nil"/>
              <w:right w:val="nil"/>
            </w:tcBorders>
          </w:tcPr>
          <w:p w14:paraId="12EEFEB5"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Cluster 3 from the original analysis does not survive</w:t>
            </w:r>
          </w:p>
        </w:tc>
        <w:tc>
          <w:tcPr>
            <w:tcW w:w="1134" w:type="dxa"/>
            <w:tcBorders>
              <w:top w:val="nil"/>
              <w:left w:val="nil"/>
              <w:bottom w:val="nil"/>
              <w:right w:val="nil"/>
            </w:tcBorders>
          </w:tcPr>
          <w:p w14:paraId="75AE10FC" w14:textId="77777777" w:rsidR="00F4687C" w:rsidRPr="009E279F" w:rsidRDefault="00F4687C" w:rsidP="00BD0CFF">
            <w:pPr>
              <w:rPr>
                <w:rFonts w:ascii="Times New Roman" w:hAnsi="Times New Roman" w:cs="Times New Roman"/>
                <w:sz w:val="20"/>
                <w:szCs w:val="20"/>
              </w:rPr>
            </w:pPr>
          </w:p>
        </w:tc>
        <w:tc>
          <w:tcPr>
            <w:tcW w:w="1701" w:type="dxa"/>
            <w:tcBorders>
              <w:top w:val="nil"/>
              <w:left w:val="nil"/>
              <w:bottom w:val="nil"/>
              <w:right w:val="nil"/>
            </w:tcBorders>
          </w:tcPr>
          <w:p w14:paraId="31CE8C55" w14:textId="77777777" w:rsidR="00F4687C" w:rsidRPr="009E279F" w:rsidRDefault="00F4687C" w:rsidP="00BD0CFF">
            <w:pPr>
              <w:rPr>
                <w:rFonts w:ascii="Times New Roman" w:hAnsi="Times New Roman" w:cs="Times New Roman"/>
                <w:sz w:val="20"/>
                <w:szCs w:val="20"/>
              </w:rPr>
            </w:pPr>
          </w:p>
        </w:tc>
        <w:tc>
          <w:tcPr>
            <w:tcW w:w="1418" w:type="dxa"/>
            <w:tcBorders>
              <w:top w:val="nil"/>
              <w:left w:val="nil"/>
              <w:bottom w:val="nil"/>
              <w:right w:val="nil"/>
            </w:tcBorders>
          </w:tcPr>
          <w:p w14:paraId="5BEA6B39" w14:textId="77777777" w:rsidR="00F4687C" w:rsidRPr="009E279F" w:rsidRDefault="00F4687C" w:rsidP="00BD0CFF">
            <w:pPr>
              <w:rPr>
                <w:rFonts w:ascii="Times New Roman" w:hAnsi="Times New Roman" w:cs="Times New Roman"/>
                <w:sz w:val="20"/>
                <w:szCs w:val="20"/>
              </w:rPr>
            </w:pPr>
          </w:p>
        </w:tc>
        <w:tc>
          <w:tcPr>
            <w:tcW w:w="850" w:type="dxa"/>
            <w:tcBorders>
              <w:top w:val="nil"/>
              <w:left w:val="nil"/>
              <w:bottom w:val="nil"/>
              <w:right w:val="nil"/>
            </w:tcBorders>
          </w:tcPr>
          <w:p w14:paraId="4B205B73" w14:textId="77777777" w:rsidR="00F4687C" w:rsidRPr="00415A52" w:rsidRDefault="00F4687C" w:rsidP="00BD0CFF">
            <w:pPr>
              <w:rPr>
                <w:rFonts w:ascii="Times New Roman" w:hAnsi="Times New Roman" w:cs="Times New Roman"/>
                <w:sz w:val="20"/>
                <w:szCs w:val="20"/>
              </w:rPr>
            </w:pPr>
          </w:p>
        </w:tc>
        <w:tc>
          <w:tcPr>
            <w:tcW w:w="2552" w:type="dxa"/>
            <w:tcBorders>
              <w:top w:val="nil"/>
              <w:left w:val="nil"/>
              <w:bottom w:val="nil"/>
              <w:right w:val="nil"/>
            </w:tcBorders>
          </w:tcPr>
          <w:p w14:paraId="33611A47" w14:textId="77777777" w:rsidR="00F4687C" w:rsidRPr="00415A52" w:rsidRDefault="00F4687C" w:rsidP="00BD0CFF">
            <w:pPr>
              <w:rPr>
                <w:rFonts w:ascii="Times New Roman" w:hAnsi="Times New Roman" w:cs="Times New Roman"/>
                <w:sz w:val="20"/>
                <w:szCs w:val="20"/>
              </w:rPr>
            </w:pPr>
          </w:p>
        </w:tc>
      </w:tr>
      <w:tr w:rsidR="00AD51EF" w:rsidRPr="009E279F" w14:paraId="4B892F65" w14:textId="77777777" w:rsidTr="00AD51EF">
        <w:trPr>
          <w:trHeight w:val="548"/>
        </w:trPr>
        <w:tc>
          <w:tcPr>
            <w:tcW w:w="1419" w:type="dxa"/>
            <w:tcBorders>
              <w:top w:val="nil"/>
              <w:left w:val="nil"/>
              <w:bottom w:val="nil"/>
              <w:right w:val="nil"/>
            </w:tcBorders>
          </w:tcPr>
          <w:p w14:paraId="5B0FDE04"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0AC526B5"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486AACC5"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3F72D231"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32F6665C"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3</w:t>
            </w:r>
          </w:p>
        </w:tc>
        <w:tc>
          <w:tcPr>
            <w:tcW w:w="1134" w:type="dxa"/>
            <w:tcBorders>
              <w:top w:val="nil"/>
              <w:left w:val="nil"/>
              <w:bottom w:val="nil"/>
              <w:right w:val="nil"/>
            </w:tcBorders>
          </w:tcPr>
          <w:p w14:paraId="31C1B8FB"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sym w:font="Symbol" w:char="F0AF"/>
            </w:r>
          </w:p>
        </w:tc>
        <w:tc>
          <w:tcPr>
            <w:tcW w:w="1701" w:type="dxa"/>
            <w:tcBorders>
              <w:top w:val="nil"/>
              <w:left w:val="nil"/>
              <w:bottom w:val="nil"/>
              <w:right w:val="nil"/>
            </w:tcBorders>
          </w:tcPr>
          <w:p w14:paraId="6FE23BB0"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5518CC37"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335F4ECB"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840</w:t>
            </w:r>
          </w:p>
        </w:tc>
        <w:tc>
          <w:tcPr>
            <w:tcW w:w="2552" w:type="dxa"/>
            <w:tcBorders>
              <w:top w:val="nil"/>
              <w:left w:val="nil"/>
              <w:bottom w:val="nil"/>
              <w:right w:val="nil"/>
            </w:tcBorders>
          </w:tcPr>
          <w:p w14:paraId="6A5EA267"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 xml:space="preserve">(-4 -78 -22) to (8 -66 -10) </w:t>
            </w:r>
            <w:proofErr w:type="spellStart"/>
            <w:r w:rsidRPr="00723DF1">
              <w:rPr>
                <w:rFonts w:ascii="Times New Roman" w:hAnsi="Times New Roman" w:cs="Times New Roman"/>
                <w:sz w:val="20"/>
                <w:szCs w:val="20"/>
              </w:rPr>
              <w:t>centered</w:t>
            </w:r>
            <w:proofErr w:type="spellEnd"/>
            <w:r w:rsidRPr="00723DF1">
              <w:rPr>
                <w:rFonts w:ascii="Times New Roman" w:hAnsi="Times New Roman" w:cs="Times New Roman"/>
                <w:sz w:val="20"/>
                <w:szCs w:val="20"/>
              </w:rPr>
              <w:t xml:space="preserve"> at </w:t>
            </w:r>
            <w:r w:rsidRPr="009E279F">
              <w:rPr>
                <w:rFonts w:ascii="Times New Roman" w:hAnsi="Times New Roman" w:cs="Times New Roman"/>
                <w:sz w:val="20"/>
                <w:szCs w:val="20"/>
              </w:rPr>
              <w:t>(</w:t>
            </w:r>
            <w:r w:rsidRPr="00723DF1">
              <w:rPr>
                <w:rFonts w:ascii="Times New Roman" w:hAnsi="Times New Roman" w:cs="Times New Roman"/>
                <w:sz w:val="20"/>
                <w:szCs w:val="20"/>
              </w:rPr>
              <w:t>3 -73 -15)</w:t>
            </w:r>
          </w:p>
        </w:tc>
      </w:tr>
      <w:tr w:rsidR="00AD51EF" w:rsidRPr="009E279F" w14:paraId="10FCDD5E" w14:textId="77777777" w:rsidTr="00AD51EF">
        <w:trPr>
          <w:trHeight w:val="486"/>
        </w:trPr>
        <w:tc>
          <w:tcPr>
            <w:tcW w:w="7230" w:type="dxa"/>
            <w:gridSpan w:val="5"/>
            <w:tcBorders>
              <w:top w:val="nil"/>
              <w:left w:val="nil"/>
              <w:bottom w:val="single" w:sz="4" w:space="0" w:color="auto"/>
              <w:right w:val="nil"/>
            </w:tcBorders>
          </w:tcPr>
          <w:p w14:paraId="68EC17B2"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Cluster 5 from the original analysis does not survive</w:t>
            </w:r>
          </w:p>
        </w:tc>
        <w:tc>
          <w:tcPr>
            <w:tcW w:w="1134" w:type="dxa"/>
            <w:tcBorders>
              <w:top w:val="nil"/>
              <w:left w:val="nil"/>
              <w:bottom w:val="single" w:sz="4" w:space="0" w:color="auto"/>
              <w:right w:val="nil"/>
            </w:tcBorders>
          </w:tcPr>
          <w:p w14:paraId="4455F7FB" w14:textId="77777777" w:rsidR="00F4687C" w:rsidRPr="009E279F" w:rsidRDefault="00F4687C" w:rsidP="00BD0CFF">
            <w:pPr>
              <w:rPr>
                <w:rFonts w:ascii="Times New Roman" w:hAnsi="Times New Roman" w:cs="Times New Roman"/>
                <w:sz w:val="20"/>
                <w:szCs w:val="20"/>
              </w:rPr>
            </w:pPr>
          </w:p>
        </w:tc>
        <w:tc>
          <w:tcPr>
            <w:tcW w:w="1701" w:type="dxa"/>
            <w:tcBorders>
              <w:top w:val="nil"/>
              <w:left w:val="nil"/>
              <w:bottom w:val="single" w:sz="4" w:space="0" w:color="auto"/>
              <w:right w:val="nil"/>
            </w:tcBorders>
          </w:tcPr>
          <w:p w14:paraId="31173CBD" w14:textId="77777777" w:rsidR="00F4687C" w:rsidRPr="009E279F" w:rsidRDefault="00F4687C" w:rsidP="00BD0CFF">
            <w:pPr>
              <w:rPr>
                <w:rFonts w:ascii="Times New Roman" w:hAnsi="Times New Roman" w:cs="Times New Roman"/>
                <w:sz w:val="20"/>
                <w:szCs w:val="20"/>
              </w:rPr>
            </w:pPr>
          </w:p>
        </w:tc>
        <w:tc>
          <w:tcPr>
            <w:tcW w:w="1418" w:type="dxa"/>
            <w:tcBorders>
              <w:top w:val="nil"/>
              <w:left w:val="nil"/>
              <w:bottom w:val="single" w:sz="4" w:space="0" w:color="auto"/>
              <w:right w:val="nil"/>
            </w:tcBorders>
          </w:tcPr>
          <w:p w14:paraId="6381EF5B" w14:textId="77777777" w:rsidR="00F4687C" w:rsidRPr="009E279F" w:rsidRDefault="00F4687C" w:rsidP="00BD0CFF">
            <w:pPr>
              <w:rPr>
                <w:rFonts w:ascii="Times New Roman" w:hAnsi="Times New Roman" w:cs="Times New Roman"/>
                <w:sz w:val="20"/>
                <w:szCs w:val="20"/>
              </w:rPr>
            </w:pPr>
          </w:p>
        </w:tc>
        <w:tc>
          <w:tcPr>
            <w:tcW w:w="850" w:type="dxa"/>
            <w:tcBorders>
              <w:top w:val="nil"/>
              <w:left w:val="nil"/>
              <w:bottom w:val="single" w:sz="4" w:space="0" w:color="auto"/>
              <w:right w:val="nil"/>
            </w:tcBorders>
          </w:tcPr>
          <w:p w14:paraId="0AC867F4" w14:textId="77777777" w:rsidR="00F4687C" w:rsidRPr="00415A52" w:rsidRDefault="00F4687C" w:rsidP="00BD0CFF">
            <w:pPr>
              <w:rPr>
                <w:rFonts w:ascii="Times New Roman" w:hAnsi="Times New Roman" w:cs="Times New Roman"/>
                <w:sz w:val="20"/>
                <w:szCs w:val="20"/>
              </w:rPr>
            </w:pPr>
          </w:p>
        </w:tc>
        <w:tc>
          <w:tcPr>
            <w:tcW w:w="2552" w:type="dxa"/>
            <w:tcBorders>
              <w:top w:val="nil"/>
              <w:left w:val="nil"/>
              <w:bottom w:val="single" w:sz="4" w:space="0" w:color="auto"/>
              <w:right w:val="nil"/>
            </w:tcBorders>
          </w:tcPr>
          <w:p w14:paraId="4548B2B7" w14:textId="77777777" w:rsidR="00F4687C" w:rsidRPr="00415A52" w:rsidRDefault="00F4687C" w:rsidP="00BD0CFF">
            <w:pPr>
              <w:rPr>
                <w:rFonts w:ascii="Times New Roman" w:hAnsi="Times New Roman" w:cs="Times New Roman"/>
                <w:sz w:val="20"/>
                <w:szCs w:val="20"/>
              </w:rPr>
            </w:pPr>
          </w:p>
        </w:tc>
      </w:tr>
      <w:tr w:rsidR="00AD51EF" w:rsidRPr="009E279F" w14:paraId="6C34BC9C" w14:textId="77777777" w:rsidTr="00AD51EF">
        <w:trPr>
          <w:trHeight w:val="339"/>
        </w:trPr>
        <w:tc>
          <w:tcPr>
            <w:tcW w:w="1419" w:type="dxa"/>
            <w:vMerge w:val="restart"/>
            <w:tcBorders>
              <w:left w:val="nil"/>
              <w:bottom w:val="nil"/>
              <w:right w:val="nil"/>
            </w:tcBorders>
          </w:tcPr>
          <w:p w14:paraId="4FC50C2E" w14:textId="77777777" w:rsidR="00F4687C" w:rsidRDefault="00F4687C" w:rsidP="00BD0CFF">
            <w:pPr>
              <w:rPr>
                <w:rFonts w:ascii="Times New Roman" w:hAnsi="Times New Roman" w:cs="Times New Roman"/>
                <w:sz w:val="20"/>
                <w:szCs w:val="20"/>
              </w:rPr>
            </w:pPr>
            <w:proofErr w:type="spellStart"/>
            <w:r>
              <w:rPr>
                <w:rFonts w:ascii="Times New Roman" w:hAnsi="Times New Roman" w:cs="Times New Roman"/>
                <w:sz w:val="20"/>
                <w:szCs w:val="20"/>
              </w:rPr>
              <w:t>Kalpouzos</w:t>
            </w:r>
            <w:proofErr w:type="spellEnd"/>
            <w:r>
              <w:rPr>
                <w:rFonts w:ascii="Times New Roman" w:hAnsi="Times New Roman" w:cs="Times New Roman"/>
                <w:sz w:val="20"/>
                <w:szCs w:val="20"/>
              </w:rPr>
              <w:t xml:space="preserve"> et al., 2009</w:t>
            </w:r>
          </w:p>
          <w:p w14:paraId="557120EB" w14:textId="77777777" w:rsidR="00F4687C" w:rsidRPr="009E279F" w:rsidRDefault="00F4687C" w:rsidP="00BD0CFF">
            <w:pP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{"citationItems":[{"id":"ITEM-1","itemData":{"DOI":"10.1016/j.neurobiolaging.2007.05.019","ISSN":"01974580","abstract":"With age, the brain undergoes both structural and functional alterations, probably resulting in reported cognitive declines. Relatively few investigations have sought to identify those areas that remain intact with aging, or undergo the least deterioration, which might underlie cognitive preservations. Our aim here was to establish a comprehensive profile of both structural and functional changes in the aging brain, using up-to-date voxel-based methodology (i.e. optimized voxel-based morphometry (VBM) procedure; resting-state 18FDG-PET with correction for partial volume effects (PVE)) in 45 optimally healthy subjects aged 20-83 years. Negative and positive correlations between age and both gray matter (GM) volume and 18FDG uptake were assessed. The frontal cortex manifested the greatest deterioration, both structurally and functionally, whereas the anterior hippocampus, the thalamus and (functionally) the posterior cingulate cortex were the least affected. Our results support the developmental theory which postulates that the first regions to emerge phylogenetically and ontogenetically are the most resistant to age effects, and the last ones the most vulnerable. Furthermore, the lesser affected anterior hippocampal region, together with the lesser functional alteration of the posterior cingulate cortex, appear to mark the parting of the ways between normal aging and Alzheimer's disease, which is characterized by early and prominent deterioration of both structures. © 2007 Elsevier Inc. All rights reserved.","author":[{"dropping-particle":"","family":"Kalpouzos","given":"Grégoria","non-dropping-particle":"","parse-names":false,"suffix":""},{"dropping-particle":"","family":"Chételat","given":"Gaël","non-dropping-particle":"","parse-names":false,"suffix":""},{"dropping-particle":"","family":"Baron","given":"Jean Claude","non-dropping-particle":"","parse-names":false,"suffix":""},{"dropping-particle":"","family":"Landeau","given":"Brigitte","non-dropping-particle":"","parse-names":false,"suffix":""},{"dropping-particle":"","family":"Mevel","given":"Katell","non-dropping-particle":"","parse-names":false,"suffix":""},{"dropping-particle":"","family":"Godeau","given":"Christine","non-dropping-particle":"","parse-names":false,"suffix":""},{"dropping-particle":"","family":"Barré","given":"Louisa","non-dropping-particle":"","parse-names":false,"suffix":""},{"dropping-particle":"","family":"Constans","given":"Jean Marc","non-dropping-particle":"","parse-names":false,"suffix":""},{"dropping-particle":"","family":"Viader","given":"Fausto","non-dropping-particle":"","parse-names":false,"suffix":""},{"dropping-particle":"","family":"Eustache","given":"Francis","non-dropping-particle":"","parse-names":false,"suffix":""},{"dropping-particle":"","family":"Desgranges","given":"Béatrice","non-dropping-particle":"","parse-names":false,"suffix":""}],"container-title":"Neurobiology of Aging","id":"ITEM-1","issue":"1","issued":{"date-parts":[["2009","1"]]},"note":"From Duplicate 1 (Voxel-based mapping of brain gray matter volume and glucose metabolism profiles in normal aging - Kalpouzos, Grégoria; Chételat, Gaël; Baron, Jean Claude; Landeau, Brigitte; Mevel, Katell; Godeau, Christine; Barré, Louisa; Constans, Jean Marc; Viader, Fausto; Eustache, Francis; Desgranges, Béatrice)\n\nFrom Duplicate 2 (Voxel-based mapping of brain gray matter volume and glucose metabolism profiles in normal aging - Kalpouzos, Grégoria; Chételat, Gaël; Baron, Jean Claude; Landeau, Brigitte; Mevel, Katell; Godeau, Christine; Barré, Louisa; Constans, Jean Marc; Viader, Fausto; Eustache, Francis; Desgranges, Béatrice)\n\nFrom Duplicate 1 (Voxel-based mapping of brain gray matter volume and glucose metabolism profiles in normal aging - Kalpouzos, Grégoria; Chételat, Gaël; Baron, Jean Claude; Landeau, Brigitte; Mevel, Katell; Godeau, Christine; Barré, Louisa; Constans, Jean Marc; Viader, Fausto; Eustache, Francis; Desgranges, Béatrice)\n\nFrom Duplicate 3 (Voxel-based mapping of brain gray matter volume and glucose metabolism profiles in normal aging - Kalpouzos, Grégoria; Chételat, Gaël; Baron, Jean Claude; Landeau, Brigitte; Mevel, Katell; Godeau, Christine; Barré, Louisa; Constans, Jean Marc; Viader, Fausto; Eustache, Francis; Desgranges, Béatrice)\n\nAccession Number: 2008-17237-011. PMID: 17630048 Partial author list: First Author &amp;amp; Affiliation: Kalpouzos, Grégoria; Inserm-EPHE-Universite de Caen/Basse-Normandie, Unite de Recherche E0218, GIP Cyceron, Caen, France. Release Date: 20090413. Publication Type: Journal (0100), Peer Reviewed Journal (0110). Format Covered: Electronic. Document Type: Journal Article. Language: English. Major Descriptor: Aging; Brain; Gray Matter. Minor Descriptor: Glucose Metabolism; Stereotaxic Atlas. Classification: Neuropsychology &amp;amp; Neurology (2520). Population: Human (10); Male (30); Female (40). Age Group: Adulthood (18 yrs &amp;amp; older) (300); Young Adulthood (18-29 yrs) (320); Thirties (30-39 yrs) (340); Middle Age (40-64 yrs) (360); Aged (65 yrs &amp;amp; older) (380). Tests &amp;amp; Measures: Mattis Dementia Rating Scale. Methodology: Empirical Study; Quantitative Study. References Available: Y. Page Count: 13. Issue Publication Date: Jan, 2009.","page":"112-124","publisher":"Elsevier Science","publisher-place":"Desgranges, Béatrice, Inserm-EPHE-Universite de Caen/Basse- Normandie, Unite de Recherche E0218, Laboratoire de Neuropsychologie, CHU Cote de Nacre, 14033, Caen, France, Cedex","title":"Voxel-based mapping of brain gray matter volume and glucose metabolism profiles in normal aging","type":"article-journal","volume":"30"},"uris":["http://www.mendeley.com/documents/?uuid=4969bd52-413c-4ee2-868d-1ded04a4c23e"]}],"mendeley":{"formattedCitation":"[19]","plainTextFormattedCitation":"[19]","previouslyFormattedCitation":"[19]"},"properties":{"noteIndex":0},"schema":"https://github.com/citation-style-language/schema/raw/master/csl-citation.json"}</w:instrText>
            </w:r>
            <w:r>
              <w:rPr>
                <w:rFonts w:ascii="Times New Roman" w:hAnsi="Times New Roman" w:cs="Times New Roman"/>
                <w:sz w:val="20"/>
                <w:szCs w:val="20"/>
              </w:rPr>
              <w:fldChar w:fldCharType="separate"/>
            </w:r>
            <w:r w:rsidRPr="00B12442">
              <w:rPr>
                <w:rFonts w:ascii="Times New Roman" w:hAnsi="Times New Roman" w:cs="Times New Roman"/>
                <w:noProof/>
                <w:sz w:val="20"/>
                <w:szCs w:val="20"/>
              </w:rPr>
              <w:t>[19]</w:t>
            </w:r>
            <w:r>
              <w:rPr>
                <w:rFonts w:ascii="Times New Roman" w:hAnsi="Times New Roman" w:cs="Times New Roman"/>
                <w:sz w:val="20"/>
                <w:szCs w:val="20"/>
              </w:rPr>
              <w:fldChar w:fldCharType="end"/>
            </w:r>
          </w:p>
        </w:tc>
        <w:tc>
          <w:tcPr>
            <w:tcW w:w="987" w:type="dxa"/>
            <w:tcBorders>
              <w:top w:val="nil"/>
              <w:left w:val="nil"/>
              <w:bottom w:val="nil"/>
              <w:right w:val="nil"/>
            </w:tcBorders>
          </w:tcPr>
          <w:p w14:paraId="7008B9E6"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62</w:t>
            </w:r>
          </w:p>
        </w:tc>
        <w:tc>
          <w:tcPr>
            <w:tcW w:w="1080" w:type="dxa"/>
            <w:tcBorders>
              <w:top w:val="nil"/>
              <w:left w:val="nil"/>
              <w:bottom w:val="nil"/>
              <w:right w:val="nil"/>
            </w:tcBorders>
          </w:tcPr>
          <w:p w14:paraId="19D0A74A"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2396</w:t>
            </w:r>
          </w:p>
        </w:tc>
        <w:tc>
          <w:tcPr>
            <w:tcW w:w="1476" w:type="dxa"/>
            <w:tcBorders>
              <w:top w:val="nil"/>
              <w:left w:val="nil"/>
              <w:bottom w:val="nil"/>
              <w:right w:val="nil"/>
            </w:tcBorders>
          </w:tcPr>
          <w:p w14:paraId="74AE89BC"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520</w:t>
            </w:r>
          </w:p>
        </w:tc>
        <w:tc>
          <w:tcPr>
            <w:tcW w:w="2268" w:type="dxa"/>
            <w:tcBorders>
              <w:top w:val="nil"/>
              <w:left w:val="nil"/>
              <w:bottom w:val="nil"/>
              <w:right w:val="nil"/>
            </w:tcBorders>
          </w:tcPr>
          <w:p w14:paraId="66E6F8EA"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1</w:t>
            </w:r>
          </w:p>
        </w:tc>
        <w:tc>
          <w:tcPr>
            <w:tcW w:w="1134" w:type="dxa"/>
            <w:tcBorders>
              <w:top w:val="nil"/>
              <w:left w:val="nil"/>
              <w:bottom w:val="nil"/>
              <w:right w:val="nil"/>
            </w:tcBorders>
          </w:tcPr>
          <w:p w14:paraId="45E82085"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w:t>
            </w:r>
          </w:p>
        </w:tc>
        <w:tc>
          <w:tcPr>
            <w:tcW w:w="1701" w:type="dxa"/>
            <w:tcBorders>
              <w:top w:val="nil"/>
              <w:left w:val="nil"/>
              <w:bottom w:val="nil"/>
              <w:right w:val="nil"/>
            </w:tcBorders>
          </w:tcPr>
          <w:p w14:paraId="75345D4A"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74EBCAF4"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14D5E236"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1504</w:t>
            </w:r>
          </w:p>
        </w:tc>
        <w:tc>
          <w:tcPr>
            <w:tcW w:w="2552" w:type="dxa"/>
            <w:tcBorders>
              <w:top w:val="nil"/>
              <w:left w:val="nil"/>
              <w:bottom w:val="nil"/>
              <w:right w:val="nil"/>
            </w:tcBorders>
          </w:tcPr>
          <w:p w14:paraId="6C53F6EC"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 xml:space="preserve">(24 -90 -42) to (40 -72 -30)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723DF1">
              <w:rPr>
                <w:rFonts w:ascii="Times New Roman" w:hAnsi="Times New Roman" w:cs="Times New Roman"/>
                <w:sz w:val="20"/>
                <w:szCs w:val="20"/>
              </w:rPr>
              <w:t>33 -81 -37</w:t>
            </w:r>
            <w:r w:rsidRPr="009E279F">
              <w:rPr>
                <w:rFonts w:ascii="Times New Roman" w:hAnsi="Times New Roman" w:cs="Times New Roman"/>
                <w:sz w:val="20"/>
                <w:szCs w:val="20"/>
              </w:rPr>
              <w:t>)</w:t>
            </w:r>
          </w:p>
        </w:tc>
      </w:tr>
      <w:tr w:rsidR="00AD51EF" w:rsidRPr="009E279F" w14:paraId="08F24BB9" w14:textId="77777777" w:rsidTr="00AD51EF">
        <w:trPr>
          <w:trHeight w:val="548"/>
        </w:trPr>
        <w:tc>
          <w:tcPr>
            <w:tcW w:w="1419" w:type="dxa"/>
            <w:vMerge/>
            <w:tcBorders>
              <w:top w:val="nil"/>
              <w:left w:val="nil"/>
              <w:right w:val="nil"/>
            </w:tcBorders>
          </w:tcPr>
          <w:p w14:paraId="3E3496B2"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02860568"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6A8A18FB"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4EED49D9"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0036F38F"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2</w:t>
            </w:r>
          </w:p>
        </w:tc>
        <w:tc>
          <w:tcPr>
            <w:tcW w:w="1134" w:type="dxa"/>
            <w:tcBorders>
              <w:top w:val="nil"/>
              <w:left w:val="nil"/>
              <w:bottom w:val="nil"/>
              <w:right w:val="nil"/>
            </w:tcBorders>
          </w:tcPr>
          <w:p w14:paraId="572A73BD"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sym w:font="Symbol" w:char="F0AD"/>
            </w:r>
          </w:p>
        </w:tc>
        <w:tc>
          <w:tcPr>
            <w:tcW w:w="1701" w:type="dxa"/>
            <w:tcBorders>
              <w:top w:val="nil"/>
              <w:left w:val="nil"/>
              <w:bottom w:val="nil"/>
              <w:right w:val="nil"/>
            </w:tcBorders>
          </w:tcPr>
          <w:p w14:paraId="12A6FBBF"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2B148755"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4D98A384"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1472</w:t>
            </w:r>
          </w:p>
        </w:tc>
        <w:tc>
          <w:tcPr>
            <w:tcW w:w="2552" w:type="dxa"/>
            <w:tcBorders>
              <w:top w:val="nil"/>
              <w:left w:val="nil"/>
              <w:bottom w:val="nil"/>
              <w:right w:val="nil"/>
            </w:tcBorders>
          </w:tcPr>
          <w:p w14:paraId="73C5DE69"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 xml:space="preserve">(28 -70 -34) to (42 -56 -22)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723DF1">
              <w:rPr>
                <w:rFonts w:ascii="Times New Roman" w:hAnsi="Times New Roman" w:cs="Times New Roman"/>
                <w:sz w:val="20"/>
                <w:szCs w:val="20"/>
              </w:rPr>
              <w:t>35 -63 -29</w:t>
            </w:r>
            <w:r w:rsidRPr="009E279F">
              <w:rPr>
                <w:rFonts w:ascii="Times New Roman" w:hAnsi="Times New Roman" w:cs="Times New Roman"/>
                <w:sz w:val="20"/>
                <w:szCs w:val="20"/>
              </w:rPr>
              <w:t>)</w:t>
            </w:r>
          </w:p>
        </w:tc>
      </w:tr>
      <w:tr w:rsidR="00AD51EF" w:rsidRPr="009E279F" w14:paraId="5BC4434F" w14:textId="77777777" w:rsidTr="00AD51EF">
        <w:trPr>
          <w:trHeight w:val="548"/>
        </w:trPr>
        <w:tc>
          <w:tcPr>
            <w:tcW w:w="1419" w:type="dxa"/>
            <w:vMerge/>
            <w:tcBorders>
              <w:left w:val="nil"/>
              <w:bottom w:val="nil"/>
              <w:right w:val="nil"/>
            </w:tcBorders>
          </w:tcPr>
          <w:p w14:paraId="524FA922"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55186EA4"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25597BFF"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74F6A71F"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35764706"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3</w:t>
            </w:r>
          </w:p>
        </w:tc>
        <w:tc>
          <w:tcPr>
            <w:tcW w:w="1134" w:type="dxa"/>
            <w:tcBorders>
              <w:top w:val="nil"/>
              <w:left w:val="nil"/>
              <w:bottom w:val="nil"/>
              <w:right w:val="nil"/>
            </w:tcBorders>
          </w:tcPr>
          <w:p w14:paraId="158F8746"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sym w:font="Symbol" w:char="F0AD"/>
            </w:r>
          </w:p>
        </w:tc>
        <w:tc>
          <w:tcPr>
            <w:tcW w:w="1701" w:type="dxa"/>
            <w:tcBorders>
              <w:top w:val="nil"/>
              <w:left w:val="nil"/>
              <w:bottom w:val="nil"/>
              <w:right w:val="nil"/>
            </w:tcBorders>
          </w:tcPr>
          <w:p w14:paraId="3E4556F4"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0525B645"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12CE3090"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1312</w:t>
            </w:r>
          </w:p>
        </w:tc>
        <w:tc>
          <w:tcPr>
            <w:tcW w:w="2552" w:type="dxa"/>
            <w:tcBorders>
              <w:top w:val="nil"/>
              <w:left w:val="nil"/>
              <w:bottom w:val="nil"/>
              <w:right w:val="nil"/>
            </w:tcBorders>
          </w:tcPr>
          <w:p w14:paraId="0B29C055"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 xml:space="preserve">(-46 -86 -44) to (-28 -68 -34)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723DF1">
              <w:rPr>
                <w:rFonts w:ascii="Times New Roman" w:hAnsi="Times New Roman" w:cs="Times New Roman"/>
                <w:sz w:val="20"/>
                <w:szCs w:val="20"/>
              </w:rPr>
              <w:t>-35 -77 -40</w:t>
            </w:r>
            <w:r w:rsidRPr="009E279F">
              <w:rPr>
                <w:rFonts w:ascii="Times New Roman" w:hAnsi="Times New Roman" w:cs="Times New Roman"/>
                <w:sz w:val="20"/>
                <w:szCs w:val="20"/>
              </w:rPr>
              <w:t>)</w:t>
            </w:r>
          </w:p>
        </w:tc>
      </w:tr>
      <w:tr w:rsidR="00AD51EF" w:rsidRPr="009E279F" w14:paraId="44E72D83" w14:textId="77777777" w:rsidTr="00AD51EF">
        <w:trPr>
          <w:trHeight w:val="548"/>
        </w:trPr>
        <w:tc>
          <w:tcPr>
            <w:tcW w:w="1419" w:type="dxa"/>
            <w:tcBorders>
              <w:top w:val="nil"/>
              <w:left w:val="nil"/>
              <w:bottom w:val="nil"/>
              <w:right w:val="nil"/>
            </w:tcBorders>
          </w:tcPr>
          <w:p w14:paraId="13572404"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110D59AA"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483588AD"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48C93E59"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6B69AC94"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4</w:t>
            </w:r>
          </w:p>
        </w:tc>
        <w:tc>
          <w:tcPr>
            <w:tcW w:w="1134" w:type="dxa"/>
            <w:tcBorders>
              <w:top w:val="nil"/>
              <w:left w:val="nil"/>
              <w:bottom w:val="nil"/>
              <w:right w:val="nil"/>
            </w:tcBorders>
          </w:tcPr>
          <w:p w14:paraId="500E9836"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w:t>
            </w:r>
          </w:p>
        </w:tc>
        <w:tc>
          <w:tcPr>
            <w:tcW w:w="1701" w:type="dxa"/>
            <w:tcBorders>
              <w:top w:val="nil"/>
              <w:left w:val="nil"/>
              <w:bottom w:val="nil"/>
              <w:right w:val="nil"/>
            </w:tcBorders>
          </w:tcPr>
          <w:p w14:paraId="5AF21F90"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15B1D040"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618EE12B"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1112</w:t>
            </w:r>
          </w:p>
        </w:tc>
        <w:tc>
          <w:tcPr>
            <w:tcW w:w="2552" w:type="dxa"/>
            <w:tcBorders>
              <w:top w:val="nil"/>
              <w:left w:val="nil"/>
              <w:bottom w:val="nil"/>
              <w:right w:val="nil"/>
            </w:tcBorders>
          </w:tcPr>
          <w:p w14:paraId="4161181F" w14:textId="77777777" w:rsidR="00F4687C" w:rsidRPr="00723DF1" w:rsidRDefault="00F4687C" w:rsidP="00BD0CFF">
            <w:pPr>
              <w:rPr>
                <w:rFonts w:ascii="Times New Roman" w:hAnsi="Times New Roman" w:cs="Times New Roman"/>
                <w:sz w:val="20"/>
                <w:szCs w:val="20"/>
              </w:rPr>
            </w:pPr>
            <w:r w:rsidRPr="00723DF1">
              <w:rPr>
                <w:rFonts w:ascii="Times New Roman" w:hAnsi="Times New Roman" w:cs="Times New Roman"/>
                <w:sz w:val="20"/>
                <w:szCs w:val="20"/>
              </w:rPr>
              <w:t xml:space="preserve">(-10 -78 -22) to (8 -66 -10) </w:t>
            </w:r>
            <w:proofErr w:type="spellStart"/>
            <w:r w:rsidRPr="00723DF1">
              <w:rPr>
                <w:rFonts w:ascii="Times New Roman" w:hAnsi="Times New Roman" w:cs="Times New Roman"/>
                <w:sz w:val="20"/>
                <w:szCs w:val="20"/>
              </w:rPr>
              <w:t>centered</w:t>
            </w:r>
            <w:proofErr w:type="spellEnd"/>
            <w:r w:rsidRPr="00723DF1">
              <w:rPr>
                <w:rFonts w:ascii="Times New Roman" w:hAnsi="Times New Roman" w:cs="Times New Roman"/>
                <w:sz w:val="20"/>
                <w:szCs w:val="20"/>
              </w:rPr>
              <w:t xml:space="preserve"> at </w:t>
            </w:r>
            <w:r w:rsidRPr="009E279F">
              <w:rPr>
                <w:rFonts w:ascii="Times New Roman" w:hAnsi="Times New Roman" w:cs="Times New Roman"/>
                <w:sz w:val="20"/>
                <w:szCs w:val="20"/>
              </w:rPr>
              <w:t>(</w:t>
            </w:r>
            <w:r w:rsidRPr="00723DF1">
              <w:rPr>
                <w:rFonts w:ascii="Times New Roman" w:hAnsi="Times New Roman" w:cs="Times New Roman"/>
                <w:sz w:val="20"/>
                <w:szCs w:val="20"/>
              </w:rPr>
              <w:t>1 -72 -15)</w:t>
            </w:r>
          </w:p>
        </w:tc>
      </w:tr>
      <w:tr w:rsidR="00AD51EF" w:rsidRPr="009E279F" w14:paraId="10B5F9A0" w14:textId="77777777" w:rsidTr="00AD51EF">
        <w:trPr>
          <w:trHeight w:val="305"/>
        </w:trPr>
        <w:tc>
          <w:tcPr>
            <w:tcW w:w="7230" w:type="dxa"/>
            <w:gridSpan w:val="5"/>
            <w:tcBorders>
              <w:top w:val="nil"/>
              <w:left w:val="nil"/>
              <w:bottom w:val="single" w:sz="4" w:space="0" w:color="auto"/>
              <w:right w:val="nil"/>
            </w:tcBorders>
          </w:tcPr>
          <w:p w14:paraId="73C9C2AB"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Cluster 5 from the original analysis does not survive</w:t>
            </w:r>
          </w:p>
        </w:tc>
        <w:tc>
          <w:tcPr>
            <w:tcW w:w="1134" w:type="dxa"/>
            <w:tcBorders>
              <w:top w:val="nil"/>
              <w:left w:val="nil"/>
              <w:bottom w:val="single" w:sz="4" w:space="0" w:color="auto"/>
              <w:right w:val="nil"/>
            </w:tcBorders>
          </w:tcPr>
          <w:p w14:paraId="1E3E1049" w14:textId="77777777" w:rsidR="00F4687C" w:rsidRPr="009E279F" w:rsidRDefault="00F4687C" w:rsidP="00BD0CFF">
            <w:pPr>
              <w:rPr>
                <w:rFonts w:ascii="Times New Roman" w:hAnsi="Times New Roman" w:cs="Times New Roman"/>
                <w:sz w:val="20"/>
                <w:szCs w:val="20"/>
              </w:rPr>
            </w:pPr>
          </w:p>
        </w:tc>
        <w:tc>
          <w:tcPr>
            <w:tcW w:w="1701" w:type="dxa"/>
            <w:tcBorders>
              <w:top w:val="nil"/>
              <w:left w:val="nil"/>
              <w:bottom w:val="single" w:sz="4" w:space="0" w:color="auto"/>
              <w:right w:val="nil"/>
            </w:tcBorders>
          </w:tcPr>
          <w:p w14:paraId="4E03853A" w14:textId="77777777" w:rsidR="00F4687C" w:rsidRPr="009E279F" w:rsidRDefault="00F4687C" w:rsidP="00BD0CFF">
            <w:pPr>
              <w:rPr>
                <w:rFonts w:ascii="Times New Roman" w:hAnsi="Times New Roman" w:cs="Times New Roman"/>
                <w:sz w:val="20"/>
                <w:szCs w:val="20"/>
              </w:rPr>
            </w:pPr>
          </w:p>
        </w:tc>
        <w:tc>
          <w:tcPr>
            <w:tcW w:w="1418" w:type="dxa"/>
            <w:tcBorders>
              <w:top w:val="nil"/>
              <w:left w:val="nil"/>
              <w:bottom w:val="single" w:sz="4" w:space="0" w:color="auto"/>
              <w:right w:val="nil"/>
            </w:tcBorders>
          </w:tcPr>
          <w:p w14:paraId="781AF18F" w14:textId="77777777" w:rsidR="00F4687C" w:rsidRPr="009E279F" w:rsidRDefault="00F4687C" w:rsidP="00BD0CFF">
            <w:pPr>
              <w:rPr>
                <w:rFonts w:ascii="Times New Roman" w:hAnsi="Times New Roman" w:cs="Times New Roman"/>
                <w:sz w:val="20"/>
                <w:szCs w:val="20"/>
              </w:rPr>
            </w:pPr>
          </w:p>
        </w:tc>
        <w:tc>
          <w:tcPr>
            <w:tcW w:w="850" w:type="dxa"/>
            <w:tcBorders>
              <w:top w:val="nil"/>
              <w:left w:val="nil"/>
              <w:bottom w:val="single" w:sz="4" w:space="0" w:color="auto"/>
              <w:right w:val="nil"/>
            </w:tcBorders>
          </w:tcPr>
          <w:p w14:paraId="3CB205F1" w14:textId="77777777" w:rsidR="00F4687C" w:rsidRPr="00415A52" w:rsidRDefault="00F4687C" w:rsidP="00BD0CFF">
            <w:pPr>
              <w:rPr>
                <w:rFonts w:ascii="Times New Roman" w:hAnsi="Times New Roman" w:cs="Times New Roman"/>
                <w:sz w:val="20"/>
                <w:szCs w:val="20"/>
              </w:rPr>
            </w:pPr>
          </w:p>
        </w:tc>
        <w:tc>
          <w:tcPr>
            <w:tcW w:w="2552" w:type="dxa"/>
            <w:tcBorders>
              <w:top w:val="nil"/>
              <w:left w:val="nil"/>
              <w:bottom w:val="single" w:sz="4" w:space="0" w:color="auto"/>
              <w:right w:val="nil"/>
            </w:tcBorders>
          </w:tcPr>
          <w:p w14:paraId="149AC64B" w14:textId="77777777" w:rsidR="00F4687C" w:rsidRPr="00415A52" w:rsidRDefault="00F4687C" w:rsidP="00BD0CFF">
            <w:pPr>
              <w:rPr>
                <w:rFonts w:ascii="Times New Roman" w:hAnsi="Times New Roman" w:cs="Times New Roman"/>
                <w:sz w:val="20"/>
                <w:szCs w:val="20"/>
              </w:rPr>
            </w:pPr>
          </w:p>
        </w:tc>
      </w:tr>
      <w:tr w:rsidR="00AD51EF" w:rsidRPr="009E279F" w14:paraId="4B0E7EF9" w14:textId="77777777" w:rsidTr="00AD51EF">
        <w:trPr>
          <w:trHeight w:val="395"/>
        </w:trPr>
        <w:tc>
          <w:tcPr>
            <w:tcW w:w="1419" w:type="dxa"/>
            <w:vMerge w:val="restart"/>
            <w:tcBorders>
              <w:left w:val="nil"/>
              <w:right w:val="nil"/>
            </w:tcBorders>
          </w:tcPr>
          <w:p w14:paraId="30362274" w14:textId="77777777" w:rsidR="00F4687C" w:rsidRDefault="00F4687C" w:rsidP="00BD0CFF">
            <w:pPr>
              <w:rPr>
                <w:rFonts w:ascii="Times New Roman" w:hAnsi="Times New Roman" w:cs="Times New Roman"/>
                <w:sz w:val="20"/>
                <w:szCs w:val="20"/>
              </w:rPr>
            </w:pPr>
            <w:proofErr w:type="spellStart"/>
            <w:r>
              <w:rPr>
                <w:rFonts w:ascii="Times New Roman" w:hAnsi="Times New Roman" w:cs="Times New Roman"/>
                <w:sz w:val="20"/>
                <w:szCs w:val="20"/>
              </w:rPr>
              <w:lastRenderedPageBreak/>
              <w:t>Kalpouzos</w:t>
            </w:r>
            <w:proofErr w:type="spellEnd"/>
            <w:r>
              <w:rPr>
                <w:rFonts w:ascii="Times New Roman" w:hAnsi="Times New Roman" w:cs="Times New Roman"/>
                <w:sz w:val="20"/>
                <w:szCs w:val="20"/>
              </w:rPr>
              <w:t xml:space="preserve"> et al., 2012</w:t>
            </w:r>
          </w:p>
          <w:p w14:paraId="27D47FE1" w14:textId="77777777" w:rsidR="00F4687C" w:rsidRPr="009E279F" w:rsidRDefault="00F4687C" w:rsidP="00BD0CFF">
            <w:pP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{"citationItems":[{"id":"ITEM-1","itemData":{"DOI":"10.1016/j.neurobiolaging.2011.02.021","ISSN":"0197-4580","abstract":"Functional brain imaging studies of normal aging typically show age-related under- and overactivations during episodic memory tasks. Older individuals also undergo nonuniform gray matter volume (GMv) loss. Thus, age differences in functional brain activity could at least in part result from local atrophy. We conducted a series of voxel-based blood oxygen level-dependent (BOLD)-GMv analyses to highlight whether age-related under- and overrecruitment was accounted for by GMv changes. Occipital GMv loss accounted for underrecruitment at encoding. Efficiency reduction of sensory-perceptual mechanisms underpinned by these areas may partly be due to local atrophy. At retrieval, local GMv loss accounted for age-related overactivation of left dorsolateral prefrontal cortex, but not of left dorsomedial prefrontal cortex. Local atrophy also accounted for age-related overactivation in left lateral parietal cortex. Activity in these frontoparietal regions correlated with performance in the older group. Atrophy in the overrecruited regions was modest in comparison with other regions as shown by a between-group voxel-based morphometry comparison. Collectively, these findings link age-related structural differences to age-related functional under- as well as overrecruitment. (PsycINFO Database Record (c) 2016 APA, all rights reserved)","author":[{"dropping-particle":"","family":"Kalpouzos","given":"Grégoria","non-dropping-particle":"","parse-names":false,"suffix":""},{"dropping-particle":"","family":"Persson","given":"Jonas","non-dropping-particle":"","parse-names":false,"suffix":""},{"dropping-particle":"","family":"Nyberg","given":"Lars","non-dropping-particle":"","parse-names":false,"suffix":""}],"container-title":"Neurobiology of Aging","id":"ITEM-1","issue":"3","issued":{"date-parts":[["2012","3"]]},"note":"From Duplicate 1 (Local brain atrophy accounts for functional activity differences in normal aging - Kalpouzos, Grégoria; Persson, Jonas; Nyberg, Lars)\n\nFrom Duplicate 1 (Local brain atrophy accounts for functional activity differences in normal aging - Kalpouzos, Grégoria; Persson, Jonas; Nyberg, Lars)\n\nFrom Duplicate 1 (Local brain atrophy accounts for functional activity differences in normal aging - Kalpouzos, Grégoria; Persson, Jonas; Nyberg, Lars)\n\nFrom Duplicate 2 (Local brain atrophy accounts for functional activity differences in normal aging - Kalpouzos, Grégoria; Persson, Jonas; Nyberg, Lars)\n\nAccession Number: 2011-08699-001. Partial author list: First Author &amp;amp; Affiliation: Kalpouzos, Grégoria; Department of Integrative Medical Biology (Physiology), Umea University, Umea, Sweden. Release Date: 20110502. Correction Date: 20120227. Publication Type: Journal (0100), Peer Reviewed Journal (0110). Format Covered: Electronic. Document Type: Journal Article. Language: English. Grant Information: Nyberg, Lars. Major Descriptor: Age Differences; Aging; Cerebral Atrophy; Prefrontal Cortex; Gray Matter. Classification: Developmental Psychology (2800). Population: Human (10); Male (30); Female (40). Location: Sweden. Age Group: Adulthood (18 yrs &amp;amp; older) (300); Young Adulthood (18-29 yrs) (320); Thirties (30-39 yrs) (340); Middle Age (40-64 yrs) (360); Aged (65 yrs &amp;amp; older) (380). Methodology: Brain Imaging; Empirical Study; Quantitative Study. References Available: Y. Page Count: 13. Issue Publication Date: Mar, 2012. Publication History: Accepted Date: Feb 22, 2011; Revised Date: Feb 10, 2011; First Submitted Date: Apr 12, 2010. Copyright Statement: All rights reserved. Elsevier Inc. 2012.\n\nFrom Duplicate 2 (Local brain atrophy accounts for functional activity differences in normal aging - Kalpouzos, Grégoria; Persson, Jonas; Nyberg, Lars)\nAnd Duplicate 3 (Local brain atrophy accounts for functional activity differences in normal aging - Kalpouzos, Grégoria; Persson, Jonas; Nyberg, Lars)\n\nAccession Number: 2011-08699-001. Partial author list: First Author &amp;amp; Affiliation: Kalpouzos, Grégoria; Department of Integrative Medical Biology (Physiology), Umea University, Umea, Sweden. Release Date: 20110502. Correction Date: 20120227. Publication Type: Journal (0100), Peer Reviewed Journal (0110). Format Covered: Electronic. Document Type: Journal Article. Language: English. Grant Information: Nyberg, Lars. Major Descriptor: Age Differences; Aging; Cerebral Atrophy; Prefrontal Cortex; Gray Matter. Classification: Developmental Psychology (2800). Population: Human (10); Male (30); Female (40). Location: Sweden. Age Group: Adulthood (18 yrs &amp;amp; older) (300); Young Adulthood (18-29 yrs) (320); Thirties (30-39 yrs) (340); Middle Age (40-64 yrs) (360); Aged (65 yrs &amp;amp; older) (380). Methodology: Brain Imaging; Empirical Study; Quantitative Study. References Available: Y. Page Count: 13. Issue Publication Date: Mar, 2012. Publication History: Accepted Date: Feb 22, 2011; Revised Date: Feb 10, 2011; First Submitted Date: Apr 12, 2010. Copyright Statement: All rights reserved. Elsevier Inc. 2012.\n\nFrom Duplicate 2 (Local brain atrophy accounts for functional activity differences in normal aging - Kalpouzos, Grégoria; Persson, Jonas; Nyberg, Lars)\n\nAccession Number: 2011-08699-001. Partial author list: First Author &amp;amp; Affiliation: Kalpouzos, Grégoria; Department of Integrative Medical Biology (Physiology), Umea University, Umea, Sweden. Release Date: 20110502. Correction Date: 20120227. Publication Type: Journal (0100), Peer Reviewed Journal (0110). Format Covered: Electronic. Document Type: Journal Article. Language: English. Grant Information: Nyberg, Lars. Major Descriptor: Age Differences; Aging; Cerebral Atrophy; Prefrontal Cortex; Gray Matter. Classification: Developmental Psychology (2800). Population: Human (10); Male (30); Female (40). Location: Sweden. Age Group: Adulthood (18 yrs &amp;amp; older) (300); Young Adulthood (18-29 yrs) (320); Thirties (30-39 yrs) (340); Middle Age (40-64 yrs) (360); Aged (65 yrs &amp;amp; older) (380). Methodology: Brain Imaging; Empirical Study; Quantitative Study. References Available: Y. Page Count: 13. Issue Publication Date: Mar, 2012. Publication History: Accepted Date: Feb 22, 2011; Revised Date: Feb 10, 2011; First Submitted Date: Apr 12, 2010. Copyright Statement: All rights reserved. Elsevier Inc. 2012.\n\nFrom Duplicate 2 (Local brain atrophy accounts for functional activity differences in normal aging - Kalpouzos, Grégoria; Persson, Jonas; Nyberg, Lars)\n\nAccession Number: 2011-08699-001. Partial author list: First Author &amp;amp; Affiliation: Kalpouzos, Grégoria; Department of Integrative Medical Biology (Physiology), Umea University, Umea, Sweden. Release Date: 20110502. Correction Date: 20120227. Publication Type: Journal (0100), Peer Reviewed Journal (0110). Format Covered: Electronic. Document Type: Journal Article. Language: English. Grant Information: Nyberg, Lars. Major Descriptor: Age Differences; Aging; Cerebral Atrophy; Prefrontal Cortex; Gray Matter. Classification: Developmental Psychology (2800). Population: Human (10); Male (30); Female (40). Location: Sweden. Age Group: Adulthood (18 yrs &amp;amp; older) (300); Young Adulthood (18-29 yrs) (320); Thirties (30-39 yrs) (340); Middle Age (40-64 yrs) (360); Aged (65 yrs &amp;amp; older) (380). Methodology: Brain Imaging; Empirical Study; Quantitative Study. References Available: Y. Page Count: 13. Issue Publication Date: Mar, 2012. Publication History: Accepted Date: Feb 22, 2011; Revised Date: Feb 10, 2011; First Submitted Date: Apr 12, 2010. Copyright Statement: All rights reserved. Elsevier Inc. 2012.","page":"e1-e13","publisher":"Elsevier Science","publisher-place":"Kalpouzos, Grégoria, Aging Research Center, Karolinska Institutet, Stockholm University, Gavlegatan 16, 113 30, Stockholm, Sweden","title":"Local brain atrophy accounts for functional activity differences in normal aging","type":"article-journal","volume":"33"},"uris":["http://www.mendeley.com/documents/?uuid=12f5d429-559f-4650-9c61-4edc819baeb5"]}],"mendeley":{"formattedCitation":"[20]","plainTextFormattedCitation":"[20]","previouslyFormattedCitation":"[20]"},"properties":{"noteIndex":0},"schema":"https://github.com/citation-style-language/schema/raw/master/csl-citation.json"}</w:instrText>
            </w:r>
            <w:r>
              <w:rPr>
                <w:rFonts w:ascii="Times New Roman" w:hAnsi="Times New Roman" w:cs="Times New Roman"/>
                <w:sz w:val="20"/>
                <w:szCs w:val="20"/>
              </w:rPr>
              <w:fldChar w:fldCharType="separate"/>
            </w:r>
            <w:r w:rsidRPr="00B12442">
              <w:rPr>
                <w:rFonts w:ascii="Times New Roman" w:hAnsi="Times New Roman" w:cs="Times New Roman"/>
                <w:noProof/>
                <w:sz w:val="20"/>
                <w:szCs w:val="20"/>
              </w:rPr>
              <w:t>[20]</w:t>
            </w:r>
            <w:r>
              <w:rPr>
                <w:rFonts w:ascii="Times New Roman" w:hAnsi="Times New Roman" w:cs="Times New Roman"/>
                <w:sz w:val="20"/>
                <w:szCs w:val="20"/>
              </w:rPr>
              <w:fldChar w:fldCharType="end"/>
            </w:r>
          </w:p>
        </w:tc>
        <w:tc>
          <w:tcPr>
            <w:tcW w:w="987" w:type="dxa"/>
            <w:tcBorders>
              <w:top w:val="nil"/>
              <w:left w:val="nil"/>
              <w:bottom w:val="nil"/>
              <w:right w:val="nil"/>
            </w:tcBorders>
          </w:tcPr>
          <w:p w14:paraId="1E3A9602"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63</w:t>
            </w:r>
          </w:p>
        </w:tc>
        <w:tc>
          <w:tcPr>
            <w:tcW w:w="1080" w:type="dxa"/>
            <w:tcBorders>
              <w:top w:val="nil"/>
              <w:left w:val="nil"/>
              <w:bottom w:val="nil"/>
              <w:right w:val="nil"/>
            </w:tcBorders>
          </w:tcPr>
          <w:p w14:paraId="48999834"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2405</w:t>
            </w:r>
          </w:p>
        </w:tc>
        <w:tc>
          <w:tcPr>
            <w:tcW w:w="1476" w:type="dxa"/>
            <w:tcBorders>
              <w:top w:val="nil"/>
              <w:left w:val="nil"/>
              <w:bottom w:val="nil"/>
              <w:right w:val="nil"/>
            </w:tcBorders>
          </w:tcPr>
          <w:p w14:paraId="4770D5B0"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520</w:t>
            </w:r>
          </w:p>
        </w:tc>
        <w:tc>
          <w:tcPr>
            <w:tcW w:w="2268" w:type="dxa"/>
            <w:tcBorders>
              <w:top w:val="nil"/>
              <w:left w:val="nil"/>
              <w:bottom w:val="nil"/>
              <w:right w:val="nil"/>
            </w:tcBorders>
          </w:tcPr>
          <w:p w14:paraId="4EC28FC3"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1</w:t>
            </w:r>
          </w:p>
        </w:tc>
        <w:tc>
          <w:tcPr>
            <w:tcW w:w="1134" w:type="dxa"/>
            <w:tcBorders>
              <w:top w:val="nil"/>
              <w:left w:val="nil"/>
              <w:bottom w:val="nil"/>
              <w:right w:val="nil"/>
            </w:tcBorders>
          </w:tcPr>
          <w:p w14:paraId="191208FA"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w:t>
            </w:r>
          </w:p>
        </w:tc>
        <w:tc>
          <w:tcPr>
            <w:tcW w:w="1701" w:type="dxa"/>
            <w:tcBorders>
              <w:top w:val="nil"/>
              <w:left w:val="nil"/>
              <w:bottom w:val="nil"/>
              <w:right w:val="nil"/>
            </w:tcBorders>
          </w:tcPr>
          <w:p w14:paraId="63EF3031"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6A18ABAE"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4F7F10EB"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1504</w:t>
            </w:r>
          </w:p>
        </w:tc>
        <w:tc>
          <w:tcPr>
            <w:tcW w:w="2552" w:type="dxa"/>
            <w:tcBorders>
              <w:top w:val="nil"/>
              <w:left w:val="nil"/>
              <w:bottom w:val="nil"/>
              <w:right w:val="nil"/>
            </w:tcBorders>
          </w:tcPr>
          <w:p w14:paraId="58B8F7FD"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 xml:space="preserve">(24 -90 -42) to (40 -72 -30)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6354C0">
              <w:rPr>
                <w:rFonts w:ascii="Times New Roman" w:hAnsi="Times New Roman" w:cs="Times New Roman"/>
                <w:sz w:val="20"/>
                <w:szCs w:val="20"/>
              </w:rPr>
              <w:t>33 -81 -37</w:t>
            </w:r>
            <w:r w:rsidRPr="009E279F">
              <w:rPr>
                <w:rFonts w:ascii="Times New Roman" w:hAnsi="Times New Roman" w:cs="Times New Roman"/>
                <w:sz w:val="20"/>
                <w:szCs w:val="20"/>
              </w:rPr>
              <w:t>)</w:t>
            </w:r>
          </w:p>
        </w:tc>
      </w:tr>
      <w:tr w:rsidR="00AD51EF" w:rsidRPr="009E279F" w14:paraId="18B7CCB5" w14:textId="77777777" w:rsidTr="00AD51EF">
        <w:trPr>
          <w:trHeight w:val="379"/>
        </w:trPr>
        <w:tc>
          <w:tcPr>
            <w:tcW w:w="1419" w:type="dxa"/>
            <w:vMerge/>
            <w:tcBorders>
              <w:left w:val="nil"/>
              <w:right w:val="nil"/>
            </w:tcBorders>
          </w:tcPr>
          <w:p w14:paraId="0629FD0A"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13DD0F4D"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22A0A5F6"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080B8F8F"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3E8F1579"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2</w:t>
            </w:r>
          </w:p>
        </w:tc>
        <w:tc>
          <w:tcPr>
            <w:tcW w:w="1134" w:type="dxa"/>
            <w:tcBorders>
              <w:top w:val="nil"/>
              <w:left w:val="nil"/>
              <w:bottom w:val="nil"/>
              <w:right w:val="nil"/>
            </w:tcBorders>
          </w:tcPr>
          <w:p w14:paraId="1237A976"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sym w:font="Symbol" w:char="F0AD"/>
            </w:r>
          </w:p>
        </w:tc>
        <w:tc>
          <w:tcPr>
            <w:tcW w:w="1701" w:type="dxa"/>
            <w:tcBorders>
              <w:top w:val="nil"/>
              <w:left w:val="nil"/>
              <w:bottom w:val="nil"/>
              <w:right w:val="nil"/>
            </w:tcBorders>
          </w:tcPr>
          <w:p w14:paraId="7C6CD9EC"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76F12C91"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1D479E01"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1472</w:t>
            </w:r>
          </w:p>
        </w:tc>
        <w:tc>
          <w:tcPr>
            <w:tcW w:w="2552" w:type="dxa"/>
            <w:tcBorders>
              <w:top w:val="nil"/>
              <w:left w:val="nil"/>
              <w:bottom w:val="nil"/>
              <w:right w:val="nil"/>
            </w:tcBorders>
          </w:tcPr>
          <w:p w14:paraId="5F85526B"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 xml:space="preserve">(28 -70 -34) to (42 -56 -22)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6354C0">
              <w:rPr>
                <w:rFonts w:ascii="Times New Roman" w:hAnsi="Times New Roman" w:cs="Times New Roman"/>
                <w:sz w:val="20"/>
                <w:szCs w:val="20"/>
              </w:rPr>
              <w:t>35 -63 -29</w:t>
            </w:r>
            <w:r w:rsidRPr="009E279F">
              <w:rPr>
                <w:rFonts w:ascii="Times New Roman" w:hAnsi="Times New Roman" w:cs="Times New Roman"/>
                <w:sz w:val="20"/>
                <w:szCs w:val="20"/>
              </w:rPr>
              <w:t>)</w:t>
            </w:r>
          </w:p>
        </w:tc>
      </w:tr>
      <w:tr w:rsidR="00AD51EF" w:rsidRPr="009E279F" w14:paraId="392A4E21" w14:textId="77777777" w:rsidTr="00AD51EF">
        <w:trPr>
          <w:trHeight w:val="387"/>
        </w:trPr>
        <w:tc>
          <w:tcPr>
            <w:tcW w:w="1419" w:type="dxa"/>
            <w:vMerge/>
            <w:tcBorders>
              <w:left w:val="nil"/>
              <w:right w:val="nil"/>
            </w:tcBorders>
          </w:tcPr>
          <w:p w14:paraId="5E34FC91"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31CA2516"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32FD91BD"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44CCC3D8"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7E821A8B"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3</w:t>
            </w:r>
          </w:p>
        </w:tc>
        <w:tc>
          <w:tcPr>
            <w:tcW w:w="1134" w:type="dxa"/>
            <w:tcBorders>
              <w:top w:val="nil"/>
              <w:left w:val="nil"/>
              <w:bottom w:val="nil"/>
              <w:right w:val="nil"/>
            </w:tcBorders>
          </w:tcPr>
          <w:p w14:paraId="604147F8"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sym w:font="Symbol" w:char="F0AD"/>
            </w:r>
          </w:p>
        </w:tc>
        <w:tc>
          <w:tcPr>
            <w:tcW w:w="1701" w:type="dxa"/>
            <w:tcBorders>
              <w:top w:val="nil"/>
              <w:left w:val="nil"/>
              <w:bottom w:val="nil"/>
              <w:right w:val="nil"/>
            </w:tcBorders>
          </w:tcPr>
          <w:p w14:paraId="4372F080"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2B813E8F"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1849C88C"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1312</w:t>
            </w:r>
          </w:p>
        </w:tc>
        <w:tc>
          <w:tcPr>
            <w:tcW w:w="2552" w:type="dxa"/>
            <w:tcBorders>
              <w:top w:val="nil"/>
              <w:left w:val="nil"/>
              <w:bottom w:val="nil"/>
              <w:right w:val="nil"/>
            </w:tcBorders>
          </w:tcPr>
          <w:p w14:paraId="619F591B"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 xml:space="preserve">(-48 -86 -44) to (-28 -68 -34)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6354C0">
              <w:rPr>
                <w:rFonts w:ascii="Times New Roman" w:hAnsi="Times New Roman" w:cs="Times New Roman"/>
                <w:sz w:val="20"/>
                <w:szCs w:val="20"/>
              </w:rPr>
              <w:t>-35 -77 -40</w:t>
            </w:r>
            <w:r w:rsidRPr="009E279F">
              <w:rPr>
                <w:rFonts w:ascii="Times New Roman" w:hAnsi="Times New Roman" w:cs="Times New Roman"/>
                <w:sz w:val="20"/>
                <w:szCs w:val="20"/>
              </w:rPr>
              <w:t>)</w:t>
            </w:r>
          </w:p>
        </w:tc>
      </w:tr>
      <w:tr w:rsidR="00AD51EF" w:rsidRPr="009E279F" w14:paraId="7DB8D5D4" w14:textId="77777777" w:rsidTr="00AD51EF">
        <w:trPr>
          <w:trHeight w:val="395"/>
        </w:trPr>
        <w:tc>
          <w:tcPr>
            <w:tcW w:w="1419" w:type="dxa"/>
            <w:vMerge/>
            <w:tcBorders>
              <w:left w:val="nil"/>
              <w:right w:val="nil"/>
            </w:tcBorders>
          </w:tcPr>
          <w:p w14:paraId="2704225B"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64A6B2C8"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6A25858F"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3C81B629"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57361C5C"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4</w:t>
            </w:r>
          </w:p>
        </w:tc>
        <w:tc>
          <w:tcPr>
            <w:tcW w:w="1134" w:type="dxa"/>
            <w:tcBorders>
              <w:top w:val="nil"/>
              <w:left w:val="nil"/>
              <w:bottom w:val="nil"/>
              <w:right w:val="nil"/>
            </w:tcBorders>
          </w:tcPr>
          <w:p w14:paraId="51EACA9D"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w:t>
            </w:r>
          </w:p>
        </w:tc>
        <w:tc>
          <w:tcPr>
            <w:tcW w:w="1701" w:type="dxa"/>
            <w:tcBorders>
              <w:top w:val="nil"/>
              <w:left w:val="nil"/>
              <w:bottom w:val="nil"/>
              <w:right w:val="nil"/>
            </w:tcBorders>
          </w:tcPr>
          <w:p w14:paraId="376BD708"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3F251A42"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0D6D3357"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1112</w:t>
            </w:r>
          </w:p>
        </w:tc>
        <w:tc>
          <w:tcPr>
            <w:tcW w:w="2552" w:type="dxa"/>
            <w:tcBorders>
              <w:top w:val="nil"/>
              <w:left w:val="nil"/>
              <w:bottom w:val="nil"/>
              <w:right w:val="nil"/>
            </w:tcBorders>
          </w:tcPr>
          <w:p w14:paraId="31575085"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 xml:space="preserve">(-10 -78 -22) to (8 -66 -10) </w:t>
            </w:r>
            <w:proofErr w:type="spellStart"/>
            <w:r w:rsidRPr="006354C0">
              <w:rPr>
                <w:rFonts w:ascii="Times New Roman" w:hAnsi="Times New Roman" w:cs="Times New Roman"/>
                <w:sz w:val="20"/>
                <w:szCs w:val="20"/>
              </w:rPr>
              <w:t>centered</w:t>
            </w:r>
            <w:proofErr w:type="spellEnd"/>
            <w:r w:rsidRPr="006354C0">
              <w:rPr>
                <w:rFonts w:ascii="Times New Roman" w:hAnsi="Times New Roman" w:cs="Times New Roman"/>
                <w:sz w:val="20"/>
                <w:szCs w:val="20"/>
              </w:rPr>
              <w:t xml:space="preserve"> at </w:t>
            </w:r>
            <w:r w:rsidRPr="009E279F">
              <w:rPr>
                <w:rFonts w:ascii="Times New Roman" w:hAnsi="Times New Roman" w:cs="Times New Roman"/>
                <w:sz w:val="20"/>
                <w:szCs w:val="20"/>
              </w:rPr>
              <w:t>(</w:t>
            </w:r>
            <w:r w:rsidRPr="006354C0">
              <w:rPr>
                <w:rFonts w:ascii="Times New Roman" w:hAnsi="Times New Roman" w:cs="Times New Roman"/>
                <w:sz w:val="20"/>
                <w:szCs w:val="20"/>
              </w:rPr>
              <w:t>1 -72 -15)</w:t>
            </w:r>
          </w:p>
        </w:tc>
      </w:tr>
      <w:tr w:rsidR="00AD51EF" w:rsidRPr="009E279F" w14:paraId="7D301CEA" w14:textId="77777777" w:rsidTr="00AD51EF">
        <w:trPr>
          <w:trHeight w:val="548"/>
        </w:trPr>
        <w:tc>
          <w:tcPr>
            <w:tcW w:w="1419" w:type="dxa"/>
            <w:vMerge/>
            <w:tcBorders>
              <w:left w:val="nil"/>
              <w:bottom w:val="single" w:sz="4" w:space="0" w:color="auto"/>
              <w:right w:val="nil"/>
            </w:tcBorders>
          </w:tcPr>
          <w:p w14:paraId="36F02C37"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single" w:sz="4" w:space="0" w:color="auto"/>
              <w:right w:val="nil"/>
            </w:tcBorders>
          </w:tcPr>
          <w:p w14:paraId="36DCF9BF"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single" w:sz="4" w:space="0" w:color="auto"/>
              <w:right w:val="nil"/>
            </w:tcBorders>
          </w:tcPr>
          <w:p w14:paraId="5665DDF7"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single" w:sz="4" w:space="0" w:color="auto"/>
              <w:right w:val="nil"/>
            </w:tcBorders>
          </w:tcPr>
          <w:p w14:paraId="1D0134CF"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single" w:sz="4" w:space="0" w:color="auto"/>
              <w:right w:val="nil"/>
            </w:tcBorders>
          </w:tcPr>
          <w:p w14:paraId="5253A823"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5</w:t>
            </w:r>
          </w:p>
        </w:tc>
        <w:tc>
          <w:tcPr>
            <w:tcW w:w="1134" w:type="dxa"/>
            <w:tcBorders>
              <w:top w:val="nil"/>
              <w:left w:val="nil"/>
              <w:bottom w:val="single" w:sz="4" w:space="0" w:color="auto"/>
              <w:right w:val="nil"/>
            </w:tcBorders>
          </w:tcPr>
          <w:p w14:paraId="6E6636BB"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sym w:font="Symbol" w:char="F0AF"/>
            </w:r>
          </w:p>
        </w:tc>
        <w:tc>
          <w:tcPr>
            <w:tcW w:w="1701" w:type="dxa"/>
            <w:tcBorders>
              <w:top w:val="nil"/>
              <w:left w:val="nil"/>
              <w:bottom w:val="single" w:sz="4" w:space="0" w:color="auto"/>
              <w:right w:val="nil"/>
            </w:tcBorders>
          </w:tcPr>
          <w:p w14:paraId="624E92FA"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single" w:sz="4" w:space="0" w:color="auto"/>
              <w:right w:val="nil"/>
            </w:tcBorders>
          </w:tcPr>
          <w:p w14:paraId="7B696226"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single" w:sz="4" w:space="0" w:color="auto"/>
              <w:right w:val="nil"/>
            </w:tcBorders>
          </w:tcPr>
          <w:p w14:paraId="14E74A23"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792</w:t>
            </w:r>
          </w:p>
        </w:tc>
        <w:tc>
          <w:tcPr>
            <w:tcW w:w="2552" w:type="dxa"/>
            <w:tcBorders>
              <w:top w:val="nil"/>
              <w:left w:val="nil"/>
              <w:bottom w:val="single" w:sz="4" w:space="0" w:color="auto"/>
              <w:right w:val="nil"/>
            </w:tcBorders>
          </w:tcPr>
          <w:p w14:paraId="0813DDC9"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 xml:space="preserve">(-48 -54 -46) to (-34 -36 -36) </w:t>
            </w:r>
            <w:proofErr w:type="spellStart"/>
            <w:r w:rsidRPr="006354C0">
              <w:rPr>
                <w:rFonts w:ascii="Times New Roman" w:hAnsi="Times New Roman" w:cs="Times New Roman"/>
                <w:sz w:val="20"/>
                <w:szCs w:val="20"/>
              </w:rPr>
              <w:t>centered</w:t>
            </w:r>
            <w:proofErr w:type="spellEnd"/>
            <w:r w:rsidRPr="006354C0">
              <w:rPr>
                <w:rFonts w:ascii="Times New Roman" w:hAnsi="Times New Roman" w:cs="Times New Roman"/>
                <w:sz w:val="20"/>
                <w:szCs w:val="20"/>
              </w:rPr>
              <w:t xml:space="preserve"> at </w:t>
            </w:r>
            <w:r w:rsidRPr="009E279F">
              <w:rPr>
                <w:rFonts w:ascii="Times New Roman" w:hAnsi="Times New Roman" w:cs="Times New Roman"/>
                <w:sz w:val="20"/>
                <w:szCs w:val="20"/>
              </w:rPr>
              <w:t>(</w:t>
            </w:r>
            <w:r w:rsidRPr="006354C0">
              <w:rPr>
                <w:rFonts w:ascii="Times New Roman" w:hAnsi="Times New Roman" w:cs="Times New Roman"/>
                <w:sz w:val="20"/>
                <w:szCs w:val="20"/>
              </w:rPr>
              <w:t>-40 -42 -41)</w:t>
            </w:r>
          </w:p>
        </w:tc>
      </w:tr>
      <w:tr w:rsidR="00AD51EF" w:rsidRPr="009E279F" w14:paraId="2A78BBCD" w14:textId="77777777" w:rsidTr="00AD51EF">
        <w:trPr>
          <w:trHeight w:val="425"/>
        </w:trPr>
        <w:tc>
          <w:tcPr>
            <w:tcW w:w="1419" w:type="dxa"/>
            <w:vMerge w:val="restart"/>
            <w:tcBorders>
              <w:left w:val="nil"/>
              <w:right w:val="nil"/>
            </w:tcBorders>
          </w:tcPr>
          <w:p w14:paraId="39D2465A" w14:textId="77777777" w:rsidR="00F4687C" w:rsidRDefault="00F4687C" w:rsidP="00BD0CFF">
            <w:pPr>
              <w:rPr>
                <w:rFonts w:ascii="Times New Roman" w:hAnsi="Times New Roman" w:cs="Times New Roman"/>
                <w:sz w:val="20"/>
                <w:szCs w:val="20"/>
              </w:rPr>
            </w:pPr>
            <w:r>
              <w:rPr>
                <w:rFonts w:ascii="Times New Roman" w:hAnsi="Times New Roman" w:cs="Times New Roman"/>
                <w:sz w:val="20"/>
                <w:szCs w:val="20"/>
              </w:rPr>
              <w:t>Maguire et al., 2003</w:t>
            </w:r>
          </w:p>
          <w:p w14:paraId="52E1C296" w14:textId="77777777" w:rsidR="00F4687C" w:rsidRPr="009E279F" w:rsidRDefault="00F4687C" w:rsidP="00BD0CFF">
            <w:pP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{"citationItems":[{"id":"ITEM-1","itemData":{"DOI":"10.1093/brain/awg157","abstract":"Surprisingly little is known about the neural correlates of remembering real life events in the context of normal aging. We therefore asked young and older adults to retrieve real life autobiographical event memories accrued over decades, while their brains were scanned using functional MRI. There were many commonalities between the groups in the wider network of brain areas active during retrieval. Nevertheless, one key difference emerged; while left hippocampal activation was apparent in the young, bilateral hippocampal activation was evident in older adults and direct comparison between the groups confirmed significantly greater right hippocampal activation in older adults. Notably, this difference was specific to autobiographical event memory retrieval, as the groups were comparable in the areas active during semantic memory retrieval. The present findings show that even when stimuli, tasks and performance appear indistinguishable between young and older adults, neural changes occur in aging with specificity in both the memory type and the brain regions affected. In particular, the results reveal that age-related effects are detectable in the hippocampus. This highlights the need to consider how the dynamic course of normal aging interacts with pathological processes that might also affect the hippocampus. Understanding this relationship may aid prognosis, as well as providing insights into plasticity in the anatomy of memory.","author":[{"dropping-particle":"","family":"Maguire","given":"Eleanor A.","non-dropping-particle":"","parse-names":false,"suffix":""},{"dropping-particle":"","family":"Frith","given":"Christopher D","non-dropping-particle":"","parse-names":false,"suffix":""}],"container-title":"Brain","id":"ITEM-1","issue":"7","issued":{"date-parts":[["2003"]]},"page":"1511-1523","title":"Aging affects the engagement of the hippocampus during autobiographical memory retrieval","type":"article-journal","volume":"126"},"uris":["http://www.mendeley.com/documents/?uuid=dd405023-136d-418e-b601-11a23d26c5cb"]}],"mendeley":{"formattedCitation":"[21]","plainTextFormattedCitation":"[21]","previouslyFormattedCitation":"[21]"},"properties":{"noteIndex":0},"schema":"https://github.com/citation-style-language/schema/raw/master/csl-citation.json"}</w:instrText>
            </w:r>
            <w:r>
              <w:rPr>
                <w:rFonts w:ascii="Times New Roman" w:hAnsi="Times New Roman" w:cs="Times New Roman"/>
                <w:sz w:val="20"/>
                <w:szCs w:val="20"/>
              </w:rPr>
              <w:fldChar w:fldCharType="separate"/>
            </w:r>
            <w:r w:rsidRPr="00B12442">
              <w:rPr>
                <w:rFonts w:ascii="Times New Roman" w:hAnsi="Times New Roman" w:cs="Times New Roman"/>
                <w:noProof/>
                <w:sz w:val="20"/>
                <w:szCs w:val="20"/>
              </w:rPr>
              <w:t>[21]</w:t>
            </w:r>
            <w:r>
              <w:rPr>
                <w:rFonts w:ascii="Times New Roman" w:hAnsi="Times New Roman" w:cs="Times New Roman"/>
                <w:sz w:val="20"/>
                <w:szCs w:val="20"/>
              </w:rPr>
              <w:fldChar w:fldCharType="end"/>
            </w:r>
          </w:p>
        </w:tc>
        <w:tc>
          <w:tcPr>
            <w:tcW w:w="987" w:type="dxa"/>
            <w:tcBorders>
              <w:top w:val="nil"/>
              <w:left w:val="nil"/>
              <w:bottom w:val="nil"/>
              <w:right w:val="nil"/>
            </w:tcBorders>
          </w:tcPr>
          <w:p w14:paraId="39F2D0CE"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63</w:t>
            </w:r>
          </w:p>
        </w:tc>
        <w:tc>
          <w:tcPr>
            <w:tcW w:w="1080" w:type="dxa"/>
            <w:tcBorders>
              <w:top w:val="nil"/>
              <w:left w:val="nil"/>
              <w:bottom w:val="nil"/>
              <w:right w:val="nil"/>
            </w:tcBorders>
          </w:tcPr>
          <w:p w14:paraId="33414049"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2417</w:t>
            </w:r>
          </w:p>
        </w:tc>
        <w:tc>
          <w:tcPr>
            <w:tcW w:w="1476" w:type="dxa"/>
            <w:tcBorders>
              <w:top w:val="nil"/>
              <w:left w:val="nil"/>
              <w:bottom w:val="nil"/>
              <w:right w:val="nil"/>
            </w:tcBorders>
          </w:tcPr>
          <w:p w14:paraId="694BF500"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496</w:t>
            </w:r>
          </w:p>
        </w:tc>
        <w:tc>
          <w:tcPr>
            <w:tcW w:w="2268" w:type="dxa"/>
            <w:tcBorders>
              <w:top w:val="nil"/>
              <w:left w:val="nil"/>
              <w:bottom w:val="nil"/>
              <w:right w:val="nil"/>
            </w:tcBorders>
          </w:tcPr>
          <w:p w14:paraId="220301F4"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1</w:t>
            </w:r>
          </w:p>
        </w:tc>
        <w:tc>
          <w:tcPr>
            <w:tcW w:w="1134" w:type="dxa"/>
            <w:tcBorders>
              <w:top w:val="nil"/>
              <w:left w:val="nil"/>
              <w:bottom w:val="nil"/>
              <w:right w:val="nil"/>
            </w:tcBorders>
          </w:tcPr>
          <w:p w14:paraId="686EB844"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w:t>
            </w:r>
          </w:p>
        </w:tc>
        <w:tc>
          <w:tcPr>
            <w:tcW w:w="1701" w:type="dxa"/>
            <w:tcBorders>
              <w:top w:val="nil"/>
              <w:left w:val="nil"/>
              <w:bottom w:val="nil"/>
              <w:right w:val="nil"/>
            </w:tcBorders>
          </w:tcPr>
          <w:p w14:paraId="7AA0059B"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680403A4"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7D0C9FFD"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1504</w:t>
            </w:r>
          </w:p>
        </w:tc>
        <w:tc>
          <w:tcPr>
            <w:tcW w:w="2552" w:type="dxa"/>
            <w:tcBorders>
              <w:top w:val="nil"/>
              <w:left w:val="nil"/>
              <w:bottom w:val="nil"/>
              <w:right w:val="nil"/>
            </w:tcBorders>
          </w:tcPr>
          <w:p w14:paraId="68629EF3"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 xml:space="preserve">(24 -90 -42) to (40 -72 -30)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6354C0">
              <w:rPr>
                <w:rFonts w:ascii="Times New Roman" w:hAnsi="Times New Roman" w:cs="Times New Roman"/>
                <w:sz w:val="20"/>
                <w:szCs w:val="20"/>
              </w:rPr>
              <w:t>33 -81 -37</w:t>
            </w:r>
            <w:r w:rsidRPr="009E279F">
              <w:rPr>
                <w:rFonts w:ascii="Times New Roman" w:hAnsi="Times New Roman" w:cs="Times New Roman"/>
                <w:sz w:val="20"/>
                <w:szCs w:val="20"/>
              </w:rPr>
              <w:t>)</w:t>
            </w:r>
          </w:p>
        </w:tc>
      </w:tr>
      <w:tr w:rsidR="00AD51EF" w:rsidRPr="009E279F" w14:paraId="49744D5C" w14:textId="77777777" w:rsidTr="00AD51EF">
        <w:trPr>
          <w:trHeight w:val="371"/>
        </w:trPr>
        <w:tc>
          <w:tcPr>
            <w:tcW w:w="1419" w:type="dxa"/>
            <w:vMerge/>
            <w:tcBorders>
              <w:left w:val="nil"/>
              <w:right w:val="nil"/>
            </w:tcBorders>
          </w:tcPr>
          <w:p w14:paraId="74C9740C"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6F75E29F"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1883EE1E"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1852AE39"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36F27276"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2</w:t>
            </w:r>
          </w:p>
        </w:tc>
        <w:tc>
          <w:tcPr>
            <w:tcW w:w="1134" w:type="dxa"/>
            <w:tcBorders>
              <w:top w:val="nil"/>
              <w:left w:val="nil"/>
              <w:bottom w:val="nil"/>
              <w:right w:val="nil"/>
            </w:tcBorders>
          </w:tcPr>
          <w:p w14:paraId="0E1DE3B9"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w:t>
            </w:r>
          </w:p>
        </w:tc>
        <w:tc>
          <w:tcPr>
            <w:tcW w:w="1701" w:type="dxa"/>
            <w:tcBorders>
              <w:top w:val="nil"/>
              <w:left w:val="nil"/>
              <w:bottom w:val="nil"/>
              <w:right w:val="nil"/>
            </w:tcBorders>
          </w:tcPr>
          <w:p w14:paraId="2BB5F54B"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7E9003DA"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75F0B894"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1472</w:t>
            </w:r>
          </w:p>
        </w:tc>
        <w:tc>
          <w:tcPr>
            <w:tcW w:w="2552" w:type="dxa"/>
            <w:tcBorders>
              <w:top w:val="nil"/>
              <w:left w:val="nil"/>
              <w:bottom w:val="nil"/>
              <w:right w:val="nil"/>
            </w:tcBorders>
          </w:tcPr>
          <w:p w14:paraId="2EE605AB"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 xml:space="preserve">(28 -70 -34) to (42 -56 -22)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6354C0">
              <w:rPr>
                <w:rFonts w:ascii="Times New Roman" w:hAnsi="Times New Roman" w:cs="Times New Roman"/>
                <w:sz w:val="20"/>
                <w:szCs w:val="20"/>
              </w:rPr>
              <w:t>35 -63 -29</w:t>
            </w:r>
            <w:r w:rsidRPr="009E279F">
              <w:rPr>
                <w:rFonts w:ascii="Times New Roman" w:hAnsi="Times New Roman" w:cs="Times New Roman"/>
                <w:sz w:val="20"/>
                <w:szCs w:val="20"/>
              </w:rPr>
              <w:t>)</w:t>
            </w:r>
          </w:p>
        </w:tc>
      </w:tr>
      <w:tr w:rsidR="00AD51EF" w:rsidRPr="009E279F" w14:paraId="38E8B50F" w14:textId="77777777" w:rsidTr="00AD51EF">
        <w:trPr>
          <w:trHeight w:val="349"/>
        </w:trPr>
        <w:tc>
          <w:tcPr>
            <w:tcW w:w="1419" w:type="dxa"/>
            <w:vMerge/>
            <w:tcBorders>
              <w:left w:val="nil"/>
              <w:right w:val="nil"/>
            </w:tcBorders>
          </w:tcPr>
          <w:p w14:paraId="0DC88CE7"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61D24286"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5A4EE8E4"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20496758"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3B0E5FC1"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4</w:t>
            </w:r>
          </w:p>
        </w:tc>
        <w:tc>
          <w:tcPr>
            <w:tcW w:w="1134" w:type="dxa"/>
            <w:tcBorders>
              <w:top w:val="nil"/>
              <w:left w:val="nil"/>
              <w:bottom w:val="nil"/>
              <w:right w:val="nil"/>
            </w:tcBorders>
          </w:tcPr>
          <w:p w14:paraId="317C3F36"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w:t>
            </w:r>
          </w:p>
        </w:tc>
        <w:tc>
          <w:tcPr>
            <w:tcW w:w="1701" w:type="dxa"/>
            <w:tcBorders>
              <w:top w:val="nil"/>
              <w:left w:val="nil"/>
              <w:bottom w:val="nil"/>
              <w:right w:val="nil"/>
            </w:tcBorders>
          </w:tcPr>
          <w:p w14:paraId="0691DB21"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249032AB"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4AF48E01"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1104</w:t>
            </w:r>
          </w:p>
        </w:tc>
        <w:tc>
          <w:tcPr>
            <w:tcW w:w="2552" w:type="dxa"/>
            <w:tcBorders>
              <w:top w:val="nil"/>
              <w:left w:val="nil"/>
              <w:bottom w:val="nil"/>
              <w:right w:val="nil"/>
            </w:tcBorders>
          </w:tcPr>
          <w:p w14:paraId="22F8ABEF"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 xml:space="preserve">(-42 -86 -44) to (-28 -68 -34)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6354C0">
              <w:rPr>
                <w:rFonts w:ascii="Times New Roman" w:hAnsi="Times New Roman" w:cs="Times New Roman"/>
                <w:sz w:val="20"/>
                <w:szCs w:val="20"/>
              </w:rPr>
              <w:t>-33 -77 -40</w:t>
            </w:r>
            <w:r w:rsidRPr="009E279F">
              <w:rPr>
                <w:rFonts w:ascii="Times New Roman" w:hAnsi="Times New Roman" w:cs="Times New Roman"/>
                <w:sz w:val="20"/>
                <w:szCs w:val="20"/>
              </w:rPr>
              <w:t>)</w:t>
            </w:r>
          </w:p>
        </w:tc>
      </w:tr>
      <w:tr w:rsidR="00AD51EF" w:rsidRPr="009E279F" w14:paraId="32EF8B69" w14:textId="77777777" w:rsidTr="00AD51EF">
        <w:trPr>
          <w:trHeight w:val="440"/>
        </w:trPr>
        <w:tc>
          <w:tcPr>
            <w:tcW w:w="1419" w:type="dxa"/>
            <w:vMerge/>
            <w:tcBorders>
              <w:left w:val="nil"/>
              <w:bottom w:val="nil"/>
              <w:right w:val="nil"/>
            </w:tcBorders>
          </w:tcPr>
          <w:p w14:paraId="5276D3FE"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33AFA56B"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7469D428"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1AFCFE04"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76A9A01D"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3</w:t>
            </w:r>
          </w:p>
        </w:tc>
        <w:tc>
          <w:tcPr>
            <w:tcW w:w="1134" w:type="dxa"/>
            <w:tcBorders>
              <w:top w:val="nil"/>
              <w:left w:val="nil"/>
              <w:bottom w:val="nil"/>
              <w:right w:val="nil"/>
            </w:tcBorders>
          </w:tcPr>
          <w:p w14:paraId="64706F5F"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sym w:font="Symbol" w:char="F0AF"/>
            </w:r>
          </w:p>
        </w:tc>
        <w:tc>
          <w:tcPr>
            <w:tcW w:w="1701" w:type="dxa"/>
            <w:tcBorders>
              <w:top w:val="nil"/>
              <w:left w:val="nil"/>
              <w:bottom w:val="nil"/>
              <w:right w:val="nil"/>
            </w:tcBorders>
          </w:tcPr>
          <w:p w14:paraId="486D6CA6"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28EDEDAE"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4AC3E9BA"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1112</w:t>
            </w:r>
          </w:p>
        </w:tc>
        <w:tc>
          <w:tcPr>
            <w:tcW w:w="2552" w:type="dxa"/>
            <w:tcBorders>
              <w:top w:val="nil"/>
              <w:left w:val="nil"/>
              <w:bottom w:val="nil"/>
              <w:right w:val="nil"/>
            </w:tcBorders>
          </w:tcPr>
          <w:p w14:paraId="58EA6347"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 xml:space="preserve">(-10 -78 -22) to (8 -66 -10) </w:t>
            </w:r>
            <w:proofErr w:type="spellStart"/>
            <w:r w:rsidRPr="006354C0">
              <w:rPr>
                <w:rFonts w:ascii="Times New Roman" w:hAnsi="Times New Roman" w:cs="Times New Roman"/>
                <w:sz w:val="20"/>
                <w:szCs w:val="20"/>
              </w:rPr>
              <w:t>centered</w:t>
            </w:r>
            <w:proofErr w:type="spellEnd"/>
            <w:r w:rsidRPr="006354C0">
              <w:rPr>
                <w:rFonts w:ascii="Times New Roman" w:hAnsi="Times New Roman" w:cs="Times New Roman"/>
                <w:sz w:val="20"/>
                <w:szCs w:val="20"/>
              </w:rPr>
              <w:t xml:space="preserve"> at </w:t>
            </w:r>
            <w:r w:rsidRPr="009E279F">
              <w:rPr>
                <w:rFonts w:ascii="Times New Roman" w:hAnsi="Times New Roman" w:cs="Times New Roman"/>
                <w:sz w:val="20"/>
                <w:szCs w:val="20"/>
              </w:rPr>
              <w:t>(</w:t>
            </w:r>
            <w:r w:rsidRPr="006354C0">
              <w:rPr>
                <w:rFonts w:ascii="Times New Roman" w:hAnsi="Times New Roman" w:cs="Times New Roman"/>
                <w:sz w:val="20"/>
                <w:szCs w:val="20"/>
              </w:rPr>
              <w:t>1 -72 -15)</w:t>
            </w:r>
          </w:p>
        </w:tc>
      </w:tr>
      <w:tr w:rsidR="00AD51EF" w:rsidRPr="009E279F" w14:paraId="09176B80" w14:textId="77777777" w:rsidTr="00AD51EF">
        <w:trPr>
          <w:trHeight w:val="548"/>
        </w:trPr>
        <w:tc>
          <w:tcPr>
            <w:tcW w:w="1419" w:type="dxa"/>
            <w:tcBorders>
              <w:top w:val="nil"/>
              <w:left w:val="nil"/>
              <w:bottom w:val="single" w:sz="4" w:space="0" w:color="auto"/>
              <w:right w:val="nil"/>
            </w:tcBorders>
          </w:tcPr>
          <w:p w14:paraId="2AC41536"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single" w:sz="4" w:space="0" w:color="auto"/>
              <w:right w:val="nil"/>
            </w:tcBorders>
          </w:tcPr>
          <w:p w14:paraId="3F6E78D5"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single" w:sz="4" w:space="0" w:color="auto"/>
              <w:right w:val="nil"/>
            </w:tcBorders>
          </w:tcPr>
          <w:p w14:paraId="0C1E5069"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single" w:sz="4" w:space="0" w:color="auto"/>
              <w:right w:val="nil"/>
            </w:tcBorders>
          </w:tcPr>
          <w:p w14:paraId="01FF7522"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single" w:sz="4" w:space="0" w:color="auto"/>
              <w:right w:val="nil"/>
            </w:tcBorders>
          </w:tcPr>
          <w:p w14:paraId="403D5A8A"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5</w:t>
            </w:r>
          </w:p>
        </w:tc>
        <w:tc>
          <w:tcPr>
            <w:tcW w:w="1134" w:type="dxa"/>
            <w:tcBorders>
              <w:top w:val="nil"/>
              <w:left w:val="nil"/>
              <w:bottom w:val="single" w:sz="4" w:space="0" w:color="auto"/>
              <w:right w:val="nil"/>
            </w:tcBorders>
          </w:tcPr>
          <w:p w14:paraId="0CC73B07"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w:t>
            </w:r>
          </w:p>
        </w:tc>
        <w:tc>
          <w:tcPr>
            <w:tcW w:w="1701" w:type="dxa"/>
            <w:tcBorders>
              <w:top w:val="nil"/>
              <w:left w:val="nil"/>
              <w:bottom w:val="single" w:sz="4" w:space="0" w:color="auto"/>
              <w:right w:val="nil"/>
            </w:tcBorders>
          </w:tcPr>
          <w:p w14:paraId="52302C52"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single" w:sz="4" w:space="0" w:color="auto"/>
              <w:right w:val="nil"/>
            </w:tcBorders>
          </w:tcPr>
          <w:p w14:paraId="1D212925"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single" w:sz="4" w:space="0" w:color="auto"/>
              <w:right w:val="nil"/>
            </w:tcBorders>
          </w:tcPr>
          <w:p w14:paraId="1C3444BD"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808</w:t>
            </w:r>
          </w:p>
        </w:tc>
        <w:tc>
          <w:tcPr>
            <w:tcW w:w="2552" w:type="dxa"/>
            <w:tcBorders>
              <w:top w:val="nil"/>
              <w:left w:val="nil"/>
              <w:bottom w:val="single" w:sz="4" w:space="0" w:color="auto"/>
              <w:right w:val="nil"/>
            </w:tcBorders>
          </w:tcPr>
          <w:p w14:paraId="1C3DC767"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 xml:space="preserve">(-48 -54 -46) to (-34 -36 -36) </w:t>
            </w:r>
            <w:proofErr w:type="spellStart"/>
            <w:r w:rsidRPr="006354C0">
              <w:rPr>
                <w:rFonts w:ascii="Times New Roman" w:hAnsi="Times New Roman" w:cs="Times New Roman"/>
                <w:sz w:val="20"/>
                <w:szCs w:val="20"/>
              </w:rPr>
              <w:t>centered</w:t>
            </w:r>
            <w:proofErr w:type="spellEnd"/>
            <w:r w:rsidRPr="006354C0">
              <w:rPr>
                <w:rFonts w:ascii="Times New Roman" w:hAnsi="Times New Roman" w:cs="Times New Roman"/>
                <w:sz w:val="20"/>
                <w:szCs w:val="20"/>
              </w:rPr>
              <w:t xml:space="preserve"> at </w:t>
            </w:r>
            <w:r w:rsidRPr="009E279F">
              <w:rPr>
                <w:rFonts w:ascii="Times New Roman" w:hAnsi="Times New Roman" w:cs="Times New Roman"/>
                <w:sz w:val="20"/>
                <w:szCs w:val="20"/>
              </w:rPr>
              <w:t>(</w:t>
            </w:r>
            <w:r w:rsidRPr="006354C0">
              <w:rPr>
                <w:rFonts w:ascii="Times New Roman" w:hAnsi="Times New Roman" w:cs="Times New Roman"/>
                <w:sz w:val="20"/>
                <w:szCs w:val="20"/>
              </w:rPr>
              <w:t>-40 -42 -41)</w:t>
            </w:r>
          </w:p>
        </w:tc>
      </w:tr>
      <w:tr w:rsidR="00AD51EF" w:rsidRPr="009E279F" w14:paraId="5A5C445C" w14:textId="77777777" w:rsidTr="00AD51EF">
        <w:trPr>
          <w:trHeight w:val="261"/>
        </w:trPr>
        <w:tc>
          <w:tcPr>
            <w:tcW w:w="1419" w:type="dxa"/>
            <w:vMerge w:val="restart"/>
            <w:tcBorders>
              <w:top w:val="single" w:sz="4" w:space="0" w:color="auto"/>
              <w:left w:val="nil"/>
              <w:bottom w:val="nil"/>
              <w:right w:val="nil"/>
            </w:tcBorders>
          </w:tcPr>
          <w:p w14:paraId="6283C000" w14:textId="77777777" w:rsidR="00F4687C" w:rsidRDefault="00F4687C" w:rsidP="00BD0CFF">
            <w:pPr>
              <w:rPr>
                <w:rFonts w:ascii="Times New Roman" w:hAnsi="Times New Roman" w:cs="Times New Roman"/>
                <w:sz w:val="20"/>
                <w:szCs w:val="20"/>
              </w:rPr>
            </w:pPr>
            <w:r>
              <w:rPr>
                <w:rFonts w:ascii="Times New Roman" w:hAnsi="Times New Roman" w:cs="Times New Roman"/>
                <w:sz w:val="20"/>
                <w:szCs w:val="20"/>
              </w:rPr>
              <w:t>Salami et al., 2012</w:t>
            </w:r>
          </w:p>
          <w:p w14:paraId="7369AA2C" w14:textId="77777777" w:rsidR="00F4687C" w:rsidRPr="009E279F" w:rsidRDefault="00F4687C" w:rsidP="00BD0CFF">
            <w:pP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{"citationItems":[{"id":"ITEM-1","itemData":{"DOI":"10.1523/JNEUROSCI.0278-12.2012","ISSN":"02706474","abstract":"Episodic memory declines with advancing age. Neuroimaging studies have associated such decline to age-related changes in general cognitive-control networks as well as to changes in process-specific encoding or retrieval networks. To assess the specific influence of aging on encoding and retrieval processes and associated brain systems, it is vital to dissociate encoding and retrieval from each other and from shared cognitive-control processes. We used multivariate partial-least-squares to analyze functional magnetic resonance imaging data from a large population-based sample (n = 292,25- 80 years). The participants performed a face-name paired-associates task and an active baseline task. The analysis revealed two significant network patterns. The first reflected a process-general encoding-retrieval network that included frontoparietal cortices and posterior hippocampus. The second pattern dissociated encoding and retrieval networks. The anterior hippocampus was differentially engaged during encoding. Brain scores, representing whole-brain integrated measures of how strongly an individual recruited a brain network, were correlated with cognitive performance and chronological age. The scores from the general cognitive-control network correlated negatively with episodic memory performance and positively with age. The encoding brain scores, which strongly reflected hippocampal functioning, correlated positively with episodic memory performance and negatively with age. Univariate analyses confirmed that bilateral hippocampus showed the most pronounced activity reduction in older age, and brain structure analyses found that the activity reduction partly related to hippocampus atrophy. Collectively, these findings suggest that age-related structural brain changes underlie age-related reductions in the efficient recruitment of aprocess-specific encoding network, which cascades into upregulated recruitment of a general cognitive-control network. Copyright © 2012 the authors.","author":[{"dropping-particle":"","family":"Salami","given":"Alireza","non-dropping-particle":"","parse-names":false,"suffix":""},{"dropping-particle":"","family":"Eriksson","given":"Johan","non-dropping-particle":"","parse-names":false,"suffix":""},{"dropping-particle":"","family":"Nyberg","given":"Lars","non-dropping-particle":"","parse-names":false,"suffix":""}],"container-title":"Journal of Neuroscience","id":"ITEM-1","issue":"31","issued":{"date-parts":[["2012"]]},"page":"10749-10757","title":"Opposing effects of aging on large-scale Brain systems for memory encoding and cognitive control","type":"article-journal","volume":"32"},"uris":["http://www.mendeley.com/documents/?uuid=747e0126-9de7-41fa-ad5b-7ba2461c2f68"]}],"mendeley":{"formattedCitation":"[22]","plainTextFormattedCitation":"[22]","previouslyFormattedCitation":"[22]"},"properties":{"noteIndex":0},"schema":"https://github.com/citation-style-language/schema/raw/master/csl-citation.json"}</w:instrText>
            </w:r>
            <w:r>
              <w:rPr>
                <w:rFonts w:ascii="Times New Roman" w:hAnsi="Times New Roman" w:cs="Times New Roman"/>
                <w:sz w:val="20"/>
                <w:szCs w:val="20"/>
              </w:rPr>
              <w:fldChar w:fldCharType="separate"/>
            </w:r>
            <w:r w:rsidRPr="00B12442">
              <w:rPr>
                <w:rFonts w:ascii="Times New Roman" w:hAnsi="Times New Roman" w:cs="Times New Roman"/>
                <w:noProof/>
                <w:sz w:val="20"/>
                <w:szCs w:val="20"/>
              </w:rPr>
              <w:t>[22]</w:t>
            </w:r>
            <w:r>
              <w:rPr>
                <w:rFonts w:ascii="Times New Roman" w:hAnsi="Times New Roman" w:cs="Times New Roman"/>
                <w:sz w:val="20"/>
                <w:szCs w:val="20"/>
              </w:rPr>
              <w:fldChar w:fldCharType="end"/>
            </w:r>
          </w:p>
        </w:tc>
        <w:tc>
          <w:tcPr>
            <w:tcW w:w="987" w:type="dxa"/>
            <w:tcBorders>
              <w:top w:val="single" w:sz="4" w:space="0" w:color="auto"/>
              <w:left w:val="nil"/>
              <w:bottom w:val="nil"/>
              <w:right w:val="nil"/>
            </w:tcBorders>
          </w:tcPr>
          <w:p w14:paraId="37B24296"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63</w:t>
            </w:r>
          </w:p>
        </w:tc>
        <w:tc>
          <w:tcPr>
            <w:tcW w:w="1080" w:type="dxa"/>
            <w:tcBorders>
              <w:top w:val="single" w:sz="4" w:space="0" w:color="auto"/>
              <w:left w:val="nil"/>
              <w:bottom w:val="nil"/>
              <w:right w:val="nil"/>
            </w:tcBorders>
          </w:tcPr>
          <w:p w14:paraId="4CB13DD9"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2149</w:t>
            </w:r>
          </w:p>
        </w:tc>
        <w:tc>
          <w:tcPr>
            <w:tcW w:w="1476" w:type="dxa"/>
            <w:tcBorders>
              <w:top w:val="single" w:sz="4" w:space="0" w:color="auto"/>
              <w:left w:val="nil"/>
              <w:bottom w:val="nil"/>
              <w:right w:val="nil"/>
            </w:tcBorders>
          </w:tcPr>
          <w:p w14:paraId="469E8101"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504</w:t>
            </w:r>
          </w:p>
        </w:tc>
        <w:tc>
          <w:tcPr>
            <w:tcW w:w="2268" w:type="dxa"/>
            <w:tcBorders>
              <w:top w:val="single" w:sz="4" w:space="0" w:color="auto"/>
              <w:left w:val="nil"/>
              <w:bottom w:val="nil"/>
              <w:right w:val="nil"/>
            </w:tcBorders>
          </w:tcPr>
          <w:p w14:paraId="49C7CEAA"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1</w:t>
            </w:r>
          </w:p>
        </w:tc>
        <w:tc>
          <w:tcPr>
            <w:tcW w:w="1134" w:type="dxa"/>
            <w:tcBorders>
              <w:top w:val="single" w:sz="4" w:space="0" w:color="auto"/>
              <w:left w:val="nil"/>
              <w:bottom w:val="nil"/>
              <w:right w:val="nil"/>
            </w:tcBorders>
          </w:tcPr>
          <w:p w14:paraId="11503EA8"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w:t>
            </w:r>
          </w:p>
        </w:tc>
        <w:tc>
          <w:tcPr>
            <w:tcW w:w="1701" w:type="dxa"/>
            <w:tcBorders>
              <w:top w:val="single" w:sz="4" w:space="0" w:color="auto"/>
              <w:left w:val="nil"/>
              <w:bottom w:val="nil"/>
              <w:right w:val="nil"/>
            </w:tcBorders>
          </w:tcPr>
          <w:p w14:paraId="4E805FEA"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single" w:sz="4" w:space="0" w:color="auto"/>
              <w:left w:val="nil"/>
              <w:bottom w:val="nil"/>
              <w:right w:val="nil"/>
            </w:tcBorders>
          </w:tcPr>
          <w:p w14:paraId="2DEC6648"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single" w:sz="4" w:space="0" w:color="auto"/>
              <w:left w:val="nil"/>
              <w:bottom w:val="nil"/>
              <w:right w:val="nil"/>
            </w:tcBorders>
          </w:tcPr>
          <w:p w14:paraId="611C9C90"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1504</w:t>
            </w:r>
          </w:p>
        </w:tc>
        <w:tc>
          <w:tcPr>
            <w:tcW w:w="2552" w:type="dxa"/>
            <w:tcBorders>
              <w:top w:val="single" w:sz="4" w:space="0" w:color="auto"/>
              <w:left w:val="nil"/>
              <w:bottom w:val="nil"/>
              <w:right w:val="nil"/>
            </w:tcBorders>
          </w:tcPr>
          <w:p w14:paraId="21AF3A4C" w14:textId="77777777" w:rsidR="00F4687C" w:rsidRPr="009E279F"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 xml:space="preserve">(24 -90 -42) to (40 -72 -30)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6354C0">
              <w:rPr>
                <w:rFonts w:ascii="Times New Roman" w:hAnsi="Times New Roman" w:cs="Times New Roman"/>
                <w:sz w:val="20"/>
                <w:szCs w:val="20"/>
              </w:rPr>
              <w:t>33 -81 -37</w:t>
            </w:r>
            <w:r w:rsidRPr="009E279F">
              <w:rPr>
                <w:rFonts w:ascii="Times New Roman" w:hAnsi="Times New Roman" w:cs="Times New Roman"/>
                <w:sz w:val="20"/>
                <w:szCs w:val="20"/>
              </w:rPr>
              <w:t>)</w:t>
            </w:r>
          </w:p>
        </w:tc>
      </w:tr>
      <w:tr w:rsidR="00AD51EF" w:rsidRPr="009E279F" w14:paraId="71E50F0E" w14:textId="77777777" w:rsidTr="00AD51EF">
        <w:trPr>
          <w:trHeight w:val="261"/>
        </w:trPr>
        <w:tc>
          <w:tcPr>
            <w:tcW w:w="1419" w:type="dxa"/>
            <w:vMerge/>
            <w:tcBorders>
              <w:top w:val="nil"/>
              <w:left w:val="nil"/>
              <w:right w:val="nil"/>
            </w:tcBorders>
          </w:tcPr>
          <w:p w14:paraId="20B75397"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340E9D5A"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2FB742D7"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248BEDFA"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27354851"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5</w:t>
            </w:r>
          </w:p>
        </w:tc>
        <w:tc>
          <w:tcPr>
            <w:tcW w:w="1134" w:type="dxa"/>
            <w:tcBorders>
              <w:top w:val="nil"/>
              <w:left w:val="nil"/>
              <w:bottom w:val="nil"/>
              <w:right w:val="nil"/>
            </w:tcBorders>
          </w:tcPr>
          <w:p w14:paraId="4224239E"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sym w:font="Symbol" w:char="F0AF"/>
            </w:r>
          </w:p>
        </w:tc>
        <w:tc>
          <w:tcPr>
            <w:tcW w:w="1701" w:type="dxa"/>
            <w:tcBorders>
              <w:top w:val="nil"/>
              <w:left w:val="nil"/>
              <w:bottom w:val="nil"/>
              <w:right w:val="nil"/>
            </w:tcBorders>
          </w:tcPr>
          <w:p w14:paraId="7F773637"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Yes</w:t>
            </w:r>
          </w:p>
        </w:tc>
        <w:tc>
          <w:tcPr>
            <w:tcW w:w="1418" w:type="dxa"/>
            <w:tcBorders>
              <w:top w:val="nil"/>
              <w:left w:val="nil"/>
              <w:bottom w:val="nil"/>
              <w:right w:val="nil"/>
            </w:tcBorders>
          </w:tcPr>
          <w:p w14:paraId="1B67E9AC"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7C7C318A"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624</w:t>
            </w:r>
          </w:p>
        </w:tc>
        <w:tc>
          <w:tcPr>
            <w:tcW w:w="2552" w:type="dxa"/>
            <w:tcBorders>
              <w:top w:val="nil"/>
              <w:left w:val="nil"/>
              <w:bottom w:val="nil"/>
              <w:right w:val="nil"/>
            </w:tcBorders>
          </w:tcPr>
          <w:p w14:paraId="438574F7" w14:textId="77777777" w:rsidR="00F4687C" w:rsidRPr="009E279F"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 xml:space="preserve">(28 -70 -32) to (40 -62 -22)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6354C0">
              <w:rPr>
                <w:rFonts w:ascii="Times New Roman" w:hAnsi="Times New Roman" w:cs="Times New Roman"/>
                <w:sz w:val="20"/>
                <w:szCs w:val="20"/>
              </w:rPr>
              <w:t>35 -66 -27</w:t>
            </w:r>
            <w:r w:rsidRPr="009E279F">
              <w:rPr>
                <w:rFonts w:ascii="Times New Roman" w:hAnsi="Times New Roman" w:cs="Times New Roman"/>
                <w:sz w:val="20"/>
                <w:szCs w:val="20"/>
              </w:rPr>
              <w:t>)</w:t>
            </w:r>
          </w:p>
        </w:tc>
      </w:tr>
      <w:tr w:rsidR="00AD51EF" w:rsidRPr="009E279F" w14:paraId="592C09E4" w14:textId="77777777" w:rsidTr="00AD51EF">
        <w:trPr>
          <w:trHeight w:val="261"/>
        </w:trPr>
        <w:tc>
          <w:tcPr>
            <w:tcW w:w="1419" w:type="dxa"/>
            <w:vMerge/>
            <w:tcBorders>
              <w:left w:val="nil"/>
              <w:bottom w:val="nil"/>
              <w:right w:val="nil"/>
            </w:tcBorders>
          </w:tcPr>
          <w:p w14:paraId="7B7F786E"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643C06F9"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6DE477C3"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70D376F6"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7B87B6C5"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2</w:t>
            </w:r>
          </w:p>
        </w:tc>
        <w:tc>
          <w:tcPr>
            <w:tcW w:w="1134" w:type="dxa"/>
            <w:tcBorders>
              <w:top w:val="nil"/>
              <w:left w:val="nil"/>
              <w:bottom w:val="nil"/>
              <w:right w:val="nil"/>
            </w:tcBorders>
          </w:tcPr>
          <w:p w14:paraId="207BAA11"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sym w:font="Symbol" w:char="F0AF"/>
            </w:r>
          </w:p>
        </w:tc>
        <w:tc>
          <w:tcPr>
            <w:tcW w:w="1701" w:type="dxa"/>
            <w:tcBorders>
              <w:top w:val="nil"/>
              <w:left w:val="nil"/>
              <w:bottom w:val="nil"/>
              <w:right w:val="nil"/>
            </w:tcBorders>
          </w:tcPr>
          <w:p w14:paraId="43380373"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56E9323C"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4B39115F"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1312</w:t>
            </w:r>
          </w:p>
        </w:tc>
        <w:tc>
          <w:tcPr>
            <w:tcW w:w="2552" w:type="dxa"/>
            <w:tcBorders>
              <w:top w:val="nil"/>
              <w:left w:val="nil"/>
              <w:bottom w:val="nil"/>
              <w:right w:val="nil"/>
            </w:tcBorders>
          </w:tcPr>
          <w:p w14:paraId="675C40BA" w14:textId="77777777" w:rsidR="00F4687C" w:rsidRPr="009E279F"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 xml:space="preserve">(-46 -86 -44) to (-28 -68 -34)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6354C0">
              <w:rPr>
                <w:rFonts w:ascii="Times New Roman" w:hAnsi="Times New Roman" w:cs="Times New Roman"/>
                <w:sz w:val="20"/>
                <w:szCs w:val="20"/>
              </w:rPr>
              <w:t>-35 -77 -40</w:t>
            </w:r>
            <w:r w:rsidRPr="009E279F">
              <w:rPr>
                <w:rFonts w:ascii="Times New Roman" w:hAnsi="Times New Roman" w:cs="Times New Roman"/>
                <w:sz w:val="20"/>
                <w:szCs w:val="20"/>
              </w:rPr>
              <w:t>)</w:t>
            </w:r>
          </w:p>
        </w:tc>
      </w:tr>
      <w:tr w:rsidR="00AD51EF" w:rsidRPr="009E279F" w14:paraId="7632BC10" w14:textId="77777777" w:rsidTr="00AD51EF">
        <w:trPr>
          <w:trHeight w:val="540"/>
        </w:trPr>
        <w:tc>
          <w:tcPr>
            <w:tcW w:w="1419" w:type="dxa"/>
            <w:tcBorders>
              <w:top w:val="nil"/>
              <w:left w:val="nil"/>
              <w:bottom w:val="nil"/>
              <w:right w:val="nil"/>
            </w:tcBorders>
          </w:tcPr>
          <w:p w14:paraId="0984665E"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3757E543"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42030F42"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0A6D419A"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1C7A76A2"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3</w:t>
            </w:r>
          </w:p>
        </w:tc>
        <w:tc>
          <w:tcPr>
            <w:tcW w:w="1134" w:type="dxa"/>
            <w:tcBorders>
              <w:top w:val="nil"/>
              <w:left w:val="nil"/>
              <w:bottom w:val="nil"/>
              <w:right w:val="nil"/>
            </w:tcBorders>
          </w:tcPr>
          <w:p w14:paraId="2125D57B"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w:t>
            </w:r>
          </w:p>
        </w:tc>
        <w:tc>
          <w:tcPr>
            <w:tcW w:w="1701" w:type="dxa"/>
            <w:tcBorders>
              <w:top w:val="nil"/>
              <w:left w:val="nil"/>
              <w:bottom w:val="nil"/>
              <w:right w:val="nil"/>
            </w:tcBorders>
          </w:tcPr>
          <w:p w14:paraId="437BA51A"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7979B2FB"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4CD42D89"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1112</w:t>
            </w:r>
          </w:p>
        </w:tc>
        <w:tc>
          <w:tcPr>
            <w:tcW w:w="2552" w:type="dxa"/>
            <w:tcBorders>
              <w:top w:val="nil"/>
              <w:left w:val="nil"/>
              <w:bottom w:val="nil"/>
              <w:right w:val="nil"/>
            </w:tcBorders>
          </w:tcPr>
          <w:p w14:paraId="02E3BF68"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 xml:space="preserve">(-10 -78,-22) to (8,-66,-10) </w:t>
            </w:r>
            <w:proofErr w:type="spellStart"/>
            <w:r w:rsidRPr="006354C0">
              <w:rPr>
                <w:rFonts w:ascii="Times New Roman" w:hAnsi="Times New Roman" w:cs="Times New Roman"/>
                <w:sz w:val="20"/>
                <w:szCs w:val="20"/>
              </w:rPr>
              <w:t>centered</w:t>
            </w:r>
            <w:proofErr w:type="spellEnd"/>
            <w:r w:rsidRPr="006354C0">
              <w:rPr>
                <w:rFonts w:ascii="Times New Roman" w:hAnsi="Times New Roman" w:cs="Times New Roman"/>
                <w:sz w:val="20"/>
                <w:szCs w:val="20"/>
              </w:rPr>
              <w:t xml:space="preserve"> at </w:t>
            </w:r>
            <w:r w:rsidRPr="009E279F">
              <w:rPr>
                <w:rFonts w:ascii="Times New Roman" w:hAnsi="Times New Roman" w:cs="Times New Roman"/>
                <w:sz w:val="20"/>
                <w:szCs w:val="20"/>
              </w:rPr>
              <w:t>(</w:t>
            </w:r>
            <w:r w:rsidRPr="006354C0">
              <w:rPr>
                <w:rFonts w:ascii="Times New Roman" w:hAnsi="Times New Roman" w:cs="Times New Roman"/>
                <w:sz w:val="20"/>
                <w:szCs w:val="20"/>
              </w:rPr>
              <w:t>1 -72 -15)</w:t>
            </w:r>
          </w:p>
        </w:tc>
      </w:tr>
      <w:tr w:rsidR="00AD51EF" w:rsidRPr="009E279F" w14:paraId="508C5227" w14:textId="77777777" w:rsidTr="00AD51EF">
        <w:trPr>
          <w:trHeight w:val="840"/>
        </w:trPr>
        <w:tc>
          <w:tcPr>
            <w:tcW w:w="1419" w:type="dxa"/>
            <w:tcBorders>
              <w:top w:val="nil"/>
              <w:left w:val="nil"/>
              <w:bottom w:val="single" w:sz="4" w:space="0" w:color="auto"/>
              <w:right w:val="nil"/>
            </w:tcBorders>
          </w:tcPr>
          <w:p w14:paraId="1365B65E"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single" w:sz="4" w:space="0" w:color="auto"/>
              <w:right w:val="nil"/>
            </w:tcBorders>
          </w:tcPr>
          <w:p w14:paraId="4011E4A1"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single" w:sz="4" w:space="0" w:color="auto"/>
              <w:right w:val="nil"/>
            </w:tcBorders>
          </w:tcPr>
          <w:p w14:paraId="097CBBF9"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single" w:sz="4" w:space="0" w:color="auto"/>
              <w:right w:val="nil"/>
            </w:tcBorders>
          </w:tcPr>
          <w:p w14:paraId="1143FDE0"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single" w:sz="4" w:space="0" w:color="auto"/>
              <w:right w:val="nil"/>
            </w:tcBorders>
          </w:tcPr>
          <w:p w14:paraId="786F399D"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4</w:t>
            </w:r>
          </w:p>
        </w:tc>
        <w:tc>
          <w:tcPr>
            <w:tcW w:w="1134" w:type="dxa"/>
            <w:tcBorders>
              <w:top w:val="nil"/>
              <w:left w:val="nil"/>
              <w:bottom w:val="single" w:sz="4" w:space="0" w:color="auto"/>
              <w:right w:val="nil"/>
            </w:tcBorders>
          </w:tcPr>
          <w:p w14:paraId="5E022190"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w:t>
            </w:r>
          </w:p>
        </w:tc>
        <w:tc>
          <w:tcPr>
            <w:tcW w:w="1701" w:type="dxa"/>
            <w:tcBorders>
              <w:top w:val="nil"/>
              <w:left w:val="nil"/>
              <w:bottom w:val="single" w:sz="4" w:space="0" w:color="auto"/>
              <w:right w:val="nil"/>
            </w:tcBorders>
          </w:tcPr>
          <w:p w14:paraId="12CE6FF3"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single" w:sz="4" w:space="0" w:color="auto"/>
              <w:right w:val="nil"/>
            </w:tcBorders>
          </w:tcPr>
          <w:p w14:paraId="14A98091"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single" w:sz="4" w:space="0" w:color="auto"/>
              <w:right w:val="nil"/>
            </w:tcBorders>
          </w:tcPr>
          <w:p w14:paraId="45B5F27F"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808</w:t>
            </w:r>
          </w:p>
        </w:tc>
        <w:tc>
          <w:tcPr>
            <w:tcW w:w="2552" w:type="dxa"/>
            <w:tcBorders>
              <w:top w:val="nil"/>
              <w:left w:val="nil"/>
              <w:bottom w:val="single" w:sz="4" w:space="0" w:color="auto"/>
              <w:right w:val="nil"/>
            </w:tcBorders>
          </w:tcPr>
          <w:p w14:paraId="7024D856"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 xml:space="preserve">(-48 -54 -46) to (-34 -36 -36) </w:t>
            </w:r>
            <w:proofErr w:type="spellStart"/>
            <w:r w:rsidRPr="006354C0">
              <w:rPr>
                <w:rFonts w:ascii="Times New Roman" w:hAnsi="Times New Roman" w:cs="Times New Roman"/>
                <w:sz w:val="20"/>
                <w:szCs w:val="20"/>
              </w:rPr>
              <w:t>centered</w:t>
            </w:r>
            <w:proofErr w:type="spellEnd"/>
            <w:r w:rsidRPr="006354C0">
              <w:rPr>
                <w:rFonts w:ascii="Times New Roman" w:hAnsi="Times New Roman" w:cs="Times New Roman"/>
                <w:sz w:val="20"/>
                <w:szCs w:val="20"/>
              </w:rPr>
              <w:t xml:space="preserve"> at </w:t>
            </w:r>
            <w:r w:rsidRPr="009E279F">
              <w:rPr>
                <w:rFonts w:ascii="Times New Roman" w:hAnsi="Times New Roman" w:cs="Times New Roman"/>
                <w:sz w:val="20"/>
                <w:szCs w:val="20"/>
              </w:rPr>
              <w:t>(</w:t>
            </w:r>
            <w:r w:rsidRPr="006354C0">
              <w:rPr>
                <w:rFonts w:ascii="Times New Roman" w:hAnsi="Times New Roman" w:cs="Times New Roman"/>
                <w:sz w:val="20"/>
                <w:szCs w:val="20"/>
              </w:rPr>
              <w:t>-40 -42 -41)</w:t>
            </w:r>
          </w:p>
        </w:tc>
      </w:tr>
      <w:tr w:rsidR="00AD51EF" w:rsidRPr="009E279F" w14:paraId="619DAA26" w14:textId="77777777" w:rsidTr="00AD51EF">
        <w:trPr>
          <w:trHeight w:val="500"/>
        </w:trPr>
        <w:tc>
          <w:tcPr>
            <w:tcW w:w="1419" w:type="dxa"/>
            <w:vMerge w:val="restart"/>
            <w:tcBorders>
              <w:left w:val="nil"/>
              <w:right w:val="nil"/>
            </w:tcBorders>
          </w:tcPr>
          <w:p w14:paraId="32388633" w14:textId="77777777" w:rsidR="00F4687C" w:rsidRDefault="00F4687C" w:rsidP="00BD0CFF">
            <w:pPr>
              <w:rPr>
                <w:rFonts w:ascii="Times New Roman" w:hAnsi="Times New Roman" w:cs="Times New Roman"/>
                <w:sz w:val="20"/>
                <w:szCs w:val="20"/>
              </w:rPr>
            </w:pPr>
            <w:proofErr w:type="spellStart"/>
            <w:r>
              <w:rPr>
                <w:rFonts w:ascii="Times New Roman" w:hAnsi="Times New Roman" w:cs="Times New Roman"/>
                <w:sz w:val="20"/>
                <w:szCs w:val="20"/>
              </w:rPr>
              <w:lastRenderedPageBreak/>
              <w:t>Steffener</w:t>
            </w:r>
            <w:proofErr w:type="spellEnd"/>
            <w:r>
              <w:rPr>
                <w:rFonts w:ascii="Times New Roman" w:hAnsi="Times New Roman" w:cs="Times New Roman"/>
                <w:sz w:val="20"/>
                <w:szCs w:val="20"/>
              </w:rPr>
              <w:t xml:space="preserve"> et al., 2009</w:t>
            </w:r>
          </w:p>
          <w:p w14:paraId="3D8118D0" w14:textId="77777777" w:rsidR="00F4687C" w:rsidRPr="009E279F" w:rsidRDefault="00F4687C" w:rsidP="00BD0CFF">
            <w:pP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{"citationItems":[{"id":"ITEM-1","itemData":{"DOI":"10.1007/s11682-008-9056-x","ISSN":"1931-7557","abstract":"This work investigated associations of age-related brain atrophy and functional neural networks identified using multivariate analyses of BOLD fMRI data in young and elder participants (young, N=37; mean age=25; elders, N=15; mean age=74). Two networks were involved in retaining increasing loads of verbal information in working memory. Network utilizations were used to test associations between function and indices of grey matter volume changes using voxel based morphometry. Global changes in brain volume were not associated with the secondary network. Lower regional grey matter volume in the left pre-central gyrus within the primary network was associated with increased secondary network utilization independent of age group. Decreased regional grey matter volume was associated with increased age only in the elders. Increased secondary network expression was associated with increased slope of reaction times across memory load, in the elders. These results support the theory of neural compensation, that elder participants recruit additional neural resources to maintain task performance in the face of age-related decreases in regional grey matter volume. (PsycINFO Database Record (c) 2017 APA, all rights reserved)","author":[{"dropping-particle":"","family":"Steffener","given":"Jason","non-dropping-particle":"","parse-names":false,"suffix":""},{"dropping-particle":"","family":"Brickman","given":"Adam M","non-dropping-particle":"","parse-names":false,"suffix":""},{"dropping-particle":"","family":"Rakitin","given":"Brian C","non-dropping-particle":"","parse-names":false,"suffix":""},{"dropping-particle":"","family":"Gazes","given":"Yunglin","non-dropping-particle":"","parse-names":false,"suffix":""},{"dropping-particle":"","family":"Stern","given":"Yaakov","non-dropping-particle":"","parse-names":false,"suffix":""}],"container-title":"Brain Imaging and Behavior","id":"ITEM-1","issue":"2","issued":{"date-parts":[["2009","6"]]},"note":"Accession Number: 2009-09052-004. PMID: 19536354 Partial author list: First Author &amp;amp; Affiliation: Steffener, Jason; Cognitive Neuroscience Division of the Taub Institute, Columbia University College of Physicians and Surgeons, New York, NY, US. Release Date: 20090706. Correction Date: 20170615. Publication Type: Journal (0100), Peer Reviewed Journal (0110). Format Covered: Electronic. Document Type: Journal Article. Language: English. Grant Information: Stern, Yaakov. Major Descriptor: Age Differences; Aging; Electrical Activity; Short Term Memory; Functional Magnetic Resonance Imaging. Minor Descriptor: Cerebral Atrophy; Multivariate Analysis; Reaction Time; Biological Neural Networks. Classification: Learning &amp;amp; Memory (2343). Population: Human (10); Male (30); Female (40). Age Group: Adulthood (18 yrs &amp;amp; older) (300). Tests &amp;amp; Measures: Folstein Mini Mental State Examination--Modified version; New Adult Reading Test DOI: 10.1037/t51600-000. Methodology: Empirical Study; Quantitative Study. References Available: Y. Page Count: 12. Issue Publication Date: Jun, 2009. Publication History: First Posted Date: Jan 9, 2009; Accepted Date: Dec 18, 2008; First Submitted Date: May 9, 2008. Copyright Statement: Springer Science + Business Media, LLC. 2009.","page":"142-153","publisher":"Springer","publisher-place":"Steffener, Jason, Cognitive Neuroscience Division of the Taub Institute, Columbia University College of Physicians and Surgeons, 630 West 168th St, P&amp;S 16, New York, NY, US, 10032","title":"The impact of age-related changes on working memory functional activity","type":"article-journal","volume":"3"},"uris":["http://www.mendeley.com/documents/?uuid=5434e0b9-ed4c-4745-adbb-9350f9b519da"]}],"mendeley":{"formattedCitation":"[23]","plainTextFormattedCitation":"[23]","previouslyFormattedCitation":"[23]"},"properties":{"noteIndex":0},"schema":"https://github.com/citation-style-language/schema/raw/master/csl-citation.json"}</w:instrText>
            </w:r>
            <w:r>
              <w:rPr>
                <w:rFonts w:ascii="Times New Roman" w:hAnsi="Times New Roman" w:cs="Times New Roman"/>
                <w:sz w:val="20"/>
                <w:szCs w:val="20"/>
              </w:rPr>
              <w:fldChar w:fldCharType="separate"/>
            </w:r>
            <w:r w:rsidRPr="00B12442">
              <w:rPr>
                <w:rFonts w:ascii="Times New Roman" w:hAnsi="Times New Roman" w:cs="Times New Roman"/>
                <w:noProof/>
                <w:sz w:val="20"/>
                <w:szCs w:val="20"/>
              </w:rPr>
              <w:t>[23]</w:t>
            </w:r>
            <w:r>
              <w:rPr>
                <w:rFonts w:ascii="Times New Roman" w:hAnsi="Times New Roman" w:cs="Times New Roman"/>
                <w:sz w:val="20"/>
                <w:szCs w:val="20"/>
              </w:rPr>
              <w:fldChar w:fldCharType="end"/>
            </w:r>
          </w:p>
        </w:tc>
        <w:tc>
          <w:tcPr>
            <w:tcW w:w="987" w:type="dxa"/>
            <w:tcBorders>
              <w:top w:val="nil"/>
              <w:left w:val="nil"/>
              <w:bottom w:val="nil"/>
              <w:right w:val="nil"/>
            </w:tcBorders>
          </w:tcPr>
          <w:p w14:paraId="1CA1A594"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63</w:t>
            </w:r>
          </w:p>
        </w:tc>
        <w:tc>
          <w:tcPr>
            <w:tcW w:w="1080" w:type="dxa"/>
            <w:tcBorders>
              <w:top w:val="nil"/>
              <w:left w:val="nil"/>
              <w:bottom w:val="nil"/>
              <w:right w:val="nil"/>
            </w:tcBorders>
          </w:tcPr>
          <w:p w14:paraId="0059D338"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2389</w:t>
            </w:r>
          </w:p>
        </w:tc>
        <w:tc>
          <w:tcPr>
            <w:tcW w:w="1476" w:type="dxa"/>
            <w:tcBorders>
              <w:top w:val="nil"/>
              <w:left w:val="nil"/>
              <w:bottom w:val="nil"/>
              <w:right w:val="nil"/>
            </w:tcBorders>
          </w:tcPr>
          <w:p w14:paraId="1108C484"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1867C623"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1</w:t>
            </w:r>
          </w:p>
        </w:tc>
        <w:tc>
          <w:tcPr>
            <w:tcW w:w="1134" w:type="dxa"/>
            <w:tcBorders>
              <w:top w:val="nil"/>
              <w:left w:val="nil"/>
              <w:bottom w:val="nil"/>
              <w:right w:val="nil"/>
            </w:tcBorders>
          </w:tcPr>
          <w:p w14:paraId="6028E7D0"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w:t>
            </w:r>
          </w:p>
        </w:tc>
        <w:tc>
          <w:tcPr>
            <w:tcW w:w="1701" w:type="dxa"/>
            <w:tcBorders>
              <w:top w:val="nil"/>
              <w:left w:val="nil"/>
              <w:bottom w:val="nil"/>
              <w:right w:val="nil"/>
            </w:tcBorders>
          </w:tcPr>
          <w:p w14:paraId="1C520451"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117C56BE"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6A187D27"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1504</w:t>
            </w:r>
          </w:p>
        </w:tc>
        <w:tc>
          <w:tcPr>
            <w:tcW w:w="2552" w:type="dxa"/>
            <w:tcBorders>
              <w:top w:val="nil"/>
              <w:left w:val="nil"/>
              <w:bottom w:val="nil"/>
              <w:right w:val="nil"/>
            </w:tcBorders>
          </w:tcPr>
          <w:p w14:paraId="488641F8"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 xml:space="preserve">(24 -90 -42) to (40 -72 -30)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6354C0">
              <w:rPr>
                <w:rFonts w:ascii="Times New Roman" w:hAnsi="Times New Roman" w:cs="Times New Roman"/>
                <w:sz w:val="20"/>
                <w:szCs w:val="20"/>
              </w:rPr>
              <w:t>33 -81 -37</w:t>
            </w:r>
            <w:r w:rsidRPr="009E279F">
              <w:rPr>
                <w:rFonts w:ascii="Times New Roman" w:hAnsi="Times New Roman" w:cs="Times New Roman"/>
                <w:sz w:val="20"/>
                <w:szCs w:val="20"/>
              </w:rPr>
              <w:t>)</w:t>
            </w:r>
          </w:p>
        </w:tc>
      </w:tr>
      <w:tr w:rsidR="00AD51EF" w:rsidRPr="009E279F" w14:paraId="36150532" w14:textId="77777777" w:rsidTr="00AD51EF">
        <w:trPr>
          <w:trHeight w:val="423"/>
        </w:trPr>
        <w:tc>
          <w:tcPr>
            <w:tcW w:w="1419" w:type="dxa"/>
            <w:vMerge/>
            <w:tcBorders>
              <w:left w:val="nil"/>
              <w:right w:val="nil"/>
            </w:tcBorders>
          </w:tcPr>
          <w:p w14:paraId="78955296"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138E3C15"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52A3A135"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6A6C5534"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590D9BC2"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2</w:t>
            </w:r>
          </w:p>
        </w:tc>
        <w:tc>
          <w:tcPr>
            <w:tcW w:w="1134" w:type="dxa"/>
            <w:tcBorders>
              <w:top w:val="nil"/>
              <w:left w:val="nil"/>
              <w:bottom w:val="nil"/>
              <w:right w:val="nil"/>
            </w:tcBorders>
          </w:tcPr>
          <w:p w14:paraId="7A1D4295"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w:t>
            </w:r>
          </w:p>
        </w:tc>
        <w:tc>
          <w:tcPr>
            <w:tcW w:w="1701" w:type="dxa"/>
            <w:tcBorders>
              <w:top w:val="nil"/>
              <w:left w:val="nil"/>
              <w:bottom w:val="nil"/>
              <w:right w:val="nil"/>
            </w:tcBorders>
          </w:tcPr>
          <w:p w14:paraId="4F90378D"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6AB00BF0"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7EC6EFB8"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1472</w:t>
            </w:r>
          </w:p>
        </w:tc>
        <w:tc>
          <w:tcPr>
            <w:tcW w:w="2552" w:type="dxa"/>
            <w:tcBorders>
              <w:top w:val="nil"/>
              <w:left w:val="nil"/>
              <w:bottom w:val="nil"/>
              <w:right w:val="nil"/>
            </w:tcBorders>
          </w:tcPr>
          <w:p w14:paraId="30E75783"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 xml:space="preserve">(28 -70 -34) to (42 -56 -22)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6354C0">
              <w:rPr>
                <w:rFonts w:ascii="Times New Roman" w:hAnsi="Times New Roman" w:cs="Times New Roman"/>
                <w:sz w:val="20"/>
                <w:szCs w:val="20"/>
              </w:rPr>
              <w:t>35 -63 -29</w:t>
            </w:r>
            <w:r w:rsidRPr="009E279F">
              <w:rPr>
                <w:rFonts w:ascii="Times New Roman" w:hAnsi="Times New Roman" w:cs="Times New Roman"/>
                <w:sz w:val="20"/>
                <w:szCs w:val="20"/>
              </w:rPr>
              <w:t>)</w:t>
            </w:r>
          </w:p>
        </w:tc>
      </w:tr>
      <w:tr w:rsidR="00AD51EF" w:rsidRPr="009E279F" w14:paraId="0D35CC48" w14:textId="77777777" w:rsidTr="00AD51EF">
        <w:trPr>
          <w:trHeight w:val="373"/>
        </w:trPr>
        <w:tc>
          <w:tcPr>
            <w:tcW w:w="1419" w:type="dxa"/>
            <w:vMerge/>
            <w:tcBorders>
              <w:left w:val="nil"/>
              <w:right w:val="nil"/>
            </w:tcBorders>
          </w:tcPr>
          <w:p w14:paraId="5F752960"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2CC13C64"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0C368D1E"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23D061A3"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0C3E645D"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3</w:t>
            </w:r>
          </w:p>
        </w:tc>
        <w:tc>
          <w:tcPr>
            <w:tcW w:w="1134" w:type="dxa"/>
            <w:tcBorders>
              <w:top w:val="nil"/>
              <w:left w:val="nil"/>
              <w:bottom w:val="nil"/>
              <w:right w:val="nil"/>
            </w:tcBorders>
          </w:tcPr>
          <w:p w14:paraId="509CF576"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sym w:font="Symbol" w:char="F0AD"/>
            </w:r>
          </w:p>
        </w:tc>
        <w:tc>
          <w:tcPr>
            <w:tcW w:w="1701" w:type="dxa"/>
            <w:tcBorders>
              <w:top w:val="nil"/>
              <w:left w:val="nil"/>
              <w:bottom w:val="nil"/>
              <w:right w:val="nil"/>
            </w:tcBorders>
          </w:tcPr>
          <w:p w14:paraId="30819A1E"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77023A1A"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2B7BE30B"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1312</w:t>
            </w:r>
          </w:p>
        </w:tc>
        <w:tc>
          <w:tcPr>
            <w:tcW w:w="2552" w:type="dxa"/>
            <w:tcBorders>
              <w:top w:val="nil"/>
              <w:left w:val="nil"/>
              <w:bottom w:val="nil"/>
              <w:right w:val="nil"/>
            </w:tcBorders>
          </w:tcPr>
          <w:p w14:paraId="4AC1F08A"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 xml:space="preserve">(-48 -86 -44) to (-28 -68 -34)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6354C0">
              <w:rPr>
                <w:rFonts w:ascii="Times New Roman" w:hAnsi="Times New Roman" w:cs="Times New Roman"/>
                <w:sz w:val="20"/>
                <w:szCs w:val="20"/>
              </w:rPr>
              <w:t>-35 -77 -40</w:t>
            </w:r>
            <w:r w:rsidRPr="009E279F">
              <w:rPr>
                <w:rFonts w:ascii="Times New Roman" w:hAnsi="Times New Roman" w:cs="Times New Roman"/>
                <w:sz w:val="20"/>
                <w:szCs w:val="20"/>
              </w:rPr>
              <w:t>)</w:t>
            </w:r>
          </w:p>
        </w:tc>
      </w:tr>
      <w:tr w:rsidR="00AD51EF" w:rsidRPr="009E279F" w14:paraId="79180A30" w14:textId="77777777" w:rsidTr="00AD51EF">
        <w:trPr>
          <w:trHeight w:val="465"/>
        </w:trPr>
        <w:tc>
          <w:tcPr>
            <w:tcW w:w="1419" w:type="dxa"/>
            <w:vMerge/>
            <w:tcBorders>
              <w:left w:val="nil"/>
              <w:right w:val="nil"/>
            </w:tcBorders>
          </w:tcPr>
          <w:p w14:paraId="63EA9A14"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3A25ECC0"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5BF84269"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5E18ACFB"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73B0F62B"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5</w:t>
            </w:r>
          </w:p>
        </w:tc>
        <w:tc>
          <w:tcPr>
            <w:tcW w:w="1134" w:type="dxa"/>
            <w:tcBorders>
              <w:top w:val="nil"/>
              <w:left w:val="nil"/>
              <w:bottom w:val="nil"/>
              <w:right w:val="nil"/>
            </w:tcBorders>
          </w:tcPr>
          <w:p w14:paraId="66E0B96B"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w:t>
            </w:r>
          </w:p>
        </w:tc>
        <w:tc>
          <w:tcPr>
            <w:tcW w:w="1701" w:type="dxa"/>
            <w:tcBorders>
              <w:top w:val="nil"/>
              <w:left w:val="nil"/>
              <w:bottom w:val="nil"/>
              <w:right w:val="nil"/>
            </w:tcBorders>
          </w:tcPr>
          <w:p w14:paraId="563629FE"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76F5D33B"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4FB57618" w14:textId="77777777" w:rsidR="00F4687C" w:rsidRPr="006354C0"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808</w:t>
            </w:r>
          </w:p>
        </w:tc>
        <w:tc>
          <w:tcPr>
            <w:tcW w:w="2552" w:type="dxa"/>
            <w:tcBorders>
              <w:top w:val="nil"/>
              <w:left w:val="nil"/>
              <w:bottom w:val="nil"/>
              <w:right w:val="nil"/>
            </w:tcBorders>
          </w:tcPr>
          <w:p w14:paraId="7F8053B4" w14:textId="77777777" w:rsidR="00F4687C" w:rsidRPr="00560CF7" w:rsidRDefault="00F4687C" w:rsidP="00BD0CFF">
            <w:pPr>
              <w:rPr>
                <w:rFonts w:ascii="Times New Roman" w:hAnsi="Times New Roman" w:cs="Times New Roman"/>
                <w:sz w:val="20"/>
                <w:szCs w:val="20"/>
              </w:rPr>
            </w:pPr>
            <w:r w:rsidRPr="006354C0">
              <w:rPr>
                <w:rFonts w:ascii="Times New Roman" w:hAnsi="Times New Roman" w:cs="Times New Roman"/>
                <w:sz w:val="20"/>
                <w:szCs w:val="20"/>
              </w:rPr>
              <w:t xml:space="preserve">(-48 -54 -46) to (-34 -36 </w:t>
            </w:r>
            <w:r w:rsidRPr="00560CF7">
              <w:rPr>
                <w:rFonts w:ascii="Times New Roman" w:hAnsi="Times New Roman" w:cs="Times New Roman"/>
                <w:sz w:val="20"/>
                <w:szCs w:val="20"/>
              </w:rPr>
              <w:t xml:space="preserve">-36) </w:t>
            </w:r>
            <w:proofErr w:type="spellStart"/>
            <w:r w:rsidRPr="00560CF7">
              <w:rPr>
                <w:rFonts w:ascii="Times New Roman" w:hAnsi="Times New Roman" w:cs="Times New Roman"/>
                <w:sz w:val="20"/>
                <w:szCs w:val="20"/>
              </w:rPr>
              <w:t>centered</w:t>
            </w:r>
            <w:proofErr w:type="spellEnd"/>
            <w:r w:rsidRPr="00560CF7">
              <w:rPr>
                <w:rFonts w:ascii="Times New Roman" w:hAnsi="Times New Roman" w:cs="Times New Roman"/>
                <w:sz w:val="20"/>
                <w:szCs w:val="20"/>
              </w:rPr>
              <w:t xml:space="preserve"> at </w:t>
            </w:r>
            <w:r w:rsidRPr="009E279F">
              <w:rPr>
                <w:rFonts w:ascii="Times New Roman" w:hAnsi="Times New Roman" w:cs="Times New Roman"/>
                <w:sz w:val="20"/>
                <w:szCs w:val="20"/>
              </w:rPr>
              <w:t>(</w:t>
            </w:r>
            <w:r w:rsidRPr="00560CF7">
              <w:rPr>
                <w:rFonts w:ascii="Times New Roman" w:hAnsi="Times New Roman" w:cs="Times New Roman"/>
                <w:sz w:val="20"/>
                <w:szCs w:val="20"/>
              </w:rPr>
              <w:t>-40 -42 -41)</w:t>
            </w:r>
          </w:p>
        </w:tc>
      </w:tr>
      <w:tr w:rsidR="00AD51EF" w:rsidRPr="009E279F" w14:paraId="16CFD57C" w14:textId="77777777" w:rsidTr="00AD51EF">
        <w:trPr>
          <w:trHeight w:val="548"/>
        </w:trPr>
        <w:tc>
          <w:tcPr>
            <w:tcW w:w="1419" w:type="dxa"/>
            <w:vMerge/>
            <w:tcBorders>
              <w:left w:val="nil"/>
              <w:bottom w:val="single" w:sz="4" w:space="0" w:color="auto"/>
              <w:right w:val="nil"/>
            </w:tcBorders>
          </w:tcPr>
          <w:p w14:paraId="2A4BBF90"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single" w:sz="4" w:space="0" w:color="auto"/>
              <w:right w:val="nil"/>
            </w:tcBorders>
          </w:tcPr>
          <w:p w14:paraId="3700AEFC"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single" w:sz="4" w:space="0" w:color="auto"/>
              <w:right w:val="nil"/>
            </w:tcBorders>
          </w:tcPr>
          <w:p w14:paraId="3045D1D0"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single" w:sz="4" w:space="0" w:color="auto"/>
              <w:right w:val="nil"/>
            </w:tcBorders>
          </w:tcPr>
          <w:p w14:paraId="018EF15B"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single" w:sz="4" w:space="0" w:color="auto"/>
              <w:right w:val="nil"/>
            </w:tcBorders>
          </w:tcPr>
          <w:p w14:paraId="63CDECE6"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4</w:t>
            </w:r>
          </w:p>
        </w:tc>
        <w:tc>
          <w:tcPr>
            <w:tcW w:w="1134" w:type="dxa"/>
            <w:tcBorders>
              <w:top w:val="nil"/>
              <w:left w:val="nil"/>
              <w:bottom w:val="single" w:sz="4" w:space="0" w:color="auto"/>
              <w:right w:val="nil"/>
            </w:tcBorders>
          </w:tcPr>
          <w:p w14:paraId="6E062046"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sym w:font="Symbol" w:char="F0AF"/>
            </w:r>
          </w:p>
        </w:tc>
        <w:tc>
          <w:tcPr>
            <w:tcW w:w="1701" w:type="dxa"/>
            <w:tcBorders>
              <w:top w:val="nil"/>
              <w:left w:val="nil"/>
              <w:bottom w:val="single" w:sz="4" w:space="0" w:color="auto"/>
              <w:right w:val="nil"/>
            </w:tcBorders>
          </w:tcPr>
          <w:p w14:paraId="7C11183C"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single" w:sz="4" w:space="0" w:color="auto"/>
              <w:right w:val="nil"/>
            </w:tcBorders>
          </w:tcPr>
          <w:p w14:paraId="36DBAAE9"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single" w:sz="4" w:space="0" w:color="auto"/>
              <w:right w:val="nil"/>
            </w:tcBorders>
          </w:tcPr>
          <w:p w14:paraId="243882E4" w14:textId="77777777" w:rsidR="00F4687C" w:rsidRPr="00560CF7" w:rsidRDefault="00F4687C" w:rsidP="00BD0CFF">
            <w:pPr>
              <w:rPr>
                <w:rFonts w:ascii="Times New Roman" w:hAnsi="Times New Roman" w:cs="Times New Roman"/>
                <w:sz w:val="20"/>
                <w:szCs w:val="20"/>
              </w:rPr>
            </w:pPr>
            <w:r w:rsidRPr="00560CF7">
              <w:rPr>
                <w:rFonts w:ascii="Times New Roman" w:hAnsi="Times New Roman" w:cs="Times New Roman"/>
                <w:sz w:val="20"/>
                <w:szCs w:val="20"/>
              </w:rPr>
              <w:t>672</w:t>
            </w:r>
          </w:p>
        </w:tc>
        <w:tc>
          <w:tcPr>
            <w:tcW w:w="2552" w:type="dxa"/>
            <w:tcBorders>
              <w:top w:val="nil"/>
              <w:left w:val="nil"/>
              <w:bottom w:val="single" w:sz="4" w:space="0" w:color="auto"/>
              <w:right w:val="nil"/>
            </w:tcBorders>
          </w:tcPr>
          <w:p w14:paraId="27021AEE" w14:textId="77777777" w:rsidR="00F4687C" w:rsidRPr="00560CF7" w:rsidRDefault="00F4687C" w:rsidP="00BD0CFF">
            <w:pPr>
              <w:rPr>
                <w:rFonts w:ascii="Times New Roman" w:hAnsi="Times New Roman" w:cs="Times New Roman"/>
                <w:sz w:val="20"/>
                <w:szCs w:val="20"/>
              </w:rPr>
            </w:pPr>
            <w:r w:rsidRPr="00560CF7">
              <w:rPr>
                <w:rFonts w:ascii="Times New Roman" w:hAnsi="Times New Roman" w:cs="Times New Roman"/>
                <w:sz w:val="20"/>
                <w:szCs w:val="20"/>
              </w:rPr>
              <w:t xml:space="preserve">(-10 -76 -22) to (4 -66 -12) </w:t>
            </w:r>
            <w:proofErr w:type="spellStart"/>
            <w:r w:rsidRPr="00560CF7">
              <w:rPr>
                <w:rFonts w:ascii="Times New Roman" w:hAnsi="Times New Roman" w:cs="Times New Roman"/>
                <w:sz w:val="20"/>
                <w:szCs w:val="20"/>
              </w:rPr>
              <w:t>centered</w:t>
            </w:r>
            <w:proofErr w:type="spellEnd"/>
            <w:r w:rsidRPr="00560CF7">
              <w:rPr>
                <w:rFonts w:ascii="Times New Roman" w:hAnsi="Times New Roman" w:cs="Times New Roman"/>
                <w:sz w:val="20"/>
                <w:szCs w:val="20"/>
              </w:rPr>
              <w:t xml:space="preserve"> at </w:t>
            </w:r>
            <w:r w:rsidRPr="009E279F">
              <w:rPr>
                <w:rFonts w:ascii="Times New Roman" w:hAnsi="Times New Roman" w:cs="Times New Roman"/>
                <w:sz w:val="20"/>
                <w:szCs w:val="20"/>
              </w:rPr>
              <w:t>(</w:t>
            </w:r>
            <w:r w:rsidRPr="00560CF7">
              <w:rPr>
                <w:rFonts w:ascii="Times New Roman" w:hAnsi="Times New Roman" w:cs="Times New Roman"/>
                <w:sz w:val="20"/>
                <w:szCs w:val="20"/>
              </w:rPr>
              <w:t>1 -72 -16)</w:t>
            </w:r>
          </w:p>
        </w:tc>
      </w:tr>
      <w:tr w:rsidR="00AD51EF" w:rsidRPr="009E279F" w14:paraId="6F1CA00A" w14:textId="77777777" w:rsidTr="00AD51EF">
        <w:trPr>
          <w:trHeight w:val="437"/>
        </w:trPr>
        <w:tc>
          <w:tcPr>
            <w:tcW w:w="1419" w:type="dxa"/>
            <w:vMerge w:val="restart"/>
            <w:tcBorders>
              <w:left w:val="nil"/>
              <w:right w:val="nil"/>
            </w:tcBorders>
          </w:tcPr>
          <w:p w14:paraId="3E3DB24A" w14:textId="77777777" w:rsidR="00F4687C" w:rsidRDefault="00F4687C" w:rsidP="00BD0CFF">
            <w:pPr>
              <w:rPr>
                <w:rFonts w:ascii="Times New Roman" w:hAnsi="Times New Roman" w:cs="Times New Roman"/>
                <w:sz w:val="20"/>
                <w:szCs w:val="20"/>
              </w:rPr>
            </w:pPr>
            <w:proofErr w:type="spellStart"/>
            <w:r>
              <w:rPr>
                <w:rFonts w:ascii="Times New Roman" w:hAnsi="Times New Roman" w:cs="Times New Roman"/>
                <w:sz w:val="20"/>
                <w:szCs w:val="20"/>
              </w:rPr>
              <w:t>Thürling</w:t>
            </w:r>
            <w:proofErr w:type="spellEnd"/>
            <w:r>
              <w:rPr>
                <w:rFonts w:ascii="Times New Roman" w:hAnsi="Times New Roman" w:cs="Times New Roman"/>
                <w:sz w:val="20"/>
                <w:szCs w:val="20"/>
              </w:rPr>
              <w:t xml:space="preserve"> et a., 2014</w:t>
            </w:r>
          </w:p>
          <w:p w14:paraId="5FED9C38" w14:textId="77777777" w:rsidR="00F4687C" w:rsidRPr="009E279F" w:rsidRDefault="00F4687C" w:rsidP="00BD0CFF">
            <w:pP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{"citationItems":[{"id":"ITEM-1","itemData":{"DOI":"10.1016/j.nlm.2013.12.007","ISSN":"1074-7427","PMID":"24365777","abstract":"Acquisition of conditioned eyeblink responses is known to decline with age, and age-related decline has been related to a reduction of cerebellar size and function. The aim of the present study was to investigate age-related effects on storage-related processes and extinction of visual threat eyeblink responses (VTERs), conditioned responses which are naturally acquired in early childhood. Storage and extinction of VTERs were tested in 34 healthy participants with an age range from 21 to 74years (mean age 41.6±16.3years). High-resolution structural magnetic resonance images (MRI) were acquired in all subjects. Conventional volumetric measures and voxel-based morphometry (VBM) were performed at the level of the cerebellum. Storage and extinction of VTERs showed a significant age-dependent decline. Likewise, cerebellar volume decreased with age. Storage, but not extinction showed a significant positive correlation with age-dependent reduction of total cerebellar volume. VBM analysis showed that gray matter volume in circumscribed areas of intermediate lobules VI, and Crus I and II bilaterally were positively correlated with VTER storage (p &lt;0.05, FWE corrected). Considering extinction, no significant correlations with gray matter cerebellar volume were observed. The present findings show that reduction of storage of learned eyeblink responses with age is explained at least in part by age-dependent decline of cerebellar function. Future studies need to be performed to better understand which brain areas contribute to age-dependent reduction of extinction. (PsycINFO Database Record (c) 2016 APA, all rights reserved)","author":[{"dropping-particle":"","family":"Thürling","given":"M.","non-dropping-particle":"","parse-names":false,"suffix":""},{"dropping-particle":"","family":"Galuba","given":"J.","non-dropping-particle":"","parse-names":false,"suffix":""},{"dropping-particle":"","family":"Thieme","given":"A.","non-dropping-particle":"","parse-names":false,"suffix":""},{"dropping-particle":"","family":"Burciu","given":"R. G.","non-dropping-particle":"","parse-names":false,"suffix":""},{"dropping-particle":"","family":"Goricke","given":"S","non-dropping-particle":"","parse-names":false,"suffix":""},{"dropping-particle":"","family":"Beck","given":"A.","non-dropping-particle":"","parse-names":false,"suffix":""},{"dropping-particle":"","family":"Wondzinski","given":"E.","non-dropping-particle":"","parse-names":false,"suffix":""},{"dropping-particle":"","family":"Siebler","given":"M.","non-dropping-particle":"","parse-names":false,"suffix":""},{"dropping-particle":"","family":"Gerwig","given":"M.","non-dropping-particle":"","parse-names":false,"suffix":""},{"dropping-particle":"","family":"Bracha","given":"V.","non-dropping-particle":"","parse-names":false,"suffix":""},{"dropping-particle":"","family":"Timmann","given":"D.","non-dropping-particle":"","parse-names":false,"suffix":""},{"dropping-particle":"","family":"Göricke","given":"S.","non-dropping-particle":"","parse-names":false,"suffix":""},{"dropping-particle":"","family":"Beck","given":"A.","non-dropping-particle":"","parse-names":false,"suffix":""},{"dropping-particle":"","family":"Wondzinski","given":"E.","non-dropping-particle":"","parse-names":false,"suffix":""},{"dropping-particle":"","family":"Siebler","given":"M.","non-dropping-particle":"","parse-names":false,"suffix":""},{"dropping-particle":"","family":"Gerwig","given":"M.","non-dropping-particle":"","parse-names":false,"suffix":""},{"dropping-particle":"","family":"Bracha","given":"V.","non-dropping-particle":"","parse-names":false,"suffix":""},{"dropping-particle":"","family":"Timmann","given":"D.","non-dropping-particle":"","parse-names":false,"suffix":""},{"dropping-particle":"","family":"Goricke","given":"S","non-dropping-particle":"","parse-names":false,"suffix":""},{"dropping-particle":"","family":"Beck","given":"A.","non-dropping-particle":"","parse-names":false,"suffix":""},{"dropping-particle":"","family":"Wondzinski","given":"E.","non-dropping-particle":"","parse-names":false,"suffix":""},{"dropping-particle":"","family":"Siebler","given":"M.","non-dropping-particle":"","parse-names":false,"suffix":""},{"dropping-particle":"","family":"Gerwig","given":"M.","non-dropping-particle":"","parse-names":false,"suffix":""},{"dropping-particle":"","family":"Bracha","given":"V.","non-dropping-particle":"","parse-names":false,"suffix":""},{"dropping-particle":"","family":"Timmann","given":"D.","non-dropping-particle":"","parse-names":false,"suffix":""}],"container-title":"Neurobiology of Learning and Memory","id":"ITEM-1","issued":{"date-parts":[["2014","3"]]},"language":"eng","note":"From Duplicate 1 (Age effects in storage and extinction of a naturally acquired conditioned eyeblink response - Thürling, M; Galuba, J; Thieme, A; Burciu, R G; Goricke, S; Beck, A; Wondzinski, E; Siebler, M; Gerwig, M; Bracha, V; Timmann, D)\n\nFrom Duplicate 1 (Age effects in storage and extinction of a naturally acquired conditioned eyeblink response - Thürling, M; Galuba, J; Thieme, A; Burciu, R G; Göricke, S; Beck, A; Wondzinski, E; Siebler, M; Gerwig, M; Bracha, V; Timmann, D)\n\nAccession Number: 2014-07515-013. PMID: 24365777 Other Journal Title: Behavioral &amp;amp; Neural Biology; Behavioral Biology; Communications in Behavioral Biology. Part A. Original Articles. Partial author list: First Author &amp;amp; Affiliation: Thürling, M.; Department of Neurology, University Clinic Essen, University of Duisburg-Essen, Essen, Germany. Other Publishers: Academic Press. Release Date: 20140908. Publication Type: Journal (0100), Peer Reviewed Journal (0110). Format Covered: Electronic. Document Type: Journal Article. Language: English. Major Descriptor: Age Differences; Conditioned Responses; Eyelid Conditioning. Minor Descriptor: Magnetic Resonance Imaging. Classification: Developmental Psychology (2800). Population: Human (10); Male (30); Female (40). Age Group: Adulthood (18 yrs &amp;amp; older) (300); Young Adulthood (18-29 yrs) (320); Thirties (30-39 yrs) (340); Middle Age (40-64 yrs) (360); Aged (65 yrs &amp;amp; older) (380). Tests &amp;amp; Measures: Visual Threat Eyeblink Responses Paradigm. Methodology: Brain Imaging; Empirical Study; Quantitative Study. References Available: Y. Page Count: 9. Issue Publication Date: Mar, 2014. Publication History: First Posted Date: Dec 21, 2013; Accepted Date: Dec 13, 2013; Revised Date: Dec 8, 2013; First Submitted Date: Jul 25, 2013. Copyright Statement: All rights reserved. Elsevier Inc. 2013.\n\nFrom Duplicate 2 (Age effects in storage and extinction of a naturally acquired conditioned eyeblink response - Thürling, M.; Galuba, J.; Thieme, A.; Burciu, R. G.; Goricke, S; Beck, A.; Wondzinski, E.; Siebler, M.; Gerwig, M.; Bracha, V.; Timmann, D.; Göricke, S.; Beck, A.; Wondzinski, E.; Siebler, M.; Gerwig, M.; Bracha, V.; Timmann, D.; Goricke, S; Beck, A.; Wondzinski, E.; Siebler, M.; Gerwig, M.; Bracha, V.; Timmann, D.)\n\nFrom Duplicate 1 (Age effects in storage and extinction of a naturally acquired conditioned eyeblink response - Thürling, M.; Galuba, J.; Thieme, A.; Burciu, R. G.; Göricke, S.; Beck, A.; Wondzinski, E.; Siebler, M.; Gerwig, M.; Bracha, V.; Timmann, D.; Goricke, S; Beck, A.; Wondzinski, E.; Siebler, M.; Gerwig, M.; Bracha, V.; Timmann, D.)\n\nFrom Duplicate 1 (Age effects in storage and extinction of a naturally acquired conditioned eyeblink response - Thürling, M.; Galuba, J.; Thieme, A.; Burciu, R. G.; Göricke, S.; Beck, A.; Wondzinski, E.; Siebler, M.; Gerwig, M.; Bracha, V.; Timmann, D.; Goricke, S; Beck, A.; Wondzinski, E.; Siebler, M.; Gerwig, M.; Bracha, V.; Timmann, D.)\n\nFrom Duplicate 1 (Age effects in storage and extinction of a naturally acquired conditioned eyeblink response - Thürling, M; Galuba, J; Thieme, A; Burciu, R G; Goricke, S; Beck, A; Wondzinski, E; Siebler, M; Gerwig, M; Bracha, V; Timmann, D)\n\nFrom Duplicate 1 (Age effects in storage and extinction of a naturally acquired conditioned eyeblink response - Thürling, M; Galuba, J; Thieme, A; Burciu, R G; Göricke, S; Beck, A; Wondzinski, E; Siebler, M; Gerwig, M; Bracha, V; Timmann, D)\n\nAccession Number: 2014-07515-013. PMID: 24365777 Other Journal Title: Behavioral &amp;amp; Neural Biology; Behavioral Biology; Communications in Behavioral Biology. Part A. Original Articles. Partial author list: First Author &amp;amp; Affiliation: Thürling, M.; Department of Neurology, University Clinic Essen, University of Duisburg-Essen, Essen, Germany. Other Publishers: Academic Press. Release Date: 20140908. Publication Type: Journal (0100), Peer Reviewed Journal (0110). Format Covered: Electronic. Document Type: Journal Article. Language: English. Major Descriptor: Age Differences; Conditioned Responses; Eyelid Conditioning. Minor Descriptor: Magnetic Resonance Imaging. Classification: Developmental Psychology (2800). Population: Human (10); Male (30); Female (40). Age Group: Adulthood (18 yrs &amp;amp; older) (300); Young Adulthood (18-29 yrs) (320); Thirties (30-39 yrs) (340); Middle Age (40-64 yrs) (360); Aged (65 yrs &amp;amp; older) (380). Tests &amp;amp; Measures: Visual Threat Eyeblink Responses Paradigm. Methodology: Brain Imaging; Empirical Study; Quantitative Study. References Available: Y. Page Count: 9. Issue Publication Date: Mar, 2014. Publication History: First Posted Date: Dec 21, 2013; Accepted Date: Dec 13, 2013; Revised Date: Dec 8, 2013; First Submitted Date: Jul 25, 2013. Copyright Statement: All rights reserved. Elsevier Inc. 2013.\n\nFrom Duplicate 2 (Age effects in storage and extinction of a naturally acquired conditioned eyeblink response - Thürling, M; Galuba, J; Thieme, A; Burciu, R G; Göricke, S; Beck, A; Wondzinski, E; Siebler, M; Gerwig, M; Bracha, V; Timmann, D)\nAnd Duplicate 3 (Age effects in storage and extinction of a naturally acquired conditioned eyeblink response - Thürling, M; Galuba, J; Thieme, A; Burciu, R G; Göricke, S; Beck, A; Wondzinski, E; Siebler, M; Gerwig, M; Bracha, V; Timmann, D)\n\nAccession Number: 2014-07515-013. PMID: 24365777 Other Journal Title: Behavioral &amp;amp; Neural Biology; Behavioral Biology; Communications in Behavioral Biology. Part A. Original Articles. Partial author list: First Author &amp;amp; Affiliation: Thürling, M.; Department of Neurology, University Clinic Essen, University of Duisburg-Essen, Essen, Germany. Other Publishers: Academic Press. Release Date: 20140908. Publication Type: Journal (0100), Peer Reviewed Journal (0110). Format Covered: Electronic. Document Type: Journal Article. Language: English. Major Descriptor: Age Differences; Conditioned Responses; Eyelid Conditioning. Minor Descriptor: Magnetic Resonance Imaging. Classification: Developmental Psychology (2800). Population: Human (10); Male (30); Female (40). Age Group: Adulthood (18 yrs &amp;amp; older) (300); Young Adulthood (18-29 yrs) (320); Thirties (30-39 yrs) (340); Middle Age (40-64 yrs) (360); Aged (65 yrs &amp;amp; older) (380). Tests &amp;amp; Measures: Visual Threat Eyeblink Responses Paradigm. Methodology: Brain Imaging; Empirical Study; Quantitative Study. References Available: Y. Page Count: 9. Issue Publication Date: Mar, 2014. Publication History: First Posted Date: Dec 21, 2013; Accepted Date: Dec 13, 2013; Revised Date: Dec 8, 2013; First Submitted Date: Jul 25, 2013. Copyright Statement: All rights reserved. Elsevier Inc. 2013.\n\nFrom Duplicate 2 (Age effects in storage and extinction of a naturally acquired conditioned eyeblink response - Thürling, M; Galuba, J; Thieme, A; Burciu, R G; Goricke, S; Beck, A; Wondzinski, E; Siebler, M; Gerwig, M; Bracha, V; Timmann, D)\n\nFrom Duplicate 1 (Age effects in storage and extinction of a naturally acquired conditioned eyeblink response - Thürling, M; Galuba, J; Thieme, A; Burciu, R G; Göricke, S; Beck, A; Wondzinski, E; Siebler, M; Gerwig, M; Bracha, V; Timmann, D)\n\nAccession Number: 2014-07515-013. PMID: 24365777 Other Journal Title: Behavioral &amp;amp; Neural Biology; Behavioral Biology; Communications in Behavioral Biology. Part A. Original Articles. Partial author list: First Author &amp;amp; Affiliation: Thürling, M.; Department of Neurology, University Clinic Essen, University of Duisburg-Essen, Essen, Germany. Other Publishers: Academic Press. Release Date: 20140908. Publication Type: Journal (0100), Peer Reviewed Journal (0110). Format Covered: Electronic. Document Type: Journal Article. Language: English. Major Descriptor: Age Differences; Conditioned Responses; Eyelid Conditioning. Minor Descriptor: Magnetic Resonance Imaging. Classification: Developmental Psychology (2800). Population: Human (10); Male (30); Female (40). Age Group: Adulthood (18 yrs &amp;amp; older) (300); Young Adulthood (18-29 yrs) (320); Thirties (30-39 yrs) (340); Middle Age (40-64 yrs) (360); Aged (65 yrs &amp;amp; older) (380). Tests &amp;amp; Measures: Visual Threat Eyeblink Responses Paradigm. Methodology: Brain Imaging; Empirical Study; Quantitative Study. References Available: Y. Page Count: 9. Issue Publication Date: Mar, 2014. Publication History: First Posted Date: Dec 21, 2013; Accepted Date: Dec 13, 2013; Revised Date: Dec 8, 2013; First Submitted Date: Jul 25, 2013. Copyright Statement: All rights reserved. Elsevier Inc. 2013.","page":"104-112","publisher":"Elsevier Science","publisher-place":"Timmann, D., Department of Neurology, University Clinic Essen, University of Duisburg-Essen, Hufelandstrasse 55, 45147, Essen, Germany, United States","title":"Age effects in storage and extinction of a naturally acquired conditioned eyeblink response","type":"article-journal","volume":"109"},"uris":["http://www.mendeley.com/documents/?uuid=8e35414a-d9af-49dd-af3d-44becd49e7c8"]}],"mendeley":{"formattedCitation":"[24]","plainTextFormattedCitation":"[24]","previouslyFormattedCitation":"[24]"},"properties":{"noteIndex":0},"schema":"https://github.com/citation-style-language/schema/raw/master/csl-citation.json"}</w:instrText>
            </w:r>
            <w:r>
              <w:rPr>
                <w:rFonts w:ascii="Times New Roman" w:hAnsi="Times New Roman" w:cs="Times New Roman"/>
                <w:sz w:val="20"/>
                <w:szCs w:val="20"/>
              </w:rPr>
              <w:fldChar w:fldCharType="separate"/>
            </w:r>
            <w:r w:rsidRPr="00B12442">
              <w:rPr>
                <w:rFonts w:ascii="Times New Roman" w:hAnsi="Times New Roman" w:cs="Times New Roman"/>
                <w:noProof/>
                <w:sz w:val="20"/>
                <w:szCs w:val="20"/>
              </w:rPr>
              <w:t>[24]</w:t>
            </w:r>
            <w:r>
              <w:rPr>
                <w:rFonts w:ascii="Times New Roman" w:hAnsi="Times New Roman" w:cs="Times New Roman"/>
                <w:sz w:val="20"/>
                <w:szCs w:val="20"/>
              </w:rPr>
              <w:fldChar w:fldCharType="end"/>
            </w:r>
          </w:p>
        </w:tc>
        <w:tc>
          <w:tcPr>
            <w:tcW w:w="987" w:type="dxa"/>
            <w:tcBorders>
              <w:top w:val="nil"/>
              <w:left w:val="nil"/>
              <w:bottom w:val="nil"/>
              <w:right w:val="nil"/>
            </w:tcBorders>
          </w:tcPr>
          <w:p w14:paraId="398EFA4B"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45</w:t>
            </w:r>
          </w:p>
        </w:tc>
        <w:tc>
          <w:tcPr>
            <w:tcW w:w="1080" w:type="dxa"/>
            <w:tcBorders>
              <w:top w:val="nil"/>
              <w:left w:val="nil"/>
              <w:bottom w:val="nil"/>
              <w:right w:val="nil"/>
            </w:tcBorders>
          </w:tcPr>
          <w:p w14:paraId="3D24E2F1"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2407</w:t>
            </w:r>
          </w:p>
        </w:tc>
        <w:tc>
          <w:tcPr>
            <w:tcW w:w="1476" w:type="dxa"/>
            <w:tcBorders>
              <w:top w:val="nil"/>
              <w:left w:val="nil"/>
              <w:bottom w:val="nil"/>
              <w:right w:val="nil"/>
            </w:tcBorders>
          </w:tcPr>
          <w:p w14:paraId="4B230D45"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560</w:t>
            </w:r>
          </w:p>
        </w:tc>
        <w:tc>
          <w:tcPr>
            <w:tcW w:w="2268" w:type="dxa"/>
            <w:tcBorders>
              <w:top w:val="nil"/>
              <w:left w:val="nil"/>
              <w:bottom w:val="nil"/>
              <w:right w:val="nil"/>
            </w:tcBorders>
          </w:tcPr>
          <w:p w14:paraId="1AC0E21E"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1</w:t>
            </w:r>
          </w:p>
        </w:tc>
        <w:tc>
          <w:tcPr>
            <w:tcW w:w="1134" w:type="dxa"/>
            <w:tcBorders>
              <w:top w:val="nil"/>
              <w:left w:val="nil"/>
              <w:bottom w:val="nil"/>
              <w:right w:val="nil"/>
            </w:tcBorders>
          </w:tcPr>
          <w:p w14:paraId="74AF4866"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sym w:font="Symbol" w:char="F0AF"/>
            </w:r>
          </w:p>
        </w:tc>
        <w:tc>
          <w:tcPr>
            <w:tcW w:w="1701" w:type="dxa"/>
            <w:tcBorders>
              <w:top w:val="nil"/>
              <w:left w:val="nil"/>
              <w:bottom w:val="nil"/>
              <w:right w:val="nil"/>
            </w:tcBorders>
          </w:tcPr>
          <w:p w14:paraId="03797768"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65E6781E"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559AFE99" w14:textId="77777777" w:rsidR="00F4687C" w:rsidRPr="00560CF7" w:rsidRDefault="00F4687C" w:rsidP="00BD0CFF">
            <w:pPr>
              <w:rPr>
                <w:rFonts w:ascii="Times New Roman" w:hAnsi="Times New Roman" w:cs="Times New Roman"/>
                <w:sz w:val="20"/>
                <w:szCs w:val="20"/>
              </w:rPr>
            </w:pPr>
            <w:r w:rsidRPr="00560CF7">
              <w:rPr>
                <w:rFonts w:ascii="Times New Roman" w:hAnsi="Times New Roman" w:cs="Times New Roman"/>
                <w:sz w:val="20"/>
                <w:szCs w:val="20"/>
              </w:rPr>
              <w:t>1232</w:t>
            </w:r>
          </w:p>
        </w:tc>
        <w:tc>
          <w:tcPr>
            <w:tcW w:w="2552" w:type="dxa"/>
            <w:tcBorders>
              <w:top w:val="nil"/>
              <w:left w:val="nil"/>
              <w:bottom w:val="nil"/>
              <w:right w:val="nil"/>
            </w:tcBorders>
          </w:tcPr>
          <w:p w14:paraId="36261C68" w14:textId="77777777" w:rsidR="00F4687C" w:rsidRPr="00560CF7" w:rsidRDefault="00F4687C" w:rsidP="00BD0CFF">
            <w:pPr>
              <w:rPr>
                <w:rFonts w:ascii="Times New Roman" w:hAnsi="Times New Roman" w:cs="Times New Roman"/>
                <w:sz w:val="20"/>
                <w:szCs w:val="20"/>
              </w:rPr>
            </w:pPr>
            <w:r w:rsidRPr="00560CF7">
              <w:rPr>
                <w:rFonts w:ascii="Times New Roman" w:hAnsi="Times New Roman" w:cs="Times New Roman"/>
                <w:sz w:val="20"/>
                <w:szCs w:val="20"/>
              </w:rPr>
              <w:t xml:space="preserve">(24 -90 -42) to (40 -76 -30)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560CF7">
              <w:rPr>
                <w:rFonts w:ascii="Times New Roman" w:hAnsi="Times New Roman" w:cs="Times New Roman"/>
                <w:sz w:val="20"/>
                <w:szCs w:val="20"/>
              </w:rPr>
              <w:t>33 -83 -37</w:t>
            </w:r>
            <w:r w:rsidRPr="009E279F">
              <w:rPr>
                <w:rFonts w:ascii="Times New Roman" w:hAnsi="Times New Roman" w:cs="Times New Roman"/>
                <w:sz w:val="20"/>
                <w:szCs w:val="20"/>
              </w:rPr>
              <w:t>)</w:t>
            </w:r>
          </w:p>
        </w:tc>
      </w:tr>
      <w:tr w:rsidR="00AD51EF" w:rsidRPr="009E279F" w14:paraId="0EB6FE57" w14:textId="77777777" w:rsidTr="00AD51EF">
        <w:trPr>
          <w:trHeight w:val="397"/>
        </w:trPr>
        <w:tc>
          <w:tcPr>
            <w:tcW w:w="1419" w:type="dxa"/>
            <w:vMerge/>
            <w:tcBorders>
              <w:left w:val="nil"/>
              <w:right w:val="nil"/>
            </w:tcBorders>
          </w:tcPr>
          <w:p w14:paraId="38348CCE"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530A8756"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55F6D98A"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7A04612A"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151086E4"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2</w:t>
            </w:r>
          </w:p>
        </w:tc>
        <w:tc>
          <w:tcPr>
            <w:tcW w:w="1134" w:type="dxa"/>
            <w:tcBorders>
              <w:top w:val="nil"/>
              <w:left w:val="nil"/>
              <w:bottom w:val="nil"/>
              <w:right w:val="nil"/>
            </w:tcBorders>
          </w:tcPr>
          <w:p w14:paraId="36138B68"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sym w:font="Symbol" w:char="F0AF"/>
            </w:r>
          </w:p>
        </w:tc>
        <w:tc>
          <w:tcPr>
            <w:tcW w:w="1701" w:type="dxa"/>
            <w:tcBorders>
              <w:top w:val="nil"/>
              <w:left w:val="nil"/>
              <w:bottom w:val="nil"/>
              <w:right w:val="nil"/>
            </w:tcBorders>
          </w:tcPr>
          <w:p w14:paraId="26D7DF90"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42A8556E"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4EE226B1" w14:textId="77777777" w:rsidR="00F4687C" w:rsidRPr="00560CF7" w:rsidRDefault="00F4687C" w:rsidP="00BD0CFF">
            <w:pPr>
              <w:rPr>
                <w:rFonts w:ascii="Times New Roman" w:hAnsi="Times New Roman" w:cs="Times New Roman"/>
                <w:sz w:val="20"/>
                <w:szCs w:val="20"/>
              </w:rPr>
            </w:pPr>
            <w:r w:rsidRPr="00560CF7">
              <w:rPr>
                <w:rFonts w:ascii="Times New Roman" w:hAnsi="Times New Roman" w:cs="Times New Roman"/>
                <w:sz w:val="20"/>
                <w:szCs w:val="20"/>
              </w:rPr>
              <w:t>848</w:t>
            </w:r>
          </w:p>
        </w:tc>
        <w:tc>
          <w:tcPr>
            <w:tcW w:w="2552" w:type="dxa"/>
            <w:tcBorders>
              <w:top w:val="nil"/>
              <w:left w:val="nil"/>
              <w:bottom w:val="nil"/>
              <w:right w:val="nil"/>
            </w:tcBorders>
          </w:tcPr>
          <w:p w14:paraId="54F323F3" w14:textId="77777777" w:rsidR="00F4687C" w:rsidRPr="00560CF7" w:rsidRDefault="00F4687C" w:rsidP="00BD0CFF">
            <w:pPr>
              <w:rPr>
                <w:rFonts w:ascii="Times New Roman" w:hAnsi="Times New Roman" w:cs="Times New Roman"/>
                <w:sz w:val="20"/>
                <w:szCs w:val="20"/>
              </w:rPr>
            </w:pPr>
            <w:r w:rsidRPr="00560CF7">
              <w:rPr>
                <w:rFonts w:ascii="Times New Roman" w:hAnsi="Times New Roman" w:cs="Times New Roman"/>
                <w:sz w:val="20"/>
                <w:szCs w:val="20"/>
              </w:rPr>
              <w:t xml:space="preserve">(26 -68 -34) to (40 -56 -28)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560CF7">
              <w:rPr>
                <w:rFonts w:ascii="Times New Roman" w:hAnsi="Times New Roman" w:cs="Times New Roman"/>
                <w:sz w:val="20"/>
                <w:szCs w:val="20"/>
              </w:rPr>
              <w:t>34 -61 -30</w:t>
            </w:r>
            <w:r w:rsidRPr="009E279F">
              <w:rPr>
                <w:rFonts w:ascii="Times New Roman" w:hAnsi="Times New Roman" w:cs="Times New Roman"/>
                <w:sz w:val="20"/>
                <w:szCs w:val="20"/>
              </w:rPr>
              <w:t>)</w:t>
            </w:r>
          </w:p>
        </w:tc>
      </w:tr>
      <w:tr w:rsidR="00AD51EF" w:rsidRPr="009E279F" w14:paraId="3B74068D" w14:textId="77777777" w:rsidTr="00AD51EF">
        <w:trPr>
          <w:trHeight w:val="360"/>
        </w:trPr>
        <w:tc>
          <w:tcPr>
            <w:tcW w:w="1419" w:type="dxa"/>
            <w:vMerge/>
            <w:tcBorders>
              <w:left w:val="nil"/>
              <w:bottom w:val="nil"/>
              <w:right w:val="nil"/>
            </w:tcBorders>
          </w:tcPr>
          <w:p w14:paraId="1D481A03"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721AA6B9"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037B0BE9"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22849122"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52C094A0"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5</w:t>
            </w:r>
          </w:p>
        </w:tc>
        <w:tc>
          <w:tcPr>
            <w:tcW w:w="1134" w:type="dxa"/>
            <w:tcBorders>
              <w:top w:val="nil"/>
              <w:left w:val="nil"/>
              <w:bottom w:val="nil"/>
              <w:right w:val="nil"/>
            </w:tcBorders>
          </w:tcPr>
          <w:p w14:paraId="41129EB5"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sym w:font="Symbol" w:char="F0AF"/>
            </w:r>
          </w:p>
        </w:tc>
        <w:tc>
          <w:tcPr>
            <w:tcW w:w="1701" w:type="dxa"/>
            <w:tcBorders>
              <w:top w:val="nil"/>
              <w:left w:val="nil"/>
              <w:bottom w:val="nil"/>
              <w:right w:val="nil"/>
            </w:tcBorders>
          </w:tcPr>
          <w:p w14:paraId="025F64C4"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Yes</w:t>
            </w:r>
          </w:p>
        </w:tc>
        <w:tc>
          <w:tcPr>
            <w:tcW w:w="1418" w:type="dxa"/>
            <w:tcBorders>
              <w:top w:val="nil"/>
              <w:left w:val="nil"/>
              <w:bottom w:val="nil"/>
              <w:right w:val="nil"/>
            </w:tcBorders>
          </w:tcPr>
          <w:p w14:paraId="20A972F8"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1FAC5DAE" w14:textId="77777777" w:rsidR="00F4687C" w:rsidRPr="00560CF7" w:rsidRDefault="00F4687C" w:rsidP="00BD0CFF">
            <w:pPr>
              <w:rPr>
                <w:rFonts w:ascii="Times New Roman" w:hAnsi="Times New Roman" w:cs="Times New Roman"/>
                <w:sz w:val="20"/>
                <w:szCs w:val="20"/>
              </w:rPr>
            </w:pPr>
            <w:r w:rsidRPr="00560CF7">
              <w:rPr>
                <w:rFonts w:ascii="Times New Roman" w:hAnsi="Times New Roman" w:cs="Times New Roman"/>
                <w:sz w:val="20"/>
                <w:szCs w:val="20"/>
              </w:rPr>
              <w:t>600</w:t>
            </w:r>
          </w:p>
        </w:tc>
        <w:tc>
          <w:tcPr>
            <w:tcW w:w="2552" w:type="dxa"/>
            <w:tcBorders>
              <w:top w:val="nil"/>
              <w:left w:val="nil"/>
              <w:bottom w:val="nil"/>
              <w:right w:val="nil"/>
            </w:tcBorders>
          </w:tcPr>
          <w:p w14:paraId="32928E90" w14:textId="77777777" w:rsidR="00F4687C" w:rsidRPr="00560CF7" w:rsidRDefault="00F4687C" w:rsidP="00BD0CFF">
            <w:pPr>
              <w:rPr>
                <w:rFonts w:ascii="Times New Roman" w:hAnsi="Times New Roman" w:cs="Times New Roman"/>
                <w:sz w:val="20"/>
                <w:szCs w:val="20"/>
              </w:rPr>
            </w:pPr>
            <w:r w:rsidRPr="00560CF7">
              <w:rPr>
                <w:rFonts w:ascii="Times New Roman" w:hAnsi="Times New Roman" w:cs="Times New Roman"/>
                <w:sz w:val="20"/>
                <w:szCs w:val="20"/>
              </w:rPr>
              <w:t xml:space="preserve">(-38 -86 -42) to (-28 -72 -34)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560CF7">
              <w:rPr>
                <w:rFonts w:ascii="Times New Roman" w:hAnsi="Times New Roman" w:cs="Times New Roman"/>
                <w:sz w:val="20"/>
                <w:szCs w:val="20"/>
              </w:rPr>
              <w:t>-33 -81 -39</w:t>
            </w:r>
            <w:r w:rsidRPr="009E279F">
              <w:rPr>
                <w:rFonts w:ascii="Times New Roman" w:hAnsi="Times New Roman" w:cs="Times New Roman"/>
                <w:sz w:val="20"/>
                <w:szCs w:val="20"/>
              </w:rPr>
              <w:t>)</w:t>
            </w:r>
          </w:p>
        </w:tc>
      </w:tr>
      <w:tr w:rsidR="00AD51EF" w:rsidRPr="009E279F" w14:paraId="5CDF34D8" w14:textId="77777777" w:rsidTr="00AD51EF">
        <w:trPr>
          <w:trHeight w:val="467"/>
        </w:trPr>
        <w:tc>
          <w:tcPr>
            <w:tcW w:w="1419" w:type="dxa"/>
            <w:tcBorders>
              <w:top w:val="nil"/>
              <w:left w:val="nil"/>
              <w:bottom w:val="nil"/>
              <w:right w:val="nil"/>
            </w:tcBorders>
          </w:tcPr>
          <w:p w14:paraId="6D2C19B3"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4FE2D6FF"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4C5ECEED"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6C352F37"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4F613802"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4</w:t>
            </w:r>
          </w:p>
        </w:tc>
        <w:tc>
          <w:tcPr>
            <w:tcW w:w="1134" w:type="dxa"/>
            <w:tcBorders>
              <w:top w:val="nil"/>
              <w:left w:val="nil"/>
              <w:bottom w:val="nil"/>
              <w:right w:val="nil"/>
            </w:tcBorders>
          </w:tcPr>
          <w:p w14:paraId="5FAE7546"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sym w:font="Symbol" w:char="F0AF"/>
            </w:r>
          </w:p>
        </w:tc>
        <w:tc>
          <w:tcPr>
            <w:tcW w:w="1701" w:type="dxa"/>
            <w:tcBorders>
              <w:top w:val="nil"/>
              <w:left w:val="nil"/>
              <w:bottom w:val="nil"/>
              <w:right w:val="nil"/>
            </w:tcBorders>
          </w:tcPr>
          <w:p w14:paraId="42D5E262"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Yes</w:t>
            </w:r>
          </w:p>
        </w:tc>
        <w:tc>
          <w:tcPr>
            <w:tcW w:w="1418" w:type="dxa"/>
            <w:tcBorders>
              <w:top w:val="nil"/>
              <w:left w:val="nil"/>
              <w:bottom w:val="nil"/>
              <w:right w:val="nil"/>
            </w:tcBorders>
          </w:tcPr>
          <w:p w14:paraId="225AAF48"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0C03234B" w14:textId="77777777" w:rsidR="00F4687C" w:rsidRPr="00560CF7" w:rsidRDefault="00F4687C" w:rsidP="00BD0CFF">
            <w:pPr>
              <w:rPr>
                <w:rFonts w:ascii="Times New Roman" w:hAnsi="Times New Roman" w:cs="Times New Roman"/>
                <w:sz w:val="20"/>
                <w:szCs w:val="20"/>
              </w:rPr>
            </w:pPr>
            <w:r w:rsidRPr="00560CF7">
              <w:rPr>
                <w:rFonts w:ascii="Times New Roman" w:hAnsi="Times New Roman" w:cs="Times New Roman"/>
                <w:sz w:val="20"/>
                <w:szCs w:val="20"/>
              </w:rPr>
              <w:t>648</w:t>
            </w:r>
          </w:p>
        </w:tc>
        <w:tc>
          <w:tcPr>
            <w:tcW w:w="2552" w:type="dxa"/>
            <w:tcBorders>
              <w:top w:val="nil"/>
              <w:left w:val="nil"/>
              <w:bottom w:val="nil"/>
              <w:right w:val="nil"/>
            </w:tcBorders>
          </w:tcPr>
          <w:p w14:paraId="6F6DA852" w14:textId="77777777" w:rsidR="00F4687C" w:rsidRPr="00560CF7" w:rsidRDefault="00F4687C" w:rsidP="00BD0CFF">
            <w:pPr>
              <w:rPr>
                <w:rFonts w:ascii="Times New Roman" w:hAnsi="Times New Roman" w:cs="Times New Roman"/>
                <w:sz w:val="20"/>
                <w:szCs w:val="20"/>
              </w:rPr>
            </w:pPr>
            <w:r w:rsidRPr="00560CF7">
              <w:rPr>
                <w:rFonts w:ascii="Times New Roman" w:hAnsi="Times New Roman" w:cs="Times New Roman"/>
                <w:sz w:val="20"/>
                <w:szCs w:val="20"/>
              </w:rPr>
              <w:t xml:space="preserve">(-2 -78 -18) to (8 -66 -10) </w:t>
            </w:r>
            <w:proofErr w:type="spellStart"/>
            <w:r w:rsidRPr="00560CF7">
              <w:rPr>
                <w:rFonts w:ascii="Times New Roman" w:hAnsi="Times New Roman" w:cs="Times New Roman"/>
                <w:sz w:val="20"/>
                <w:szCs w:val="20"/>
              </w:rPr>
              <w:t>centered</w:t>
            </w:r>
            <w:proofErr w:type="spellEnd"/>
            <w:r w:rsidRPr="00560CF7">
              <w:rPr>
                <w:rFonts w:ascii="Times New Roman" w:hAnsi="Times New Roman" w:cs="Times New Roman"/>
                <w:sz w:val="20"/>
                <w:szCs w:val="20"/>
              </w:rPr>
              <w:t xml:space="preserve"> at </w:t>
            </w:r>
            <w:r w:rsidRPr="009E279F">
              <w:rPr>
                <w:rFonts w:ascii="Times New Roman" w:hAnsi="Times New Roman" w:cs="Times New Roman"/>
                <w:sz w:val="20"/>
                <w:szCs w:val="20"/>
              </w:rPr>
              <w:t>(</w:t>
            </w:r>
            <w:r w:rsidRPr="00560CF7">
              <w:rPr>
                <w:rFonts w:ascii="Times New Roman" w:hAnsi="Times New Roman" w:cs="Times New Roman"/>
                <w:sz w:val="20"/>
                <w:szCs w:val="20"/>
              </w:rPr>
              <w:t>4 -72 -15)</w:t>
            </w:r>
          </w:p>
        </w:tc>
      </w:tr>
      <w:tr w:rsidR="00AD51EF" w:rsidRPr="009E279F" w14:paraId="2631834D" w14:textId="77777777" w:rsidTr="00AD51EF">
        <w:trPr>
          <w:trHeight w:val="548"/>
        </w:trPr>
        <w:tc>
          <w:tcPr>
            <w:tcW w:w="1419" w:type="dxa"/>
            <w:tcBorders>
              <w:top w:val="nil"/>
              <w:left w:val="nil"/>
              <w:bottom w:val="single" w:sz="4" w:space="0" w:color="auto"/>
              <w:right w:val="nil"/>
            </w:tcBorders>
          </w:tcPr>
          <w:p w14:paraId="79FB2166"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single" w:sz="4" w:space="0" w:color="auto"/>
              <w:right w:val="nil"/>
            </w:tcBorders>
          </w:tcPr>
          <w:p w14:paraId="323D4B94"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single" w:sz="4" w:space="0" w:color="auto"/>
              <w:right w:val="nil"/>
            </w:tcBorders>
          </w:tcPr>
          <w:p w14:paraId="74893A9D"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single" w:sz="4" w:space="0" w:color="auto"/>
              <w:right w:val="nil"/>
            </w:tcBorders>
          </w:tcPr>
          <w:p w14:paraId="4F9A8EAC"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single" w:sz="4" w:space="0" w:color="auto"/>
              <w:right w:val="nil"/>
            </w:tcBorders>
          </w:tcPr>
          <w:p w14:paraId="77603D37"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3</w:t>
            </w:r>
          </w:p>
        </w:tc>
        <w:tc>
          <w:tcPr>
            <w:tcW w:w="1134" w:type="dxa"/>
            <w:tcBorders>
              <w:top w:val="nil"/>
              <w:left w:val="nil"/>
              <w:bottom w:val="single" w:sz="4" w:space="0" w:color="auto"/>
              <w:right w:val="nil"/>
            </w:tcBorders>
          </w:tcPr>
          <w:p w14:paraId="421953ED"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sym w:font="Symbol" w:char="F0AF"/>
            </w:r>
          </w:p>
        </w:tc>
        <w:tc>
          <w:tcPr>
            <w:tcW w:w="1701" w:type="dxa"/>
            <w:tcBorders>
              <w:top w:val="nil"/>
              <w:left w:val="nil"/>
              <w:bottom w:val="single" w:sz="4" w:space="0" w:color="auto"/>
              <w:right w:val="nil"/>
            </w:tcBorders>
          </w:tcPr>
          <w:p w14:paraId="60B58922"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single" w:sz="4" w:space="0" w:color="auto"/>
              <w:right w:val="nil"/>
            </w:tcBorders>
          </w:tcPr>
          <w:p w14:paraId="2F5AB59E"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single" w:sz="4" w:space="0" w:color="auto"/>
              <w:right w:val="nil"/>
            </w:tcBorders>
          </w:tcPr>
          <w:p w14:paraId="45F64730" w14:textId="77777777" w:rsidR="00F4687C" w:rsidRPr="00560CF7" w:rsidRDefault="00F4687C" w:rsidP="00BD0CFF">
            <w:pPr>
              <w:rPr>
                <w:rFonts w:ascii="Times New Roman" w:hAnsi="Times New Roman" w:cs="Times New Roman"/>
                <w:sz w:val="20"/>
                <w:szCs w:val="20"/>
              </w:rPr>
            </w:pPr>
            <w:r w:rsidRPr="00560CF7">
              <w:rPr>
                <w:rFonts w:ascii="Times New Roman" w:hAnsi="Times New Roman" w:cs="Times New Roman"/>
                <w:sz w:val="20"/>
                <w:szCs w:val="20"/>
              </w:rPr>
              <w:t>832</w:t>
            </w:r>
          </w:p>
        </w:tc>
        <w:tc>
          <w:tcPr>
            <w:tcW w:w="2552" w:type="dxa"/>
            <w:tcBorders>
              <w:top w:val="nil"/>
              <w:left w:val="nil"/>
              <w:bottom w:val="single" w:sz="4" w:space="0" w:color="auto"/>
              <w:right w:val="nil"/>
            </w:tcBorders>
          </w:tcPr>
          <w:p w14:paraId="1415DFA5" w14:textId="77777777" w:rsidR="00F4687C" w:rsidRPr="00560CF7" w:rsidRDefault="00F4687C" w:rsidP="00BD0CFF">
            <w:pPr>
              <w:rPr>
                <w:rFonts w:ascii="Times New Roman" w:hAnsi="Times New Roman" w:cs="Times New Roman"/>
                <w:sz w:val="20"/>
                <w:szCs w:val="20"/>
              </w:rPr>
            </w:pPr>
            <w:r w:rsidRPr="00560CF7">
              <w:rPr>
                <w:rFonts w:ascii="Times New Roman" w:hAnsi="Times New Roman" w:cs="Times New Roman"/>
                <w:sz w:val="20"/>
                <w:szCs w:val="20"/>
              </w:rPr>
              <w:t xml:space="preserve">(-48 -54 -46) to (-34 -36 -36) </w:t>
            </w:r>
            <w:proofErr w:type="spellStart"/>
            <w:r w:rsidRPr="00560CF7">
              <w:rPr>
                <w:rFonts w:ascii="Times New Roman" w:hAnsi="Times New Roman" w:cs="Times New Roman"/>
                <w:sz w:val="20"/>
                <w:szCs w:val="20"/>
              </w:rPr>
              <w:t>centered</w:t>
            </w:r>
            <w:proofErr w:type="spellEnd"/>
            <w:r w:rsidRPr="00560CF7">
              <w:rPr>
                <w:rFonts w:ascii="Times New Roman" w:hAnsi="Times New Roman" w:cs="Times New Roman"/>
                <w:sz w:val="20"/>
                <w:szCs w:val="20"/>
              </w:rPr>
              <w:t xml:space="preserve"> at </w:t>
            </w:r>
            <w:r w:rsidRPr="009E279F">
              <w:rPr>
                <w:rFonts w:ascii="Times New Roman" w:hAnsi="Times New Roman" w:cs="Times New Roman"/>
                <w:sz w:val="20"/>
                <w:szCs w:val="20"/>
              </w:rPr>
              <w:t>(</w:t>
            </w:r>
            <w:r w:rsidRPr="00560CF7">
              <w:rPr>
                <w:rFonts w:ascii="Times New Roman" w:hAnsi="Times New Roman" w:cs="Times New Roman"/>
                <w:sz w:val="20"/>
                <w:szCs w:val="20"/>
              </w:rPr>
              <w:t>-40 -42 -41)</w:t>
            </w:r>
          </w:p>
        </w:tc>
      </w:tr>
      <w:tr w:rsidR="00AD51EF" w:rsidRPr="009E279F" w14:paraId="7522DAF8" w14:textId="77777777" w:rsidTr="00AD51EF">
        <w:trPr>
          <w:trHeight w:val="261"/>
        </w:trPr>
        <w:tc>
          <w:tcPr>
            <w:tcW w:w="1419" w:type="dxa"/>
            <w:vMerge w:val="restart"/>
            <w:tcBorders>
              <w:top w:val="single" w:sz="4" w:space="0" w:color="auto"/>
              <w:left w:val="nil"/>
              <w:right w:val="nil"/>
            </w:tcBorders>
          </w:tcPr>
          <w:p w14:paraId="5486E9F4" w14:textId="77777777" w:rsidR="00F4687C" w:rsidRDefault="00F4687C" w:rsidP="00BD0CFF">
            <w:pPr>
              <w:rPr>
                <w:rFonts w:ascii="Times New Roman" w:hAnsi="Times New Roman" w:cs="Times New Roman"/>
                <w:sz w:val="20"/>
                <w:szCs w:val="20"/>
              </w:rPr>
            </w:pPr>
            <w:r>
              <w:rPr>
                <w:rFonts w:ascii="Times New Roman" w:hAnsi="Times New Roman" w:cs="Times New Roman"/>
                <w:sz w:val="20"/>
                <w:szCs w:val="20"/>
              </w:rPr>
              <w:t>Yu et al., 2017</w:t>
            </w:r>
          </w:p>
          <w:p w14:paraId="56CA0C55" w14:textId="77777777" w:rsidR="00F4687C" w:rsidRPr="009E279F" w:rsidRDefault="00F4687C" w:rsidP="00BD0CFF">
            <w:pP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{"citationItems":[{"id":"ITEM-1","itemData":{"DOI":"10.1007/s12311-016-0813-x","ISSN":"1473-4222","abstract":"This study examined patterns of cerebellar volumetric gray matter (GM) loss across the adult lifespan in a large cross-sectional sample. Four hundred and seventy-nine healthy participants (age range: 7–86 years) were drawn from the Brain Resource International Database who provided T1-weighted MRI scans. The spatially unbiased infratentorial template (SUIT) toolbox in SPM8 was used for normalisation of the cerebellum structures. Global volumetric and voxel-based morphometry analyses were performed to evaluate age-associated trends and gender-specific age-patterns. Global cerebellar GM shows a cross-sectional reduction with advancing age of 2.5 % per decade—approximately half the rate seen in the whole brain. The male cerebellum is larger with a lower percentage of GM, however, after controlling for total brain volume, no gender difference was detected. Analysis of age-related changes in GM volume revealed large bilateral clusters involving the vermis and cerebellar crus where regional loss occurred at nearly twice the average cerebellar rate. No gender-specific patterns were detected. These data confirm that regionally specific GM loss occurs in the cerebellum with age, and form a solid base for further investigation to find functional correlates for this global and focal loss. (PsycINFO Database Record (c) 2017 APA, all rights reserved)","author":[{"dropping-particle":"","family":"Yu","given":"Teresa","non-dropping-particle":"","parse-names":false,"suffix":""},{"dropping-particle":"","family":"Korgaonkar","given":"Mayuresh S","non-dropping-particle":"","parse-names":false,"suffix":""},{"dropping-particle":"","family":"Grieve","given":"Stuart M","non-dropping-particle":"","parse-names":false,"suffix":""}],"container-title":"The Cerebellum","id":"ITEM-1","issue":"2","issued":{"date-parts":[["2017","4"]]},"note":"From Duplicate 1 (Gray matter atrophy in the cerebellum—Evidence of increased vulnerability of the crus and vermis with advancing age - Yu, Teresa; Korgaonkar, Mayuresh S; Grieve, Stuart M)\n\nAccession Number: 2016-34181-001. PMID: 27395405 Partial author list: First Author &amp;amp; Affiliation: Yu, Teresa; The Brain Dynamics Centre, Westmead Millennium Institute, Sydney, NSW, Australia. Other Publishers: Taylor &amp;amp; Francis. Release Date: 20160714. Correction Date: 20170403. Publication Type: Journal (0100), Peer Reviewed Journal (0110). Format Covered: Electronic. Document Type: Journal Article. Language: English. Grant Information: Korgaonkar, Mayuresh S. Major Descriptor: Cerebellum; Gray Matter. Minor Descriptor: Magnetic Resonance Imaging. Classification: Neuropsychology &amp;amp; Neurology (2520). Population: Human (10); Male (30); Female (40). Location: Australia. Age Group: Childhood (birth-12 yrs) (100); School Age (6-12 yrs) (180); Adolescence (13-17 yrs) (200); Adulthood (18 yrs &amp;amp; older) (300); Young Adulthood (18-29 yrs) (320); Thirties (30-39 yrs) (340); Middle Age (40-64 yrs) (360); Aged (65 yrs &amp;amp; older) (380); Very Old (85 yrs &amp;amp; older) (390). Methodology: Brain Imaging; Empirical Study; Quantitative Study. Page Count: 10. Issue Publication Date: Apr, 2017. Publication History: First Posted Date: Jul 9, 2016. Copyright Statement: Springer Science+Business Media New York. 2016.\n\nFrom Duplicate 2 (Gray matter atrophy in the cerebellum—Evidence of increased vulnerability of the crus and vermis with advancing age - Yu, Teresa; Korgaonkar, Mayuresh S; Grieve, Stuart M)\n\nFrom Duplicate 2 (Gray matter atrophy in the cerebellum—Evidence of increased vulnerability of the crus and vermis with advancing age - Yu, Teresa; Korgaonkar, Mayuresh S; Grieve, Stuart M)\n\nAccession Number: 2016-34181-001. PMID: 27395405 Partial author list: First Author &amp;amp; Affiliation: Yu, Teresa; The Brain Dynamics Centre, Westmead Millennium Institute, Sydney, NSW, Australia. Other Publishers: Taylor &amp;amp; Francis. Release Date: 20160714. Correction Date: 20170403. Publication Type: Journal (0100), Peer Reviewed Journal (0110). Format Covered: Electronic. Document Type: Journal Article. Language: English. Grant Information: Korgaonkar, Mayuresh S. Major Descriptor: Cerebellum; Gray Matter. Minor Descriptor: Magnetic Resonance Imaging. Classification: Neuropsychology &amp;amp; Neurology (2520). Population: Human (10); Male (30); Female (40). Location: Australia. Age Group: Childhood (birth-12 yrs) (100); School Age (6-12 yrs) (180); Adolescence (13-17 yrs) (200); Adulthood (18 yrs &amp;amp; older) (300); Young Adulthood (18-29 yrs) (320); Thirties (30-39 yrs) (340); Middle Age (40-64 yrs) (360); Aged (65 yrs &amp;amp; older) (380); Very Old (85 yrs &amp;amp; older) (390). Methodology: Brain Imaging; Empirical Study; Quantitative Study. Page Count: 10. Issue Publication Date: Apr, 2017. Publication History: First Posted Date: Jul 9, 2016. Copyright Statement: Springer Science+Business Media New York. 2016.","page":"388-397","publisher":"Springer","publisher-place":"Grieve, Stuart M., Sydney Translational Imaging Laboratory, Heart Research Institute, Charles Perkins Centre and Sydney Medical School, University of Sydney, Sydney, NSW, Australia, 2006","title":"Gray matter atrophy in the cerebellum—Evidence of increased vulnerability of the crus and vermis with advancing age","type":"article-journal","volume":"16"},"uris":["http://www.mendeley.com/documents/?uuid=50a3f05a-3c6c-414d-bf55-907473e5db2d"]}],"mendeley":{"formattedCitation":"[3]","plainTextFormattedCitation":"[3]","previouslyFormattedCitation":"[3]"},"properties":{"noteIndex":0},"schema":"https://github.com/citation-style-language/schema/raw/master/csl-citation.json"}</w:instrText>
            </w:r>
            <w:r>
              <w:rPr>
                <w:rFonts w:ascii="Times New Roman" w:hAnsi="Times New Roman" w:cs="Times New Roman"/>
                <w:sz w:val="20"/>
                <w:szCs w:val="20"/>
              </w:rPr>
              <w:fldChar w:fldCharType="separate"/>
            </w:r>
            <w:r w:rsidRPr="00B12442">
              <w:rPr>
                <w:rFonts w:ascii="Times New Roman" w:hAnsi="Times New Roman" w:cs="Times New Roman"/>
                <w:noProof/>
                <w:sz w:val="20"/>
                <w:szCs w:val="20"/>
              </w:rPr>
              <w:t>[3]</w:t>
            </w:r>
            <w:r>
              <w:rPr>
                <w:rFonts w:ascii="Times New Roman" w:hAnsi="Times New Roman" w:cs="Times New Roman"/>
                <w:sz w:val="20"/>
                <w:szCs w:val="20"/>
              </w:rPr>
              <w:fldChar w:fldCharType="end"/>
            </w:r>
          </w:p>
        </w:tc>
        <w:tc>
          <w:tcPr>
            <w:tcW w:w="987" w:type="dxa"/>
            <w:tcBorders>
              <w:top w:val="single" w:sz="4" w:space="0" w:color="auto"/>
              <w:left w:val="nil"/>
              <w:bottom w:val="nil"/>
              <w:right w:val="nil"/>
            </w:tcBorders>
          </w:tcPr>
          <w:p w14:paraId="2047F8CA"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55</w:t>
            </w:r>
          </w:p>
        </w:tc>
        <w:tc>
          <w:tcPr>
            <w:tcW w:w="1080" w:type="dxa"/>
            <w:tcBorders>
              <w:top w:val="single" w:sz="4" w:space="0" w:color="auto"/>
              <w:left w:val="nil"/>
              <w:bottom w:val="nil"/>
              <w:right w:val="nil"/>
            </w:tcBorders>
          </w:tcPr>
          <w:p w14:paraId="0420240B"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2003</w:t>
            </w:r>
          </w:p>
        </w:tc>
        <w:tc>
          <w:tcPr>
            <w:tcW w:w="1476" w:type="dxa"/>
            <w:tcBorders>
              <w:top w:val="single" w:sz="4" w:space="0" w:color="auto"/>
              <w:left w:val="nil"/>
              <w:bottom w:val="nil"/>
              <w:right w:val="nil"/>
            </w:tcBorders>
          </w:tcPr>
          <w:p w14:paraId="6013787C"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584</w:t>
            </w:r>
          </w:p>
        </w:tc>
        <w:tc>
          <w:tcPr>
            <w:tcW w:w="2268" w:type="dxa"/>
            <w:tcBorders>
              <w:top w:val="single" w:sz="4" w:space="0" w:color="auto"/>
              <w:left w:val="nil"/>
              <w:bottom w:val="nil"/>
              <w:right w:val="nil"/>
            </w:tcBorders>
          </w:tcPr>
          <w:p w14:paraId="6602199E"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4</w:t>
            </w:r>
          </w:p>
        </w:tc>
        <w:tc>
          <w:tcPr>
            <w:tcW w:w="1134" w:type="dxa"/>
            <w:tcBorders>
              <w:top w:val="single" w:sz="4" w:space="0" w:color="auto"/>
              <w:left w:val="nil"/>
              <w:bottom w:val="nil"/>
              <w:right w:val="nil"/>
            </w:tcBorders>
          </w:tcPr>
          <w:p w14:paraId="799DA3CD"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sym w:font="Symbol" w:char="F0AF"/>
            </w:r>
          </w:p>
        </w:tc>
        <w:tc>
          <w:tcPr>
            <w:tcW w:w="1701" w:type="dxa"/>
            <w:tcBorders>
              <w:top w:val="single" w:sz="4" w:space="0" w:color="auto"/>
              <w:left w:val="nil"/>
              <w:bottom w:val="nil"/>
              <w:right w:val="nil"/>
            </w:tcBorders>
          </w:tcPr>
          <w:p w14:paraId="2FA1F4C5"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Yes</w:t>
            </w:r>
          </w:p>
        </w:tc>
        <w:tc>
          <w:tcPr>
            <w:tcW w:w="1418" w:type="dxa"/>
            <w:tcBorders>
              <w:top w:val="single" w:sz="4" w:space="0" w:color="auto"/>
              <w:left w:val="nil"/>
              <w:bottom w:val="nil"/>
              <w:right w:val="nil"/>
            </w:tcBorders>
          </w:tcPr>
          <w:p w14:paraId="733808CC"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single" w:sz="4" w:space="0" w:color="auto"/>
              <w:left w:val="nil"/>
              <w:bottom w:val="nil"/>
              <w:right w:val="nil"/>
            </w:tcBorders>
          </w:tcPr>
          <w:p w14:paraId="47B67524" w14:textId="77777777" w:rsidR="00F4687C" w:rsidRPr="00560CF7" w:rsidRDefault="00F4687C" w:rsidP="00BD0CFF">
            <w:pPr>
              <w:rPr>
                <w:rFonts w:ascii="Times New Roman" w:hAnsi="Times New Roman" w:cs="Times New Roman"/>
                <w:sz w:val="20"/>
                <w:szCs w:val="20"/>
              </w:rPr>
            </w:pPr>
            <w:r w:rsidRPr="00560CF7">
              <w:rPr>
                <w:rFonts w:ascii="Times New Roman" w:hAnsi="Times New Roman" w:cs="Times New Roman"/>
                <w:sz w:val="20"/>
                <w:szCs w:val="20"/>
              </w:rPr>
              <w:t>656</w:t>
            </w:r>
          </w:p>
        </w:tc>
        <w:tc>
          <w:tcPr>
            <w:tcW w:w="2552" w:type="dxa"/>
            <w:tcBorders>
              <w:top w:val="single" w:sz="4" w:space="0" w:color="auto"/>
              <w:left w:val="nil"/>
              <w:bottom w:val="nil"/>
              <w:right w:val="nil"/>
            </w:tcBorders>
          </w:tcPr>
          <w:p w14:paraId="3DB8C9CF" w14:textId="77777777" w:rsidR="00F4687C" w:rsidRPr="00560CF7" w:rsidRDefault="00F4687C" w:rsidP="00BD0CFF">
            <w:pPr>
              <w:rPr>
                <w:rFonts w:ascii="Times New Roman" w:hAnsi="Times New Roman" w:cs="Times New Roman"/>
                <w:sz w:val="20"/>
                <w:szCs w:val="20"/>
              </w:rPr>
            </w:pPr>
            <w:r w:rsidRPr="00560CF7">
              <w:rPr>
                <w:rFonts w:ascii="Times New Roman" w:hAnsi="Times New Roman" w:cs="Times New Roman"/>
                <w:sz w:val="20"/>
                <w:szCs w:val="20"/>
              </w:rPr>
              <w:t xml:space="preserve">(28 -80 -42) to (40 -72 -36)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560CF7">
              <w:rPr>
                <w:rFonts w:ascii="Times New Roman" w:hAnsi="Times New Roman" w:cs="Times New Roman"/>
                <w:sz w:val="20"/>
                <w:szCs w:val="20"/>
              </w:rPr>
              <w:t>34 -76 -39</w:t>
            </w:r>
            <w:r w:rsidRPr="009E279F">
              <w:rPr>
                <w:rFonts w:ascii="Times New Roman" w:hAnsi="Times New Roman" w:cs="Times New Roman"/>
                <w:sz w:val="20"/>
                <w:szCs w:val="20"/>
              </w:rPr>
              <w:t>)</w:t>
            </w:r>
          </w:p>
        </w:tc>
      </w:tr>
      <w:tr w:rsidR="00AD51EF" w:rsidRPr="009E279F" w14:paraId="204DC3B3" w14:textId="77777777" w:rsidTr="00AD51EF">
        <w:trPr>
          <w:trHeight w:val="261"/>
        </w:trPr>
        <w:tc>
          <w:tcPr>
            <w:tcW w:w="1419" w:type="dxa"/>
            <w:vMerge/>
            <w:tcBorders>
              <w:left w:val="nil"/>
              <w:right w:val="nil"/>
            </w:tcBorders>
          </w:tcPr>
          <w:p w14:paraId="553754F4"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46C2EE08"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3F327722"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0E111F1C"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41E31AC9"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1</w:t>
            </w:r>
          </w:p>
        </w:tc>
        <w:tc>
          <w:tcPr>
            <w:tcW w:w="1134" w:type="dxa"/>
            <w:tcBorders>
              <w:top w:val="nil"/>
              <w:left w:val="nil"/>
              <w:bottom w:val="nil"/>
              <w:right w:val="nil"/>
            </w:tcBorders>
          </w:tcPr>
          <w:p w14:paraId="408771E7"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sym w:font="Symbol" w:char="F0AD"/>
            </w:r>
          </w:p>
        </w:tc>
        <w:tc>
          <w:tcPr>
            <w:tcW w:w="1701" w:type="dxa"/>
            <w:tcBorders>
              <w:top w:val="nil"/>
              <w:left w:val="nil"/>
              <w:bottom w:val="nil"/>
              <w:right w:val="nil"/>
            </w:tcBorders>
          </w:tcPr>
          <w:p w14:paraId="27297F70"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7E0AC154"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7DA7A4F4" w14:textId="77777777" w:rsidR="00F4687C" w:rsidRPr="00560CF7" w:rsidRDefault="00F4687C" w:rsidP="00BD0CFF">
            <w:pPr>
              <w:rPr>
                <w:rFonts w:ascii="Times New Roman" w:hAnsi="Times New Roman" w:cs="Times New Roman"/>
                <w:sz w:val="20"/>
                <w:szCs w:val="20"/>
              </w:rPr>
            </w:pPr>
            <w:r w:rsidRPr="00560CF7">
              <w:rPr>
                <w:rFonts w:ascii="Times New Roman" w:hAnsi="Times New Roman" w:cs="Times New Roman"/>
                <w:sz w:val="20"/>
                <w:szCs w:val="20"/>
              </w:rPr>
              <w:t>1592</w:t>
            </w:r>
          </w:p>
        </w:tc>
        <w:tc>
          <w:tcPr>
            <w:tcW w:w="2552" w:type="dxa"/>
            <w:tcBorders>
              <w:top w:val="nil"/>
              <w:left w:val="nil"/>
              <w:bottom w:val="nil"/>
              <w:right w:val="nil"/>
            </w:tcBorders>
          </w:tcPr>
          <w:p w14:paraId="23702525" w14:textId="77777777" w:rsidR="00F4687C" w:rsidRPr="00560CF7" w:rsidRDefault="00F4687C" w:rsidP="00BD0CFF">
            <w:pPr>
              <w:rPr>
                <w:rFonts w:ascii="Times New Roman" w:hAnsi="Times New Roman" w:cs="Times New Roman"/>
                <w:sz w:val="20"/>
                <w:szCs w:val="20"/>
              </w:rPr>
            </w:pPr>
            <w:r w:rsidRPr="00560CF7">
              <w:rPr>
                <w:rFonts w:ascii="Times New Roman" w:hAnsi="Times New Roman" w:cs="Times New Roman"/>
                <w:sz w:val="20"/>
                <w:szCs w:val="20"/>
              </w:rPr>
              <w:t xml:space="preserve">(28 -70 -34) to (42 -56 -22)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560CF7">
              <w:rPr>
                <w:rFonts w:ascii="Times New Roman" w:hAnsi="Times New Roman" w:cs="Times New Roman"/>
                <w:sz w:val="20"/>
                <w:szCs w:val="20"/>
              </w:rPr>
              <w:t>35 -63 -29</w:t>
            </w:r>
            <w:r w:rsidRPr="009E279F">
              <w:rPr>
                <w:rFonts w:ascii="Times New Roman" w:hAnsi="Times New Roman" w:cs="Times New Roman"/>
                <w:sz w:val="20"/>
                <w:szCs w:val="20"/>
              </w:rPr>
              <w:t>)</w:t>
            </w:r>
          </w:p>
        </w:tc>
      </w:tr>
      <w:tr w:rsidR="00AD51EF" w:rsidRPr="009E279F" w14:paraId="39EF46F7" w14:textId="77777777" w:rsidTr="00AD51EF">
        <w:trPr>
          <w:trHeight w:val="261"/>
        </w:trPr>
        <w:tc>
          <w:tcPr>
            <w:tcW w:w="1419" w:type="dxa"/>
            <w:vMerge/>
            <w:tcBorders>
              <w:left w:val="nil"/>
              <w:bottom w:val="nil"/>
              <w:right w:val="nil"/>
            </w:tcBorders>
          </w:tcPr>
          <w:p w14:paraId="625979E6"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1DA65E86"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1284F8B9"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124693F9"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38A764DD"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2</w:t>
            </w:r>
          </w:p>
        </w:tc>
        <w:tc>
          <w:tcPr>
            <w:tcW w:w="1134" w:type="dxa"/>
            <w:tcBorders>
              <w:top w:val="nil"/>
              <w:left w:val="nil"/>
              <w:bottom w:val="nil"/>
              <w:right w:val="nil"/>
            </w:tcBorders>
          </w:tcPr>
          <w:p w14:paraId="08D54EFA"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sym w:font="Symbol" w:char="F0AF"/>
            </w:r>
          </w:p>
        </w:tc>
        <w:tc>
          <w:tcPr>
            <w:tcW w:w="1701" w:type="dxa"/>
            <w:tcBorders>
              <w:top w:val="nil"/>
              <w:left w:val="nil"/>
              <w:bottom w:val="nil"/>
              <w:right w:val="nil"/>
            </w:tcBorders>
          </w:tcPr>
          <w:p w14:paraId="7A437461"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08D4A9D9"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6184A001" w14:textId="77777777" w:rsidR="00F4687C" w:rsidRPr="00560CF7" w:rsidRDefault="00F4687C" w:rsidP="00BD0CFF">
            <w:pPr>
              <w:rPr>
                <w:rFonts w:ascii="Times New Roman" w:hAnsi="Times New Roman" w:cs="Times New Roman"/>
                <w:sz w:val="20"/>
                <w:szCs w:val="20"/>
              </w:rPr>
            </w:pPr>
            <w:r w:rsidRPr="00560CF7">
              <w:rPr>
                <w:rFonts w:ascii="Times New Roman" w:hAnsi="Times New Roman" w:cs="Times New Roman"/>
                <w:sz w:val="20"/>
                <w:szCs w:val="20"/>
              </w:rPr>
              <w:t>920</w:t>
            </w:r>
          </w:p>
        </w:tc>
        <w:tc>
          <w:tcPr>
            <w:tcW w:w="2552" w:type="dxa"/>
            <w:tcBorders>
              <w:top w:val="nil"/>
              <w:left w:val="nil"/>
              <w:bottom w:val="nil"/>
              <w:right w:val="nil"/>
            </w:tcBorders>
          </w:tcPr>
          <w:p w14:paraId="37FB2CB7" w14:textId="77777777" w:rsidR="00F4687C" w:rsidRPr="00560CF7" w:rsidRDefault="00F4687C" w:rsidP="00BD0CFF">
            <w:pPr>
              <w:rPr>
                <w:rFonts w:ascii="Times New Roman" w:hAnsi="Times New Roman" w:cs="Times New Roman"/>
                <w:sz w:val="20"/>
                <w:szCs w:val="20"/>
              </w:rPr>
            </w:pPr>
            <w:r w:rsidRPr="00560CF7">
              <w:rPr>
                <w:rFonts w:ascii="Times New Roman" w:hAnsi="Times New Roman" w:cs="Times New Roman"/>
                <w:sz w:val="20"/>
                <w:szCs w:val="20"/>
              </w:rPr>
              <w:t xml:space="preserve">(-48 -84 -40) to (-30 -68 -38) </w:t>
            </w:r>
            <w:proofErr w:type="spellStart"/>
            <w:r w:rsidRPr="009E279F">
              <w:rPr>
                <w:rFonts w:ascii="Times New Roman" w:hAnsi="Times New Roman" w:cs="Times New Roman"/>
                <w:sz w:val="20"/>
                <w:szCs w:val="20"/>
              </w:rPr>
              <w:t>centered</w:t>
            </w:r>
            <w:proofErr w:type="spellEnd"/>
            <w:r w:rsidRPr="009E279F">
              <w:rPr>
                <w:rFonts w:ascii="Times New Roman" w:hAnsi="Times New Roman" w:cs="Times New Roman"/>
                <w:sz w:val="20"/>
                <w:szCs w:val="20"/>
              </w:rPr>
              <w:t xml:space="preserve"> at (</w:t>
            </w:r>
            <w:r w:rsidRPr="00560CF7">
              <w:rPr>
                <w:rFonts w:ascii="Times New Roman" w:hAnsi="Times New Roman" w:cs="Times New Roman"/>
                <w:sz w:val="20"/>
                <w:szCs w:val="20"/>
              </w:rPr>
              <w:t>-36 -75 -41</w:t>
            </w:r>
            <w:r w:rsidRPr="009E279F">
              <w:rPr>
                <w:rFonts w:ascii="Times New Roman" w:hAnsi="Times New Roman" w:cs="Times New Roman"/>
                <w:sz w:val="20"/>
                <w:szCs w:val="20"/>
              </w:rPr>
              <w:t>)</w:t>
            </w:r>
          </w:p>
        </w:tc>
      </w:tr>
      <w:tr w:rsidR="00AD51EF" w:rsidRPr="009E279F" w14:paraId="738390DF" w14:textId="77777777" w:rsidTr="00AD51EF">
        <w:trPr>
          <w:trHeight w:val="261"/>
        </w:trPr>
        <w:tc>
          <w:tcPr>
            <w:tcW w:w="1419" w:type="dxa"/>
            <w:tcBorders>
              <w:top w:val="nil"/>
              <w:left w:val="nil"/>
              <w:bottom w:val="nil"/>
              <w:right w:val="nil"/>
            </w:tcBorders>
          </w:tcPr>
          <w:p w14:paraId="2B824D72" w14:textId="77777777" w:rsidR="00F4687C" w:rsidRPr="009E279F"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40E1CE7A" w14:textId="77777777" w:rsidR="00F4687C" w:rsidRPr="009E279F"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31BB03C6" w14:textId="77777777" w:rsidR="00F4687C" w:rsidRPr="009E279F"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6E8C9A85" w14:textId="77777777" w:rsidR="00F4687C" w:rsidRPr="009E279F"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2310C71F"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3</w:t>
            </w:r>
          </w:p>
        </w:tc>
        <w:tc>
          <w:tcPr>
            <w:tcW w:w="1134" w:type="dxa"/>
            <w:tcBorders>
              <w:top w:val="nil"/>
              <w:left w:val="nil"/>
              <w:bottom w:val="nil"/>
              <w:right w:val="nil"/>
            </w:tcBorders>
          </w:tcPr>
          <w:p w14:paraId="55B3ABD4"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sym w:font="Symbol" w:char="F0AF"/>
            </w:r>
          </w:p>
        </w:tc>
        <w:tc>
          <w:tcPr>
            <w:tcW w:w="1701" w:type="dxa"/>
            <w:tcBorders>
              <w:top w:val="nil"/>
              <w:left w:val="nil"/>
              <w:bottom w:val="nil"/>
              <w:right w:val="nil"/>
            </w:tcBorders>
          </w:tcPr>
          <w:p w14:paraId="68D3CD5D"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1418" w:type="dxa"/>
            <w:tcBorders>
              <w:top w:val="nil"/>
              <w:left w:val="nil"/>
              <w:bottom w:val="nil"/>
              <w:right w:val="nil"/>
            </w:tcBorders>
          </w:tcPr>
          <w:p w14:paraId="207A5176"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No</w:t>
            </w:r>
          </w:p>
        </w:tc>
        <w:tc>
          <w:tcPr>
            <w:tcW w:w="850" w:type="dxa"/>
            <w:tcBorders>
              <w:top w:val="nil"/>
              <w:left w:val="nil"/>
              <w:bottom w:val="nil"/>
              <w:right w:val="nil"/>
            </w:tcBorders>
          </w:tcPr>
          <w:p w14:paraId="0F93EC32" w14:textId="77777777" w:rsidR="00F4687C" w:rsidRPr="00560CF7" w:rsidRDefault="00F4687C" w:rsidP="00BD0CFF">
            <w:pPr>
              <w:rPr>
                <w:rFonts w:ascii="Times New Roman" w:hAnsi="Times New Roman" w:cs="Times New Roman"/>
                <w:sz w:val="20"/>
                <w:szCs w:val="20"/>
              </w:rPr>
            </w:pPr>
            <w:r w:rsidRPr="00560CF7">
              <w:rPr>
                <w:rFonts w:ascii="Times New Roman" w:hAnsi="Times New Roman" w:cs="Times New Roman"/>
                <w:sz w:val="20"/>
                <w:szCs w:val="20"/>
              </w:rPr>
              <w:t>776</w:t>
            </w:r>
          </w:p>
        </w:tc>
        <w:tc>
          <w:tcPr>
            <w:tcW w:w="2552" w:type="dxa"/>
            <w:tcBorders>
              <w:top w:val="nil"/>
              <w:left w:val="nil"/>
              <w:bottom w:val="nil"/>
              <w:right w:val="nil"/>
            </w:tcBorders>
          </w:tcPr>
          <w:p w14:paraId="38D8E2DA" w14:textId="77777777" w:rsidR="00F4687C" w:rsidRPr="00560CF7" w:rsidRDefault="00F4687C" w:rsidP="00BD0CFF">
            <w:pPr>
              <w:rPr>
                <w:rFonts w:ascii="Times New Roman" w:hAnsi="Times New Roman" w:cs="Times New Roman"/>
                <w:sz w:val="20"/>
                <w:szCs w:val="20"/>
              </w:rPr>
            </w:pPr>
            <w:r w:rsidRPr="00560CF7">
              <w:rPr>
                <w:rFonts w:ascii="Times New Roman" w:hAnsi="Times New Roman" w:cs="Times New Roman"/>
                <w:sz w:val="20"/>
                <w:szCs w:val="20"/>
              </w:rPr>
              <w:t xml:space="preserve">(-10 -78,-24) to (8,-66,-10) </w:t>
            </w:r>
            <w:proofErr w:type="spellStart"/>
            <w:r w:rsidRPr="00560CF7">
              <w:rPr>
                <w:rFonts w:ascii="Times New Roman" w:hAnsi="Times New Roman" w:cs="Times New Roman"/>
                <w:sz w:val="20"/>
                <w:szCs w:val="20"/>
              </w:rPr>
              <w:t>centered</w:t>
            </w:r>
            <w:proofErr w:type="spellEnd"/>
            <w:r w:rsidRPr="00560CF7">
              <w:rPr>
                <w:rFonts w:ascii="Times New Roman" w:hAnsi="Times New Roman" w:cs="Times New Roman"/>
                <w:sz w:val="20"/>
                <w:szCs w:val="20"/>
              </w:rPr>
              <w:t xml:space="preserve"> at </w:t>
            </w:r>
            <w:r w:rsidRPr="009E279F">
              <w:rPr>
                <w:rFonts w:ascii="Times New Roman" w:hAnsi="Times New Roman" w:cs="Times New Roman"/>
                <w:sz w:val="20"/>
                <w:szCs w:val="20"/>
              </w:rPr>
              <w:t>(</w:t>
            </w:r>
            <w:r w:rsidRPr="00560CF7">
              <w:rPr>
                <w:rFonts w:ascii="Times New Roman" w:hAnsi="Times New Roman" w:cs="Times New Roman"/>
                <w:sz w:val="20"/>
                <w:szCs w:val="20"/>
              </w:rPr>
              <w:t>1 -73 -16)</w:t>
            </w:r>
          </w:p>
        </w:tc>
      </w:tr>
      <w:tr w:rsidR="00AD51EF" w:rsidRPr="009E279F" w14:paraId="336A027A" w14:textId="77777777" w:rsidTr="00AD51EF">
        <w:trPr>
          <w:trHeight w:val="868"/>
        </w:trPr>
        <w:tc>
          <w:tcPr>
            <w:tcW w:w="7230" w:type="dxa"/>
            <w:gridSpan w:val="5"/>
            <w:tcBorders>
              <w:top w:val="nil"/>
              <w:left w:val="nil"/>
              <w:bottom w:val="single" w:sz="4" w:space="0" w:color="auto"/>
              <w:right w:val="nil"/>
            </w:tcBorders>
          </w:tcPr>
          <w:p w14:paraId="1959A663" w14:textId="77777777" w:rsidR="00F4687C" w:rsidRPr="009E279F" w:rsidRDefault="00F4687C" w:rsidP="00BD0CFF">
            <w:pPr>
              <w:rPr>
                <w:rFonts w:ascii="Times New Roman" w:hAnsi="Times New Roman" w:cs="Times New Roman"/>
                <w:sz w:val="20"/>
                <w:szCs w:val="20"/>
              </w:rPr>
            </w:pPr>
            <w:r w:rsidRPr="009E279F">
              <w:rPr>
                <w:rFonts w:ascii="Times New Roman" w:hAnsi="Times New Roman" w:cs="Times New Roman"/>
                <w:sz w:val="20"/>
                <w:szCs w:val="20"/>
              </w:rPr>
              <w:t>Cluster 5 from main analysis does not survive</w:t>
            </w:r>
          </w:p>
        </w:tc>
        <w:tc>
          <w:tcPr>
            <w:tcW w:w="1134" w:type="dxa"/>
            <w:tcBorders>
              <w:top w:val="nil"/>
              <w:left w:val="nil"/>
              <w:bottom w:val="single" w:sz="4" w:space="0" w:color="auto"/>
              <w:right w:val="nil"/>
            </w:tcBorders>
          </w:tcPr>
          <w:p w14:paraId="1F50E2AF" w14:textId="77777777" w:rsidR="00F4687C" w:rsidRPr="009E279F" w:rsidRDefault="00F4687C" w:rsidP="00BD0CFF">
            <w:pPr>
              <w:rPr>
                <w:rFonts w:ascii="Times New Roman" w:hAnsi="Times New Roman" w:cs="Times New Roman"/>
                <w:sz w:val="20"/>
                <w:szCs w:val="20"/>
              </w:rPr>
            </w:pPr>
          </w:p>
        </w:tc>
        <w:tc>
          <w:tcPr>
            <w:tcW w:w="1701" w:type="dxa"/>
            <w:tcBorders>
              <w:top w:val="nil"/>
              <w:left w:val="nil"/>
              <w:bottom w:val="single" w:sz="4" w:space="0" w:color="auto"/>
              <w:right w:val="nil"/>
            </w:tcBorders>
          </w:tcPr>
          <w:p w14:paraId="7D150852" w14:textId="77777777" w:rsidR="00F4687C" w:rsidRPr="009E279F" w:rsidRDefault="00F4687C" w:rsidP="00BD0CFF">
            <w:pPr>
              <w:rPr>
                <w:rFonts w:ascii="Times New Roman" w:hAnsi="Times New Roman" w:cs="Times New Roman"/>
                <w:sz w:val="20"/>
                <w:szCs w:val="20"/>
              </w:rPr>
            </w:pPr>
          </w:p>
        </w:tc>
        <w:tc>
          <w:tcPr>
            <w:tcW w:w="1418" w:type="dxa"/>
            <w:tcBorders>
              <w:top w:val="nil"/>
              <w:left w:val="nil"/>
              <w:bottom w:val="single" w:sz="4" w:space="0" w:color="auto"/>
              <w:right w:val="nil"/>
            </w:tcBorders>
          </w:tcPr>
          <w:p w14:paraId="2AED2D33" w14:textId="77777777" w:rsidR="00F4687C" w:rsidRPr="009E279F" w:rsidRDefault="00F4687C" w:rsidP="00BD0CFF">
            <w:pPr>
              <w:rPr>
                <w:rFonts w:ascii="Times New Roman" w:hAnsi="Times New Roman" w:cs="Times New Roman"/>
                <w:sz w:val="20"/>
                <w:szCs w:val="20"/>
              </w:rPr>
            </w:pPr>
          </w:p>
        </w:tc>
        <w:tc>
          <w:tcPr>
            <w:tcW w:w="850" w:type="dxa"/>
            <w:tcBorders>
              <w:top w:val="nil"/>
              <w:left w:val="nil"/>
              <w:bottom w:val="single" w:sz="4" w:space="0" w:color="auto"/>
              <w:right w:val="nil"/>
            </w:tcBorders>
          </w:tcPr>
          <w:p w14:paraId="67EBB74C" w14:textId="77777777" w:rsidR="00F4687C" w:rsidRPr="00415A52" w:rsidRDefault="00F4687C" w:rsidP="00BD0CFF">
            <w:pPr>
              <w:rPr>
                <w:rFonts w:ascii="Times New Roman" w:hAnsi="Times New Roman" w:cs="Times New Roman"/>
                <w:sz w:val="20"/>
                <w:szCs w:val="20"/>
              </w:rPr>
            </w:pPr>
          </w:p>
        </w:tc>
        <w:tc>
          <w:tcPr>
            <w:tcW w:w="2552" w:type="dxa"/>
            <w:tcBorders>
              <w:top w:val="nil"/>
              <w:left w:val="nil"/>
              <w:bottom w:val="single" w:sz="4" w:space="0" w:color="auto"/>
              <w:right w:val="nil"/>
            </w:tcBorders>
          </w:tcPr>
          <w:p w14:paraId="58E3BA2C" w14:textId="77777777" w:rsidR="00F4687C" w:rsidRPr="00415A52" w:rsidRDefault="00F4687C" w:rsidP="00BD0CFF">
            <w:pPr>
              <w:rPr>
                <w:rFonts w:ascii="Times New Roman" w:hAnsi="Times New Roman" w:cs="Times New Roman"/>
                <w:sz w:val="20"/>
                <w:szCs w:val="20"/>
              </w:rPr>
            </w:pPr>
          </w:p>
        </w:tc>
      </w:tr>
      <w:tr w:rsidR="00AD51EF" w:rsidRPr="009E279F" w14:paraId="164F57FE" w14:textId="77777777" w:rsidTr="00AD51EF">
        <w:trPr>
          <w:trHeight w:val="424"/>
        </w:trPr>
        <w:tc>
          <w:tcPr>
            <w:tcW w:w="1419" w:type="dxa"/>
            <w:tcBorders>
              <w:top w:val="single" w:sz="4" w:space="0" w:color="auto"/>
              <w:left w:val="nil"/>
              <w:bottom w:val="nil"/>
              <w:right w:val="nil"/>
            </w:tcBorders>
          </w:tcPr>
          <w:p w14:paraId="04EDC9A8"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lastRenderedPageBreak/>
              <w:t>Ziegler et al., 2012</w:t>
            </w:r>
          </w:p>
          <w:p w14:paraId="315DE283" w14:textId="77777777" w:rsidR="00F4687C" w:rsidRPr="008C1CBE" w:rsidRDefault="00F4687C" w:rsidP="00BD0CFF">
            <w:pPr>
              <w:rPr>
                <w:rFonts w:ascii="Times New Roman" w:hAnsi="Times New Roman" w:cs="Times New Roman"/>
                <w:sz w:val="20"/>
                <w:szCs w:val="20"/>
              </w:rPr>
            </w:pPr>
            <w:r w:rsidRPr="00E96F63">
              <w:rPr>
                <w:rFonts w:ascii="Times New Roman" w:hAnsi="Times New Roman" w:cs="Times New Roman"/>
                <w:sz w:val="20"/>
                <w:szCs w:val="20"/>
              </w:rPr>
              <w:fldChar w:fldCharType="begin" w:fldLock="1"/>
            </w:r>
            <w:r w:rsidRPr="008C1CBE">
              <w:rPr>
                <w:rFonts w:ascii="Times New Roman" w:hAnsi="Times New Roman" w:cs="Times New Roman"/>
                <w:sz w:val="20"/>
                <w:szCs w:val="20"/>
              </w:rPr>
              <w:instrText>ADDIN CSL_CITATION {"citationItems":[{"id":"ITEM-1","itemData":{"DOI":"10.1002/hbm.21374","ISSN":"10659471","abstract":"The aim of this large-sample cross-sectional voxel-based morphometry (VBM) study of anatomical brain data was to investigate linear and nonlinear age-related trajectories of grey matter volume in the human brain during the adult lifespan. To date, there are only a few structural brain studies investigating local nonlinear aspects at the voxel level, i.e., without using anatomical ROIs as a priori hypothesis. Therefore, we analyzed 547 T1-weighted MR images of healthy adult brains with an age range of 19 to 86 years, including 161 scans of subjects with ages 60 and older. We found that the gray matter volume in some regions did not linearly decrease over time, but rather exhibited a delayed decline. Nonlinear age trajectories were observed in the medial temporal lobe regions, the basal ganglia, and parts of the cerebellum. Their trajectories indicated a preservation of grey matter volume during the early adult lifespan. Interestingly, we found nonlinear grey matter structural dynamics specifically in parts of the brain that have been extensively discussed in the context of learning and memory. We propose a hypothesis in relation to the functional role of these brain regions that may explain these results.","author":[{"dropping-particle":"","family":"Ziegler","given":"Gabriel","non-dropping-particle":"","parse-names":false,"suffix":""},{"dropping-particle":"","family":"Dahnke","given":"Robert","non-dropping-particle":"","parse-names":false,"suffix":""},{"dropping-particle":"","family":"Jäncke","given":"Lutz","non-dropping-particle":"","parse-names":false,"suffix":""},{"dropping-particle":"","family":"Yotter","given":"Rachel Aine","non-dropping-particle":"","parse-names":false,"suffix":""},{"dropping-particle":"","family":"May","given":"Arne","non-dropping-particle":"","parse-names":false,"suffix":""},{"dropping-particle":"","family":"Gaser","given":"Christian","non-dropping-particle":"","parse-names":false,"suffix":""}],"container-title":"Human Brain Mapping","id":"ITEM-1","issue":"10","issued":{"date-parts":[["2012","10"]]},"note":"From Duplicate 3 (Brain structural trajectories over the adult lifespan - Ziegler, Gabriel; Dahnke, Robert; Jäncke, Lutz; Yotter, Rachel Aine; May, Arne; Gaser, Christian)\n\nFrom Duplicate 1 (Brain structural trajectories over the adult lifespan - Ziegler, Gabriel; Dahnke, Robert; Jäncke, Lutz; Yotter, Rachel Aine; May, Arne; Gaser, Christian)\n\nAccession Number: 2012-24985-010. PMID: 21898677 Partial author list: First Author &amp;amp; Affiliation: Ziegler, Gabriel; Department of Psychiatry, Structural Brain Mapping Group, University of Jena, Jena, Germany. Release Date: 20121022. Publication Type: Journal (0100), Peer Reviewed Journal (0110). Format Covered: Electronic. Document Type: Journal Article. Language: English. Major Descriptor: Anatomy; Brain; Memory; Temporal Lobe; Gray Matter. Minor Descriptor: Learning. Classification: Neuropsychology &amp;amp; Neurology (2520). Population: Human (10); Male (30); Female (40). Age Group: Adulthood (18 yrs &amp;amp; older) (300); Young Adulthood (18-29 yrs) (320); Thirties (30-39 yrs) (340); Middle Age (40-64 yrs) (360); Aged (65 yrs &amp;amp; older) (380); Very Old (85 yrs &amp;amp; older) (390). Methodology: Brain Imaging; Empirical Study; Quantitative Study. Supplemental Data: Tables and Figures Internet. References Available: Y. Page Count: 13. Issue Publication Date: Oct, 2012. Publication History: First Posted Date: Sep 6, 2011; Accepted Date: May 2, 2011; Revised Date: Apr 15, 2011; First Submitted Date: Nov 2, 2010. Copyright Statement: Wiley Periodicals, Inc. 2011.","page":"2377-2389","publisher":"John Wiley &amp; Sons","publisher-place":"Ziegler, Gabriel, Department of Psychiatry, Structural Brain Mapping Group, Friedrich-Schiller-University Jena, Jahnstrasse 3, 07743, Jena, Germany","title":"Brain structural trajectories over the adult lifespan","type":"article-journal","volume":"33"},"uris":["http://www.mendeley.com/documents/?uuid=a6f9c180-88c8-4fef-ae9d-b586268caa46"]}],"mendeley":{"formattedCitation":"[25]","plainTextFormattedCitation":"[25]","previouslyFormattedCitation":"[25]"},"properties":{"noteIndex":0},"schema":"https://github.com/citation-style-language/schema/raw/master/csl-citation.json"}</w:instrText>
            </w:r>
            <w:r w:rsidRPr="00E96F63">
              <w:rPr>
                <w:rFonts w:ascii="Times New Roman" w:hAnsi="Times New Roman" w:cs="Times New Roman"/>
                <w:sz w:val="20"/>
                <w:szCs w:val="20"/>
              </w:rPr>
              <w:fldChar w:fldCharType="separate"/>
            </w:r>
            <w:r w:rsidRPr="008C1CBE">
              <w:rPr>
                <w:rFonts w:ascii="Times New Roman" w:hAnsi="Times New Roman" w:cs="Times New Roman"/>
                <w:noProof/>
                <w:sz w:val="20"/>
                <w:szCs w:val="20"/>
              </w:rPr>
              <w:t>[25]</w:t>
            </w:r>
            <w:r w:rsidRPr="00E96F63">
              <w:rPr>
                <w:rFonts w:ascii="Times New Roman" w:hAnsi="Times New Roman" w:cs="Times New Roman"/>
                <w:sz w:val="20"/>
                <w:szCs w:val="20"/>
              </w:rPr>
              <w:fldChar w:fldCharType="end"/>
            </w:r>
          </w:p>
        </w:tc>
        <w:tc>
          <w:tcPr>
            <w:tcW w:w="987" w:type="dxa"/>
            <w:tcBorders>
              <w:top w:val="single" w:sz="4" w:space="0" w:color="auto"/>
              <w:left w:val="nil"/>
              <w:bottom w:val="nil"/>
              <w:right w:val="nil"/>
            </w:tcBorders>
          </w:tcPr>
          <w:p w14:paraId="79C78311"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59</w:t>
            </w:r>
          </w:p>
        </w:tc>
        <w:tc>
          <w:tcPr>
            <w:tcW w:w="1080" w:type="dxa"/>
            <w:tcBorders>
              <w:top w:val="single" w:sz="4" w:space="0" w:color="auto"/>
              <w:left w:val="nil"/>
              <w:bottom w:val="nil"/>
              <w:right w:val="nil"/>
            </w:tcBorders>
          </w:tcPr>
          <w:p w14:paraId="75FC2E51"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1894</w:t>
            </w:r>
          </w:p>
        </w:tc>
        <w:tc>
          <w:tcPr>
            <w:tcW w:w="1476" w:type="dxa"/>
            <w:tcBorders>
              <w:top w:val="single" w:sz="4" w:space="0" w:color="auto"/>
              <w:left w:val="nil"/>
              <w:bottom w:val="nil"/>
              <w:right w:val="nil"/>
            </w:tcBorders>
          </w:tcPr>
          <w:p w14:paraId="6689BF1A"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488</w:t>
            </w:r>
          </w:p>
        </w:tc>
        <w:tc>
          <w:tcPr>
            <w:tcW w:w="2268" w:type="dxa"/>
            <w:tcBorders>
              <w:top w:val="single" w:sz="4" w:space="0" w:color="auto"/>
              <w:left w:val="nil"/>
              <w:bottom w:val="nil"/>
              <w:right w:val="nil"/>
            </w:tcBorders>
          </w:tcPr>
          <w:p w14:paraId="4D753504"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1</w:t>
            </w:r>
          </w:p>
        </w:tc>
        <w:tc>
          <w:tcPr>
            <w:tcW w:w="1134" w:type="dxa"/>
            <w:tcBorders>
              <w:top w:val="single" w:sz="4" w:space="0" w:color="auto"/>
              <w:left w:val="nil"/>
              <w:bottom w:val="nil"/>
              <w:right w:val="nil"/>
            </w:tcBorders>
          </w:tcPr>
          <w:p w14:paraId="247FBBDD"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sym w:font="Symbol" w:char="F0AD"/>
            </w:r>
          </w:p>
        </w:tc>
        <w:tc>
          <w:tcPr>
            <w:tcW w:w="1701" w:type="dxa"/>
            <w:tcBorders>
              <w:top w:val="single" w:sz="4" w:space="0" w:color="auto"/>
              <w:left w:val="nil"/>
              <w:bottom w:val="nil"/>
              <w:right w:val="nil"/>
            </w:tcBorders>
          </w:tcPr>
          <w:p w14:paraId="5356C5DB"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No</w:t>
            </w:r>
          </w:p>
        </w:tc>
        <w:tc>
          <w:tcPr>
            <w:tcW w:w="1418" w:type="dxa"/>
            <w:tcBorders>
              <w:top w:val="single" w:sz="4" w:space="0" w:color="auto"/>
              <w:left w:val="nil"/>
              <w:bottom w:val="nil"/>
              <w:right w:val="nil"/>
            </w:tcBorders>
          </w:tcPr>
          <w:p w14:paraId="42F141B8"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No</w:t>
            </w:r>
          </w:p>
        </w:tc>
        <w:tc>
          <w:tcPr>
            <w:tcW w:w="850" w:type="dxa"/>
            <w:tcBorders>
              <w:top w:val="single" w:sz="4" w:space="0" w:color="auto"/>
              <w:left w:val="nil"/>
              <w:bottom w:val="nil"/>
              <w:right w:val="nil"/>
            </w:tcBorders>
          </w:tcPr>
          <w:p w14:paraId="3C72FD8C"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1544</w:t>
            </w:r>
          </w:p>
        </w:tc>
        <w:tc>
          <w:tcPr>
            <w:tcW w:w="2552" w:type="dxa"/>
            <w:tcBorders>
              <w:top w:val="single" w:sz="4" w:space="0" w:color="auto"/>
              <w:left w:val="nil"/>
              <w:bottom w:val="nil"/>
              <w:right w:val="nil"/>
            </w:tcBorders>
          </w:tcPr>
          <w:p w14:paraId="2275A533"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 xml:space="preserve">(24 -90 -42) to (40 -72 -30) </w:t>
            </w:r>
            <w:proofErr w:type="spellStart"/>
            <w:r w:rsidRPr="008C1CBE">
              <w:rPr>
                <w:rFonts w:ascii="Times New Roman" w:hAnsi="Times New Roman" w:cs="Times New Roman"/>
                <w:sz w:val="20"/>
                <w:szCs w:val="20"/>
              </w:rPr>
              <w:t>centered</w:t>
            </w:r>
            <w:proofErr w:type="spellEnd"/>
            <w:r w:rsidRPr="008C1CBE">
              <w:rPr>
                <w:rFonts w:ascii="Times New Roman" w:hAnsi="Times New Roman" w:cs="Times New Roman"/>
                <w:sz w:val="20"/>
                <w:szCs w:val="20"/>
              </w:rPr>
              <w:t xml:space="preserve"> at (33 -81 -37)</w:t>
            </w:r>
          </w:p>
        </w:tc>
      </w:tr>
      <w:tr w:rsidR="00AD51EF" w:rsidRPr="009E279F" w14:paraId="35DF56C9" w14:textId="77777777" w:rsidTr="00AD51EF">
        <w:trPr>
          <w:trHeight w:val="261"/>
        </w:trPr>
        <w:tc>
          <w:tcPr>
            <w:tcW w:w="1419" w:type="dxa"/>
            <w:tcBorders>
              <w:top w:val="nil"/>
              <w:left w:val="nil"/>
              <w:bottom w:val="nil"/>
              <w:right w:val="nil"/>
            </w:tcBorders>
          </w:tcPr>
          <w:p w14:paraId="7CEF632B" w14:textId="77777777" w:rsidR="00F4687C" w:rsidRPr="008C1CBE"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06BC55CC" w14:textId="77777777" w:rsidR="00F4687C" w:rsidRPr="008C1CBE"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02341941" w14:textId="77777777" w:rsidR="00F4687C" w:rsidRPr="008C1CBE"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23B97130" w14:textId="77777777" w:rsidR="00F4687C" w:rsidRPr="008C1CBE"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1C37F61D"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2</w:t>
            </w:r>
          </w:p>
        </w:tc>
        <w:tc>
          <w:tcPr>
            <w:tcW w:w="1134" w:type="dxa"/>
            <w:tcBorders>
              <w:top w:val="nil"/>
              <w:left w:val="nil"/>
              <w:bottom w:val="nil"/>
              <w:right w:val="nil"/>
            </w:tcBorders>
          </w:tcPr>
          <w:p w14:paraId="29E97F71"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sym w:font="Symbol" w:char="F0AD"/>
            </w:r>
          </w:p>
        </w:tc>
        <w:tc>
          <w:tcPr>
            <w:tcW w:w="1701" w:type="dxa"/>
            <w:tcBorders>
              <w:top w:val="nil"/>
              <w:left w:val="nil"/>
              <w:bottom w:val="nil"/>
              <w:right w:val="nil"/>
            </w:tcBorders>
          </w:tcPr>
          <w:p w14:paraId="7DCAE1C5"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No</w:t>
            </w:r>
          </w:p>
        </w:tc>
        <w:tc>
          <w:tcPr>
            <w:tcW w:w="1418" w:type="dxa"/>
            <w:tcBorders>
              <w:top w:val="nil"/>
              <w:left w:val="nil"/>
              <w:bottom w:val="nil"/>
              <w:right w:val="nil"/>
            </w:tcBorders>
          </w:tcPr>
          <w:p w14:paraId="6B444CF5"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No</w:t>
            </w:r>
          </w:p>
        </w:tc>
        <w:tc>
          <w:tcPr>
            <w:tcW w:w="850" w:type="dxa"/>
            <w:tcBorders>
              <w:top w:val="nil"/>
              <w:left w:val="nil"/>
              <w:bottom w:val="nil"/>
              <w:right w:val="nil"/>
            </w:tcBorders>
          </w:tcPr>
          <w:p w14:paraId="36493FBA"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1544</w:t>
            </w:r>
          </w:p>
        </w:tc>
        <w:tc>
          <w:tcPr>
            <w:tcW w:w="2552" w:type="dxa"/>
            <w:tcBorders>
              <w:top w:val="nil"/>
              <w:left w:val="nil"/>
              <w:bottom w:val="nil"/>
              <w:right w:val="nil"/>
            </w:tcBorders>
          </w:tcPr>
          <w:p w14:paraId="331E8BA0"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 xml:space="preserve">(26 -70 -34) to (42 -56 -22) </w:t>
            </w:r>
            <w:proofErr w:type="spellStart"/>
            <w:r w:rsidRPr="008C1CBE">
              <w:rPr>
                <w:rFonts w:ascii="Times New Roman" w:hAnsi="Times New Roman" w:cs="Times New Roman"/>
                <w:sz w:val="20"/>
                <w:szCs w:val="20"/>
              </w:rPr>
              <w:t>centered</w:t>
            </w:r>
            <w:proofErr w:type="spellEnd"/>
            <w:r w:rsidRPr="008C1CBE">
              <w:rPr>
                <w:rFonts w:ascii="Times New Roman" w:hAnsi="Times New Roman" w:cs="Times New Roman"/>
                <w:sz w:val="20"/>
                <w:szCs w:val="20"/>
              </w:rPr>
              <w:t xml:space="preserve"> at (35 -63 -29)</w:t>
            </w:r>
          </w:p>
        </w:tc>
      </w:tr>
      <w:tr w:rsidR="00AD51EF" w:rsidRPr="009E279F" w14:paraId="76C62989" w14:textId="77777777" w:rsidTr="00AD51EF">
        <w:trPr>
          <w:trHeight w:val="261"/>
        </w:trPr>
        <w:tc>
          <w:tcPr>
            <w:tcW w:w="1419" w:type="dxa"/>
            <w:tcBorders>
              <w:top w:val="nil"/>
              <w:left w:val="nil"/>
              <w:bottom w:val="nil"/>
              <w:right w:val="nil"/>
            </w:tcBorders>
          </w:tcPr>
          <w:p w14:paraId="541138CE" w14:textId="77777777" w:rsidR="00F4687C" w:rsidRPr="008C1CBE"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33BD243B" w14:textId="77777777" w:rsidR="00F4687C" w:rsidRPr="008C1CBE"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7A23CCC3" w14:textId="77777777" w:rsidR="00F4687C" w:rsidRPr="008C1CBE"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4A73532B" w14:textId="77777777" w:rsidR="00F4687C" w:rsidRPr="008C1CBE"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454A7C0D"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3</w:t>
            </w:r>
          </w:p>
        </w:tc>
        <w:tc>
          <w:tcPr>
            <w:tcW w:w="1134" w:type="dxa"/>
            <w:tcBorders>
              <w:top w:val="nil"/>
              <w:left w:val="nil"/>
              <w:bottom w:val="nil"/>
              <w:right w:val="nil"/>
            </w:tcBorders>
          </w:tcPr>
          <w:p w14:paraId="5585D9FC"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sym w:font="Symbol" w:char="F0AD"/>
            </w:r>
          </w:p>
        </w:tc>
        <w:tc>
          <w:tcPr>
            <w:tcW w:w="1701" w:type="dxa"/>
            <w:tcBorders>
              <w:top w:val="nil"/>
              <w:left w:val="nil"/>
              <w:bottom w:val="nil"/>
              <w:right w:val="nil"/>
            </w:tcBorders>
          </w:tcPr>
          <w:p w14:paraId="0B087B88"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No</w:t>
            </w:r>
          </w:p>
        </w:tc>
        <w:tc>
          <w:tcPr>
            <w:tcW w:w="1418" w:type="dxa"/>
            <w:tcBorders>
              <w:top w:val="nil"/>
              <w:left w:val="nil"/>
              <w:bottom w:val="nil"/>
              <w:right w:val="nil"/>
            </w:tcBorders>
          </w:tcPr>
          <w:p w14:paraId="5F77C1DB"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No</w:t>
            </w:r>
          </w:p>
        </w:tc>
        <w:tc>
          <w:tcPr>
            <w:tcW w:w="850" w:type="dxa"/>
            <w:tcBorders>
              <w:top w:val="nil"/>
              <w:left w:val="nil"/>
              <w:bottom w:val="nil"/>
              <w:right w:val="nil"/>
            </w:tcBorders>
          </w:tcPr>
          <w:p w14:paraId="1054EA45"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1352</w:t>
            </w:r>
          </w:p>
        </w:tc>
        <w:tc>
          <w:tcPr>
            <w:tcW w:w="2552" w:type="dxa"/>
            <w:tcBorders>
              <w:top w:val="nil"/>
              <w:left w:val="nil"/>
              <w:bottom w:val="nil"/>
              <w:right w:val="nil"/>
            </w:tcBorders>
          </w:tcPr>
          <w:p w14:paraId="24AC0846"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 xml:space="preserve">(-48 -86 -44) to (-28 -68 -34) </w:t>
            </w:r>
            <w:proofErr w:type="spellStart"/>
            <w:r w:rsidRPr="008C1CBE">
              <w:rPr>
                <w:rFonts w:ascii="Times New Roman" w:hAnsi="Times New Roman" w:cs="Times New Roman"/>
                <w:sz w:val="20"/>
                <w:szCs w:val="20"/>
              </w:rPr>
              <w:t>centered</w:t>
            </w:r>
            <w:proofErr w:type="spellEnd"/>
            <w:r w:rsidRPr="008C1CBE">
              <w:rPr>
                <w:rFonts w:ascii="Times New Roman" w:hAnsi="Times New Roman" w:cs="Times New Roman"/>
                <w:sz w:val="20"/>
                <w:szCs w:val="20"/>
              </w:rPr>
              <w:t xml:space="preserve"> at (-35 -77 -40)</w:t>
            </w:r>
          </w:p>
        </w:tc>
      </w:tr>
      <w:tr w:rsidR="00AD51EF" w:rsidRPr="009E279F" w14:paraId="2908D478" w14:textId="77777777" w:rsidTr="00AD51EF">
        <w:trPr>
          <w:trHeight w:val="261"/>
        </w:trPr>
        <w:tc>
          <w:tcPr>
            <w:tcW w:w="1419" w:type="dxa"/>
            <w:tcBorders>
              <w:top w:val="nil"/>
              <w:left w:val="nil"/>
              <w:bottom w:val="nil"/>
              <w:right w:val="nil"/>
            </w:tcBorders>
          </w:tcPr>
          <w:p w14:paraId="2B34713F" w14:textId="77777777" w:rsidR="00F4687C" w:rsidRPr="008C1CBE" w:rsidRDefault="00F4687C" w:rsidP="00BD0CFF">
            <w:pPr>
              <w:rPr>
                <w:rFonts w:ascii="Times New Roman" w:hAnsi="Times New Roman" w:cs="Times New Roman"/>
                <w:sz w:val="20"/>
                <w:szCs w:val="20"/>
              </w:rPr>
            </w:pPr>
          </w:p>
        </w:tc>
        <w:tc>
          <w:tcPr>
            <w:tcW w:w="987" w:type="dxa"/>
            <w:tcBorders>
              <w:top w:val="nil"/>
              <w:left w:val="nil"/>
              <w:bottom w:val="nil"/>
              <w:right w:val="nil"/>
            </w:tcBorders>
          </w:tcPr>
          <w:p w14:paraId="15E936C3" w14:textId="77777777" w:rsidR="00F4687C" w:rsidRPr="008C1CBE" w:rsidRDefault="00F4687C" w:rsidP="00BD0CFF">
            <w:pPr>
              <w:rPr>
                <w:rFonts w:ascii="Times New Roman" w:hAnsi="Times New Roman" w:cs="Times New Roman"/>
                <w:sz w:val="20"/>
                <w:szCs w:val="20"/>
              </w:rPr>
            </w:pPr>
          </w:p>
        </w:tc>
        <w:tc>
          <w:tcPr>
            <w:tcW w:w="1080" w:type="dxa"/>
            <w:tcBorders>
              <w:top w:val="nil"/>
              <w:left w:val="nil"/>
              <w:bottom w:val="nil"/>
              <w:right w:val="nil"/>
            </w:tcBorders>
          </w:tcPr>
          <w:p w14:paraId="2EE68526" w14:textId="77777777" w:rsidR="00F4687C" w:rsidRPr="008C1CBE" w:rsidRDefault="00F4687C" w:rsidP="00BD0CFF">
            <w:pPr>
              <w:rPr>
                <w:rFonts w:ascii="Times New Roman" w:hAnsi="Times New Roman" w:cs="Times New Roman"/>
                <w:sz w:val="20"/>
                <w:szCs w:val="20"/>
              </w:rPr>
            </w:pPr>
          </w:p>
        </w:tc>
        <w:tc>
          <w:tcPr>
            <w:tcW w:w="1476" w:type="dxa"/>
            <w:tcBorders>
              <w:top w:val="nil"/>
              <w:left w:val="nil"/>
              <w:bottom w:val="nil"/>
              <w:right w:val="nil"/>
            </w:tcBorders>
          </w:tcPr>
          <w:p w14:paraId="5C8EC005" w14:textId="77777777" w:rsidR="00F4687C" w:rsidRPr="008C1CBE" w:rsidRDefault="00F4687C" w:rsidP="00BD0CFF">
            <w:pPr>
              <w:rPr>
                <w:rFonts w:ascii="Times New Roman" w:hAnsi="Times New Roman" w:cs="Times New Roman"/>
                <w:sz w:val="20"/>
                <w:szCs w:val="20"/>
              </w:rPr>
            </w:pPr>
          </w:p>
        </w:tc>
        <w:tc>
          <w:tcPr>
            <w:tcW w:w="2268" w:type="dxa"/>
            <w:tcBorders>
              <w:top w:val="nil"/>
              <w:left w:val="nil"/>
              <w:bottom w:val="nil"/>
              <w:right w:val="nil"/>
            </w:tcBorders>
          </w:tcPr>
          <w:p w14:paraId="6B696903"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4</w:t>
            </w:r>
          </w:p>
        </w:tc>
        <w:tc>
          <w:tcPr>
            <w:tcW w:w="1134" w:type="dxa"/>
            <w:tcBorders>
              <w:top w:val="nil"/>
              <w:left w:val="nil"/>
              <w:bottom w:val="nil"/>
              <w:right w:val="nil"/>
            </w:tcBorders>
          </w:tcPr>
          <w:p w14:paraId="45EE9931"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sym w:font="Symbol" w:char="F0AD"/>
            </w:r>
          </w:p>
        </w:tc>
        <w:tc>
          <w:tcPr>
            <w:tcW w:w="1701" w:type="dxa"/>
            <w:tcBorders>
              <w:top w:val="nil"/>
              <w:left w:val="nil"/>
              <w:bottom w:val="nil"/>
              <w:right w:val="nil"/>
            </w:tcBorders>
          </w:tcPr>
          <w:p w14:paraId="6D77C570"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No</w:t>
            </w:r>
          </w:p>
        </w:tc>
        <w:tc>
          <w:tcPr>
            <w:tcW w:w="1418" w:type="dxa"/>
            <w:tcBorders>
              <w:top w:val="nil"/>
              <w:left w:val="nil"/>
              <w:bottom w:val="nil"/>
              <w:right w:val="nil"/>
            </w:tcBorders>
          </w:tcPr>
          <w:p w14:paraId="26DE5552"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No</w:t>
            </w:r>
          </w:p>
        </w:tc>
        <w:tc>
          <w:tcPr>
            <w:tcW w:w="850" w:type="dxa"/>
            <w:tcBorders>
              <w:top w:val="nil"/>
              <w:left w:val="nil"/>
              <w:bottom w:val="nil"/>
              <w:right w:val="nil"/>
            </w:tcBorders>
          </w:tcPr>
          <w:p w14:paraId="3A7BF98A"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1328</w:t>
            </w:r>
          </w:p>
        </w:tc>
        <w:tc>
          <w:tcPr>
            <w:tcW w:w="2552" w:type="dxa"/>
            <w:tcBorders>
              <w:top w:val="nil"/>
              <w:left w:val="nil"/>
              <w:bottom w:val="nil"/>
              <w:right w:val="nil"/>
            </w:tcBorders>
          </w:tcPr>
          <w:p w14:paraId="4120F94D"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 xml:space="preserve">(-10 -82,-30) to (8,-66,-10) </w:t>
            </w:r>
            <w:proofErr w:type="spellStart"/>
            <w:r w:rsidRPr="008C1CBE">
              <w:rPr>
                <w:rFonts w:ascii="Times New Roman" w:hAnsi="Times New Roman" w:cs="Times New Roman"/>
                <w:sz w:val="20"/>
                <w:szCs w:val="20"/>
              </w:rPr>
              <w:t>centered</w:t>
            </w:r>
            <w:proofErr w:type="spellEnd"/>
            <w:r w:rsidRPr="008C1CBE">
              <w:rPr>
                <w:rFonts w:ascii="Times New Roman" w:hAnsi="Times New Roman" w:cs="Times New Roman"/>
                <w:sz w:val="20"/>
                <w:szCs w:val="20"/>
              </w:rPr>
              <w:t xml:space="preserve"> at (0 -73 -17)</w:t>
            </w:r>
          </w:p>
        </w:tc>
      </w:tr>
      <w:tr w:rsidR="00AD51EF" w:rsidRPr="009E279F" w14:paraId="34D906DC" w14:textId="77777777" w:rsidTr="00AD51EF">
        <w:trPr>
          <w:trHeight w:val="261"/>
        </w:trPr>
        <w:tc>
          <w:tcPr>
            <w:tcW w:w="1419" w:type="dxa"/>
            <w:tcBorders>
              <w:top w:val="nil"/>
              <w:left w:val="nil"/>
              <w:bottom w:val="single" w:sz="4" w:space="0" w:color="auto"/>
              <w:right w:val="nil"/>
            </w:tcBorders>
          </w:tcPr>
          <w:p w14:paraId="52CBBCBC" w14:textId="77777777" w:rsidR="00F4687C" w:rsidRPr="008C1CBE" w:rsidRDefault="00F4687C" w:rsidP="00BD0CFF">
            <w:pPr>
              <w:rPr>
                <w:rFonts w:ascii="Times New Roman" w:hAnsi="Times New Roman" w:cs="Times New Roman"/>
                <w:sz w:val="20"/>
                <w:szCs w:val="20"/>
              </w:rPr>
            </w:pPr>
          </w:p>
        </w:tc>
        <w:tc>
          <w:tcPr>
            <w:tcW w:w="987" w:type="dxa"/>
            <w:tcBorders>
              <w:top w:val="nil"/>
              <w:left w:val="nil"/>
              <w:bottom w:val="single" w:sz="4" w:space="0" w:color="auto"/>
              <w:right w:val="nil"/>
            </w:tcBorders>
          </w:tcPr>
          <w:p w14:paraId="6D145A87" w14:textId="77777777" w:rsidR="00F4687C" w:rsidRPr="008C1CBE" w:rsidRDefault="00F4687C" w:rsidP="00BD0CFF">
            <w:pPr>
              <w:rPr>
                <w:rFonts w:ascii="Times New Roman" w:hAnsi="Times New Roman" w:cs="Times New Roman"/>
                <w:sz w:val="20"/>
                <w:szCs w:val="20"/>
              </w:rPr>
            </w:pPr>
          </w:p>
        </w:tc>
        <w:tc>
          <w:tcPr>
            <w:tcW w:w="1080" w:type="dxa"/>
            <w:tcBorders>
              <w:top w:val="nil"/>
              <w:left w:val="nil"/>
              <w:bottom w:val="single" w:sz="4" w:space="0" w:color="auto"/>
              <w:right w:val="nil"/>
            </w:tcBorders>
          </w:tcPr>
          <w:p w14:paraId="40E1CBE7" w14:textId="77777777" w:rsidR="00F4687C" w:rsidRPr="008C1CBE" w:rsidRDefault="00F4687C" w:rsidP="00BD0CFF">
            <w:pPr>
              <w:rPr>
                <w:rFonts w:ascii="Times New Roman" w:hAnsi="Times New Roman" w:cs="Times New Roman"/>
                <w:sz w:val="20"/>
                <w:szCs w:val="20"/>
              </w:rPr>
            </w:pPr>
          </w:p>
        </w:tc>
        <w:tc>
          <w:tcPr>
            <w:tcW w:w="1476" w:type="dxa"/>
            <w:tcBorders>
              <w:top w:val="nil"/>
              <w:left w:val="nil"/>
              <w:bottom w:val="single" w:sz="4" w:space="0" w:color="auto"/>
              <w:right w:val="nil"/>
            </w:tcBorders>
          </w:tcPr>
          <w:p w14:paraId="31583542" w14:textId="77777777" w:rsidR="00F4687C" w:rsidRPr="008C1CBE" w:rsidRDefault="00F4687C" w:rsidP="00BD0CFF">
            <w:pPr>
              <w:rPr>
                <w:rFonts w:ascii="Times New Roman" w:hAnsi="Times New Roman" w:cs="Times New Roman"/>
                <w:sz w:val="20"/>
                <w:szCs w:val="20"/>
              </w:rPr>
            </w:pPr>
          </w:p>
        </w:tc>
        <w:tc>
          <w:tcPr>
            <w:tcW w:w="2268" w:type="dxa"/>
            <w:tcBorders>
              <w:top w:val="nil"/>
              <w:left w:val="nil"/>
              <w:bottom w:val="single" w:sz="4" w:space="0" w:color="auto"/>
              <w:right w:val="nil"/>
            </w:tcBorders>
          </w:tcPr>
          <w:p w14:paraId="200004BD"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5</w:t>
            </w:r>
          </w:p>
        </w:tc>
        <w:tc>
          <w:tcPr>
            <w:tcW w:w="1134" w:type="dxa"/>
            <w:tcBorders>
              <w:top w:val="nil"/>
              <w:left w:val="nil"/>
              <w:bottom w:val="single" w:sz="4" w:space="0" w:color="auto"/>
              <w:right w:val="nil"/>
            </w:tcBorders>
          </w:tcPr>
          <w:p w14:paraId="3BC27F62"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sym w:font="Symbol" w:char="F0AD"/>
            </w:r>
          </w:p>
        </w:tc>
        <w:tc>
          <w:tcPr>
            <w:tcW w:w="1701" w:type="dxa"/>
            <w:tcBorders>
              <w:top w:val="nil"/>
              <w:left w:val="nil"/>
              <w:bottom w:val="single" w:sz="4" w:space="0" w:color="auto"/>
              <w:right w:val="nil"/>
            </w:tcBorders>
          </w:tcPr>
          <w:p w14:paraId="2F9D9956"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No</w:t>
            </w:r>
          </w:p>
        </w:tc>
        <w:tc>
          <w:tcPr>
            <w:tcW w:w="1418" w:type="dxa"/>
            <w:tcBorders>
              <w:top w:val="nil"/>
              <w:left w:val="nil"/>
              <w:bottom w:val="single" w:sz="4" w:space="0" w:color="auto"/>
              <w:right w:val="nil"/>
            </w:tcBorders>
          </w:tcPr>
          <w:p w14:paraId="4C103DB3"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No</w:t>
            </w:r>
          </w:p>
        </w:tc>
        <w:tc>
          <w:tcPr>
            <w:tcW w:w="850" w:type="dxa"/>
            <w:tcBorders>
              <w:top w:val="nil"/>
              <w:left w:val="nil"/>
              <w:bottom w:val="single" w:sz="4" w:space="0" w:color="auto"/>
              <w:right w:val="nil"/>
            </w:tcBorders>
          </w:tcPr>
          <w:p w14:paraId="261BE47B"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824</w:t>
            </w:r>
          </w:p>
        </w:tc>
        <w:tc>
          <w:tcPr>
            <w:tcW w:w="2552" w:type="dxa"/>
            <w:tcBorders>
              <w:top w:val="nil"/>
              <w:left w:val="nil"/>
              <w:bottom w:val="single" w:sz="4" w:space="0" w:color="auto"/>
              <w:right w:val="nil"/>
            </w:tcBorders>
          </w:tcPr>
          <w:p w14:paraId="1718FE1B"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 xml:space="preserve">(-48 -54 -46) to (-34 -36 -36) </w:t>
            </w:r>
            <w:proofErr w:type="spellStart"/>
            <w:r w:rsidRPr="008C1CBE">
              <w:rPr>
                <w:rFonts w:ascii="Times New Roman" w:hAnsi="Times New Roman" w:cs="Times New Roman"/>
                <w:sz w:val="20"/>
                <w:szCs w:val="20"/>
              </w:rPr>
              <w:t>centered</w:t>
            </w:r>
            <w:proofErr w:type="spellEnd"/>
            <w:r w:rsidRPr="008C1CBE">
              <w:rPr>
                <w:rFonts w:ascii="Times New Roman" w:hAnsi="Times New Roman" w:cs="Times New Roman"/>
                <w:sz w:val="20"/>
                <w:szCs w:val="20"/>
              </w:rPr>
              <w:t xml:space="preserve"> at (-40 -42 -41)</w:t>
            </w:r>
          </w:p>
        </w:tc>
      </w:tr>
      <w:tr w:rsidR="00F4687C" w:rsidRPr="006D0014" w14:paraId="775E47E4" w14:textId="77777777" w:rsidTr="00AD51EF">
        <w:trPr>
          <w:trHeight w:val="261"/>
        </w:trPr>
        <w:tc>
          <w:tcPr>
            <w:tcW w:w="14885" w:type="dxa"/>
            <w:gridSpan w:val="10"/>
            <w:tcBorders>
              <w:top w:val="single" w:sz="4" w:space="0" w:color="auto"/>
              <w:left w:val="nil"/>
              <w:bottom w:val="single" w:sz="4" w:space="0" w:color="auto"/>
              <w:right w:val="nil"/>
            </w:tcBorders>
          </w:tcPr>
          <w:p w14:paraId="04E8F07B"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i/>
                <w:iCs/>
                <w:sz w:val="20"/>
                <w:szCs w:val="20"/>
              </w:rPr>
              <w:t>Alzheimer’s disease</w:t>
            </w:r>
          </w:p>
        </w:tc>
      </w:tr>
      <w:tr w:rsidR="00AD51EF" w:rsidRPr="00D157CA" w14:paraId="5E876C49" w14:textId="77777777" w:rsidTr="00AD51EF">
        <w:trPr>
          <w:trHeight w:val="261"/>
        </w:trPr>
        <w:tc>
          <w:tcPr>
            <w:tcW w:w="1419" w:type="dxa"/>
            <w:tcBorders>
              <w:top w:val="single" w:sz="4" w:space="0" w:color="auto"/>
              <w:left w:val="nil"/>
              <w:bottom w:val="nil"/>
              <w:right w:val="nil"/>
            </w:tcBorders>
          </w:tcPr>
          <w:p w14:paraId="76F8F248"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None</w:t>
            </w:r>
          </w:p>
        </w:tc>
        <w:tc>
          <w:tcPr>
            <w:tcW w:w="987" w:type="dxa"/>
            <w:tcBorders>
              <w:top w:val="single" w:sz="4" w:space="0" w:color="auto"/>
              <w:left w:val="nil"/>
              <w:bottom w:val="nil"/>
              <w:right w:val="nil"/>
            </w:tcBorders>
          </w:tcPr>
          <w:p w14:paraId="4773A91F"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35</w:t>
            </w:r>
          </w:p>
        </w:tc>
        <w:tc>
          <w:tcPr>
            <w:tcW w:w="1080" w:type="dxa"/>
            <w:tcBorders>
              <w:top w:val="single" w:sz="4" w:space="0" w:color="auto"/>
              <w:left w:val="nil"/>
              <w:bottom w:val="nil"/>
              <w:right w:val="nil"/>
            </w:tcBorders>
          </w:tcPr>
          <w:p w14:paraId="3B2BD291"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529</w:t>
            </w:r>
          </w:p>
        </w:tc>
        <w:tc>
          <w:tcPr>
            <w:tcW w:w="1476" w:type="dxa"/>
            <w:tcBorders>
              <w:top w:val="single" w:sz="4" w:space="0" w:color="auto"/>
              <w:left w:val="nil"/>
              <w:bottom w:val="nil"/>
              <w:right w:val="nil"/>
            </w:tcBorders>
          </w:tcPr>
          <w:p w14:paraId="1B39E962"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440</w:t>
            </w:r>
          </w:p>
        </w:tc>
        <w:tc>
          <w:tcPr>
            <w:tcW w:w="2268" w:type="dxa"/>
            <w:tcBorders>
              <w:top w:val="single" w:sz="4" w:space="0" w:color="auto"/>
              <w:left w:val="nil"/>
              <w:bottom w:val="nil"/>
              <w:right w:val="nil"/>
            </w:tcBorders>
          </w:tcPr>
          <w:p w14:paraId="17BB0CE0"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1</w:t>
            </w:r>
          </w:p>
        </w:tc>
        <w:tc>
          <w:tcPr>
            <w:tcW w:w="1134" w:type="dxa"/>
            <w:tcBorders>
              <w:top w:val="single" w:sz="4" w:space="0" w:color="auto"/>
              <w:left w:val="nil"/>
              <w:bottom w:val="nil"/>
              <w:right w:val="nil"/>
            </w:tcBorders>
          </w:tcPr>
          <w:p w14:paraId="7DE9B0A8"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NA</w:t>
            </w:r>
          </w:p>
        </w:tc>
        <w:tc>
          <w:tcPr>
            <w:tcW w:w="1701" w:type="dxa"/>
            <w:tcBorders>
              <w:top w:val="single" w:sz="4" w:space="0" w:color="auto"/>
              <w:left w:val="nil"/>
              <w:bottom w:val="nil"/>
              <w:right w:val="nil"/>
            </w:tcBorders>
          </w:tcPr>
          <w:p w14:paraId="092B2195"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NA</w:t>
            </w:r>
          </w:p>
        </w:tc>
        <w:tc>
          <w:tcPr>
            <w:tcW w:w="1418" w:type="dxa"/>
            <w:tcBorders>
              <w:top w:val="single" w:sz="4" w:space="0" w:color="auto"/>
              <w:left w:val="nil"/>
              <w:bottom w:val="nil"/>
              <w:right w:val="nil"/>
            </w:tcBorders>
          </w:tcPr>
          <w:p w14:paraId="56B4110B"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NA</w:t>
            </w:r>
          </w:p>
        </w:tc>
        <w:tc>
          <w:tcPr>
            <w:tcW w:w="850" w:type="dxa"/>
            <w:tcBorders>
              <w:top w:val="single" w:sz="4" w:space="0" w:color="auto"/>
              <w:left w:val="nil"/>
              <w:bottom w:val="nil"/>
              <w:right w:val="nil"/>
            </w:tcBorders>
          </w:tcPr>
          <w:p w14:paraId="54FEAA83"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1144</w:t>
            </w:r>
          </w:p>
        </w:tc>
        <w:tc>
          <w:tcPr>
            <w:tcW w:w="2552" w:type="dxa"/>
            <w:tcBorders>
              <w:top w:val="single" w:sz="4" w:space="0" w:color="auto"/>
              <w:left w:val="nil"/>
              <w:bottom w:val="nil"/>
              <w:right w:val="nil"/>
            </w:tcBorders>
          </w:tcPr>
          <w:p w14:paraId="48E0436C"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 xml:space="preserve">(26 -78 -40) to (34 -62 -24) </w:t>
            </w:r>
            <w:proofErr w:type="spellStart"/>
            <w:r w:rsidRPr="008C1CBE">
              <w:rPr>
                <w:rFonts w:ascii="Times New Roman" w:hAnsi="Times New Roman" w:cs="Times New Roman"/>
                <w:sz w:val="20"/>
                <w:szCs w:val="20"/>
              </w:rPr>
              <w:t>centered</w:t>
            </w:r>
            <w:proofErr w:type="spellEnd"/>
            <w:r w:rsidRPr="008C1CBE">
              <w:rPr>
                <w:rFonts w:ascii="Times New Roman" w:hAnsi="Times New Roman" w:cs="Times New Roman"/>
                <w:sz w:val="20"/>
                <w:szCs w:val="20"/>
              </w:rPr>
              <w:t xml:space="preserve"> at (30 -68 -32)</w:t>
            </w:r>
          </w:p>
        </w:tc>
      </w:tr>
      <w:tr w:rsidR="00AD51EF" w:rsidRPr="00D157CA" w14:paraId="3F7575D0" w14:textId="77777777" w:rsidTr="00AD51EF">
        <w:trPr>
          <w:trHeight w:val="261"/>
        </w:trPr>
        <w:tc>
          <w:tcPr>
            <w:tcW w:w="1419" w:type="dxa"/>
            <w:tcBorders>
              <w:top w:val="nil"/>
              <w:left w:val="nil"/>
              <w:bottom w:val="single" w:sz="4" w:space="0" w:color="auto"/>
              <w:right w:val="nil"/>
            </w:tcBorders>
          </w:tcPr>
          <w:p w14:paraId="0C52157F" w14:textId="77777777" w:rsidR="00F4687C" w:rsidRPr="008C1CBE" w:rsidRDefault="00F4687C" w:rsidP="00BD0CFF">
            <w:pPr>
              <w:rPr>
                <w:rFonts w:ascii="Times New Roman" w:hAnsi="Times New Roman" w:cs="Times New Roman"/>
                <w:sz w:val="20"/>
                <w:szCs w:val="20"/>
              </w:rPr>
            </w:pPr>
          </w:p>
        </w:tc>
        <w:tc>
          <w:tcPr>
            <w:tcW w:w="987" w:type="dxa"/>
            <w:tcBorders>
              <w:top w:val="nil"/>
              <w:left w:val="nil"/>
              <w:bottom w:val="single" w:sz="4" w:space="0" w:color="auto"/>
              <w:right w:val="nil"/>
            </w:tcBorders>
          </w:tcPr>
          <w:p w14:paraId="440F6EF8" w14:textId="77777777" w:rsidR="00F4687C" w:rsidRPr="008C1CBE" w:rsidRDefault="00F4687C" w:rsidP="00BD0CFF">
            <w:pPr>
              <w:rPr>
                <w:rFonts w:ascii="Times New Roman" w:hAnsi="Times New Roman" w:cs="Times New Roman"/>
                <w:sz w:val="20"/>
                <w:szCs w:val="20"/>
              </w:rPr>
            </w:pPr>
          </w:p>
        </w:tc>
        <w:tc>
          <w:tcPr>
            <w:tcW w:w="1080" w:type="dxa"/>
            <w:tcBorders>
              <w:top w:val="nil"/>
              <w:left w:val="nil"/>
              <w:bottom w:val="single" w:sz="4" w:space="0" w:color="auto"/>
              <w:right w:val="nil"/>
            </w:tcBorders>
          </w:tcPr>
          <w:p w14:paraId="1F210506" w14:textId="77777777" w:rsidR="00F4687C" w:rsidRPr="008C1CBE" w:rsidRDefault="00F4687C" w:rsidP="00BD0CFF">
            <w:pPr>
              <w:rPr>
                <w:rFonts w:ascii="Times New Roman" w:hAnsi="Times New Roman" w:cs="Times New Roman"/>
                <w:sz w:val="20"/>
                <w:szCs w:val="20"/>
              </w:rPr>
            </w:pPr>
          </w:p>
        </w:tc>
        <w:tc>
          <w:tcPr>
            <w:tcW w:w="1476" w:type="dxa"/>
            <w:tcBorders>
              <w:top w:val="nil"/>
              <w:left w:val="nil"/>
              <w:bottom w:val="single" w:sz="4" w:space="0" w:color="auto"/>
              <w:right w:val="nil"/>
            </w:tcBorders>
          </w:tcPr>
          <w:p w14:paraId="50CA845B" w14:textId="77777777" w:rsidR="00F4687C" w:rsidRPr="008C1CBE" w:rsidRDefault="00F4687C" w:rsidP="00BD0CFF">
            <w:pPr>
              <w:rPr>
                <w:rFonts w:ascii="Times New Roman" w:hAnsi="Times New Roman" w:cs="Times New Roman"/>
                <w:sz w:val="20"/>
                <w:szCs w:val="20"/>
              </w:rPr>
            </w:pPr>
          </w:p>
        </w:tc>
        <w:tc>
          <w:tcPr>
            <w:tcW w:w="2268" w:type="dxa"/>
            <w:tcBorders>
              <w:top w:val="nil"/>
              <w:left w:val="nil"/>
              <w:bottom w:val="single" w:sz="4" w:space="0" w:color="auto"/>
              <w:right w:val="nil"/>
            </w:tcBorders>
          </w:tcPr>
          <w:p w14:paraId="04447459"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2</w:t>
            </w:r>
          </w:p>
        </w:tc>
        <w:tc>
          <w:tcPr>
            <w:tcW w:w="1134" w:type="dxa"/>
            <w:tcBorders>
              <w:top w:val="nil"/>
              <w:left w:val="nil"/>
              <w:bottom w:val="single" w:sz="4" w:space="0" w:color="auto"/>
              <w:right w:val="nil"/>
            </w:tcBorders>
          </w:tcPr>
          <w:p w14:paraId="51303347"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NA</w:t>
            </w:r>
          </w:p>
        </w:tc>
        <w:tc>
          <w:tcPr>
            <w:tcW w:w="1701" w:type="dxa"/>
            <w:tcBorders>
              <w:top w:val="nil"/>
              <w:left w:val="nil"/>
              <w:bottom w:val="single" w:sz="4" w:space="0" w:color="auto"/>
              <w:right w:val="nil"/>
            </w:tcBorders>
          </w:tcPr>
          <w:p w14:paraId="412C066E"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NA</w:t>
            </w:r>
          </w:p>
        </w:tc>
        <w:tc>
          <w:tcPr>
            <w:tcW w:w="1418" w:type="dxa"/>
            <w:tcBorders>
              <w:top w:val="nil"/>
              <w:left w:val="nil"/>
              <w:bottom w:val="single" w:sz="4" w:space="0" w:color="auto"/>
              <w:right w:val="nil"/>
            </w:tcBorders>
          </w:tcPr>
          <w:p w14:paraId="50FF896B"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NA</w:t>
            </w:r>
          </w:p>
        </w:tc>
        <w:tc>
          <w:tcPr>
            <w:tcW w:w="850" w:type="dxa"/>
            <w:tcBorders>
              <w:top w:val="nil"/>
              <w:left w:val="nil"/>
              <w:bottom w:val="single" w:sz="4" w:space="0" w:color="auto"/>
              <w:right w:val="nil"/>
            </w:tcBorders>
          </w:tcPr>
          <w:p w14:paraId="7647B771"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856</w:t>
            </w:r>
          </w:p>
        </w:tc>
        <w:tc>
          <w:tcPr>
            <w:tcW w:w="2552" w:type="dxa"/>
            <w:tcBorders>
              <w:top w:val="nil"/>
              <w:left w:val="nil"/>
              <w:bottom w:val="single" w:sz="4" w:space="0" w:color="auto"/>
              <w:right w:val="nil"/>
            </w:tcBorders>
          </w:tcPr>
          <w:p w14:paraId="385567A2"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 xml:space="preserve">(30 -66 -32) to (44 -58 -20) centred at (38 </w:t>
            </w:r>
            <w:r w:rsidRPr="00047652">
              <w:rPr>
                <w:rFonts w:ascii="Times New Roman" w:hAnsi="Times New Roman" w:cs="Times New Roman"/>
                <w:sz w:val="20"/>
                <w:szCs w:val="20"/>
              </w:rPr>
              <w:t>-</w:t>
            </w:r>
            <w:r w:rsidRPr="008C1CBE">
              <w:rPr>
                <w:rFonts w:ascii="Times New Roman" w:hAnsi="Times New Roman" w:cs="Times New Roman"/>
                <w:sz w:val="20"/>
                <w:szCs w:val="20"/>
              </w:rPr>
              <w:t xml:space="preserve">61 </w:t>
            </w:r>
            <w:r w:rsidRPr="00047652">
              <w:rPr>
                <w:rFonts w:ascii="Times New Roman" w:hAnsi="Times New Roman" w:cs="Times New Roman"/>
                <w:sz w:val="20"/>
                <w:szCs w:val="20"/>
              </w:rPr>
              <w:t>-</w:t>
            </w:r>
            <w:r w:rsidRPr="008C1CBE">
              <w:rPr>
                <w:rFonts w:ascii="Times New Roman" w:hAnsi="Times New Roman" w:cs="Times New Roman"/>
                <w:sz w:val="20"/>
                <w:szCs w:val="20"/>
              </w:rPr>
              <w:t>25)</w:t>
            </w:r>
          </w:p>
        </w:tc>
      </w:tr>
      <w:tr w:rsidR="00AD51EF" w:rsidRPr="006D0014" w14:paraId="51C23B4F" w14:textId="77777777" w:rsidTr="00AD51EF">
        <w:trPr>
          <w:trHeight w:val="261"/>
        </w:trPr>
        <w:tc>
          <w:tcPr>
            <w:tcW w:w="1419" w:type="dxa"/>
            <w:tcBorders>
              <w:top w:val="single" w:sz="4" w:space="0" w:color="auto"/>
              <w:left w:val="nil"/>
              <w:bottom w:val="nil"/>
              <w:right w:val="nil"/>
            </w:tcBorders>
          </w:tcPr>
          <w:p w14:paraId="18357CBD"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Ahmed et al., 2019</w:t>
            </w:r>
          </w:p>
          <w:p w14:paraId="56FF1FC6" w14:textId="77777777" w:rsidR="00F4687C" w:rsidRPr="008C1CBE" w:rsidRDefault="00F4687C" w:rsidP="00BD0CFF">
            <w:pPr>
              <w:rPr>
                <w:rFonts w:ascii="Times New Roman" w:hAnsi="Times New Roman" w:cs="Times New Roman"/>
                <w:sz w:val="20"/>
                <w:szCs w:val="20"/>
              </w:rPr>
            </w:pPr>
            <w:r w:rsidRPr="00E96F63">
              <w:rPr>
                <w:rFonts w:ascii="Times New Roman" w:hAnsi="Times New Roman" w:cs="Times New Roman"/>
                <w:sz w:val="20"/>
                <w:szCs w:val="20"/>
              </w:rPr>
              <w:fldChar w:fldCharType="begin" w:fldLock="1"/>
            </w:r>
            <w:r w:rsidRPr="008C1CBE">
              <w:rPr>
                <w:rFonts w:ascii="Times New Roman" w:hAnsi="Times New Roman" w:cs="Times New Roman"/>
                <w:sz w:val="20"/>
                <w:szCs w:val="20"/>
              </w:rPr>
              <w:instrText>ADDIN CSL_CITATION {"citationItems":[{"id":"ITEM-1","itemData":{"DOI":"10.1002/acn3.50869","ISSN":"23289503","PMID":"31461580","abstract":"Background: Frontotemporal dementia (FTD) is associated with complex changes in eating behavior and metabolism, which potentially affect disease pathogenesis and survival. It is currently not known if body composition changes and changes in fat deposition also exist in FTD, the relationship of these changes in eating behavior and appetite, and whether these changes are centrally mediated. Methods: Body composition was measured in 28 people with behavioral-variant frontotemporal dementia (bvFTD), 16 with Alzheimer’s disease (AD), and 19 healthy controls, using dual energy x-ray absorptiometry. Changes in body composition were correlated to brain grey matter atrophy using voxel-based morphometry on high-resolution magnetic resonance imaging. Results: Behavioral-variant FTD was characterized by changes in body composition, with increased total fat mass, visceral adipose tissue area (VAT area), and android: gynoid ratio compared to control and AD participants (all P values ' 0.05). Changes in body composition correlated to abnormal eating behavior and behavioral change (P ' 0.01) and functional decline (P ' 0.01). Changes in body composition also correlated to grey matter atrophy involving a distributed neural network that included the hippocampus, amygdala, nucleus accumbens, insula, cingulate, and cerebellum – structures known to be central to autonomic control – as well as the thalamus, putamen, accumbens, and caudate, which are involved in reward processing. Conclusions: Changes in body composition and fat deposition extend the clinical phenomenology in bvFTD beyond cognition and behavior, with changes associated with changes in reward and autonomic processing suggesting that these deficits may be central in FTD.","author":[{"dropping-particle":"","family":"Ahmed","given":"Rebekah M.","non-dropping-particle":"","parse-names":false,"suffix":""},{"dropping-particle":"","family":"Landin-Romero","given":"Ramon","non-dropping-particle":"","parse-names":false,"suffix":""},{"dropping-particle":"","family":"Liang","given":"Cheng T.","non-dropping-particle":"","parse-names":false,"suffix":""},{"dropping-particle":"","family":"Keogh","given":"Julia M.","non-dropping-particle":"","parse-names":false,"suffix":""},{"dropping-particle":"","family":"Henning","given":"Elana","non-dropping-particle":"","parse-names":false,"suffix":""},{"dropping-particle":"","family":"Strikwerda-Brown","given":"Cherie","non-dropping-particle":"","parse-names":false,"suffix":""},{"dropping-particle":"","family":"Devenney","given":"Emma M.","non-dropping-particle":"","parse-names":false,"suffix":""},{"dropping-particle":"","family":"Hodges","given":"John R.","non-dropping-particle":"","parse-names":false,"suffix":""},{"dropping-particle":"","family":"Kiernan","given":"Matthew C.","non-dropping-particle":"","parse-names":false,"suffix":""},{"dropping-particle":"","family":"Farooqi","given":"I. Sadaf","non-dropping-particle":"","parse-names":false,"suffix":""},{"dropping-particle":"","family":"Piguet","given":"Olivier","non-dropping-particle":"","parse-names":false,"suffix":""}],"container-title":"Annals of Clinical and Translational Neurology","id":"ITEM-1","issue":"9","issued":{"date-parts":[["2019"]]},"page":"1707-1717","title":"Neural networks associated with body composition in frontotemporal dementia","type":"article-journal","volume":"6"},"uris":["http://www.mendeley.com/documents/?uuid=395a14ac-dda2-4d82-b79a-d70869e262c7"]}],"mendeley":{"formattedCitation":"[26]","plainTextFormattedCitation":"[26]"},"properties":{"noteIndex":0},"schema":"https://github.com/citation-style-language/schema/raw/master/csl-citation.json"}</w:instrText>
            </w:r>
            <w:r w:rsidRPr="00E96F63">
              <w:rPr>
                <w:rFonts w:ascii="Times New Roman" w:hAnsi="Times New Roman" w:cs="Times New Roman"/>
                <w:sz w:val="20"/>
                <w:szCs w:val="20"/>
              </w:rPr>
              <w:fldChar w:fldCharType="separate"/>
            </w:r>
            <w:r w:rsidRPr="008C1CBE">
              <w:rPr>
                <w:rFonts w:ascii="Times New Roman" w:hAnsi="Times New Roman" w:cs="Times New Roman"/>
                <w:noProof/>
                <w:sz w:val="20"/>
                <w:szCs w:val="20"/>
              </w:rPr>
              <w:t>[26]</w:t>
            </w:r>
            <w:r w:rsidRPr="00E96F63">
              <w:rPr>
                <w:rFonts w:ascii="Times New Roman" w:hAnsi="Times New Roman" w:cs="Times New Roman"/>
                <w:sz w:val="20"/>
                <w:szCs w:val="20"/>
              </w:rPr>
              <w:fldChar w:fldCharType="end"/>
            </w:r>
          </w:p>
        </w:tc>
        <w:tc>
          <w:tcPr>
            <w:tcW w:w="987" w:type="dxa"/>
            <w:tcBorders>
              <w:top w:val="single" w:sz="4" w:space="0" w:color="auto"/>
              <w:left w:val="nil"/>
              <w:bottom w:val="nil"/>
              <w:right w:val="nil"/>
            </w:tcBorders>
          </w:tcPr>
          <w:p w14:paraId="1472C2DA"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33</w:t>
            </w:r>
          </w:p>
        </w:tc>
        <w:tc>
          <w:tcPr>
            <w:tcW w:w="1080" w:type="dxa"/>
            <w:tcBorders>
              <w:top w:val="single" w:sz="4" w:space="0" w:color="auto"/>
              <w:left w:val="nil"/>
              <w:bottom w:val="nil"/>
              <w:right w:val="nil"/>
            </w:tcBorders>
          </w:tcPr>
          <w:p w14:paraId="11A9E975"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513</w:t>
            </w:r>
          </w:p>
        </w:tc>
        <w:tc>
          <w:tcPr>
            <w:tcW w:w="1476" w:type="dxa"/>
            <w:tcBorders>
              <w:top w:val="single" w:sz="4" w:space="0" w:color="auto"/>
              <w:left w:val="nil"/>
              <w:bottom w:val="nil"/>
              <w:right w:val="nil"/>
            </w:tcBorders>
          </w:tcPr>
          <w:p w14:paraId="3E6DF330"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512</w:t>
            </w:r>
          </w:p>
        </w:tc>
        <w:tc>
          <w:tcPr>
            <w:tcW w:w="2268" w:type="dxa"/>
            <w:tcBorders>
              <w:top w:val="single" w:sz="4" w:space="0" w:color="auto"/>
              <w:left w:val="nil"/>
              <w:bottom w:val="nil"/>
              <w:right w:val="nil"/>
            </w:tcBorders>
          </w:tcPr>
          <w:p w14:paraId="1B174F6F"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1</w:t>
            </w:r>
          </w:p>
        </w:tc>
        <w:tc>
          <w:tcPr>
            <w:tcW w:w="1134" w:type="dxa"/>
            <w:tcBorders>
              <w:top w:val="single" w:sz="4" w:space="0" w:color="auto"/>
              <w:left w:val="nil"/>
              <w:bottom w:val="nil"/>
              <w:right w:val="nil"/>
            </w:tcBorders>
          </w:tcPr>
          <w:p w14:paraId="684F0461"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sym w:font="Symbol" w:char="F0AF"/>
            </w:r>
          </w:p>
        </w:tc>
        <w:tc>
          <w:tcPr>
            <w:tcW w:w="1701" w:type="dxa"/>
            <w:tcBorders>
              <w:top w:val="single" w:sz="4" w:space="0" w:color="auto"/>
              <w:left w:val="nil"/>
              <w:bottom w:val="nil"/>
              <w:right w:val="nil"/>
            </w:tcBorders>
          </w:tcPr>
          <w:p w14:paraId="3A67D9C6"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Yes</w:t>
            </w:r>
          </w:p>
        </w:tc>
        <w:tc>
          <w:tcPr>
            <w:tcW w:w="1418" w:type="dxa"/>
            <w:tcBorders>
              <w:top w:val="single" w:sz="4" w:space="0" w:color="auto"/>
              <w:left w:val="nil"/>
              <w:bottom w:val="nil"/>
              <w:right w:val="nil"/>
            </w:tcBorders>
          </w:tcPr>
          <w:p w14:paraId="3D1A6748"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No</w:t>
            </w:r>
          </w:p>
        </w:tc>
        <w:tc>
          <w:tcPr>
            <w:tcW w:w="850" w:type="dxa"/>
            <w:tcBorders>
              <w:top w:val="single" w:sz="4" w:space="0" w:color="auto"/>
              <w:left w:val="nil"/>
              <w:bottom w:val="nil"/>
              <w:right w:val="nil"/>
            </w:tcBorders>
          </w:tcPr>
          <w:p w14:paraId="38F913A4"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1056</w:t>
            </w:r>
          </w:p>
        </w:tc>
        <w:tc>
          <w:tcPr>
            <w:tcW w:w="2552" w:type="dxa"/>
            <w:tcBorders>
              <w:top w:val="single" w:sz="4" w:space="0" w:color="auto"/>
              <w:left w:val="nil"/>
              <w:bottom w:val="nil"/>
              <w:right w:val="nil"/>
            </w:tcBorders>
          </w:tcPr>
          <w:p w14:paraId="4673564A"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 xml:space="preserve">(26 -78 -40) to (34 -62 -24) </w:t>
            </w:r>
            <w:proofErr w:type="spellStart"/>
            <w:r w:rsidRPr="008C1CBE">
              <w:rPr>
                <w:rFonts w:ascii="Times New Roman" w:hAnsi="Times New Roman" w:cs="Times New Roman"/>
                <w:sz w:val="20"/>
                <w:szCs w:val="20"/>
              </w:rPr>
              <w:t>centered</w:t>
            </w:r>
            <w:proofErr w:type="spellEnd"/>
            <w:r w:rsidRPr="008C1CBE">
              <w:rPr>
                <w:rFonts w:ascii="Times New Roman" w:hAnsi="Times New Roman" w:cs="Times New Roman"/>
                <w:sz w:val="20"/>
                <w:szCs w:val="20"/>
              </w:rPr>
              <w:t xml:space="preserve"> at (30 -71 -32)</w:t>
            </w:r>
          </w:p>
        </w:tc>
      </w:tr>
      <w:tr w:rsidR="00AD51EF" w:rsidRPr="006D0014" w14:paraId="3635DC8C" w14:textId="77777777" w:rsidTr="00AD51EF">
        <w:trPr>
          <w:trHeight w:val="261"/>
        </w:trPr>
        <w:tc>
          <w:tcPr>
            <w:tcW w:w="1419" w:type="dxa"/>
            <w:tcBorders>
              <w:top w:val="nil"/>
              <w:left w:val="nil"/>
              <w:bottom w:val="single" w:sz="4" w:space="0" w:color="auto"/>
              <w:right w:val="nil"/>
            </w:tcBorders>
          </w:tcPr>
          <w:p w14:paraId="236A2B27" w14:textId="77777777" w:rsidR="00F4687C" w:rsidRPr="008C1CBE" w:rsidRDefault="00F4687C" w:rsidP="00BD0CFF">
            <w:pPr>
              <w:rPr>
                <w:rFonts w:ascii="Times New Roman" w:hAnsi="Times New Roman" w:cs="Times New Roman"/>
                <w:sz w:val="20"/>
                <w:szCs w:val="20"/>
              </w:rPr>
            </w:pPr>
          </w:p>
        </w:tc>
        <w:tc>
          <w:tcPr>
            <w:tcW w:w="987" w:type="dxa"/>
            <w:tcBorders>
              <w:top w:val="nil"/>
              <w:left w:val="nil"/>
              <w:bottom w:val="single" w:sz="4" w:space="0" w:color="auto"/>
              <w:right w:val="nil"/>
            </w:tcBorders>
          </w:tcPr>
          <w:p w14:paraId="3B064EC3" w14:textId="77777777" w:rsidR="00F4687C" w:rsidRPr="008C1CBE" w:rsidRDefault="00F4687C" w:rsidP="00BD0CFF">
            <w:pPr>
              <w:rPr>
                <w:rFonts w:ascii="Times New Roman" w:hAnsi="Times New Roman" w:cs="Times New Roman"/>
                <w:sz w:val="20"/>
                <w:szCs w:val="20"/>
              </w:rPr>
            </w:pPr>
          </w:p>
        </w:tc>
        <w:tc>
          <w:tcPr>
            <w:tcW w:w="1080" w:type="dxa"/>
            <w:tcBorders>
              <w:top w:val="nil"/>
              <w:left w:val="nil"/>
              <w:bottom w:val="single" w:sz="4" w:space="0" w:color="auto"/>
              <w:right w:val="nil"/>
            </w:tcBorders>
          </w:tcPr>
          <w:p w14:paraId="7C084F46" w14:textId="77777777" w:rsidR="00F4687C" w:rsidRPr="008C1CBE" w:rsidRDefault="00F4687C" w:rsidP="00BD0CFF">
            <w:pPr>
              <w:rPr>
                <w:rFonts w:ascii="Times New Roman" w:hAnsi="Times New Roman" w:cs="Times New Roman"/>
                <w:sz w:val="20"/>
                <w:szCs w:val="20"/>
              </w:rPr>
            </w:pPr>
          </w:p>
        </w:tc>
        <w:tc>
          <w:tcPr>
            <w:tcW w:w="1476" w:type="dxa"/>
            <w:tcBorders>
              <w:top w:val="nil"/>
              <w:left w:val="nil"/>
              <w:bottom w:val="single" w:sz="4" w:space="0" w:color="auto"/>
              <w:right w:val="nil"/>
            </w:tcBorders>
          </w:tcPr>
          <w:p w14:paraId="65D638B9" w14:textId="77777777" w:rsidR="00F4687C" w:rsidRPr="008C1CBE" w:rsidDel="00593FDD" w:rsidRDefault="00F4687C" w:rsidP="00BD0CFF">
            <w:pPr>
              <w:rPr>
                <w:rFonts w:ascii="Times New Roman" w:hAnsi="Times New Roman" w:cs="Times New Roman"/>
                <w:sz w:val="20"/>
                <w:szCs w:val="20"/>
              </w:rPr>
            </w:pPr>
          </w:p>
        </w:tc>
        <w:tc>
          <w:tcPr>
            <w:tcW w:w="2268" w:type="dxa"/>
            <w:tcBorders>
              <w:top w:val="nil"/>
              <w:left w:val="nil"/>
              <w:bottom w:val="single" w:sz="4" w:space="0" w:color="auto"/>
              <w:right w:val="nil"/>
            </w:tcBorders>
          </w:tcPr>
          <w:p w14:paraId="664AFAA1"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2</w:t>
            </w:r>
          </w:p>
        </w:tc>
        <w:tc>
          <w:tcPr>
            <w:tcW w:w="1134" w:type="dxa"/>
            <w:tcBorders>
              <w:top w:val="nil"/>
              <w:left w:val="nil"/>
              <w:bottom w:val="single" w:sz="4" w:space="0" w:color="auto"/>
              <w:right w:val="nil"/>
            </w:tcBorders>
          </w:tcPr>
          <w:p w14:paraId="657DE221"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sym w:font="Symbol" w:char="F0AF"/>
            </w:r>
          </w:p>
        </w:tc>
        <w:tc>
          <w:tcPr>
            <w:tcW w:w="1701" w:type="dxa"/>
            <w:tcBorders>
              <w:top w:val="nil"/>
              <w:left w:val="nil"/>
              <w:bottom w:val="single" w:sz="4" w:space="0" w:color="auto"/>
              <w:right w:val="nil"/>
            </w:tcBorders>
          </w:tcPr>
          <w:p w14:paraId="2958FE8E"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No</w:t>
            </w:r>
          </w:p>
        </w:tc>
        <w:tc>
          <w:tcPr>
            <w:tcW w:w="1418" w:type="dxa"/>
            <w:tcBorders>
              <w:top w:val="nil"/>
              <w:left w:val="nil"/>
              <w:bottom w:val="single" w:sz="4" w:space="0" w:color="auto"/>
              <w:right w:val="nil"/>
            </w:tcBorders>
          </w:tcPr>
          <w:p w14:paraId="562A5D02"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No</w:t>
            </w:r>
          </w:p>
        </w:tc>
        <w:tc>
          <w:tcPr>
            <w:tcW w:w="850" w:type="dxa"/>
            <w:tcBorders>
              <w:top w:val="nil"/>
              <w:left w:val="nil"/>
              <w:bottom w:val="single" w:sz="4" w:space="0" w:color="auto"/>
              <w:right w:val="nil"/>
            </w:tcBorders>
          </w:tcPr>
          <w:p w14:paraId="323F043F"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808</w:t>
            </w:r>
          </w:p>
        </w:tc>
        <w:tc>
          <w:tcPr>
            <w:tcW w:w="2552" w:type="dxa"/>
            <w:tcBorders>
              <w:top w:val="nil"/>
              <w:left w:val="nil"/>
              <w:bottom w:val="single" w:sz="4" w:space="0" w:color="auto"/>
              <w:right w:val="nil"/>
            </w:tcBorders>
          </w:tcPr>
          <w:p w14:paraId="3692BBA8"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 xml:space="preserve">(30 -66 -32) to (44 -58 -20) </w:t>
            </w:r>
            <w:proofErr w:type="spellStart"/>
            <w:r w:rsidRPr="008C1CBE">
              <w:rPr>
                <w:rFonts w:ascii="Times New Roman" w:hAnsi="Times New Roman" w:cs="Times New Roman"/>
                <w:sz w:val="20"/>
                <w:szCs w:val="20"/>
              </w:rPr>
              <w:t>centered</w:t>
            </w:r>
            <w:proofErr w:type="spellEnd"/>
            <w:r w:rsidRPr="008C1CBE">
              <w:rPr>
                <w:rFonts w:ascii="Times New Roman" w:hAnsi="Times New Roman" w:cs="Times New Roman"/>
                <w:sz w:val="20"/>
                <w:szCs w:val="20"/>
              </w:rPr>
              <w:t xml:space="preserve"> at (38 -61 -25)</w:t>
            </w:r>
          </w:p>
        </w:tc>
      </w:tr>
      <w:tr w:rsidR="00AD51EF" w:rsidRPr="00FE2DCF" w14:paraId="1808889C" w14:textId="77777777" w:rsidTr="00AD51EF">
        <w:trPr>
          <w:trHeight w:val="963"/>
        </w:trPr>
        <w:tc>
          <w:tcPr>
            <w:tcW w:w="1419" w:type="dxa"/>
            <w:tcBorders>
              <w:top w:val="single" w:sz="4" w:space="0" w:color="auto"/>
              <w:left w:val="nil"/>
              <w:bottom w:val="single" w:sz="4" w:space="0" w:color="auto"/>
              <w:right w:val="nil"/>
            </w:tcBorders>
          </w:tcPr>
          <w:p w14:paraId="4B5AA965" w14:textId="77777777" w:rsidR="00F4687C" w:rsidRPr="008C1CBE" w:rsidRDefault="00F4687C" w:rsidP="00BD0CFF">
            <w:pPr>
              <w:rPr>
                <w:rFonts w:ascii="Times New Roman" w:hAnsi="Times New Roman" w:cs="Times New Roman"/>
                <w:sz w:val="20"/>
                <w:szCs w:val="20"/>
              </w:rPr>
            </w:pPr>
            <w:proofErr w:type="spellStart"/>
            <w:r w:rsidRPr="008C1CBE">
              <w:rPr>
                <w:rFonts w:ascii="Times New Roman" w:hAnsi="Times New Roman" w:cs="Times New Roman"/>
                <w:sz w:val="20"/>
                <w:szCs w:val="20"/>
              </w:rPr>
              <w:t>Canu</w:t>
            </w:r>
            <w:proofErr w:type="spellEnd"/>
            <w:r w:rsidRPr="008C1CBE">
              <w:rPr>
                <w:rFonts w:ascii="Times New Roman" w:hAnsi="Times New Roman" w:cs="Times New Roman"/>
                <w:sz w:val="20"/>
                <w:szCs w:val="20"/>
              </w:rPr>
              <w:t xml:space="preserve"> et al., 2011</w:t>
            </w:r>
          </w:p>
          <w:p w14:paraId="70216CEB" w14:textId="77777777" w:rsidR="00F4687C" w:rsidRPr="008C1CBE" w:rsidRDefault="00F4687C" w:rsidP="00BD0CFF">
            <w:pPr>
              <w:rPr>
                <w:rFonts w:ascii="Times New Roman" w:hAnsi="Times New Roman" w:cs="Times New Roman"/>
                <w:sz w:val="20"/>
                <w:szCs w:val="20"/>
              </w:rPr>
            </w:pPr>
            <w:r w:rsidRPr="00E96F63">
              <w:rPr>
                <w:rFonts w:ascii="Times New Roman" w:hAnsi="Times New Roman" w:cs="Times New Roman"/>
                <w:sz w:val="20"/>
                <w:szCs w:val="20"/>
              </w:rPr>
              <w:fldChar w:fldCharType="begin" w:fldLock="1"/>
            </w:r>
            <w:r w:rsidRPr="008C1CBE">
              <w:rPr>
                <w:rFonts w:ascii="Times New Roman" w:hAnsi="Times New Roman" w:cs="Times New Roman"/>
                <w:sz w:val="20"/>
                <w:szCs w:val="20"/>
              </w:rPr>
              <w:instrText>ADDIN CSL_CITATION {"citationItems":[{"id":"ITEM-1","itemData":{"DOI":"10.3233/978-1-60750-793-2-487","ISBN":"9781607507925","ISSN":"22105727","abstract":"The macrostructural atrophy of Alzheimers disease (AD) has been fully described. Current literature reports that also microstructural alterations occur in AD since the early stages. However, whether the microstructural changes offer unique information independent from macrostructural atrophy is unclear. Aim of this study is to define the independent contribution of macrostructural atrophy and microstructural alterations on AD pathology. The study involved 17 moderate to severe AD patients and 13 healthy controls. All participants underwent conventional and non conventional MRI (respectively, T1-weighted and diffusion-weighted MR scanning). We processed the images in order to obtain gray and white matter volumes to assess macrostructural atrophy, and fractional anisotropy and mean diffusivity to assess the microstructural damage. Analyses of covariance between patients and controls were performed to investigate microstructural tissue damage independent of macrostructural tissue loss, and viceversa, voxel by voxel. We observed microstructural differences, independent of macrostructural atrophy, between patients and controls in temporal and retrosplenial regions, as well as in thalamus, corticopontine tracts, striatum and precentral gyrus. Volumetric differences, independent of microstructural alterations, were observed mainly in the entorhinal cortex, posterior cingulum, and splenium. Measures of microstructural damage provide unique information not obtainable with volumetric mapping in regions known to be pivotal in AD as well as in others thought to be spared. This work expands the understanding of the topography of pathological  changes in AD that can be captured with imaging techniques. © 2011 IOS Press and the authors. All rights reserved.","author":[{"dropping-particle":"","family":"Canu","given":"Elisa","non-dropping-particle":"","parse-names":false,"suffix":""},{"dropping-particle":"","family":"McLaren","given":"Donald G.","non-dropping-particle":"","parse-names":false,"suffix":""},{"dropping-particle":"","family":"Fitzgerald","given":"Michele E.","non-dropping-particle":"","parse-names":false,"suffix":""},{"dropping-particle":"","family":"Bendlin","given":"Barbara B.","non-dropping-particle":"","parse-names":false,"suffix":""},{"dropping-particle":"","family":"Zoccatelli","given":"Giada","non-dropping-particle":"","parse-names":false,"suffix":""},{"dropping-particle":"","family":"Alessandrini","given":"Franco","non-dropping-particle":"","parse-names":false,"suffix":""},{"dropping-particle":"","family":"Pizzini","given":"Francesca B.","non-dropping-particle":"","parse-names":false,"suffix":""},{"dropping-particle":"","family":"Ricciardi","given":"Giuseppe K.","non-dropping-particle":"","parse-names":false,"suffix":""},{"dropping-particle":"","family":"Beltramello","given":"Alberto","non-dropping-particle":"","parse-names":false,"suffix":""},{"dropping-particle":"","family":"Johnson","given":"Sterling C.","non-dropping-particle":"","parse-names":false,"suffix":""}],"container-title":"Advances in Alzheimer's Disease","id":"ITEM-1","issued":{"date-parts":[["2011"]]},"page":"487-498","title":"Mapping the structural brain changes in Alzheimer's disease: The independent contribution of two imaging modalities","type":"article-journal","volume":"2"},"uris":["http://www.mendeley.com/documents/?uuid=a5aca84b-159a-43fa-8ce9-19b69eec5e3b"]}],"mendeley":{"formattedCitation":"[5]","plainTextFormattedCitation":"[5]","previouslyFormattedCitation":"[5]"},"properties":{"noteIndex":0},"schema":"https://github.com/citation-style-language/schema/raw/master/csl-citation.json"}</w:instrText>
            </w:r>
            <w:r w:rsidRPr="00E96F63">
              <w:rPr>
                <w:rFonts w:ascii="Times New Roman" w:hAnsi="Times New Roman" w:cs="Times New Roman"/>
                <w:sz w:val="20"/>
                <w:szCs w:val="20"/>
              </w:rPr>
              <w:fldChar w:fldCharType="separate"/>
            </w:r>
            <w:r w:rsidRPr="008C1CBE">
              <w:rPr>
                <w:rFonts w:ascii="Times New Roman" w:hAnsi="Times New Roman" w:cs="Times New Roman"/>
                <w:noProof/>
                <w:sz w:val="20"/>
                <w:szCs w:val="20"/>
              </w:rPr>
              <w:t>[5]</w:t>
            </w:r>
            <w:r w:rsidRPr="00E96F63">
              <w:rPr>
                <w:rFonts w:ascii="Times New Roman" w:hAnsi="Times New Roman" w:cs="Times New Roman"/>
                <w:sz w:val="20"/>
                <w:szCs w:val="20"/>
              </w:rPr>
              <w:fldChar w:fldCharType="end"/>
            </w:r>
          </w:p>
        </w:tc>
        <w:tc>
          <w:tcPr>
            <w:tcW w:w="987" w:type="dxa"/>
            <w:tcBorders>
              <w:top w:val="single" w:sz="4" w:space="0" w:color="auto"/>
              <w:left w:val="nil"/>
              <w:bottom w:val="single" w:sz="4" w:space="0" w:color="auto"/>
              <w:right w:val="nil"/>
            </w:tcBorders>
          </w:tcPr>
          <w:p w14:paraId="4D5C5C6C"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31</w:t>
            </w:r>
          </w:p>
        </w:tc>
        <w:tc>
          <w:tcPr>
            <w:tcW w:w="1080" w:type="dxa"/>
            <w:tcBorders>
              <w:top w:val="single" w:sz="4" w:space="0" w:color="auto"/>
              <w:left w:val="nil"/>
              <w:bottom w:val="single" w:sz="4" w:space="0" w:color="auto"/>
              <w:right w:val="nil"/>
            </w:tcBorders>
          </w:tcPr>
          <w:p w14:paraId="6B52682F"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512</w:t>
            </w:r>
          </w:p>
        </w:tc>
        <w:tc>
          <w:tcPr>
            <w:tcW w:w="1476" w:type="dxa"/>
            <w:tcBorders>
              <w:top w:val="single" w:sz="4" w:space="0" w:color="auto"/>
              <w:left w:val="nil"/>
              <w:bottom w:val="single" w:sz="4" w:space="0" w:color="auto"/>
              <w:right w:val="nil"/>
            </w:tcBorders>
          </w:tcPr>
          <w:p w14:paraId="5373C1D1"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568</w:t>
            </w:r>
          </w:p>
        </w:tc>
        <w:tc>
          <w:tcPr>
            <w:tcW w:w="2268" w:type="dxa"/>
            <w:tcBorders>
              <w:top w:val="single" w:sz="4" w:space="0" w:color="auto"/>
              <w:left w:val="nil"/>
              <w:bottom w:val="single" w:sz="4" w:space="0" w:color="auto"/>
              <w:right w:val="nil"/>
            </w:tcBorders>
          </w:tcPr>
          <w:p w14:paraId="1ADF5AC0"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1</w:t>
            </w:r>
          </w:p>
        </w:tc>
        <w:tc>
          <w:tcPr>
            <w:tcW w:w="1134" w:type="dxa"/>
            <w:tcBorders>
              <w:top w:val="single" w:sz="4" w:space="0" w:color="auto"/>
              <w:left w:val="nil"/>
              <w:bottom w:val="single" w:sz="4" w:space="0" w:color="auto"/>
              <w:right w:val="nil"/>
            </w:tcBorders>
          </w:tcPr>
          <w:p w14:paraId="05A939D7"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sym w:font="Symbol" w:char="F0AF"/>
            </w:r>
          </w:p>
        </w:tc>
        <w:tc>
          <w:tcPr>
            <w:tcW w:w="1701" w:type="dxa"/>
            <w:tcBorders>
              <w:top w:val="single" w:sz="4" w:space="0" w:color="auto"/>
              <w:left w:val="nil"/>
              <w:bottom w:val="single" w:sz="4" w:space="0" w:color="auto"/>
              <w:right w:val="nil"/>
            </w:tcBorders>
          </w:tcPr>
          <w:p w14:paraId="481CA886"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No</w:t>
            </w:r>
          </w:p>
        </w:tc>
        <w:tc>
          <w:tcPr>
            <w:tcW w:w="1418" w:type="dxa"/>
            <w:tcBorders>
              <w:top w:val="single" w:sz="4" w:space="0" w:color="auto"/>
              <w:left w:val="nil"/>
              <w:bottom w:val="single" w:sz="4" w:space="0" w:color="auto"/>
              <w:right w:val="nil"/>
            </w:tcBorders>
          </w:tcPr>
          <w:p w14:paraId="0E79F818"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No</w:t>
            </w:r>
          </w:p>
        </w:tc>
        <w:tc>
          <w:tcPr>
            <w:tcW w:w="850" w:type="dxa"/>
            <w:tcBorders>
              <w:top w:val="single" w:sz="4" w:space="0" w:color="auto"/>
              <w:left w:val="nil"/>
              <w:bottom w:val="single" w:sz="4" w:space="0" w:color="auto"/>
              <w:right w:val="nil"/>
            </w:tcBorders>
          </w:tcPr>
          <w:p w14:paraId="782F7B45"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688</w:t>
            </w:r>
          </w:p>
        </w:tc>
        <w:tc>
          <w:tcPr>
            <w:tcW w:w="2552" w:type="dxa"/>
            <w:tcBorders>
              <w:top w:val="single" w:sz="4" w:space="0" w:color="auto"/>
              <w:left w:val="nil"/>
              <w:bottom w:val="single" w:sz="4" w:space="0" w:color="auto"/>
              <w:right w:val="nil"/>
            </w:tcBorders>
          </w:tcPr>
          <w:p w14:paraId="5098FC01"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 xml:space="preserve">(26 -78 -40) to (34 -68 -24) </w:t>
            </w:r>
            <w:proofErr w:type="spellStart"/>
            <w:r w:rsidRPr="008C1CBE">
              <w:rPr>
                <w:rFonts w:ascii="Times New Roman" w:hAnsi="Times New Roman" w:cs="Times New Roman"/>
                <w:sz w:val="20"/>
                <w:szCs w:val="20"/>
              </w:rPr>
              <w:t>centered</w:t>
            </w:r>
            <w:proofErr w:type="spellEnd"/>
            <w:r w:rsidRPr="008C1CBE">
              <w:rPr>
                <w:rFonts w:ascii="Times New Roman" w:hAnsi="Times New Roman" w:cs="Times New Roman"/>
                <w:sz w:val="20"/>
                <w:szCs w:val="20"/>
              </w:rPr>
              <w:t xml:space="preserve"> at (30 -73 -29)</w:t>
            </w:r>
          </w:p>
        </w:tc>
      </w:tr>
      <w:tr w:rsidR="00AD51EF" w:rsidRPr="006D0014" w14:paraId="38A29568" w14:textId="77777777" w:rsidTr="00AD51EF">
        <w:trPr>
          <w:trHeight w:val="261"/>
        </w:trPr>
        <w:tc>
          <w:tcPr>
            <w:tcW w:w="1419" w:type="dxa"/>
            <w:tcBorders>
              <w:top w:val="single" w:sz="4" w:space="0" w:color="auto"/>
              <w:left w:val="nil"/>
              <w:bottom w:val="single" w:sz="4" w:space="0" w:color="auto"/>
              <w:right w:val="nil"/>
            </w:tcBorders>
          </w:tcPr>
          <w:p w14:paraId="1A6D7EC6" w14:textId="77777777" w:rsidR="00F4687C" w:rsidRPr="008C1CBE" w:rsidRDefault="00F4687C" w:rsidP="00BD0CFF">
            <w:pPr>
              <w:rPr>
                <w:rFonts w:ascii="Times New Roman" w:hAnsi="Times New Roman" w:cs="Times New Roman"/>
                <w:sz w:val="20"/>
                <w:szCs w:val="20"/>
              </w:rPr>
            </w:pPr>
            <w:proofErr w:type="spellStart"/>
            <w:r w:rsidRPr="008C1CBE">
              <w:rPr>
                <w:rFonts w:ascii="Times New Roman" w:hAnsi="Times New Roman" w:cs="Times New Roman"/>
                <w:sz w:val="20"/>
                <w:szCs w:val="20"/>
              </w:rPr>
              <w:t>Canu</w:t>
            </w:r>
            <w:proofErr w:type="spellEnd"/>
            <w:r w:rsidRPr="008C1CBE">
              <w:rPr>
                <w:rFonts w:ascii="Times New Roman" w:hAnsi="Times New Roman" w:cs="Times New Roman"/>
                <w:sz w:val="20"/>
                <w:szCs w:val="20"/>
              </w:rPr>
              <w:t xml:space="preserve"> et al., 2012</w:t>
            </w:r>
          </w:p>
          <w:p w14:paraId="75A52AF2" w14:textId="77777777" w:rsidR="00F4687C" w:rsidRPr="008C1CBE" w:rsidRDefault="00F4687C" w:rsidP="00BD0CFF">
            <w:pPr>
              <w:rPr>
                <w:rFonts w:ascii="Times New Roman" w:hAnsi="Times New Roman" w:cs="Times New Roman"/>
                <w:sz w:val="20"/>
                <w:szCs w:val="20"/>
              </w:rPr>
            </w:pPr>
            <w:r w:rsidRPr="00E96F63">
              <w:rPr>
                <w:rFonts w:ascii="Times New Roman" w:hAnsi="Times New Roman" w:cs="Times New Roman"/>
                <w:sz w:val="20"/>
                <w:szCs w:val="20"/>
              </w:rPr>
              <w:fldChar w:fldCharType="begin" w:fldLock="1"/>
            </w:r>
            <w:r w:rsidRPr="008C1CBE">
              <w:rPr>
                <w:rFonts w:ascii="Times New Roman" w:hAnsi="Times New Roman" w:cs="Times New Roman"/>
                <w:sz w:val="20"/>
                <w:szCs w:val="20"/>
              </w:rPr>
              <w:instrText>ADDIN CSL_CITATION {"citationItems":[{"id":"ITEM-1","itemData":{"DOI":"10.1016/j.neurobiolaging.2010.09.021","ISSN":"01974580","abstract":"We investigated patterns of white matter (WM) loss in 18 early onset (EO) and 24 late onset (LO) Alzheimer's disease (AD) patients compared with 42 healthy controls (HC), and explored relationships of WM atrophy and apolipoprotein E (ApoE) genotype. Subjects underwent magnetic resonance imaging (MRI). Patterns of WM were assessed using voxel-based morphometry. Compared with healthy controls, LOAD patients had a selective parahippocampal WM loss, while EOAD patients experienced a more widespread pattern of posterior WM atrophy. The distinct regional distribution of WM atrophy reflected the topography of gray matter (GM) loss. ApoE ε4 status was associated with a greater parahippocampal WM loss in both AD groups. The greater WM atrophy in EOAD than LOAD fits with the evidence that EOAD is a more aggressive form of the disease. The ApoE ε4 effect on WM damage in AD is restricted to specific WM regions and does not seem to be related to age of onset. © 2012 Elsevier Inc.","author":[{"dropping-particle":"","family":"Canu","given":"Elisa","non-dropping-particle":"","parse-names":false,"suffix":""},{"dropping-particle":"","family":"Frisoni","given":"Giovanni B.","non-dropping-particle":"","parse-names":false,"suffix":""},{"dropping-particle":"","family":"Agosta","given":"Federica","non-dropping-particle":"","parse-names":false,"suffix":""},{"dropping-particle":"","family":"Pievani","given":"Michela","non-dropping-particle":"","parse-names":false,"suffix":""},{"dropping-particle":"","family":"Bonetti","given":"Matteo","non-dropping-particle":"","parse-names":false,"suffix":""},{"dropping-particle":"","family":"Filippi","given":"Massimo","non-dropping-particle":"","parse-names":false,"suffix":""}],"container-title":"Neurobiology of Aging","id":"ITEM-1","issue":"6","issued":{"date-parts":[["2012"]]},"page":"1023-1033","publisher":"Elsevier Inc.","title":"Early and late onset Alzheimer's disease patients have distinct patterns of white matter damage","type":"article-journal","volume":"33"},"uris":["http://www.mendeley.com/documents/?uuid=f05fae54-a843-4982-87f3-32a60d015b1f"]}],"mendeley":{"formattedCitation":"[7]","plainTextFormattedCitation":"[7]","previouslyFormattedCitation":"[7]"},"properties":{"noteIndex":0},"schema":"https://github.com/citation-style-language/schema/raw/master/csl-citation.json"}</w:instrText>
            </w:r>
            <w:r w:rsidRPr="00E96F63">
              <w:rPr>
                <w:rFonts w:ascii="Times New Roman" w:hAnsi="Times New Roman" w:cs="Times New Roman"/>
                <w:sz w:val="20"/>
                <w:szCs w:val="20"/>
              </w:rPr>
              <w:fldChar w:fldCharType="separate"/>
            </w:r>
            <w:r w:rsidRPr="008C1CBE">
              <w:rPr>
                <w:rFonts w:ascii="Times New Roman" w:hAnsi="Times New Roman" w:cs="Times New Roman"/>
                <w:noProof/>
                <w:sz w:val="20"/>
                <w:szCs w:val="20"/>
              </w:rPr>
              <w:t>[7]</w:t>
            </w:r>
            <w:r w:rsidRPr="00E96F63">
              <w:rPr>
                <w:rFonts w:ascii="Times New Roman" w:hAnsi="Times New Roman" w:cs="Times New Roman"/>
                <w:sz w:val="20"/>
                <w:szCs w:val="20"/>
              </w:rPr>
              <w:fldChar w:fldCharType="end"/>
            </w:r>
          </w:p>
        </w:tc>
        <w:tc>
          <w:tcPr>
            <w:tcW w:w="987" w:type="dxa"/>
            <w:tcBorders>
              <w:top w:val="single" w:sz="4" w:space="0" w:color="auto"/>
              <w:left w:val="nil"/>
              <w:bottom w:val="single" w:sz="4" w:space="0" w:color="auto"/>
              <w:right w:val="nil"/>
            </w:tcBorders>
          </w:tcPr>
          <w:p w14:paraId="5C6D8EE2"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34</w:t>
            </w:r>
          </w:p>
        </w:tc>
        <w:tc>
          <w:tcPr>
            <w:tcW w:w="1080" w:type="dxa"/>
            <w:tcBorders>
              <w:top w:val="single" w:sz="4" w:space="0" w:color="auto"/>
              <w:left w:val="nil"/>
              <w:bottom w:val="single" w:sz="4" w:space="0" w:color="auto"/>
              <w:right w:val="nil"/>
            </w:tcBorders>
          </w:tcPr>
          <w:p w14:paraId="720F4F70"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505</w:t>
            </w:r>
          </w:p>
        </w:tc>
        <w:tc>
          <w:tcPr>
            <w:tcW w:w="1476" w:type="dxa"/>
            <w:tcBorders>
              <w:top w:val="single" w:sz="4" w:space="0" w:color="auto"/>
              <w:left w:val="nil"/>
              <w:bottom w:val="single" w:sz="4" w:space="0" w:color="auto"/>
              <w:right w:val="nil"/>
            </w:tcBorders>
          </w:tcPr>
          <w:p w14:paraId="506765A3"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528</w:t>
            </w:r>
          </w:p>
        </w:tc>
        <w:tc>
          <w:tcPr>
            <w:tcW w:w="2268" w:type="dxa"/>
            <w:tcBorders>
              <w:top w:val="single" w:sz="4" w:space="0" w:color="auto"/>
              <w:left w:val="nil"/>
              <w:bottom w:val="single" w:sz="4" w:space="0" w:color="auto"/>
              <w:right w:val="nil"/>
            </w:tcBorders>
          </w:tcPr>
          <w:p w14:paraId="29B2F210"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1</w:t>
            </w:r>
          </w:p>
        </w:tc>
        <w:tc>
          <w:tcPr>
            <w:tcW w:w="1134" w:type="dxa"/>
            <w:tcBorders>
              <w:top w:val="single" w:sz="4" w:space="0" w:color="auto"/>
              <w:left w:val="nil"/>
              <w:bottom w:val="single" w:sz="4" w:space="0" w:color="auto"/>
              <w:right w:val="nil"/>
            </w:tcBorders>
          </w:tcPr>
          <w:p w14:paraId="50FD0D1A" w14:textId="77777777" w:rsidR="00F4687C" w:rsidRPr="008C1CBE" w:rsidRDefault="00F4687C" w:rsidP="00BD0CFF">
            <w:pPr>
              <w:rPr>
                <w:rFonts w:ascii="Times New Roman" w:hAnsi="Times New Roman" w:cs="Times New Roman"/>
                <w:sz w:val="20"/>
                <w:szCs w:val="20"/>
              </w:rPr>
            </w:pPr>
            <w:r w:rsidRPr="00047652">
              <w:rPr>
                <w:rFonts w:ascii="Times New Roman" w:hAnsi="Times New Roman" w:cs="Times New Roman"/>
                <w:sz w:val="20"/>
                <w:szCs w:val="20"/>
              </w:rPr>
              <w:sym w:font="Symbol" w:char="F0AF"/>
            </w:r>
          </w:p>
        </w:tc>
        <w:tc>
          <w:tcPr>
            <w:tcW w:w="1701" w:type="dxa"/>
            <w:tcBorders>
              <w:top w:val="single" w:sz="4" w:space="0" w:color="auto"/>
              <w:left w:val="nil"/>
              <w:bottom w:val="single" w:sz="4" w:space="0" w:color="auto"/>
              <w:right w:val="nil"/>
            </w:tcBorders>
          </w:tcPr>
          <w:p w14:paraId="16EC8E9E"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No</w:t>
            </w:r>
          </w:p>
        </w:tc>
        <w:tc>
          <w:tcPr>
            <w:tcW w:w="1418" w:type="dxa"/>
            <w:tcBorders>
              <w:top w:val="single" w:sz="4" w:space="0" w:color="auto"/>
              <w:left w:val="nil"/>
              <w:bottom w:val="single" w:sz="4" w:space="0" w:color="auto"/>
              <w:right w:val="nil"/>
            </w:tcBorders>
          </w:tcPr>
          <w:p w14:paraId="0C27F3A8"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No</w:t>
            </w:r>
          </w:p>
        </w:tc>
        <w:tc>
          <w:tcPr>
            <w:tcW w:w="850" w:type="dxa"/>
            <w:tcBorders>
              <w:top w:val="single" w:sz="4" w:space="0" w:color="auto"/>
              <w:left w:val="nil"/>
              <w:bottom w:val="single" w:sz="4" w:space="0" w:color="auto"/>
              <w:right w:val="nil"/>
            </w:tcBorders>
          </w:tcPr>
          <w:p w14:paraId="73BB269B"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808</w:t>
            </w:r>
          </w:p>
        </w:tc>
        <w:tc>
          <w:tcPr>
            <w:tcW w:w="2552" w:type="dxa"/>
            <w:tcBorders>
              <w:top w:val="single" w:sz="4" w:space="0" w:color="auto"/>
              <w:left w:val="nil"/>
              <w:bottom w:val="single" w:sz="4" w:space="0" w:color="auto"/>
              <w:right w:val="nil"/>
            </w:tcBorders>
          </w:tcPr>
          <w:p w14:paraId="6DC4F973"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 xml:space="preserve">(30 -66 -32) to (44 -58 -20) </w:t>
            </w:r>
            <w:proofErr w:type="spellStart"/>
            <w:r w:rsidRPr="008C1CBE">
              <w:rPr>
                <w:rFonts w:ascii="Times New Roman" w:hAnsi="Times New Roman" w:cs="Times New Roman"/>
                <w:sz w:val="20"/>
                <w:szCs w:val="20"/>
              </w:rPr>
              <w:t>centered</w:t>
            </w:r>
            <w:proofErr w:type="spellEnd"/>
            <w:r w:rsidRPr="008C1CBE">
              <w:rPr>
                <w:rFonts w:ascii="Times New Roman" w:hAnsi="Times New Roman" w:cs="Times New Roman"/>
                <w:sz w:val="20"/>
                <w:szCs w:val="20"/>
              </w:rPr>
              <w:t xml:space="preserve"> at (38 -61 -25)</w:t>
            </w:r>
          </w:p>
        </w:tc>
      </w:tr>
      <w:tr w:rsidR="00AD51EF" w:rsidRPr="003C4E21" w14:paraId="26ED2CB3" w14:textId="77777777" w:rsidTr="00AD51EF">
        <w:trPr>
          <w:trHeight w:val="261"/>
        </w:trPr>
        <w:tc>
          <w:tcPr>
            <w:tcW w:w="1419" w:type="dxa"/>
            <w:tcBorders>
              <w:top w:val="single" w:sz="4" w:space="0" w:color="auto"/>
              <w:left w:val="nil"/>
              <w:bottom w:val="nil"/>
              <w:right w:val="nil"/>
            </w:tcBorders>
          </w:tcPr>
          <w:p w14:paraId="504A8E86" w14:textId="77777777" w:rsidR="00F4687C" w:rsidRPr="008C1CBE" w:rsidRDefault="00F4687C" w:rsidP="00BD0CFF">
            <w:pPr>
              <w:rPr>
                <w:rFonts w:ascii="Times New Roman" w:hAnsi="Times New Roman" w:cs="Times New Roman"/>
                <w:sz w:val="20"/>
                <w:szCs w:val="20"/>
              </w:rPr>
            </w:pPr>
            <w:proofErr w:type="spellStart"/>
            <w:r w:rsidRPr="008C1CBE">
              <w:rPr>
                <w:rFonts w:ascii="Times New Roman" w:hAnsi="Times New Roman" w:cs="Times New Roman"/>
                <w:sz w:val="20"/>
                <w:szCs w:val="20"/>
              </w:rPr>
              <w:t>Colloby</w:t>
            </w:r>
            <w:proofErr w:type="spellEnd"/>
            <w:r w:rsidRPr="008C1CBE">
              <w:rPr>
                <w:rFonts w:ascii="Times New Roman" w:hAnsi="Times New Roman" w:cs="Times New Roman"/>
                <w:sz w:val="20"/>
                <w:szCs w:val="20"/>
              </w:rPr>
              <w:t xml:space="preserve"> et al., 2014</w:t>
            </w:r>
          </w:p>
          <w:p w14:paraId="574A790E" w14:textId="77777777" w:rsidR="00F4687C" w:rsidRPr="008C1CBE" w:rsidRDefault="00F4687C" w:rsidP="00BD0CFF">
            <w:pPr>
              <w:rPr>
                <w:rFonts w:ascii="Times New Roman" w:hAnsi="Times New Roman" w:cs="Times New Roman"/>
                <w:sz w:val="20"/>
                <w:szCs w:val="20"/>
              </w:rPr>
            </w:pPr>
            <w:r w:rsidRPr="00E96F63">
              <w:rPr>
                <w:rFonts w:ascii="Times New Roman" w:hAnsi="Times New Roman" w:cs="Times New Roman"/>
                <w:sz w:val="20"/>
                <w:szCs w:val="20"/>
              </w:rPr>
              <w:fldChar w:fldCharType="begin" w:fldLock="1"/>
            </w:r>
            <w:r w:rsidRPr="008C1CBE">
              <w:rPr>
                <w:rFonts w:ascii="Times New Roman" w:hAnsi="Times New Roman" w:cs="Times New Roman"/>
                <w:sz w:val="20"/>
                <w:szCs w:val="20"/>
              </w:rPr>
              <w:instrText>ADDIN CSL_CITATION {"citationItems":[{"id":"ITEM-1","itemData":{"DOI":"10.1016/j.pscychresns.2014.06.006","ISSN":"18727506","abstract":"Evidence suggests that the cerebellum contributes to cognition as well as motor function. We investigated cerebellar grey matter (GM) and white matter (WM) changes from magnetic resonance images in dementia with Lewy bodies (DLB), Alzheimer's disease (AD) and healthy older subjects using voxel-based morphometry (VBM). Subjects (39 controls, 41 DLB, and 48 AD) underwent magnetic resonance imaging as well as clinical and cognitive assessments. VBM used SPM8 with a cerebellar brain mask to define the subspace for voxel analysis. Statistical analyses were conducted using the general linear model. Relative to findings in controls, VBM analysis revealed cerebellar GM loss in lobule VI bilaterally in AD and in left Crus I and right Crus II regions in DLB. WM deficits were confined to AD in the bilateral middle cerebellar peduncles. DLB demonstrates a different pattern of cerebellar GM loss which, although not significantly different from that in AD, could be an important feature in understanding the neurobiology of DLB and warrants further investigation. © 2014 The Authors.","author":[{"dropping-particle":"","family":"Colloby","given":"Sean J.","non-dropping-particle":"","parse-names":false,"suffix":""},{"dropping-particle":"","family":"O'Brien","given":"John T.","non-dropping-particle":"","parse-names":false,"suffix":""},{"dropping-particle":"","family":"Taylor","given":"John Paul","non-dropping-particle":"","parse-names":false,"suffix":""}],"container-title":"Psychiatry Research - Neuroimaging","id":"ITEM-1","issue":"3","issued":{"date-parts":[["2014"]]},"page":"187-191","publisher":"Elsevier","title":"Patterns of cerebellar volume loss in dementia with Lewy bodies and Alzheimer's disease: A VBM-DARTEL study","type":"article-journal","volume":"223"},"uris":["http://www.mendeley.com/documents/?uuid=2d8ed957-0b88-4282-9716-11597ee6a88d"]}],"mendeley":{"formattedCitation":"[27]","plainTextFormattedCitation":"[27]","previouslyFormattedCitation":"[27]"},"properties":{"noteIndex":0},"schema":"https://github.com/citation-style-language/schema/raw/master/csl-citation.json"}</w:instrText>
            </w:r>
            <w:r w:rsidRPr="00E96F63">
              <w:rPr>
                <w:rFonts w:ascii="Times New Roman" w:hAnsi="Times New Roman" w:cs="Times New Roman"/>
                <w:sz w:val="20"/>
                <w:szCs w:val="20"/>
              </w:rPr>
              <w:fldChar w:fldCharType="separate"/>
            </w:r>
            <w:r w:rsidRPr="008C1CBE">
              <w:rPr>
                <w:rFonts w:ascii="Times New Roman" w:hAnsi="Times New Roman" w:cs="Times New Roman"/>
                <w:noProof/>
                <w:sz w:val="20"/>
                <w:szCs w:val="20"/>
              </w:rPr>
              <w:t>[27]</w:t>
            </w:r>
            <w:r w:rsidRPr="00E96F63">
              <w:rPr>
                <w:rFonts w:ascii="Times New Roman" w:hAnsi="Times New Roman" w:cs="Times New Roman"/>
                <w:sz w:val="20"/>
                <w:szCs w:val="20"/>
              </w:rPr>
              <w:fldChar w:fldCharType="end"/>
            </w:r>
          </w:p>
        </w:tc>
        <w:tc>
          <w:tcPr>
            <w:tcW w:w="987" w:type="dxa"/>
            <w:tcBorders>
              <w:top w:val="single" w:sz="4" w:space="0" w:color="auto"/>
              <w:left w:val="nil"/>
              <w:bottom w:val="nil"/>
              <w:right w:val="nil"/>
            </w:tcBorders>
          </w:tcPr>
          <w:p w14:paraId="5F12E7C6"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33</w:t>
            </w:r>
          </w:p>
        </w:tc>
        <w:tc>
          <w:tcPr>
            <w:tcW w:w="1080" w:type="dxa"/>
            <w:tcBorders>
              <w:top w:val="single" w:sz="4" w:space="0" w:color="auto"/>
              <w:left w:val="nil"/>
              <w:bottom w:val="nil"/>
              <w:right w:val="nil"/>
            </w:tcBorders>
          </w:tcPr>
          <w:p w14:paraId="73528106"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482</w:t>
            </w:r>
          </w:p>
        </w:tc>
        <w:tc>
          <w:tcPr>
            <w:tcW w:w="1476" w:type="dxa"/>
            <w:tcBorders>
              <w:top w:val="single" w:sz="4" w:space="0" w:color="auto"/>
              <w:left w:val="nil"/>
              <w:bottom w:val="nil"/>
              <w:right w:val="nil"/>
            </w:tcBorders>
          </w:tcPr>
          <w:p w14:paraId="3F2CCB2D"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496</w:t>
            </w:r>
          </w:p>
        </w:tc>
        <w:tc>
          <w:tcPr>
            <w:tcW w:w="2268" w:type="dxa"/>
            <w:tcBorders>
              <w:top w:val="single" w:sz="4" w:space="0" w:color="auto"/>
              <w:left w:val="nil"/>
              <w:bottom w:val="nil"/>
              <w:right w:val="nil"/>
            </w:tcBorders>
          </w:tcPr>
          <w:p w14:paraId="347B4AE6"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1</w:t>
            </w:r>
          </w:p>
        </w:tc>
        <w:tc>
          <w:tcPr>
            <w:tcW w:w="1134" w:type="dxa"/>
            <w:tcBorders>
              <w:top w:val="single" w:sz="4" w:space="0" w:color="auto"/>
              <w:left w:val="nil"/>
              <w:bottom w:val="nil"/>
              <w:right w:val="nil"/>
            </w:tcBorders>
          </w:tcPr>
          <w:p w14:paraId="78F53351"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sym w:font="Symbol" w:char="F0AF"/>
            </w:r>
          </w:p>
        </w:tc>
        <w:tc>
          <w:tcPr>
            <w:tcW w:w="1701" w:type="dxa"/>
            <w:tcBorders>
              <w:top w:val="single" w:sz="4" w:space="0" w:color="auto"/>
              <w:left w:val="nil"/>
              <w:bottom w:val="nil"/>
              <w:right w:val="nil"/>
            </w:tcBorders>
          </w:tcPr>
          <w:p w14:paraId="71BE9B7D"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No</w:t>
            </w:r>
          </w:p>
        </w:tc>
        <w:tc>
          <w:tcPr>
            <w:tcW w:w="1418" w:type="dxa"/>
            <w:tcBorders>
              <w:top w:val="single" w:sz="4" w:space="0" w:color="auto"/>
              <w:left w:val="nil"/>
              <w:bottom w:val="nil"/>
              <w:right w:val="nil"/>
            </w:tcBorders>
          </w:tcPr>
          <w:p w14:paraId="38600E5C"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No</w:t>
            </w:r>
          </w:p>
        </w:tc>
        <w:tc>
          <w:tcPr>
            <w:tcW w:w="850" w:type="dxa"/>
            <w:tcBorders>
              <w:top w:val="single" w:sz="4" w:space="0" w:color="auto"/>
              <w:left w:val="nil"/>
              <w:bottom w:val="nil"/>
              <w:right w:val="nil"/>
            </w:tcBorders>
          </w:tcPr>
          <w:p w14:paraId="5813B451"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1088</w:t>
            </w:r>
          </w:p>
        </w:tc>
        <w:tc>
          <w:tcPr>
            <w:tcW w:w="2552" w:type="dxa"/>
            <w:tcBorders>
              <w:top w:val="single" w:sz="4" w:space="0" w:color="auto"/>
              <w:left w:val="nil"/>
              <w:bottom w:val="nil"/>
              <w:right w:val="nil"/>
            </w:tcBorders>
          </w:tcPr>
          <w:p w14:paraId="06F9598D"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 xml:space="preserve">(26 -78 -40) to (34 -62 -24) </w:t>
            </w:r>
            <w:proofErr w:type="spellStart"/>
            <w:r w:rsidRPr="008C1CBE">
              <w:rPr>
                <w:rFonts w:ascii="Times New Roman" w:hAnsi="Times New Roman" w:cs="Times New Roman"/>
                <w:sz w:val="20"/>
                <w:szCs w:val="20"/>
              </w:rPr>
              <w:t>centered</w:t>
            </w:r>
            <w:proofErr w:type="spellEnd"/>
            <w:r w:rsidRPr="008C1CBE">
              <w:rPr>
                <w:rFonts w:ascii="Times New Roman" w:hAnsi="Times New Roman" w:cs="Times New Roman"/>
                <w:sz w:val="20"/>
                <w:szCs w:val="20"/>
              </w:rPr>
              <w:t xml:space="preserve"> at (30 -71 -32)</w:t>
            </w:r>
          </w:p>
        </w:tc>
      </w:tr>
      <w:tr w:rsidR="00AD51EF" w:rsidRPr="006D0014" w14:paraId="546859ED" w14:textId="77777777" w:rsidTr="00AD51EF">
        <w:trPr>
          <w:trHeight w:val="261"/>
        </w:trPr>
        <w:tc>
          <w:tcPr>
            <w:tcW w:w="1419" w:type="dxa"/>
            <w:tcBorders>
              <w:top w:val="nil"/>
              <w:left w:val="nil"/>
              <w:bottom w:val="single" w:sz="4" w:space="0" w:color="auto"/>
              <w:right w:val="nil"/>
            </w:tcBorders>
          </w:tcPr>
          <w:p w14:paraId="73D88486" w14:textId="77777777" w:rsidR="00F4687C" w:rsidRPr="008C1CBE" w:rsidRDefault="00F4687C" w:rsidP="00BD0CFF">
            <w:pPr>
              <w:rPr>
                <w:rFonts w:ascii="Times New Roman" w:hAnsi="Times New Roman" w:cs="Times New Roman"/>
                <w:sz w:val="20"/>
                <w:szCs w:val="20"/>
              </w:rPr>
            </w:pPr>
          </w:p>
        </w:tc>
        <w:tc>
          <w:tcPr>
            <w:tcW w:w="987" w:type="dxa"/>
            <w:tcBorders>
              <w:top w:val="nil"/>
              <w:left w:val="nil"/>
              <w:bottom w:val="single" w:sz="4" w:space="0" w:color="auto"/>
              <w:right w:val="nil"/>
            </w:tcBorders>
          </w:tcPr>
          <w:p w14:paraId="5460FD0B" w14:textId="77777777" w:rsidR="00F4687C" w:rsidRPr="008C1CBE" w:rsidRDefault="00F4687C" w:rsidP="00BD0CFF">
            <w:pPr>
              <w:rPr>
                <w:rFonts w:ascii="Times New Roman" w:hAnsi="Times New Roman" w:cs="Times New Roman"/>
                <w:sz w:val="20"/>
                <w:szCs w:val="20"/>
              </w:rPr>
            </w:pPr>
          </w:p>
        </w:tc>
        <w:tc>
          <w:tcPr>
            <w:tcW w:w="1080" w:type="dxa"/>
            <w:tcBorders>
              <w:top w:val="nil"/>
              <w:left w:val="nil"/>
              <w:bottom w:val="single" w:sz="4" w:space="0" w:color="auto"/>
              <w:right w:val="nil"/>
            </w:tcBorders>
          </w:tcPr>
          <w:p w14:paraId="27D86C49" w14:textId="77777777" w:rsidR="00F4687C" w:rsidRPr="008C1CBE" w:rsidRDefault="00F4687C" w:rsidP="00BD0CFF">
            <w:pPr>
              <w:rPr>
                <w:rFonts w:ascii="Times New Roman" w:hAnsi="Times New Roman" w:cs="Times New Roman"/>
                <w:sz w:val="20"/>
                <w:szCs w:val="20"/>
              </w:rPr>
            </w:pPr>
          </w:p>
        </w:tc>
        <w:tc>
          <w:tcPr>
            <w:tcW w:w="1476" w:type="dxa"/>
            <w:tcBorders>
              <w:top w:val="nil"/>
              <w:left w:val="nil"/>
              <w:bottom w:val="single" w:sz="4" w:space="0" w:color="auto"/>
              <w:right w:val="nil"/>
            </w:tcBorders>
          </w:tcPr>
          <w:p w14:paraId="34BEE577" w14:textId="77777777" w:rsidR="00F4687C" w:rsidRPr="008C1CBE" w:rsidDel="003C4E21" w:rsidRDefault="00F4687C" w:rsidP="00BD0CFF">
            <w:pPr>
              <w:rPr>
                <w:rFonts w:ascii="Times New Roman" w:hAnsi="Times New Roman" w:cs="Times New Roman"/>
                <w:sz w:val="20"/>
                <w:szCs w:val="20"/>
              </w:rPr>
            </w:pPr>
          </w:p>
        </w:tc>
        <w:tc>
          <w:tcPr>
            <w:tcW w:w="2268" w:type="dxa"/>
            <w:tcBorders>
              <w:top w:val="nil"/>
              <w:left w:val="nil"/>
              <w:bottom w:val="single" w:sz="4" w:space="0" w:color="auto"/>
              <w:right w:val="nil"/>
            </w:tcBorders>
          </w:tcPr>
          <w:p w14:paraId="1A75E1DF"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2</w:t>
            </w:r>
          </w:p>
        </w:tc>
        <w:tc>
          <w:tcPr>
            <w:tcW w:w="1134" w:type="dxa"/>
            <w:tcBorders>
              <w:top w:val="nil"/>
              <w:left w:val="nil"/>
              <w:bottom w:val="single" w:sz="4" w:space="0" w:color="auto"/>
              <w:right w:val="nil"/>
            </w:tcBorders>
          </w:tcPr>
          <w:p w14:paraId="3766E11C"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sym w:font="Symbol" w:char="F0AF"/>
            </w:r>
          </w:p>
        </w:tc>
        <w:tc>
          <w:tcPr>
            <w:tcW w:w="1701" w:type="dxa"/>
            <w:tcBorders>
              <w:top w:val="nil"/>
              <w:left w:val="nil"/>
              <w:bottom w:val="single" w:sz="4" w:space="0" w:color="auto"/>
              <w:right w:val="nil"/>
            </w:tcBorders>
          </w:tcPr>
          <w:p w14:paraId="00D6B263" w14:textId="77777777" w:rsidR="00F4687C" w:rsidRPr="008C1CBE" w:rsidRDefault="00F4687C" w:rsidP="00BD0CFF">
            <w:pPr>
              <w:rPr>
                <w:rFonts w:ascii="Times New Roman" w:hAnsi="Times New Roman" w:cs="Times New Roman"/>
                <w:sz w:val="20"/>
                <w:szCs w:val="20"/>
              </w:rPr>
            </w:pPr>
            <w:r w:rsidRPr="00047652">
              <w:rPr>
                <w:rFonts w:ascii="Times New Roman" w:hAnsi="Times New Roman" w:cs="Times New Roman"/>
                <w:sz w:val="20"/>
                <w:szCs w:val="20"/>
              </w:rPr>
              <w:t>No</w:t>
            </w:r>
          </w:p>
        </w:tc>
        <w:tc>
          <w:tcPr>
            <w:tcW w:w="1418" w:type="dxa"/>
            <w:tcBorders>
              <w:top w:val="nil"/>
              <w:left w:val="nil"/>
              <w:bottom w:val="single" w:sz="4" w:space="0" w:color="auto"/>
              <w:right w:val="nil"/>
            </w:tcBorders>
          </w:tcPr>
          <w:p w14:paraId="478630D1" w14:textId="77777777" w:rsidR="00F4687C" w:rsidRPr="008C1CBE" w:rsidRDefault="00F4687C" w:rsidP="00BD0CFF">
            <w:pPr>
              <w:rPr>
                <w:rFonts w:ascii="Times New Roman" w:hAnsi="Times New Roman" w:cs="Times New Roman"/>
                <w:sz w:val="20"/>
                <w:szCs w:val="20"/>
              </w:rPr>
            </w:pPr>
            <w:r w:rsidRPr="00047652">
              <w:rPr>
                <w:rFonts w:ascii="Times New Roman" w:hAnsi="Times New Roman" w:cs="Times New Roman"/>
                <w:sz w:val="20"/>
                <w:szCs w:val="20"/>
              </w:rPr>
              <w:t>No</w:t>
            </w:r>
          </w:p>
        </w:tc>
        <w:tc>
          <w:tcPr>
            <w:tcW w:w="850" w:type="dxa"/>
            <w:tcBorders>
              <w:top w:val="nil"/>
              <w:left w:val="nil"/>
              <w:bottom w:val="single" w:sz="4" w:space="0" w:color="auto"/>
              <w:right w:val="nil"/>
            </w:tcBorders>
          </w:tcPr>
          <w:p w14:paraId="020BAC41" w14:textId="77777777" w:rsidR="00F4687C" w:rsidRPr="008C1CBE" w:rsidDel="003C4E21"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840</w:t>
            </w:r>
          </w:p>
        </w:tc>
        <w:tc>
          <w:tcPr>
            <w:tcW w:w="2552" w:type="dxa"/>
            <w:tcBorders>
              <w:top w:val="nil"/>
              <w:left w:val="nil"/>
              <w:bottom w:val="single" w:sz="4" w:space="0" w:color="auto"/>
              <w:right w:val="nil"/>
            </w:tcBorders>
          </w:tcPr>
          <w:p w14:paraId="14DBEEE4"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 xml:space="preserve">(30 -66 -32) to (44 -58 -20) </w:t>
            </w:r>
            <w:proofErr w:type="spellStart"/>
            <w:r w:rsidRPr="008C1CBE">
              <w:rPr>
                <w:rFonts w:ascii="Times New Roman" w:hAnsi="Times New Roman" w:cs="Times New Roman"/>
                <w:sz w:val="20"/>
                <w:szCs w:val="20"/>
              </w:rPr>
              <w:t>centered</w:t>
            </w:r>
            <w:proofErr w:type="spellEnd"/>
            <w:r w:rsidRPr="008C1CBE">
              <w:rPr>
                <w:rFonts w:ascii="Times New Roman" w:hAnsi="Times New Roman" w:cs="Times New Roman"/>
                <w:sz w:val="20"/>
                <w:szCs w:val="20"/>
              </w:rPr>
              <w:t xml:space="preserve"> at (40 -62 -24)</w:t>
            </w:r>
          </w:p>
        </w:tc>
      </w:tr>
      <w:tr w:rsidR="00AD51EF" w:rsidRPr="0062239E" w14:paraId="5C2756A0" w14:textId="77777777" w:rsidTr="00AD51EF">
        <w:trPr>
          <w:trHeight w:val="261"/>
        </w:trPr>
        <w:tc>
          <w:tcPr>
            <w:tcW w:w="1419" w:type="dxa"/>
            <w:tcBorders>
              <w:top w:val="single" w:sz="4" w:space="0" w:color="auto"/>
              <w:left w:val="nil"/>
              <w:bottom w:val="nil"/>
              <w:right w:val="nil"/>
            </w:tcBorders>
          </w:tcPr>
          <w:p w14:paraId="424EB350"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lastRenderedPageBreak/>
              <w:t>Farrow et al., 2006</w:t>
            </w:r>
          </w:p>
          <w:p w14:paraId="6041D236" w14:textId="77777777" w:rsidR="00F4687C" w:rsidRPr="008C1CBE" w:rsidRDefault="00F4687C" w:rsidP="00BD0CFF">
            <w:pPr>
              <w:rPr>
                <w:rFonts w:ascii="Times New Roman" w:hAnsi="Times New Roman" w:cs="Times New Roman"/>
                <w:sz w:val="20"/>
                <w:szCs w:val="20"/>
              </w:rPr>
            </w:pPr>
            <w:r w:rsidRPr="00E96F63">
              <w:rPr>
                <w:rFonts w:ascii="Times New Roman" w:hAnsi="Times New Roman" w:cs="Times New Roman"/>
                <w:sz w:val="20"/>
                <w:szCs w:val="20"/>
              </w:rPr>
              <w:fldChar w:fldCharType="begin" w:fldLock="1"/>
            </w:r>
            <w:r w:rsidRPr="008C1CBE">
              <w:rPr>
                <w:rFonts w:ascii="Times New Roman" w:hAnsi="Times New Roman" w:cs="Times New Roman"/>
                <w:sz w:val="20"/>
                <w:szCs w:val="20"/>
              </w:rPr>
              <w:instrText>ADDIN CSL_CITATION {"citationItems":[{"id":"ITEM-1","itemData":{"DOI":"10.1016/j.pscychresns.2006.12.013","ISBN":"0165-1781 (Print)\r0165-1781","ISSN":"09254927","PMID":"17399959","abstract":"Alzheimer's disease (AD) is associated with widespread brain atrophy including structures subserving memory. We applied an improved structural detection methodology to examine the less well known progression of atrophy in early-stage AD. We sought to i) longitudinally study volumetric differences in patients with early-stage AD and healthy volunteers; and ii) test the hypothesis that hippocampal volumes would be correlated with clinically relevant cognitive function. Seven patients and eleven healthy subjects underwent two structural MRI scans and neuropsychological assessments. Scans were normalised to a study-specific template and 'morphologically opened' to reduce tissue misclassification. Using brain-parcellation, patient atrophy was localised to left fusiform and parahippocampal gyri, whilst left hippocampal volumes were correlated with a cognitive performance measure. A whole-brain search methodology, showed that patients had reduced volumes including fronto-temporal regions bilaterally, in hippocampi and amygdalae and right cerebellum. Whole-brain correlational analyses revealed that cognitive performance was correlated with volumes of both hippocampi, superior temporal gyri and left insula. Neither group exhibited significant longitudinal volumetric changes. Utilising a novel methodology, we have shown that in early-stage AD, clinically relevant cognitive deficits are correlated with regionally specific grey-matter volumes, which are detectable at an early stage of the illness.","author":[{"dropping-particle":"","family":"Farrow","given":"Tom F D","non-dropping-particle":"","parse-names":false,"suffix":""},{"dropping-particle":"","family":"Thiyagesh","given":"Subha N.","non-dropping-particle":"","parse-names":false,"suffix":""},{"dropping-particle":"","family":"Wilkinson","given":"Iain D.","non-dropping-particle":"","parse-names":false,"suffix":""},{"dropping-particle":"","family":"Parks","given":"Randolph W.","non-dropping-particle":"","parse-names":false,"suffix":""},{"dropping-particle":"","family":"Ingram","given":"Leanne","non-dropping-particle":"","parse-names":false,"suffix":""},{"dropping-particle":"","family":"Woodruff","given":"Peter W R","non-dropping-particle":"","parse-names":false,"suffix":""}],"container-title":"Psychiatry Res","edition":"2007/04/03","id":"ITEM-1","issue":"1","issued":{"date-parts":[["2007"]]},"language":"eng","note":"From Duplicate 1 (Fronto-temporal-lobe atrophy in early-stage Alzheimer's disease identified using an improved detection methodology - Farrow, T F; Thiyagesh, S N; Wilkinson, I D; Parks, R W; Ingram, L; Woodruff, P W)\n\nFarrow, Tom F D\nThiyagesh, Subha N\nWilkinson, Iain D\nParks, Randolph W\nIngram, Leanne\nWoodruff, Peter W R\nJournal Article\nIreland\nPsychiatry Res. 2007 May 15;155(1):11-9. Epub 2007 Mar 30.","page":"11-19","title":"Fronto-temporal-lobe atrophy in early-stage Alzheimer's disease identified using an improved detection methodology","type":"article-journal","volume":"155"},"uris":["http://www.mendeley.com/documents/?uuid=29a6fc64-6e46-457b-b42f-dac13b68244e"]}],"mendeley":{"formattedCitation":"[28]","plainTextFormattedCitation":"[28]","previouslyFormattedCitation":"[28]"},"properties":{"noteIndex":0},"schema":"https://github.com/citation-style-language/schema/raw/master/csl-citation.json"}</w:instrText>
            </w:r>
            <w:r w:rsidRPr="00E96F63">
              <w:rPr>
                <w:rFonts w:ascii="Times New Roman" w:hAnsi="Times New Roman" w:cs="Times New Roman"/>
                <w:sz w:val="20"/>
                <w:szCs w:val="20"/>
              </w:rPr>
              <w:fldChar w:fldCharType="separate"/>
            </w:r>
            <w:r w:rsidRPr="008C1CBE">
              <w:rPr>
                <w:rFonts w:ascii="Times New Roman" w:hAnsi="Times New Roman" w:cs="Times New Roman"/>
                <w:noProof/>
                <w:sz w:val="20"/>
                <w:szCs w:val="20"/>
              </w:rPr>
              <w:t>[28]</w:t>
            </w:r>
            <w:r w:rsidRPr="00E96F63">
              <w:rPr>
                <w:rFonts w:ascii="Times New Roman" w:hAnsi="Times New Roman" w:cs="Times New Roman"/>
                <w:sz w:val="20"/>
                <w:szCs w:val="20"/>
              </w:rPr>
              <w:fldChar w:fldCharType="end"/>
            </w:r>
          </w:p>
        </w:tc>
        <w:tc>
          <w:tcPr>
            <w:tcW w:w="987" w:type="dxa"/>
            <w:tcBorders>
              <w:top w:val="single" w:sz="4" w:space="0" w:color="auto"/>
              <w:left w:val="nil"/>
              <w:bottom w:val="nil"/>
              <w:right w:val="nil"/>
            </w:tcBorders>
          </w:tcPr>
          <w:p w14:paraId="582A4CC3"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33</w:t>
            </w:r>
          </w:p>
        </w:tc>
        <w:tc>
          <w:tcPr>
            <w:tcW w:w="1080" w:type="dxa"/>
            <w:tcBorders>
              <w:top w:val="single" w:sz="4" w:space="0" w:color="auto"/>
              <w:left w:val="nil"/>
              <w:bottom w:val="nil"/>
              <w:right w:val="nil"/>
            </w:tcBorders>
          </w:tcPr>
          <w:p w14:paraId="69CFCB4D"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522</w:t>
            </w:r>
          </w:p>
        </w:tc>
        <w:tc>
          <w:tcPr>
            <w:tcW w:w="1476" w:type="dxa"/>
            <w:tcBorders>
              <w:top w:val="single" w:sz="4" w:space="0" w:color="auto"/>
              <w:left w:val="nil"/>
              <w:bottom w:val="nil"/>
              <w:right w:val="nil"/>
            </w:tcBorders>
          </w:tcPr>
          <w:p w14:paraId="63B7297A"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552</w:t>
            </w:r>
          </w:p>
        </w:tc>
        <w:tc>
          <w:tcPr>
            <w:tcW w:w="2268" w:type="dxa"/>
            <w:tcBorders>
              <w:top w:val="single" w:sz="4" w:space="0" w:color="auto"/>
              <w:left w:val="nil"/>
              <w:bottom w:val="nil"/>
              <w:right w:val="nil"/>
            </w:tcBorders>
          </w:tcPr>
          <w:p w14:paraId="04BF2BBA"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1</w:t>
            </w:r>
          </w:p>
        </w:tc>
        <w:tc>
          <w:tcPr>
            <w:tcW w:w="1134" w:type="dxa"/>
            <w:tcBorders>
              <w:top w:val="single" w:sz="4" w:space="0" w:color="auto"/>
              <w:left w:val="nil"/>
              <w:bottom w:val="nil"/>
              <w:right w:val="nil"/>
            </w:tcBorders>
          </w:tcPr>
          <w:p w14:paraId="34FD4275" w14:textId="77777777" w:rsidR="00F4687C" w:rsidRPr="008C1CBE" w:rsidRDefault="00F4687C" w:rsidP="00BD0CFF">
            <w:pPr>
              <w:rPr>
                <w:rFonts w:ascii="Times New Roman" w:hAnsi="Times New Roman" w:cs="Times New Roman"/>
                <w:sz w:val="20"/>
                <w:szCs w:val="20"/>
              </w:rPr>
            </w:pPr>
            <w:r w:rsidRPr="00047652">
              <w:rPr>
                <w:rFonts w:ascii="Times New Roman" w:hAnsi="Times New Roman" w:cs="Times New Roman"/>
                <w:sz w:val="20"/>
                <w:szCs w:val="20"/>
              </w:rPr>
              <w:sym w:font="Symbol" w:char="F0AF"/>
            </w:r>
          </w:p>
        </w:tc>
        <w:tc>
          <w:tcPr>
            <w:tcW w:w="1701" w:type="dxa"/>
            <w:tcBorders>
              <w:top w:val="single" w:sz="4" w:space="0" w:color="auto"/>
              <w:left w:val="nil"/>
              <w:bottom w:val="nil"/>
              <w:right w:val="nil"/>
            </w:tcBorders>
          </w:tcPr>
          <w:p w14:paraId="72EB4BB5"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No</w:t>
            </w:r>
          </w:p>
        </w:tc>
        <w:tc>
          <w:tcPr>
            <w:tcW w:w="1418" w:type="dxa"/>
            <w:tcBorders>
              <w:top w:val="single" w:sz="4" w:space="0" w:color="auto"/>
              <w:left w:val="nil"/>
              <w:bottom w:val="nil"/>
              <w:right w:val="nil"/>
            </w:tcBorders>
          </w:tcPr>
          <w:p w14:paraId="47C44A5A"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No</w:t>
            </w:r>
          </w:p>
        </w:tc>
        <w:tc>
          <w:tcPr>
            <w:tcW w:w="850" w:type="dxa"/>
            <w:tcBorders>
              <w:top w:val="single" w:sz="4" w:space="0" w:color="auto"/>
              <w:left w:val="nil"/>
              <w:bottom w:val="nil"/>
              <w:right w:val="nil"/>
            </w:tcBorders>
          </w:tcPr>
          <w:p w14:paraId="5065323D"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1056</w:t>
            </w:r>
          </w:p>
        </w:tc>
        <w:tc>
          <w:tcPr>
            <w:tcW w:w="2552" w:type="dxa"/>
            <w:tcBorders>
              <w:top w:val="single" w:sz="4" w:space="0" w:color="auto"/>
              <w:left w:val="nil"/>
              <w:bottom w:val="nil"/>
              <w:right w:val="nil"/>
            </w:tcBorders>
          </w:tcPr>
          <w:p w14:paraId="55453C4E"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 xml:space="preserve">(26 -78 -40) to (34 -62 -24) </w:t>
            </w:r>
            <w:proofErr w:type="spellStart"/>
            <w:r w:rsidRPr="008C1CBE">
              <w:rPr>
                <w:rFonts w:ascii="Times New Roman" w:hAnsi="Times New Roman" w:cs="Times New Roman"/>
                <w:sz w:val="20"/>
                <w:szCs w:val="20"/>
              </w:rPr>
              <w:t>centered</w:t>
            </w:r>
            <w:proofErr w:type="spellEnd"/>
            <w:r w:rsidRPr="008C1CBE">
              <w:rPr>
                <w:rFonts w:ascii="Times New Roman" w:hAnsi="Times New Roman" w:cs="Times New Roman"/>
                <w:sz w:val="20"/>
                <w:szCs w:val="20"/>
              </w:rPr>
              <w:t xml:space="preserve"> at (30 -71 -32)</w:t>
            </w:r>
          </w:p>
        </w:tc>
      </w:tr>
      <w:tr w:rsidR="00AD51EF" w:rsidRPr="006D0014" w14:paraId="41E14F4B" w14:textId="77777777" w:rsidTr="00AD51EF">
        <w:trPr>
          <w:trHeight w:val="261"/>
        </w:trPr>
        <w:tc>
          <w:tcPr>
            <w:tcW w:w="1419" w:type="dxa"/>
            <w:tcBorders>
              <w:top w:val="nil"/>
              <w:left w:val="nil"/>
              <w:bottom w:val="single" w:sz="4" w:space="0" w:color="auto"/>
              <w:right w:val="nil"/>
            </w:tcBorders>
          </w:tcPr>
          <w:p w14:paraId="6C330D3E" w14:textId="77777777" w:rsidR="00F4687C" w:rsidRPr="008C1CBE" w:rsidRDefault="00F4687C" w:rsidP="00BD0CFF">
            <w:pPr>
              <w:rPr>
                <w:rFonts w:ascii="Times New Roman" w:hAnsi="Times New Roman" w:cs="Times New Roman"/>
                <w:sz w:val="20"/>
                <w:szCs w:val="20"/>
              </w:rPr>
            </w:pPr>
          </w:p>
        </w:tc>
        <w:tc>
          <w:tcPr>
            <w:tcW w:w="987" w:type="dxa"/>
            <w:tcBorders>
              <w:top w:val="nil"/>
              <w:left w:val="nil"/>
              <w:bottom w:val="single" w:sz="4" w:space="0" w:color="auto"/>
              <w:right w:val="nil"/>
            </w:tcBorders>
          </w:tcPr>
          <w:p w14:paraId="7D8FEA8C" w14:textId="77777777" w:rsidR="00F4687C" w:rsidRPr="008C1CBE" w:rsidRDefault="00F4687C" w:rsidP="00BD0CFF">
            <w:pPr>
              <w:rPr>
                <w:rFonts w:ascii="Times New Roman" w:hAnsi="Times New Roman" w:cs="Times New Roman"/>
                <w:sz w:val="20"/>
                <w:szCs w:val="20"/>
              </w:rPr>
            </w:pPr>
          </w:p>
        </w:tc>
        <w:tc>
          <w:tcPr>
            <w:tcW w:w="1080" w:type="dxa"/>
            <w:tcBorders>
              <w:top w:val="nil"/>
              <w:left w:val="nil"/>
              <w:bottom w:val="single" w:sz="4" w:space="0" w:color="auto"/>
              <w:right w:val="nil"/>
            </w:tcBorders>
          </w:tcPr>
          <w:p w14:paraId="1525F3C6" w14:textId="77777777" w:rsidR="00F4687C" w:rsidRPr="008C1CBE" w:rsidRDefault="00F4687C" w:rsidP="00BD0CFF">
            <w:pPr>
              <w:rPr>
                <w:rFonts w:ascii="Times New Roman" w:hAnsi="Times New Roman" w:cs="Times New Roman"/>
                <w:sz w:val="20"/>
                <w:szCs w:val="20"/>
              </w:rPr>
            </w:pPr>
          </w:p>
        </w:tc>
        <w:tc>
          <w:tcPr>
            <w:tcW w:w="1476" w:type="dxa"/>
            <w:tcBorders>
              <w:top w:val="nil"/>
              <w:left w:val="nil"/>
              <w:bottom w:val="single" w:sz="4" w:space="0" w:color="auto"/>
              <w:right w:val="nil"/>
            </w:tcBorders>
          </w:tcPr>
          <w:p w14:paraId="6C05B098" w14:textId="77777777" w:rsidR="00F4687C" w:rsidRPr="008C1CBE" w:rsidDel="003C4E21" w:rsidRDefault="00F4687C" w:rsidP="00BD0CFF">
            <w:pPr>
              <w:rPr>
                <w:rFonts w:ascii="Times New Roman" w:hAnsi="Times New Roman" w:cs="Times New Roman"/>
                <w:sz w:val="20"/>
                <w:szCs w:val="20"/>
              </w:rPr>
            </w:pPr>
          </w:p>
        </w:tc>
        <w:tc>
          <w:tcPr>
            <w:tcW w:w="2268" w:type="dxa"/>
            <w:tcBorders>
              <w:top w:val="nil"/>
              <w:left w:val="nil"/>
              <w:bottom w:val="single" w:sz="4" w:space="0" w:color="auto"/>
              <w:right w:val="nil"/>
            </w:tcBorders>
          </w:tcPr>
          <w:p w14:paraId="3154A3DE"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2</w:t>
            </w:r>
          </w:p>
        </w:tc>
        <w:tc>
          <w:tcPr>
            <w:tcW w:w="1134" w:type="dxa"/>
            <w:tcBorders>
              <w:top w:val="nil"/>
              <w:left w:val="nil"/>
              <w:bottom w:val="single" w:sz="4" w:space="0" w:color="auto"/>
              <w:right w:val="nil"/>
            </w:tcBorders>
          </w:tcPr>
          <w:p w14:paraId="171F3DD0" w14:textId="77777777" w:rsidR="00F4687C" w:rsidRPr="008C1CBE" w:rsidRDefault="00F4687C" w:rsidP="00BD0CFF">
            <w:pPr>
              <w:rPr>
                <w:rFonts w:ascii="Times New Roman" w:hAnsi="Times New Roman" w:cs="Times New Roman"/>
                <w:sz w:val="20"/>
                <w:szCs w:val="20"/>
              </w:rPr>
            </w:pPr>
            <w:r w:rsidRPr="00047652">
              <w:rPr>
                <w:rFonts w:ascii="Times New Roman" w:hAnsi="Times New Roman" w:cs="Times New Roman"/>
                <w:sz w:val="20"/>
                <w:szCs w:val="20"/>
              </w:rPr>
              <w:sym w:font="Symbol" w:char="F0AF"/>
            </w:r>
          </w:p>
        </w:tc>
        <w:tc>
          <w:tcPr>
            <w:tcW w:w="1701" w:type="dxa"/>
            <w:tcBorders>
              <w:top w:val="nil"/>
              <w:left w:val="nil"/>
              <w:bottom w:val="single" w:sz="4" w:space="0" w:color="auto"/>
              <w:right w:val="nil"/>
            </w:tcBorders>
          </w:tcPr>
          <w:p w14:paraId="249316F3"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No</w:t>
            </w:r>
          </w:p>
        </w:tc>
        <w:tc>
          <w:tcPr>
            <w:tcW w:w="1418" w:type="dxa"/>
            <w:tcBorders>
              <w:top w:val="nil"/>
              <w:left w:val="nil"/>
              <w:bottom w:val="single" w:sz="4" w:space="0" w:color="auto"/>
              <w:right w:val="nil"/>
            </w:tcBorders>
          </w:tcPr>
          <w:p w14:paraId="39E43F92"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No</w:t>
            </w:r>
          </w:p>
        </w:tc>
        <w:tc>
          <w:tcPr>
            <w:tcW w:w="850" w:type="dxa"/>
            <w:tcBorders>
              <w:top w:val="nil"/>
              <w:left w:val="nil"/>
              <w:bottom w:val="single" w:sz="4" w:space="0" w:color="auto"/>
              <w:right w:val="nil"/>
            </w:tcBorders>
          </w:tcPr>
          <w:p w14:paraId="04678EF9"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808</w:t>
            </w:r>
          </w:p>
        </w:tc>
        <w:tc>
          <w:tcPr>
            <w:tcW w:w="2552" w:type="dxa"/>
            <w:tcBorders>
              <w:top w:val="nil"/>
              <w:left w:val="nil"/>
              <w:bottom w:val="single" w:sz="4" w:space="0" w:color="auto"/>
              <w:right w:val="nil"/>
            </w:tcBorders>
          </w:tcPr>
          <w:p w14:paraId="13E48C26"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 xml:space="preserve">(30 -66 -32) to (44 -58 -20) </w:t>
            </w:r>
            <w:proofErr w:type="spellStart"/>
            <w:r w:rsidRPr="008C1CBE">
              <w:rPr>
                <w:rFonts w:ascii="Times New Roman" w:hAnsi="Times New Roman" w:cs="Times New Roman"/>
                <w:sz w:val="20"/>
                <w:szCs w:val="20"/>
              </w:rPr>
              <w:t>centered</w:t>
            </w:r>
            <w:proofErr w:type="spellEnd"/>
            <w:r w:rsidRPr="008C1CBE">
              <w:rPr>
                <w:rFonts w:ascii="Times New Roman" w:hAnsi="Times New Roman" w:cs="Times New Roman"/>
                <w:sz w:val="20"/>
                <w:szCs w:val="20"/>
              </w:rPr>
              <w:t xml:space="preserve"> at (38 -61 -25)</w:t>
            </w:r>
          </w:p>
        </w:tc>
      </w:tr>
      <w:tr w:rsidR="00AD51EF" w:rsidRPr="009E279F" w14:paraId="700084B5" w14:textId="77777777" w:rsidTr="00AD51EF">
        <w:trPr>
          <w:trHeight w:val="261"/>
        </w:trPr>
        <w:tc>
          <w:tcPr>
            <w:tcW w:w="1419" w:type="dxa"/>
            <w:tcBorders>
              <w:top w:val="single" w:sz="4" w:space="0" w:color="auto"/>
              <w:left w:val="nil"/>
              <w:bottom w:val="single" w:sz="4" w:space="0" w:color="auto"/>
              <w:right w:val="nil"/>
            </w:tcBorders>
          </w:tcPr>
          <w:p w14:paraId="7BABC0A4"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Guo et al., 2016</w:t>
            </w:r>
          </w:p>
          <w:p w14:paraId="070A4FF6" w14:textId="77777777" w:rsidR="00F4687C" w:rsidRPr="008C1CBE" w:rsidRDefault="00F4687C" w:rsidP="00BD0CFF">
            <w:pPr>
              <w:rPr>
                <w:rFonts w:ascii="Times New Roman" w:hAnsi="Times New Roman" w:cs="Times New Roman"/>
                <w:sz w:val="20"/>
                <w:szCs w:val="20"/>
              </w:rPr>
            </w:pPr>
            <w:r w:rsidRPr="00E96F63">
              <w:rPr>
                <w:rFonts w:ascii="Times New Roman" w:hAnsi="Times New Roman" w:cs="Times New Roman"/>
                <w:sz w:val="20"/>
                <w:szCs w:val="20"/>
              </w:rPr>
              <w:fldChar w:fldCharType="begin" w:fldLock="1"/>
            </w:r>
            <w:r w:rsidRPr="008C1CBE">
              <w:rPr>
                <w:rFonts w:ascii="Times New Roman" w:hAnsi="Times New Roman" w:cs="Times New Roman"/>
                <w:sz w:val="20"/>
                <w:szCs w:val="20"/>
              </w:rPr>
              <w:instrText>ADDIN CSL_CITATION {"citationItems":[{"id":"ITEM-1","itemData":{"DOI":"10.1093/brain/aww003","author":[{"dropping-particle":"","family":"Guo","given":"Christine C","non-dropping-particle":"","parse-names":false,"suffix":""},{"dropping-particle":"","family":"Tan","given":"Rachel","non-dropping-particle":"","parse-names":false,"suffix":""},{"dropping-particle":"","family":"Hodges","given":"John R","non-dropping-particle":"","parse-names":false,"suffix":""},{"dropping-particle":"","family":"Hu","given":"Xintao","non-dropping-particle":"","parse-names":false,"suffix":""},{"dropping-particle":"","family":"Sami","given":"Saber","non-dropping-particle":"","parse-names":false,"suffix":""},{"dropping-particle":"","family":"Hornberger","given":"Michael","non-dropping-particle":"","parse-names":false,"suffix":""}],"container-title":"Brain","id":"ITEM-1","issued":{"date-parts":[["2016"]]},"page":"1527-1538","title":"Network-selective vulnerability of the human cerebellum to Alzheimer’s disease and frontotemporal dementia","type":"article-journal","volume":"139"},"uris":["http://www.mendeley.com/documents/?uuid=f57a3404-880b-427f-a557-1ea8c31beb78"]}],"mendeley":{"formattedCitation":"[6]","plainTextFormattedCitation":"[6]","previouslyFormattedCitation":"[6]"},"properties":{"noteIndex":0},"schema":"https://github.com/citation-style-language/schema/raw/master/csl-citation.json"}</w:instrText>
            </w:r>
            <w:r w:rsidRPr="00E96F63">
              <w:rPr>
                <w:rFonts w:ascii="Times New Roman" w:hAnsi="Times New Roman" w:cs="Times New Roman"/>
                <w:sz w:val="20"/>
                <w:szCs w:val="20"/>
              </w:rPr>
              <w:fldChar w:fldCharType="separate"/>
            </w:r>
            <w:r w:rsidRPr="008C1CBE">
              <w:rPr>
                <w:rFonts w:ascii="Times New Roman" w:hAnsi="Times New Roman" w:cs="Times New Roman"/>
                <w:noProof/>
                <w:sz w:val="20"/>
                <w:szCs w:val="20"/>
              </w:rPr>
              <w:t>[6]</w:t>
            </w:r>
            <w:r w:rsidRPr="00E96F63">
              <w:rPr>
                <w:rFonts w:ascii="Times New Roman" w:hAnsi="Times New Roman" w:cs="Times New Roman"/>
                <w:sz w:val="20"/>
                <w:szCs w:val="20"/>
              </w:rPr>
              <w:fldChar w:fldCharType="end"/>
            </w:r>
          </w:p>
        </w:tc>
        <w:tc>
          <w:tcPr>
            <w:tcW w:w="987" w:type="dxa"/>
            <w:tcBorders>
              <w:top w:val="single" w:sz="4" w:space="0" w:color="auto"/>
              <w:left w:val="nil"/>
              <w:bottom w:val="single" w:sz="4" w:space="0" w:color="auto"/>
              <w:right w:val="nil"/>
            </w:tcBorders>
          </w:tcPr>
          <w:p w14:paraId="31AA57ED"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31</w:t>
            </w:r>
          </w:p>
        </w:tc>
        <w:tc>
          <w:tcPr>
            <w:tcW w:w="1080" w:type="dxa"/>
            <w:tcBorders>
              <w:top w:val="single" w:sz="4" w:space="0" w:color="auto"/>
              <w:left w:val="nil"/>
              <w:bottom w:val="single" w:sz="4" w:space="0" w:color="auto"/>
              <w:right w:val="nil"/>
            </w:tcBorders>
          </w:tcPr>
          <w:p w14:paraId="6EFBE47B"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495</w:t>
            </w:r>
          </w:p>
        </w:tc>
        <w:tc>
          <w:tcPr>
            <w:tcW w:w="1476" w:type="dxa"/>
            <w:tcBorders>
              <w:top w:val="single" w:sz="4" w:space="0" w:color="auto"/>
              <w:left w:val="nil"/>
              <w:bottom w:val="single" w:sz="4" w:space="0" w:color="auto"/>
              <w:right w:val="nil"/>
            </w:tcBorders>
          </w:tcPr>
          <w:p w14:paraId="5079242A"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544</w:t>
            </w:r>
          </w:p>
        </w:tc>
        <w:tc>
          <w:tcPr>
            <w:tcW w:w="2268" w:type="dxa"/>
            <w:tcBorders>
              <w:top w:val="single" w:sz="4" w:space="0" w:color="auto"/>
              <w:left w:val="nil"/>
              <w:bottom w:val="single" w:sz="4" w:space="0" w:color="auto"/>
              <w:right w:val="nil"/>
            </w:tcBorders>
          </w:tcPr>
          <w:p w14:paraId="526D453C"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1</w:t>
            </w:r>
          </w:p>
        </w:tc>
        <w:tc>
          <w:tcPr>
            <w:tcW w:w="1134" w:type="dxa"/>
            <w:tcBorders>
              <w:top w:val="single" w:sz="4" w:space="0" w:color="auto"/>
              <w:left w:val="nil"/>
              <w:bottom w:val="single" w:sz="4" w:space="0" w:color="auto"/>
              <w:right w:val="nil"/>
            </w:tcBorders>
          </w:tcPr>
          <w:p w14:paraId="4505F0CE"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sym w:font="Symbol" w:char="F0AF"/>
            </w:r>
          </w:p>
        </w:tc>
        <w:tc>
          <w:tcPr>
            <w:tcW w:w="1701" w:type="dxa"/>
            <w:tcBorders>
              <w:top w:val="single" w:sz="4" w:space="0" w:color="auto"/>
              <w:left w:val="nil"/>
              <w:bottom w:val="single" w:sz="4" w:space="0" w:color="auto"/>
              <w:right w:val="nil"/>
            </w:tcBorders>
          </w:tcPr>
          <w:p w14:paraId="0FF3D8CB" w14:textId="77777777" w:rsidR="00F4687C" w:rsidRPr="008C1CBE" w:rsidRDefault="00F4687C" w:rsidP="00BD0CFF">
            <w:pPr>
              <w:rPr>
                <w:rFonts w:ascii="Times New Roman" w:hAnsi="Times New Roman" w:cs="Times New Roman"/>
                <w:sz w:val="20"/>
                <w:szCs w:val="20"/>
              </w:rPr>
            </w:pPr>
            <w:r w:rsidRPr="00047652">
              <w:rPr>
                <w:rFonts w:ascii="Times New Roman" w:hAnsi="Times New Roman" w:cs="Times New Roman"/>
                <w:sz w:val="20"/>
                <w:szCs w:val="20"/>
              </w:rPr>
              <w:t>No</w:t>
            </w:r>
          </w:p>
        </w:tc>
        <w:tc>
          <w:tcPr>
            <w:tcW w:w="1418" w:type="dxa"/>
            <w:tcBorders>
              <w:top w:val="single" w:sz="4" w:space="0" w:color="auto"/>
              <w:left w:val="nil"/>
              <w:bottom w:val="single" w:sz="4" w:space="0" w:color="auto"/>
              <w:right w:val="nil"/>
            </w:tcBorders>
          </w:tcPr>
          <w:p w14:paraId="18D0A1F0"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No</w:t>
            </w:r>
          </w:p>
        </w:tc>
        <w:tc>
          <w:tcPr>
            <w:tcW w:w="850" w:type="dxa"/>
            <w:tcBorders>
              <w:top w:val="single" w:sz="4" w:space="0" w:color="auto"/>
              <w:left w:val="nil"/>
              <w:bottom w:val="single" w:sz="4" w:space="0" w:color="auto"/>
              <w:right w:val="nil"/>
            </w:tcBorders>
          </w:tcPr>
          <w:p w14:paraId="16E144E3"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840</w:t>
            </w:r>
          </w:p>
        </w:tc>
        <w:tc>
          <w:tcPr>
            <w:tcW w:w="2552" w:type="dxa"/>
            <w:tcBorders>
              <w:top w:val="single" w:sz="4" w:space="0" w:color="auto"/>
              <w:left w:val="nil"/>
              <w:bottom w:val="single" w:sz="4" w:space="0" w:color="auto"/>
              <w:right w:val="nil"/>
            </w:tcBorders>
          </w:tcPr>
          <w:p w14:paraId="5B1C83FE"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(30 -66 -32) to (44 -58 -20) centred at (38 -61 -25)</w:t>
            </w:r>
          </w:p>
        </w:tc>
      </w:tr>
      <w:tr w:rsidR="00AD51EF" w:rsidRPr="009E279F" w14:paraId="224096C7" w14:textId="77777777" w:rsidTr="00AD51EF">
        <w:trPr>
          <w:trHeight w:val="261"/>
        </w:trPr>
        <w:tc>
          <w:tcPr>
            <w:tcW w:w="1419" w:type="dxa"/>
            <w:tcBorders>
              <w:top w:val="single" w:sz="4" w:space="0" w:color="auto"/>
              <w:left w:val="nil"/>
              <w:bottom w:val="single" w:sz="4" w:space="0" w:color="auto"/>
              <w:right w:val="nil"/>
            </w:tcBorders>
          </w:tcPr>
          <w:p w14:paraId="5EF000FF"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Lehmann et al., 2011</w:t>
            </w:r>
          </w:p>
          <w:p w14:paraId="3863308C" w14:textId="77777777" w:rsidR="00F4687C" w:rsidRPr="008C1CBE" w:rsidRDefault="00F4687C" w:rsidP="00BD0CFF">
            <w:pPr>
              <w:rPr>
                <w:rFonts w:ascii="Times New Roman" w:hAnsi="Times New Roman" w:cs="Times New Roman"/>
                <w:sz w:val="20"/>
                <w:szCs w:val="20"/>
              </w:rPr>
            </w:pPr>
            <w:r w:rsidRPr="00E96F63">
              <w:rPr>
                <w:rFonts w:ascii="Times New Roman" w:hAnsi="Times New Roman" w:cs="Times New Roman"/>
                <w:sz w:val="20"/>
                <w:szCs w:val="20"/>
              </w:rPr>
              <w:fldChar w:fldCharType="begin" w:fldLock="1"/>
            </w:r>
            <w:r w:rsidRPr="008C1CBE">
              <w:rPr>
                <w:rFonts w:ascii="Times New Roman" w:hAnsi="Times New Roman" w:cs="Times New Roman"/>
                <w:sz w:val="20"/>
                <w:szCs w:val="20"/>
              </w:rPr>
              <w:instrText>ADDIN CSL_CITATION {"citationItems":[{"id":"ITEM-1","itemData":{"DOI":"10.1016/j.neurobiolaging.2009.08.017","ISBN":"0197-4580","ISSN":"01974580","PMID":"19781814","abstract":"A significant minority of Alzheimer's disease patients present with posterior cortical atrophy (PCA). PCA is characterized by visuospatial and visuoperceptual deficits, and relatively preserved memory, whereas patients with typical Alzheimer's disease (tAD) mostly present with early episodic memory deficits. We used two unbiased image analysis techniques to assess atrophy patterns in 48 PCA, 30 tAD, and 50 healthy controls. FreeSurfer was used to measure cortical thickness, and volumetric grey matter differences were assessed using voxel-based morphometry (VBM). Both PCA and tAD showed widespread reductions compared with controls using both techniques. Direct comparison of PCA and tAD revealed thinner cortex predominantly in the right superior parietal lobe in the PCA group compared with tAD, whereas the tAD group showed thinning in the left entorhinal cortex compared with PCA. Similar results were obtained in the VBM analysis. These distinct patterns of atrophy may have diagnostic utility. In a clinical context, a relatively spared medial temporal lobe in the presence of posterior parietal atrophy may imply PCA, and should not discount AD. © 2009 Elsevier Inc.","author":[{"dropping-particle":"","family":"Lehmann","given":"Manja","non-dropping-particle":"","parse-names":false,"suffix":""},{"dropping-particle":"","family":"Crutch","given":"Sebastian J.","non-dropping-particle":"","parse-names":false,"suffix":""},{"dropping-particle":"","family":"Ridgway","given":"Gerard R.","non-dropping-particle":"","parse-names":false,"suffix":""},{"dropping-particle":"","family":"Ridha","given":"Basil H.","non-dropping-particle":"","parse-names":false,"suffix":""},{"dropping-particle":"","family":"Barnes","given":"Josephine","non-dropping-particle":"","parse-names":false,"suffix":""},{"dropping-particle":"","family":"Warrington","given":"Elizabeth K.","non-dropping-particle":"","parse-names":false,"suffix":""},{"dropping-particle":"","family":"Rossor","given":"Martin N.","non-dropping-particle":"","parse-names":false,"suffix":""},{"dropping-particle":"","family":"Fox","given":"Nick C.","non-dropping-particle":"","parse-names":false,"suffix":""}],"container-title":"Neurobiology of Aging","edition":"2009/09/29","id":"ITEM-1","issue":"8","issued":{"date-parts":[["2011"]]},"language":"eng","note":"From Duplicate 1 (Cortical thickness and voxel-based morphometry in posterior cortical atrophy and typical Alzheimer's disease - Lehmann, Manja; Crutch, Sebastian J.; Ridgway, Gerard R.; Ridha, Basil H.; Barnes, Josephine; Warrington, Elizabeth K.; Rossor, Martin N.; Fox, Nick C.)\n\nFrom Duplicate 1 (Cortical thickness and voxel-based morphometry in posterior cortical atrophy and typical Alzheimer's disease - Lehmann, Manja; Crutch, Sebastian J.; Ridgway, Gerard R.; Ridha, Basil H.; Barnes, Josephine; Warrington, Elizabeth K.; Rossor, Martin N.; Fox, Nick C.)\n\nFrom Duplicate 1 (Cortical thickness and voxel-based morphometry in posterior cortical atrophy and typical Alzheimer's disease - Lehmann, M; Crutch, S J; Ridgway, G R; Ridha, B H; Barnes, J; Warrington, E K; Rossor, M N; Fox, N C)\n\n1558-1497\nLehmann, Manja\nCrutch, Sebastian J\nRidgway, Gerard R\nRidha, Basil H\nBarnes, Josephine\nWarrington, Elizabeth K\nRossor, Martin N\nFox, Nick C\n108/Alzheimer's Society/United Kingdom\nG0601846/Medical Research Council/United Kingdom\nDepartment of Health/United Kingdom\nComparative Study\nJournal Article\nResearch Support, Non-U.S. Gov't\nUnited States\nNeurobiol Aging. 2011 Aug;32(8):1466-76. doi: 10.1016/j.neurobiolaging.2009.08.017. Epub 2009 Sep 25.","page":"1466-1476","publisher":"Elsevier Inc.","title":"Cortical thickness and voxel-based morphometry in posterior cortical atrophy and typical Alzheimer's disease","type":"article-journal","volume":"32"},"uris":["http://www.mendeley.com/documents/?uuid=60e3a461-9ae3-443a-8d6c-4a2427825bbc"]}],"mendeley":{"formattedCitation":"[29]","plainTextFormattedCitation":"[29]","previouslyFormattedCitation":"[29]"},"properties":{"noteIndex":0},"schema":"https://github.com/citation-style-language/schema/raw/master/csl-citation.json"}</w:instrText>
            </w:r>
            <w:r w:rsidRPr="00E96F63">
              <w:rPr>
                <w:rFonts w:ascii="Times New Roman" w:hAnsi="Times New Roman" w:cs="Times New Roman"/>
                <w:sz w:val="20"/>
                <w:szCs w:val="20"/>
              </w:rPr>
              <w:fldChar w:fldCharType="separate"/>
            </w:r>
            <w:r w:rsidRPr="008C1CBE">
              <w:rPr>
                <w:rFonts w:ascii="Times New Roman" w:hAnsi="Times New Roman" w:cs="Times New Roman"/>
                <w:noProof/>
                <w:sz w:val="20"/>
                <w:szCs w:val="20"/>
              </w:rPr>
              <w:t>[29]</w:t>
            </w:r>
            <w:r w:rsidRPr="00E96F63">
              <w:rPr>
                <w:rFonts w:ascii="Times New Roman" w:hAnsi="Times New Roman" w:cs="Times New Roman"/>
                <w:sz w:val="20"/>
                <w:szCs w:val="20"/>
              </w:rPr>
              <w:fldChar w:fldCharType="end"/>
            </w:r>
          </w:p>
        </w:tc>
        <w:tc>
          <w:tcPr>
            <w:tcW w:w="987" w:type="dxa"/>
            <w:tcBorders>
              <w:top w:val="single" w:sz="4" w:space="0" w:color="auto"/>
              <w:left w:val="nil"/>
              <w:bottom w:val="single" w:sz="4" w:space="0" w:color="auto"/>
              <w:right w:val="nil"/>
            </w:tcBorders>
          </w:tcPr>
          <w:p w14:paraId="504A32A4"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34</w:t>
            </w:r>
          </w:p>
        </w:tc>
        <w:tc>
          <w:tcPr>
            <w:tcW w:w="1080" w:type="dxa"/>
            <w:tcBorders>
              <w:top w:val="single" w:sz="4" w:space="0" w:color="auto"/>
              <w:left w:val="nil"/>
              <w:bottom w:val="single" w:sz="4" w:space="0" w:color="auto"/>
              <w:right w:val="nil"/>
            </w:tcBorders>
          </w:tcPr>
          <w:p w14:paraId="498597DE"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499</w:t>
            </w:r>
          </w:p>
        </w:tc>
        <w:tc>
          <w:tcPr>
            <w:tcW w:w="1476" w:type="dxa"/>
            <w:tcBorders>
              <w:top w:val="single" w:sz="4" w:space="0" w:color="auto"/>
              <w:left w:val="nil"/>
              <w:bottom w:val="single" w:sz="4" w:space="0" w:color="auto"/>
              <w:right w:val="nil"/>
            </w:tcBorders>
          </w:tcPr>
          <w:p w14:paraId="251FF4C5"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440</w:t>
            </w:r>
          </w:p>
        </w:tc>
        <w:tc>
          <w:tcPr>
            <w:tcW w:w="2268" w:type="dxa"/>
            <w:tcBorders>
              <w:top w:val="single" w:sz="4" w:space="0" w:color="auto"/>
              <w:left w:val="nil"/>
              <w:bottom w:val="single" w:sz="4" w:space="0" w:color="auto"/>
              <w:right w:val="nil"/>
            </w:tcBorders>
          </w:tcPr>
          <w:p w14:paraId="55FDEA3A"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1</w:t>
            </w:r>
          </w:p>
        </w:tc>
        <w:tc>
          <w:tcPr>
            <w:tcW w:w="1134" w:type="dxa"/>
            <w:tcBorders>
              <w:top w:val="single" w:sz="4" w:space="0" w:color="auto"/>
              <w:left w:val="nil"/>
              <w:bottom w:val="single" w:sz="4" w:space="0" w:color="auto"/>
              <w:right w:val="nil"/>
            </w:tcBorders>
          </w:tcPr>
          <w:p w14:paraId="090FA9E9"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sym w:font="Symbol" w:char="F0AD"/>
            </w:r>
            <w:r w:rsidRPr="008C1CBE">
              <w:rPr>
                <w:rFonts w:ascii="Times New Roman" w:hAnsi="Times New Roman" w:cs="Times New Roman"/>
                <w:sz w:val="20"/>
                <w:szCs w:val="20"/>
              </w:rPr>
              <w:t xml:space="preserve"> </w:t>
            </w:r>
          </w:p>
          <w:p w14:paraId="38F60645"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(clusters 1 and 2 merged)</w:t>
            </w:r>
          </w:p>
        </w:tc>
        <w:tc>
          <w:tcPr>
            <w:tcW w:w="1701" w:type="dxa"/>
            <w:tcBorders>
              <w:top w:val="single" w:sz="4" w:space="0" w:color="auto"/>
              <w:left w:val="nil"/>
              <w:bottom w:val="single" w:sz="4" w:space="0" w:color="auto"/>
              <w:right w:val="nil"/>
            </w:tcBorders>
          </w:tcPr>
          <w:p w14:paraId="515B4880"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Yes</w:t>
            </w:r>
          </w:p>
        </w:tc>
        <w:tc>
          <w:tcPr>
            <w:tcW w:w="1418" w:type="dxa"/>
            <w:tcBorders>
              <w:top w:val="single" w:sz="4" w:space="0" w:color="auto"/>
              <w:left w:val="nil"/>
              <w:bottom w:val="single" w:sz="4" w:space="0" w:color="auto"/>
              <w:right w:val="nil"/>
            </w:tcBorders>
          </w:tcPr>
          <w:p w14:paraId="35F9429F"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No</w:t>
            </w:r>
          </w:p>
        </w:tc>
        <w:tc>
          <w:tcPr>
            <w:tcW w:w="850" w:type="dxa"/>
            <w:tcBorders>
              <w:top w:val="single" w:sz="4" w:space="0" w:color="auto"/>
              <w:left w:val="nil"/>
              <w:bottom w:val="single" w:sz="4" w:space="0" w:color="auto"/>
              <w:right w:val="nil"/>
            </w:tcBorders>
          </w:tcPr>
          <w:p w14:paraId="367DABB9"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2080</w:t>
            </w:r>
          </w:p>
        </w:tc>
        <w:tc>
          <w:tcPr>
            <w:tcW w:w="2552" w:type="dxa"/>
            <w:tcBorders>
              <w:top w:val="single" w:sz="4" w:space="0" w:color="auto"/>
              <w:left w:val="nil"/>
              <w:bottom w:val="single" w:sz="4" w:space="0" w:color="auto"/>
              <w:right w:val="nil"/>
            </w:tcBorders>
          </w:tcPr>
          <w:p w14:paraId="0E31A982"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 xml:space="preserve">(26 -78 -40) to (44 -58 -20) </w:t>
            </w:r>
            <w:proofErr w:type="spellStart"/>
            <w:r w:rsidRPr="008C1CBE">
              <w:rPr>
                <w:rFonts w:ascii="Times New Roman" w:hAnsi="Times New Roman" w:cs="Times New Roman"/>
                <w:sz w:val="20"/>
                <w:szCs w:val="20"/>
              </w:rPr>
              <w:t>centered</w:t>
            </w:r>
            <w:proofErr w:type="spellEnd"/>
            <w:r w:rsidRPr="008C1CBE">
              <w:rPr>
                <w:rFonts w:ascii="Times New Roman" w:hAnsi="Times New Roman" w:cs="Times New Roman"/>
                <w:sz w:val="20"/>
                <w:szCs w:val="20"/>
              </w:rPr>
              <w:t xml:space="preserve"> at (33 -67 -29)</w:t>
            </w:r>
          </w:p>
        </w:tc>
      </w:tr>
      <w:tr w:rsidR="00AD51EF" w:rsidRPr="00A33535" w14:paraId="61E84431" w14:textId="77777777" w:rsidTr="00AD51EF">
        <w:trPr>
          <w:trHeight w:val="261"/>
        </w:trPr>
        <w:tc>
          <w:tcPr>
            <w:tcW w:w="1419" w:type="dxa"/>
            <w:tcBorders>
              <w:top w:val="single" w:sz="4" w:space="0" w:color="auto"/>
              <w:left w:val="nil"/>
              <w:bottom w:val="nil"/>
              <w:right w:val="nil"/>
            </w:tcBorders>
          </w:tcPr>
          <w:p w14:paraId="22E50CC3" w14:textId="77777777" w:rsidR="00F4687C" w:rsidRPr="008C1CBE" w:rsidRDefault="00F4687C" w:rsidP="00BD0CFF">
            <w:pPr>
              <w:rPr>
                <w:rFonts w:ascii="Times New Roman" w:hAnsi="Times New Roman" w:cs="Times New Roman"/>
                <w:sz w:val="20"/>
                <w:szCs w:val="20"/>
              </w:rPr>
            </w:pPr>
            <w:proofErr w:type="spellStart"/>
            <w:r w:rsidRPr="008C1CBE">
              <w:rPr>
                <w:rFonts w:ascii="Times New Roman" w:hAnsi="Times New Roman" w:cs="Times New Roman"/>
                <w:sz w:val="20"/>
                <w:szCs w:val="20"/>
              </w:rPr>
              <w:t>Mazere</w:t>
            </w:r>
            <w:proofErr w:type="spellEnd"/>
            <w:r w:rsidRPr="008C1CBE">
              <w:rPr>
                <w:rFonts w:ascii="Times New Roman" w:hAnsi="Times New Roman" w:cs="Times New Roman"/>
                <w:sz w:val="20"/>
                <w:szCs w:val="20"/>
              </w:rPr>
              <w:t xml:space="preserve"> et al., 2007</w:t>
            </w:r>
          </w:p>
          <w:p w14:paraId="48275EB8" w14:textId="77777777" w:rsidR="00F4687C" w:rsidRPr="008C1CBE" w:rsidRDefault="00F4687C" w:rsidP="00BD0CFF">
            <w:pPr>
              <w:rPr>
                <w:rFonts w:ascii="Times New Roman" w:hAnsi="Times New Roman" w:cs="Times New Roman"/>
                <w:sz w:val="20"/>
                <w:szCs w:val="20"/>
              </w:rPr>
            </w:pPr>
            <w:r w:rsidRPr="00E96F63">
              <w:rPr>
                <w:rFonts w:ascii="Times New Roman" w:hAnsi="Times New Roman" w:cs="Times New Roman"/>
                <w:sz w:val="20"/>
                <w:szCs w:val="20"/>
              </w:rPr>
              <w:fldChar w:fldCharType="begin" w:fldLock="1"/>
            </w:r>
            <w:r w:rsidRPr="008C1CBE">
              <w:rPr>
                <w:rFonts w:ascii="Times New Roman" w:hAnsi="Times New Roman" w:cs="Times New Roman"/>
                <w:sz w:val="20"/>
                <w:szCs w:val="20"/>
              </w:rPr>
              <w:instrText>ADDIN CSL_CITATION {"citationItems":[{"id":"ITEM-1","itemData":{"DOI":"10.1016/j.neuroimage.2007.11.028","ISSN":"10538119","abstract":"Introduction: Little is known about cholinergic activity in the early stage of Alzheimer's disease. We investigated differences in the distribution of vesicular acetylcholine transporter, using [123I]-iodobenzovesamicol ([123I]-IBVM) and Single Photon Computed Tomography (SPECT), in early AD and age-matched controls. Materials and methods: Sixteen subjects (8 controls, 8 AD) underwent [123I]-IBVM SPECT scanning, T1-weighted anatomic scan by Magnetic Resonance (MR) imaging and Mini-Mental State Evaluation (MMSE). Image analysis, using Statistical Parametric Mapping (SPM 02), involved coregistration of each SPECT image to the MR scan, followed by a spatial normalisation to the Montreal Neurological Institute standard brain and a smoothing of each SPECT image. Group effects and correlation were assessed using two sample t-tests and linear regression respectively. Atrophy difference between the two groups was assessed by voxel-based morphometry of each MR scan using two sample t-tests. Results: MMSE values were significantly different between AD and controls. Relative to controls, a significant decrease in [123I]-IBVM binding (47-62%) was apparent in AD subjects in cingulate cortex and parahippocampal-amygdaloïd complex. These patterns appeared to be independent of atrophied areas. Conclusion: These results strongly suggest that a cholinergic degeneration occurs in the early stage of AD and could be involved in the impairment of the cognitive functions. Imaging of cholinergic neurons used here could be effective in identifying potential cholinergic treatment responders. © 2007 Elsevier Inc. All rights reserved.","author":[{"dropping-particle":"","family":"Mazère","given":"J.","non-dropping-particle":"","parse-names":false,"suffix":""},{"dropping-particle":"","family":"Prunier","given":"C.","non-dropping-particle":"","parse-names":false,"suffix":""},{"dropping-particle":"","family":"Barret","given":"O.","non-dropping-particle":"","parse-names":false,"suffix":""},{"dropping-particle":"","family":"Guyot","given":"M.","non-dropping-particle":"","parse-names":false,"suffix":""},{"dropping-particle":"","family":"Hommet","given":"C.","non-dropping-particle":"","parse-names":false,"suffix":""},{"dropping-particle":"","family":"Guilloteau","given":"D.","non-dropping-particle":"","parse-names":false,"suffix":""},{"dropping-particle":"","family":"Dartigues","given":"J. F.","non-dropping-particle":"","parse-names":false,"suffix":""},{"dropping-particle":"","family":"Auriacombe","given":"S.","non-dropping-particle":"","parse-names":false,"suffix":""},{"dropping-particle":"","family":"Fabrigoule","given":"C.","non-dropping-particle":"","parse-names":false,"suffix":""},{"dropping-particle":"","family":"Allard","given":"M.","non-dropping-particle":"","parse-names":false,"suffix":""}],"container-title":"NeuroImage","id":"ITEM-1","issue":"1","issued":{"date-parts":[["2008"]]},"page":"280-288","title":"In vivo SPECT imaging of vesicular acetylcholine transporter using [123I]-IBVM in early Alzheimer's disease","type":"article-journal","volume":"40"},"uris":["http://www.mendeley.com/documents/?uuid=19b967a7-d131-4c43-bba6-b8e5c1400ed4"]}],"mendeley":{"formattedCitation":"[30]","plainTextFormattedCitation":"[30]","previouslyFormattedCitation":"[30]"},"properties":{"noteIndex":0},"schema":"https://github.com/citation-style-language/schema/raw/master/csl-citation.json"}</w:instrText>
            </w:r>
            <w:r w:rsidRPr="00E96F63">
              <w:rPr>
                <w:rFonts w:ascii="Times New Roman" w:hAnsi="Times New Roman" w:cs="Times New Roman"/>
                <w:sz w:val="20"/>
                <w:szCs w:val="20"/>
              </w:rPr>
              <w:fldChar w:fldCharType="separate"/>
            </w:r>
            <w:r w:rsidRPr="008C1CBE">
              <w:rPr>
                <w:rFonts w:ascii="Times New Roman" w:hAnsi="Times New Roman" w:cs="Times New Roman"/>
                <w:noProof/>
                <w:sz w:val="20"/>
                <w:szCs w:val="20"/>
              </w:rPr>
              <w:t>[30]</w:t>
            </w:r>
            <w:r w:rsidRPr="00E96F63">
              <w:rPr>
                <w:rFonts w:ascii="Times New Roman" w:hAnsi="Times New Roman" w:cs="Times New Roman"/>
                <w:sz w:val="20"/>
                <w:szCs w:val="20"/>
              </w:rPr>
              <w:fldChar w:fldCharType="end"/>
            </w:r>
          </w:p>
        </w:tc>
        <w:tc>
          <w:tcPr>
            <w:tcW w:w="987" w:type="dxa"/>
            <w:tcBorders>
              <w:top w:val="single" w:sz="4" w:space="0" w:color="auto"/>
              <w:left w:val="nil"/>
              <w:bottom w:val="nil"/>
              <w:right w:val="nil"/>
            </w:tcBorders>
          </w:tcPr>
          <w:p w14:paraId="2969966E"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33</w:t>
            </w:r>
          </w:p>
        </w:tc>
        <w:tc>
          <w:tcPr>
            <w:tcW w:w="1080" w:type="dxa"/>
            <w:tcBorders>
              <w:top w:val="single" w:sz="4" w:space="0" w:color="auto"/>
              <w:left w:val="nil"/>
              <w:bottom w:val="nil"/>
              <w:right w:val="nil"/>
            </w:tcBorders>
          </w:tcPr>
          <w:p w14:paraId="52BCCEC7"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521</w:t>
            </w:r>
          </w:p>
        </w:tc>
        <w:tc>
          <w:tcPr>
            <w:tcW w:w="1476" w:type="dxa"/>
            <w:tcBorders>
              <w:top w:val="single" w:sz="4" w:space="0" w:color="auto"/>
              <w:left w:val="nil"/>
              <w:bottom w:val="nil"/>
              <w:right w:val="nil"/>
            </w:tcBorders>
          </w:tcPr>
          <w:p w14:paraId="305599D0"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504</w:t>
            </w:r>
          </w:p>
        </w:tc>
        <w:tc>
          <w:tcPr>
            <w:tcW w:w="2268" w:type="dxa"/>
            <w:tcBorders>
              <w:top w:val="single" w:sz="4" w:space="0" w:color="auto"/>
              <w:left w:val="nil"/>
              <w:bottom w:val="nil"/>
              <w:right w:val="nil"/>
            </w:tcBorders>
          </w:tcPr>
          <w:p w14:paraId="5EFA7B28"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1</w:t>
            </w:r>
          </w:p>
        </w:tc>
        <w:tc>
          <w:tcPr>
            <w:tcW w:w="1134" w:type="dxa"/>
            <w:tcBorders>
              <w:top w:val="single" w:sz="4" w:space="0" w:color="auto"/>
              <w:left w:val="nil"/>
              <w:bottom w:val="nil"/>
              <w:right w:val="nil"/>
            </w:tcBorders>
          </w:tcPr>
          <w:p w14:paraId="4A538905" w14:textId="77777777" w:rsidR="00F4687C" w:rsidRPr="008C1CBE" w:rsidRDefault="00F4687C" w:rsidP="00BD0CFF">
            <w:pPr>
              <w:rPr>
                <w:rFonts w:ascii="Times New Roman" w:hAnsi="Times New Roman" w:cs="Times New Roman"/>
                <w:sz w:val="20"/>
                <w:szCs w:val="20"/>
              </w:rPr>
            </w:pPr>
            <w:r w:rsidRPr="00047652">
              <w:rPr>
                <w:rFonts w:ascii="Times New Roman" w:hAnsi="Times New Roman" w:cs="Times New Roman"/>
                <w:sz w:val="20"/>
                <w:szCs w:val="20"/>
              </w:rPr>
              <w:sym w:font="Symbol" w:char="F0AF"/>
            </w:r>
          </w:p>
        </w:tc>
        <w:tc>
          <w:tcPr>
            <w:tcW w:w="1701" w:type="dxa"/>
            <w:tcBorders>
              <w:top w:val="single" w:sz="4" w:space="0" w:color="auto"/>
              <w:left w:val="nil"/>
              <w:bottom w:val="nil"/>
              <w:right w:val="nil"/>
            </w:tcBorders>
          </w:tcPr>
          <w:p w14:paraId="01BC5658"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No</w:t>
            </w:r>
          </w:p>
        </w:tc>
        <w:tc>
          <w:tcPr>
            <w:tcW w:w="1418" w:type="dxa"/>
            <w:tcBorders>
              <w:top w:val="single" w:sz="4" w:space="0" w:color="auto"/>
              <w:left w:val="nil"/>
              <w:bottom w:val="nil"/>
              <w:right w:val="nil"/>
            </w:tcBorders>
          </w:tcPr>
          <w:p w14:paraId="3149130F"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No</w:t>
            </w:r>
          </w:p>
        </w:tc>
        <w:tc>
          <w:tcPr>
            <w:tcW w:w="850" w:type="dxa"/>
            <w:tcBorders>
              <w:top w:val="single" w:sz="4" w:space="0" w:color="auto"/>
              <w:left w:val="nil"/>
              <w:bottom w:val="nil"/>
              <w:right w:val="nil"/>
            </w:tcBorders>
          </w:tcPr>
          <w:p w14:paraId="5B6CFCEB"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1056</w:t>
            </w:r>
          </w:p>
        </w:tc>
        <w:tc>
          <w:tcPr>
            <w:tcW w:w="2552" w:type="dxa"/>
            <w:tcBorders>
              <w:top w:val="single" w:sz="4" w:space="0" w:color="auto"/>
              <w:left w:val="nil"/>
              <w:bottom w:val="nil"/>
              <w:right w:val="nil"/>
            </w:tcBorders>
          </w:tcPr>
          <w:p w14:paraId="7F2FA560"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 xml:space="preserve">(26 -78 -40) to (34 -62 -24) </w:t>
            </w:r>
            <w:proofErr w:type="spellStart"/>
            <w:r w:rsidRPr="008C1CBE">
              <w:rPr>
                <w:rFonts w:ascii="Times New Roman" w:hAnsi="Times New Roman" w:cs="Times New Roman"/>
                <w:sz w:val="20"/>
                <w:szCs w:val="20"/>
              </w:rPr>
              <w:t>centered</w:t>
            </w:r>
            <w:proofErr w:type="spellEnd"/>
            <w:r w:rsidRPr="008C1CBE">
              <w:rPr>
                <w:rFonts w:ascii="Times New Roman" w:hAnsi="Times New Roman" w:cs="Times New Roman"/>
                <w:sz w:val="20"/>
                <w:szCs w:val="20"/>
              </w:rPr>
              <w:t xml:space="preserve"> at (30 -68 -32)</w:t>
            </w:r>
          </w:p>
        </w:tc>
      </w:tr>
      <w:tr w:rsidR="00AD51EF" w:rsidRPr="009E279F" w14:paraId="018BFC82" w14:textId="77777777" w:rsidTr="00AD51EF">
        <w:trPr>
          <w:trHeight w:val="261"/>
        </w:trPr>
        <w:tc>
          <w:tcPr>
            <w:tcW w:w="1419" w:type="dxa"/>
            <w:tcBorders>
              <w:top w:val="nil"/>
              <w:left w:val="nil"/>
              <w:bottom w:val="single" w:sz="4" w:space="0" w:color="auto"/>
              <w:right w:val="nil"/>
            </w:tcBorders>
          </w:tcPr>
          <w:p w14:paraId="268CF06E" w14:textId="77777777" w:rsidR="00F4687C" w:rsidRPr="00047652" w:rsidRDefault="00F4687C" w:rsidP="00BD0CFF">
            <w:pPr>
              <w:rPr>
                <w:rFonts w:ascii="Times New Roman" w:hAnsi="Times New Roman" w:cs="Times New Roman"/>
                <w:sz w:val="20"/>
                <w:szCs w:val="20"/>
              </w:rPr>
            </w:pPr>
          </w:p>
          <w:p w14:paraId="07F083A1" w14:textId="77777777" w:rsidR="00F4687C" w:rsidRPr="008C1CBE" w:rsidRDefault="00F4687C" w:rsidP="00BD0CFF">
            <w:pPr>
              <w:rPr>
                <w:rFonts w:ascii="Times New Roman" w:hAnsi="Times New Roman" w:cs="Times New Roman"/>
                <w:sz w:val="20"/>
                <w:szCs w:val="20"/>
              </w:rPr>
            </w:pPr>
          </w:p>
        </w:tc>
        <w:tc>
          <w:tcPr>
            <w:tcW w:w="987" w:type="dxa"/>
            <w:tcBorders>
              <w:top w:val="nil"/>
              <w:left w:val="nil"/>
              <w:bottom w:val="single" w:sz="4" w:space="0" w:color="auto"/>
              <w:right w:val="nil"/>
            </w:tcBorders>
          </w:tcPr>
          <w:p w14:paraId="30F67EE5" w14:textId="77777777" w:rsidR="00F4687C" w:rsidRPr="008C1CBE" w:rsidRDefault="00F4687C" w:rsidP="00BD0CFF">
            <w:pPr>
              <w:rPr>
                <w:rFonts w:ascii="Times New Roman" w:hAnsi="Times New Roman" w:cs="Times New Roman"/>
                <w:sz w:val="20"/>
                <w:szCs w:val="20"/>
              </w:rPr>
            </w:pPr>
          </w:p>
        </w:tc>
        <w:tc>
          <w:tcPr>
            <w:tcW w:w="1080" w:type="dxa"/>
            <w:tcBorders>
              <w:top w:val="nil"/>
              <w:left w:val="nil"/>
              <w:bottom w:val="single" w:sz="4" w:space="0" w:color="auto"/>
              <w:right w:val="nil"/>
            </w:tcBorders>
          </w:tcPr>
          <w:p w14:paraId="7B6EF500" w14:textId="77777777" w:rsidR="00F4687C" w:rsidRPr="008C1CBE" w:rsidRDefault="00F4687C" w:rsidP="00BD0CFF">
            <w:pPr>
              <w:rPr>
                <w:rFonts w:ascii="Times New Roman" w:hAnsi="Times New Roman" w:cs="Times New Roman"/>
                <w:sz w:val="20"/>
                <w:szCs w:val="20"/>
              </w:rPr>
            </w:pPr>
          </w:p>
        </w:tc>
        <w:tc>
          <w:tcPr>
            <w:tcW w:w="1476" w:type="dxa"/>
            <w:tcBorders>
              <w:top w:val="nil"/>
              <w:left w:val="nil"/>
              <w:bottom w:val="single" w:sz="4" w:space="0" w:color="auto"/>
              <w:right w:val="nil"/>
            </w:tcBorders>
          </w:tcPr>
          <w:p w14:paraId="6AB9EAB9" w14:textId="77777777" w:rsidR="00F4687C" w:rsidRPr="008C1CBE" w:rsidDel="005A712B" w:rsidRDefault="00F4687C" w:rsidP="00BD0CFF">
            <w:pPr>
              <w:rPr>
                <w:rFonts w:ascii="Times New Roman" w:hAnsi="Times New Roman" w:cs="Times New Roman"/>
                <w:sz w:val="20"/>
                <w:szCs w:val="20"/>
              </w:rPr>
            </w:pPr>
          </w:p>
        </w:tc>
        <w:tc>
          <w:tcPr>
            <w:tcW w:w="2268" w:type="dxa"/>
            <w:tcBorders>
              <w:top w:val="nil"/>
              <w:left w:val="nil"/>
              <w:bottom w:val="single" w:sz="4" w:space="0" w:color="auto"/>
              <w:right w:val="nil"/>
            </w:tcBorders>
          </w:tcPr>
          <w:p w14:paraId="796EA06F"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2</w:t>
            </w:r>
          </w:p>
        </w:tc>
        <w:tc>
          <w:tcPr>
            <w:tcW w:w="1134" w:type="dxa"/>
            <w:tcBorders>
              <w:top w:val="nil"/>
              <w:left w:val="nil"/>
              <w:bottom w:val="single" w:sz="4" w:space="0" w:color="auto"/>
              <w:right w:val="nil"/>
            </w:tcBorders>
          </w:tcPr>
          <w:p w14:paraId="240DAB60" w14:textId="77777777" w:rsidR="00F4687C" w:rsidRPr="008C1CBE" w:rsidRDefault="00F4687C" w:rsidP="00BD0CFF">
            <w:pPr>
              <w:rPr>
                <w:rFonts w:ascii="Times New Roman" w:hAnsi="Times New Roman" w:cs="Times New Roman"/>
                <w:sz w:val="20"/>
                <w:szCs w:val="20"/>
              </w:rPr>
            </w:pPr>
            <w:r w:rsidRPr="00047652">
              <w:rPr>
                <w:rFonts w:ascii="Times New Roman" w:hAnsi="Times New Roman" w:cs="Times New Roman"/>
                <w:sz w:val="20"/>
                <w:szCs w:val="20"/>
              </w:rPr>
              <w:sym w:font="Symbol" w:char="F0AF"/>
            </w:r>
          </w:p>
        </w:tc>
        <w:tc>
          <w:tcPr>
            <w:tcW w:w="1701" w:type="dxa"/>
            <w:tcBorders>
              <w:top w:val="nil"/>
              <w:left w:val="nil"/>
              <w:bottom w:val="single" w:sz="4" w:space="0" w:color="auto"/>
              <w:right w:val="nil"/>
            </w:tcBorders>
          </w:tcPr>
          <w:p w14:paraId="3B744ED4"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Yes</w:t>
            </w:r>
          </w:p>
        </w:tc>
        <w:tc>
          <w:tcPr>
            <w:tcW w:w="1418" w:type="dxa"/>
            <w:tcBorders>
              <w:top w:val="nil"/>
              <w:left w:val="nil"/>
              <w:bottom w:val="single" w:sz="4" w:space="0" w:color="auto"/>
              <w:right w:val="nil"/>
            </w:tcBorders>
          </w:tcPr>
          <w:p w14:paraId="7800E365"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No</w:t>
            </w:r>
          </w:p>
        </w:tc>
        <w:tc>
          <w:tcPr>
            <w:tcW w:w="850" w:type="dxa"/>
            <w:tcBorders>
              <w:top w:val="nil"/>
              <w:left w:val="nil"/>
              <w:bottom w:val="single" w:sz="4" w:space="0" w:color="auto"/>
              <w:right w:val="nil"/>
            </w:tcBorders>
          </w:tcPr>
          <w:p w14:paraId="5520855D"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800</w:t>
            </w:r>
          </w:p>
        </w:tc>
        <w:tc>
          <w:tcPr>
            <w:tcW w:w="2552" w:type="dxa"/>
            <w:tcBorders>
              <w:top w:val="nil"/>
              <w:left w:val="nil"/>
              <w:bottom w:val="single" w:sz="4" w:space="0" w:color="auto"/>
              <w:right w:val="nil"/>
            </w:tcBorders>
          </w:tcPr>
          <w:p w14:paraId="5BA91B5F"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 xml:space="preserve">(30 -66 -32) to (44 -58 -20) </w:t>
            </w:r>
            <w:proofErr w:type="spellStart"/>
            <w:r w:rsidRPr="008C1CBE">
              <w:rPr>
                <w:rFonts w:ascii="Times New Roman" w:hAnsi="Times New Roman" w:cs="Times New Roman"/>
                <w:sz w:val="20"/>
                <w:szCs w:val="20"/>
              </w:rPr>
              <w:t>centered</w:t>
            </w:r>
            <w:proofErr w:type="spellEnd"/>
            <w:r w:rsidRPr="008C1CBE">
              <w:rPr>
                <w:rFonts w:ascii="Times New Roman" w:hAnsi="Times New Roman" w:cs="Times New Roman"/>
                <w:sz w:val="20"/>
                <w:szCs w:val="20"/>
              </w:rPr>
              <w:t xml:space="preserve"> at (38 -61 -25)</w:t>
            </w:r>
          </w:p>
        </w:tc>
      </w:tr>
      <w:tr w:rsidR="00AD51EF" w:rsidRPr="008C1CBE" w14:paraId="7E5D8383" w14:textId="77777777" w:rsidTr="00AD51EF">
        <w:trPr>
          <w:trHeight w:val="731"/>
        </w:trPr>
        <w:tc>
          <w:tcPr>
            <w:tcW w:w="1419" w:type="dxa"/>
            <w:tcBorders>
              <w:top w:val="single" w:sz="4" w:space="0" w:color="auto"/>
              <w:left w:val="nil"/>
              <w:bottom w:val="single" w:sz="4" w:space="0" w:color="auto"/>
              <w:right w:val="nil"/>
            </w:tcBorders>
          </w:tcPr>
          <w:p w14:paraId="7262B767" w14:textId="77777777" w:rsidR="00F4687C" w:rsidRPr="008C1CBE" w:rsidRDefault="00F4687C" w:rsidP="00BD0CFF">
            <w:pPr>
              <w:rPr>
                <w:rFonts w:ascii="Times New Roman" w:hAnsi="Times New Roman" w:cs="Times New Roman"/>
                <w:sz w:val="20"/>
                <w:szCs w:val="20"/>
              </w:rPr>
            </w:pPr>
            <w:proofErr w:type="spellStart"/>
            <w:r w:rsidRPr="008C1CBE">
              <w:rPr>
                <w:rFonts w:ascii="Times New Roman" w:hAnsi="Times New Roman" w:cs="Times New Roman"/>
                <w:sz w:val="20"/>
                <w:szCs w:val="20"/>
              </w:rPr>
              <w:t>Möller</w:t>
            </w:r>
            <w:proofErr w:type="spellEnd"/>
            <w:r w:rsidRPr="008C1CBE">
              <w:rPr>
                <w:rFonts w:ascii="Times New Roman" w:hAnsi="Times New Roman" w:cs="Times New Roman"/>
                <w:sz w:val="20"/>
                <w:szCs w:val="20"/>
              </w:rPr>
              <w:t xml:space="preserve"> et al., 2013</w:t>
            </w:r>
          </w:p>
          <w:p w14:paraId="5022E2C1" w14:textId="77777777" w:rsidR="00F4687C" w:rsidRPr="008C1CBE" w:rsidRDefault="00F4687C" w:rsidP="00BD0CFF">
            <w:pPr>
              <w:rPr>
                <w:rFonts w:ascii="Times New Roman" w:hAnsi="Times New Roman" w:cs="Times New Roman"/>
                <w:sz w:val="20"/>
                <w:szCs w:val="20"/>
              </w:rPr>
            </w:pPr>
            <w:r w:rsidRPr="00E96F63">
              <w:rPr>
                <w:rFonts w:ascii="Times New Roman" w:hAnsi="Times New Roman" w:cs="Times New Roman"/>
                <w:sz w:val="20"/>
                <w:szCs w:val="20"/>
              </w:rPr>
              <w:fldChar w:fldCharType="begin" w:fldLock="1"/>
            </w:r>
            <w:r w:rsidRPr="008C1CBE">
              <w:rPr>
                <w:rFonts w:ascii="Times New Roman" w:hAnsi="Times New Roman" w:cs="Times New Roman"/>
                <w:sz w:val="20"/>
                <w:szCs w:val="20"/>
              </w:rPr>
              <w:instrText>ADDIN CSL_CITATION {"citationItems":[{"id":"ITEM-1","itemData":{"DOI":"http://dx.doi.org/10.1016/j.neurobiolaging.2013.02.013","ISBN":"0197-4580","ISSN":"01974580","abstract":"We assessed patterns of gray matter atrophy according to-age-at-onset in a large sample of 215 Alzheimer's disease (AD) patients and 129 control subjects with voxel-based morphometry using 3-Tesla 3D T1-weighted magnetic resonance imaging. Local gray matter amounts were compared between late- and early-onset AD patients and older and younger control subjects, taking into account the effect of apolipoprotein E. Additionally, combined effects of age and diagnosis on volumes of hippocampus and precuneus were assessed. Compared with age-matched control subjects, late-onset AD patients exhibited atrophy of the hippocampus, right temporal lobe, and cerebellum, whereas early-onset AD patients showed gray matter atrophy in hippocampus, temporal lobes, precuneus, cingulate gyrus, and inferior frontal cortex. Direct comparisons between late- and early-onset AD patients revealed more pronounced atrophy of precuneus in early-onset AD patients and more severe atrophy in medial temporal lobe in late-onset AD patients. Age and diagnosis independently affected the hippocampus; moreover, the interaction between age and diagnosis showed that precuneus atrophy was most prominent in early-onset AD patients. Our results suggest that patterns of atrophy might vary in the spectrum of AD. © 2013 Elsevier Inc.","author":[{"dropping-particle":"","family":"Möller","given":"Christiane","non-dropping-particle":"","parse-names":false,"suffix":""},{"dropping-particle":"","family":"Vrenken","given":"Hugo","non-dropping-particle":"","parse-names":false,"suffix":""},{"dropping-particle":"","family":"Jiskoot","given":"Lize","non-dropping-particle":"","parse-names":false,"suffix":""},{"dropping-particle":"","family":"Versteeg","given":"Adriaan","non-dropping-particle":"","parse-names":false,"suffix":""},{"dropping-particle":"","family":"Barkhof","given":"Frederik","non-dropping-particle":"","parse-names":false,"suffix":""},{"dropping-particle":"","family":"Scheltens","given":"Philip","non-dropping-particle":"","parse-names":false,"suffix":""},{"dropping-particle":"","family":"Flier","given":"Wiesje M.","non-dropping-particle":"van der","parse-names":false,"suffix":""}],"container-title":"Neurobiology of aging","id":"ITEM-1","issue":"8","issued":{"date-parts":[["2013"]]},"page":"2014-2022","publisher":"Elsevier Ltd","title":"Different patterns of gray matter atrophy in early- and late-onset Alzheimer's disease","type":"article-journal","volume":"34"},"uris":["http://www.mendeley.com/documents/?uuid=7fb2affe-89a8-42db-9fcd-11d5bad6f42c"]}],"mendeley":{"formattedCitation":"[8]","plainTextFormattedCitation":"[8]","previouslyFormattedCitation":"[8]"},"properties":{"noteIndex":0},"schema":"https://github.com/citation-style-language/schema/raw/master/csl-citation.json"}</w:instrText>
            </w:r>
            <w:r w:rsidRPr="00E96F63">
              <w:rPr>
                <w:rFonts w:ascii="Times New Roman" w:hAnsi="Times New Roman" w:cs="Times New Roman"/>
                <w:sz w:val="20"/>
                <w:szCs w:val="20"/>
              </w:rPr>
              <w:fldChar w:fldCharType="separate"/>
            </w:r>
            <w:r w:rsidRPr="008C1CBE">
              <w:rPr>
                <w:rFonts w:ascii="Times New Roman" w:hAnsi="Times New Roman" w:cs="Times New Roman"/>
                <w:noProof/>
                <w:sz w:val="20"/>
                <w:szCs w:val="20"/>
              </w:rPr>
              <w:t>[8]</w:t>
            </w:r>
            <w:r w:rsidRPr="00E96F63">
              <w:rPr>
                <w:rFonts w:ascii="Times New Roman" w:hAnsi="Times New Roman" w:cs="Times New Roman"/>
                <w:sz w:val="20"/>
                <w:szCs w:val="20"/>
              </w:rPr>
              <w:fldChar w:fldCharType="end"/>
            </w:r>
            <w:r w:rsidRPr="008C1CBE">
              <w:rPr>
                <w:rFonts w:ascii="Times New Roman" w:hAnsi="Times New Roman" w:cs="Times New Roman"/>
                <w:sz w:val="20"/>
                <w:szCs w:val="20"/>
                <w:vertAlign w:val="superscript"/>
              </w:rPr>
              <w:t>b</w:t>
            </w:r>
          </w:p>
        </w:tc>
        <w:tc>
          <w:tcPr>
            <w:tcW w:w="987" w:type="dxa"/>
            <w:tcBorders>
              <w:top w:val="single" w:sz="4" w:space="0" w:color="auto"/>
              <w:left w:val="nil"/>
              <w:bottom w:val="single" w:sz="4" w:space="0" w:color="auto"/>
              <w:right w:val="nil"/>
            </w:tcBorders>
          </w:tcPr>
          <w:p w14:paraId="6561E08D"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27</w:t>
            </w:r>
          </w:p>
        </w:tc>
        <w:tc>
          <w:tcPr>
            <w:tcW w:w="1080" w:type="dxa"/>
            <w:tcBorders>
              <w:top w:val="single" w:sz="4" w:space="0" w:color="auto"/>
              <w:left w:val="nil"/>
              <w:bottom w:val="single" w:sz="4" w:space="0" w:color="auto"/>
              <w:right w:val="nil"/>
            </w:tcBorders>
          </w:tcPr>
          <w:p w14:paraId="76F06446"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409</w:t>
            </w:r>
          </w:p>
        </w:tc>
        <w:tc>
          <w:tcPr>
            <w:tcW w:w="1476" w:type="dxa"/>
            <w:tcBorders>
              <w:top w:val="single" w:sz="4" w:space="0" w:color="auto"/>
              <w:left w:val="nil"/>
              <w:bottom w:val="single" w:sz="4" w:space="0" w:color="auto"/>
              <w:right w:val="nil"/>
            </w:tcBorders>
          </w:tcPr>
          <w:p w14:paraId="7F43D693"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608</w:t>
            </w:r>
          </w:p>
        </w:tc>
        <w:tc>
          <w:tcPr>
            <w:tcW w:w="2268" w:type="dxa"/>
            <w:tcBorders>
              <w:top w:val="single" w:sz="4" w:space="0" w:color="auto"/>
              <w:left w:val="nil"/>
              <w:bottom w:val="single" w:sz="4" w:space="0" w:color="auto"/>
              <w:right w:val="nil"/>
            </w:tcBorders>
          </w:tcPr>
          <w:p w14:paraId="688BBD10"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1</w:t>
            </w:r>
          </w:p>
          <w:p w14:paraId="53E0EBCC" w14:textId="77777777" w:rsidR="00F4687C" w:rsidRPr="008C1CBE" w:rsidRDefault="00F4687C" w:rsidP="00BD0CFF">
            <w:pPr>
              <w:rPr>
                <w:rFonts w:ascii="Times New Roman" w:hAnsi="Times New Roman" w:cs="Times New Roman"/>
                <w:sz w:val="20"/>
                <w:szCs w:val="20"/>
              </w:rPr>
            </w:pPr>
          </w:p>
        </w:tc>
        <w:tc>
          <w:tcPr>
            <w:tcW w:w="1134" w:type="dxa"/>
            <w:tcBorders>
              <w:top w:val="single" w:sz="4" w:space="0" w:color="auto"/>
              <w:left w:val="nil"/>
              <w:bottom w:val="single" w:sz="4" w:space="0" w:color="auto"/>
              <w:right w:val="nil"/>
            </w:tcBorders>
          </w:tcPr>
          <w:p w14:paraId="76C2DAE8"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sym w:font="Symbol" w:char="F0AF"/>
            </w:r>
          </w:p>
          <w:p w14:paraId="2C54E268" w14:textId="77777777" w:rsidR="00F4687C" w:rsidRPr="008C1CBE" w:rsidRDefault="00F4687C" w:rsidP="00BD0CFF">
            <w:pPr>
              <w:rPr>
                <w:rFonts w:ascii="Times New Roman" w:hAnsi="Times New Roman" w:cs="Times New Roman"/>
                <w:sz w:val="20"/>
                <w:szCs w:val="20"/>
              </w:rPr>
            </w:pPr>
          </w:p>
        </w:tc>
        <w:tc>
          <w:tcPr>
            <w:tcW w:w="1701" w:type="dxa"/>
            <w:tcBorders>
              <w:top w:val="single" w:sz="4" w:space="0" w:color="auto"/>
              <w:left w:val="nil"/>
              <w:bottom w:val="single" w:sz="4" w:space="0" w:color="auto"/>
              <w:right w:val="nil"/>
            </w:tcBorders>
          </w:tcPr>
          <w:p w14:paraId="4F7E6774"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Yes</w:t>
            </w:r>
          </w:p>
        </w:tc>
        <w:tc>
          <w:tcPr>
            <w:tcW w:w="1418" w:type="dxa"/>
            <w:tcBorders>
              <w:top w:val="single" w:sz="4" w:space="0" w:color="auto"/>
              <w:left w:val="nil"/>
              <w:bottom w:val="single" w:sz="4" w:space="0" w:color="auto"/>
              <w:right w:val="nil"/>
            </w:tcBorders>
          </w:tcPr>
          <w:p w14:paraId="3F53A568"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No</w:t>
            </w:r>
          </w:p>
          <w:p w14:paraId="06FD5F93" w14:textId="77777777" w:rsidR="00F4687C" w:rsidRPr="008C1CBE" w:rsidRDefault="00F4687C" w:rsidP="00BD0CFF">
            <w:pPr>
              <w:rPr>
                <w:rFonts w:ascii="Times New Roman" w:hAnsi="Times New Roman" w:cs="Times New Roman"/>
                <w:sz w:val="20"/>
                <w:szCs w:val="20"/>
              </w:rPr>
            </w:pPr>
          </w:p>
        </w:tc>
        <w:tc>
          <w:tcPr>
            <w:tcW w:w="850" w:type="dxa"/>
            <w:tcBorders>
              <w:top w:val="single" w:sz="4" w:space="0" w:color="auto"/>
              <w:left w:val="nil"/>
              <w:bottom w:val="single" w:sz="4" w:space="0" w:color="auto"/>
              <w:right w:val="nil"/>
            </w:tcBorders>
          </w:tcPr>
          <w:p w14:paraId="4148473F"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624</w:t>
            </w:r>
          </w:p>
          <w:p w14:paraId="0CE2023F" w14:textId="77777777" w:rsidR="00F4687C" w:rsidRPr="008C1CBE" w:rsidRDefault="00F4687C" w:rsidP="00BD0CFF">
            <w:pPr>
              <w:rPr>
                <w:rFonts w:ascii="Times New Roman" w:hAnsi="Times New Roman" w:cs="Times New Roman"/>
                <w:sz w:val="20"/>
                <w:szCs w:val="20"/>
              </w:rPr>
            </w:pPr>
          </w:p>
        </w:tc>
        <w:tc>
          <w:tcPr>
            <w:tcW w:w="2552" w:type="dxa"/>
            <w:tcBorders>
              <w:top w:val="single" w:sz="4" w:space="0" w:color="auto"/>
              <w:left w:val="nil"/>
              <w:bottom w:val="single" w:sz="4" w:space="0" w:color="auto"/>
              <w:right w:val="nil"/>
            </w:tcBorders>
          </w:tcPr>
          <w:p w14:paraId="557CF3DE"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 xml:space="preserve">(24 -78 -30) to (34 -68 -24) </w:t>
            </w:r>
            <w:proofErr w:type="spellStart"/>
            <w:r w:rsidRPr="008C1CBE">
              <w:rPr>
                <w:rFonts w:ascii="Times New Roman" w:hAnsi="Times New Roman" w:cs="Times New Roman"/>
                <w:sz w:val="20"/>
                <w:szCs w:val="20"/>
              </w:rPr>
              <w:t>centered</w:t>
            </w:r>
            <w:proofErr w:type="spellEnd"/>
            <w:r w:rsidRPr="008C1CBE">
              <w:rPr>
                <w:rFonts w:ascii="Times New Roman" w:hAnsi="Times New Roman" w:cs="Times New Roman"/>
                <w:sz w:val="20"/>
                <w:szCs w:val="20"/>
              </w:rPr>
              <w:t xml:space="preserve"> at (30 -74 -27)</w:t>
            </w:r>
          </w:p>
          <w:p w14:paraId="35A46257" w14:textId="77777777" w:rsidR="00F4687C" w:rsidRPr="008C1CBE" w:rsidRDefault="00F4687C" w:rsidP="00BD0CFF">
            <w:pPr>
              <w:rPr>
                <w:rFonts w:ascii="Times New Roman" w:hAnsi="Times New Roman" w:cs="Times New Roman"/>
                <w:sz w:val="20"/>
                <w:szCs w:val="20"/>
              </w:rPr>
            </w:pPr>
          </w:p>
        </w:tc>
      </w:tr>
      <w:tr w:rsidR="00AD51EF" w:rsidRPr="008C1CBE" w14:paraId="5F4E2036" w14:textId="77777777" w:rsidTr="00AD51EF">
        <w:trPr>
          <w:trHeight w:val="261"/>
        </w:trPr>
        <w:tc>
          <w:tcPr>
            <w:tcW w:w="1419" w:type="dxa"/>
            <w:tcBorders>
              <w:top w:val="single" w:sz="4" w:space="0" w:color="auto"/>
              <w:left w:val="nil"/>
              <w:bottom w:val="single" w:sz="4" w:space="0" w:color="auto"/>
              <w:right w:val="nil"/>
            </w:tcBorders>
          </w:tcPr>
          <w:p w14:paraId="648B259C" w14:textId="77777777" w:rsidR="00F4687C" w:rsidRPr="008C1CBE" w:rsidRDefault="00F4687C" w:rsidP="00BD0CFF">
            <w:pPr>
              <w:rPr>
                <w:rFonts w:ascii="Times New Roman" w:hAnsi="Times New Roman" w:cs="Times New Roman"/>
                <w:sz w:val="20"/>
                <w:szCs w:val="20"/>
              </w:rPr>
            </w:pPr>
            <w:proofErr w:type="spellStart"/>
            <w:r w:rsidRPr="008C1CBE">
              <w:rPr>
                <w:rFonts w:ascii="Times New Roman" w:hAnsi="Times New Roman" w:cs="Times New Roman"/>
                <w:sz w:val="20"/>
                <w:szCs w:val="20"/>
              </w:rPr>
              <w:t>Ossenkoppele</w:t>
            </w:r>
            <w:proofErr w:type="spellEnd"/>
            <w:r w:rsidRPr="008C1CBE">
              <w:rPr>
                <w:rFonts w:ascii="Times New Roman" w:hAnsi="Times New Roman" w:cs="Times New Roman"/>
                <w:sz w:val="20"/>
                <w:szCs w:val="20"/>
              </w:rPr>
              <w:t xml:space="preserve"> et al., 2015</w:t>
            </w:r>
          </w:p>
          <w:p w14:paraId="492EB69A" w14:textId="77777777" w:rsidR="00F4687C" w:rsidRPr="008C1CBE" w:rsidRDefault="00F4687C" w:rsidP="00BD0CFF">
            <w:pPr>
              <w:rPr>
                <w:rFonts w:ascii="Times New Roman" w:hAnsi="Times New Roman" w:cs="Times New Roman"/>
                <w:sz w:val="20"/>
                <w:szCs w:val="20"/>
              </w:rPr>
            </w:pPr>
            <w:r w:rsidRPr="00E96F63">
              <w:rPr>
                <w:rFonts w:ascii="Times New Roman" w:hAnsi="Times New Roman" w:cs="Times New Roman"/>
                <w:sz w:val="20"/>
                <w:szCs w:val="20"/>
              </w:rPr>
              <w:fldChar w:fldCharType="begin" w:fldLock="1"/>
            </w:r>
            <w:r w:rsidRPr="008C1CBE">
              <w:rPr>
                <w:rFonts w:ascii="Times New Roman" w:hAnsi="Times New Roman" w:cs="Times New Roman"/>
                <w:sz w:val="20"/>
                <w:szCs w:val="20"/>
              </w:rPr>
              <w:instrText>ADDIN CSL_CITATION {"citationItems":[{"id":"ITEM-1","itemData":{"DOI":"10.1093/brain/awv191","ISSN":"14602156","abstract":"© 2015 The Author (2015). Published by Oxford University Press on behalf of the Guarantors of Brain. All rights reserved. For Permissions, please email: journals.permissions@oup.com. A 'frontal variant of Alzheimer's disease' has been described in patients with predominant behavioural or dysexecutive deficits caused by Alzheimer's disease pathology. The description of this rare Alzheimer's disease phenotype has been limited to case reports and small series, and many clinical, neuroimaging and neuropathological characteristics are not well understood. In this retrospective study, we included 55 patients with Alzheimer's disease with a behavioural-predominant presentation (behavioural Alzheimer's disease) and a neuropathological diagnosis of high-likelihood Alzheimer's disease (n = 17) and/or biomarker evidence of Alzheimer's disease pathology (n = 44). In addition, we included 29 patients with autopsy/biomarker-defined Alzheimer's disease with a dysexecutive-predominant syndrome (dysexecutive Alzheimer's disease). We performed structured chart reviews to ascertain clinical features. First symptoms were more often cognitive (behavioural Alzheimer's disease: 53%; dysexecutive Alzheimer's disease: 83%) than behavioural (behavioural Alzheimer's disease: 25%; dysexecutive Alzheimer's disease: 3%). Apathy was the most common behavioural feature, while hyperorality and perseverative/compulsive behaviours were less prevalent. Fifty-two per cent of patients with behavioural Alzheimer's disease met diagnostic criteria for possible behavioural-variant frontotemporal dementia. Overlap between behavioural and dysexecutive Alzheimer's disease was modest (9/75 patients). Sixty per cent of patients with behavioural Alzheimer's disease and 40% of those with the dysexecutive syndrome carried at least one APOE ε4 allele. We also compared neuropsychological test performance and brain atrophy (applying voxel-based morphometry) with matched autopsy/biomarker-defined typical (amnestic-predominant) Alzheimer's disease (typical Alzheimer's disease, n = 58), autopsy-confirmed/Alzheimer's disease biomarker-negative behavioural variant frontotemporal dementia (n = 59), and controls (n = 61). Patients with behavioural Alzheimer's disease showed worse memory scores than behavioural variant frontotemporal dementia and did not differ from typical Alzheimer's disease, while executive function composite scores were lower compared to behavioural variant frontotemporal dementia and typical…","author":[{"dropping-particle":"","family":"Ossenkoppele","given":"Rik","non-dropping-particle":"","parse-names":false,"suffix":""},{"dropping-particle":"","family":"Pijnenburg","given":"Yolande A.L.","non-dropping-particle":"","parse-names":false,"suffix":""},{"dropping-particle":"","family":"Perry","given":"David C.","non-dropping-particle":"","parse-names":false,"suffix":""},{"dropping-particle":"","family":"Cohn-Sheehy","given":"Brendan I.","non-dropping-particle":"","parse-names":false,"suffix":""},{"dropping-particle":"","family":"Scheltens","given":"Nienke M.E.","non-dropping-particle":"","parse-names":false,"suffix":""},{"dropping-particle":"","family":"Vogel","given":"Jacob W.","non-dropping-particle":"","parse-names":false,"suffix":""},{"dropping-particle":"","family":"Kramer","given":"Joel H.","non-dropping-particle":"","parse-names":false,"suffix":""},{"dropping-particle":"","family":"Vlies","given":"Annelies E.","non-dropping-particle":"Van Der","parse-names":false,"suffix":""},{"dropping-particle":"La","family":"Joie","given":"Renaud","non-dropping-particle":"","parse-names":false,"suffix":""},{"dropping-particle":"","family":"Rosen","given":"Howard J.","non-dropping-particle":"","parse-names":false,"suffix":""},{"dropping-particle":"","family":"Flier","given":"Wiesje M.","non-dropping-particle":"Van Der","parse-names":false,"suffix":""},{"dropping-particle":"","family":"Grinberg","given":"Lea T.","non-dropping-particle":"","parse-names":false,"suffix":""},{"dropping-particle":"","family":"Rozemuller","given":"Annemieke J.","non-dropping-particle":"","parse-names":false,"suffix":""},{"dropping-particle":"","family":"Huang","given":"Eric J.","non-dropping-particle":"","parse-names":false,"suffix":""},{"dropping-particle":"","family":"Berckel","given":"Bart N.M.","non-dropping-particle":"Van","parse-names":false,"suffix":""},{"dropping-particle":"","family":"Miller","given":"Bruce L.","non-dropping-particle":"","parse-names":false,"suffix":""},{"dropping-particle":"","family":"Barkhof","given":"Frederik","non-dropping-particle":"","parse-names":false,"suffix":""},{"dropping-particle":"","family":"Jagust","given":"William J.","non-dropping-particle":"","parse-names":false,"suffix":""},{"dropping-particle":"","family":"Scheltens","given":"Philip","non-dropping-particle":"","parse-names":false,"suffix":""},{"dropping-particle":"","family":"Seeley","given":"William W.","non-dropping-particle":"","parse-names":false,"suffix":""},{"dropping-particle":"","family":"Rabinovici","given":"Gil D.","non-dropping-particle":"","parse-names":false,"suffix":""}],"container-title":"Brain","id":"ITEM-1","issue":"9","issued":{"date-parts":[["2015"]]},"page":"2732-2749","title":"The behavioural/dysexecutive variant of Alzheimer's disease: Clinical, neuroimaging and pathological features","type":"article-journal","volume":"138"},"uris":["http://www.mendeley.com/documents/?uuid=647b31f9-3fab-4775-a794-2eeacb82f51b"]}],"mendeley":{"formattedCitation":"[31]","plainTextFormattedCitation":"[31]","previouslyFormattedCitation":"[31]"},"properties":{"noteIndex":0},"schema":"https://github.com/citation-style-language/schema/raw/master/csl-citation.json"}</w:instrText>
            </w:r>
            <w:r w:rsidRPr="00E96F63">
              <w:rPr>
                <w:rFonts w:ascii="Times New Roman" w:hAnsi="Times New Roman" w:cs="Times New Roman"/>
                <w:sz w:val="20"/>
                <w:szCs w:val="20"/>
              </w:rPr>
              <w:fldChar w:fldCharType="separate"/>
            </w:r>
            <w:r w:rsidRPr="008C1CBE">
              <w:rPr>
                <w:rFonts w:ascii="Times New Roman" w:hAnsi="Times New Roman" w:cs="Times New Roman"/>
                <w:noProof/>
                <w:sz w:val="20"/>
                <w:szCs w:val="20"/>
              </w:rPr>
              <w:t>[31]</w:t>
            </w:r>
            <w:r w:rsidRPr="00E96F63">
              <w:rPr>
                <w:rFonts w:ascii="Times New Roman" w:hAnsi="Times New Roman" w:cs="Times New Roman"/>
                <w:sz w:val="20"/>
                <w:szCs w:val="20"/>
              </w:rPr>
              <w:fldChar w:fldCharType="end"/>
            </w:r>
          </w:p>
        </w:tc>
        <w:tc>
          <w:tcPr>
            <w:tcW w:w="987" w:type="dxa"/>
            <w:tcBorders>
              <w:top w:val="single" w:sz="4" w:space="0" w:color="auto"/>
              <w:left w:val="nil"/>
              <w:bottom w:val="single" w:sz="4" w:space="0" w:color="auto"/>
              <w:right w:val="nil"/>
            </w:tcBorders>
          </w:tcPr>
          <w:p w14:paraId="201FFF20"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33</w:t>
            </w:r>
          </w:p>
        </w:tc>
        <w:tc>
          <w:tcPr>
            <w:tcW w:w="1080" w:type="dxa"/>
            <w:tcBorders>
              <w:top w:val="single" w:sz="4" w:space="0" w:color="auto"/>
              <w:left w:val="nil"/>
              <w:bottom w:val="single" w:sz="4" w:space="0" w:color="auto"/>
              <w:right w:val="nil"/>
            </w:tcBorders>
          </w:tcPr>
          <w:p w14:paraId="068B258D"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471</w:t>
            </w:r>
          </w:p>
        </w:tc>
        <w:tc>
          <w:tcPr>
            <w:tcW w:w="1476" w:type="dxa"/>
            <w:tcBorders>
              <w:top w:val="single" w:sz="4" w:space="0" w:color="auto"/>
              <w:left w:val="nil"/>
              <w:bottom w:val="single" w:sz="4" w:space="0" w:color="auto"/>
              <w:right w:val="nil"/>
            </w:tcBorders>
          </w:tcPr>
          <w:p w14:paraId="232C4B2C"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424</w:t>
            </w:r>
          </w:p>
        </w:tc>
        <w:tc>
          <w:tcPr>
            <w:tcW w:w="2268" w:type="dxa"/>
            <w:tcBorders>
              <w:top w:val="single" w:sz="4" w:space="0" w:color="auto"/>
              <w:left w:val="nil"/>
              <w:bottom w:val="single" w:sz="4" w:space="0" w:color="auto"/>
              <w:right w:val="nil"/>
            </w:tcBorders>
          </w:tcPr>
          <w:p w14:paraId="754C8C41"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1</w:t>
            </w:r>
          </w:p>
        </w:tc>
        <w:tc>
          <w:tcPr>
            <w:tcW w:w="1134" w:type="dxa"/>
            <w:tcBorders>
              <w:top w:val="single" w:sz="4" w:space="0" w:color="auto"/>
              <w:left w:val="nil"/>
              <w:bottom w:val="single" w:sz="4" w:space="0" w:color="auto"/>
              <w:right w:val="nil"/>
            </w:tcBorders>
          </w:tcPr>
          <w:p w14:paraId="14AD9F70"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sym w:font="Symbol" w:char="F0AD"/>
            </w:r>
            <w:r w:rsidRPr="008C1CBE">
              <w:rPr>
                <w:rFonts w:ascii="Times New Roman" w:hAnsi="Times New Roman" w:cs="Times New Roman"/>
                <w:sz w:val="20"/>
                <w:szCs w:val="20"/>
              </w:rPr>
              <w:t xml:space="preserve"> </w:t>
            </w:r>
            <w:r w:rsidRPr="00047652">
              <w:rPr>
                <w:rFonts w:ascii="Times New Roman" w:hAnsi="Times New Roman" w:cs="Times New Roman"/>
                <w:sz w:val="20"/>
                <w:szCs w:val="20"/>
              </w:rPr>
              <w:t>(clusters 1 and 2 merged)</w:t>
            </w:r>
          </w:p>
        </w:tc>
        <w:tc>
          <w:tcPr>
            <w:tcW w:w="1701" w:type="dxa"/>
            <w:tcBorders>
              <w:top w:val="single" w:sz="4" w:space="0" w:color="auto"/>
              <w:left w:val="nil"/>
              <w:bottom w:val="single" w:sz="4" w:space="0" w:color="auto"/>
              <w:right w:val="nil"/>
            </w:tcBorders>
          </w:tcPr>
          <w:p w14:paraId="63CA4F0C" w14:textId="77777777" w:rsidR="00F4687C" w:rsidRPr="008C1CBE" w:rsidRDefault="00F4687C" w:rsidP="00BD0CFF">
            <w:pPr>
              <w:rPr>
                <w:rFonts w:ascii="Times New Roman" w:hAnsi="Times New Roman" w:cs="Times New Roman"/>
                <w:sz w:val="20"/>
                <w:szCs w:val="20"/>
              </w:rPr>
            </w:pPr>
            <w:r w:rsidRPr="00047652">
              <w:rPr>
                <w:rFonts w:ascii="Times New Roman" w:hAnsi="Times New Roman" w:cs="Times New Roman"/>
                <w:sz w:val="20"/>
                <w:szCs w:val="20"/>
              </w:rPr>
              <w:t>Yes</w:t>
            </w:r>
          </w:p>
        </w:tc>
        <w:tc>
          <w:tcPr>
            <w:tcW w:w="1418" w:type="dxa"/>
            <w:tcBorders>
              <w:top w:val="single" w:sz="4" w:space="0" w:color="auto"/>
              <w:left w:val="nil"/>
              <w:bottom w:val="single" w:sz="4" w:space="0" w:color="auto"/>
              <w:right w:val="nil"/>
            </w:tcBorders>
          </w:tcPr>
          <w:p w14:paraId="63476483"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No</w:t>
            </w:r>
          </w:p>
        </w:tc>
        <w:tc>
          <w:tcPr>
            <w:tcW w:w="850" w:type="dxa"/>
            <w:tcBorders>
              <w:top w:val="single" w:sz="4" w:space="0" w:color="auto"/>
              <w:left w:val="nil"/>
              <w:bottom w:val="single" w:sz="4" w:space="0" w:color="auto"/>
              <w:right w:val="nil"/>
            </w:tcBorders>
          </w:tcPr>
          <w:p w14:paraId="44E7D7AC"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2104</w:t>
            </w:r>
          </w:p>
        </w:tc>
        <w:tc>
          <w:tcPr>
            <w:tcW w:w="2552" w:type="dxa"/>
            <w:tcBorders>
              <w:top w:val="single" w:sz="4" w:space="0" w:color="auto"/>
              <w:left w:val="nil"/>
              <w:bottom w:val="single" w:sz="4" w:space="0" w:color="auto"/>
              <w:right w:val="nil"/>
            </w:tcBorders>
          </w:tcPr>
          <w:p w14:paraId="0D49B269"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 xml:space="preserve">(26 -78 -40) to (44 -58 -20) </w:t>
            </w:r>
            <w:proofErr w:type="spellStart"/>
            <w:r w:rsidRPr="008C1CBE">
              <w:rPr>
                <w:rFonts w:ascii="Times New Roman" w:hAnsi="Times New Roman" w:cs="Times New Roman"/>
                <w:sz w:val="20"/>
                <w:szCs w:val="20"/>
              </w:rPr>
              <w:t>centered</w:t>
            </w:r>
            <w:proofErr w:type="spellEnd"/>
            <w:r w:rsidRPr="008C1CBE">
              <w:rPr>
                <w:rFonts w:ascii="Times New Roman" w:hAnsi="Times New Roman" w:cs="Times New Roman"/>
                <w:sz w:val="20"/>
                <w:szCs w:val="20"/>
              </w:rPr>
              <w:t xml:space="preserve"> at (33 -67 -29)</w:t>
            </w:r>
          </w:p>
        </w:tc>
      </w:tr>
      <w:tr w:rsidR="00AD51EF" w:rsidRPr="008C1CBE" w14:paraId="005B1D82" w14:textId="77777777" w:rsidTr="00AD51EF">
        <w:trPr>
          <w:trHeight w:val="261"/>
        </w:trPr>
        <w:tc>
          <w:tcPr>
            <w:tcW w:w="1419" w:type="dxa"/>
            <w:tcBorders>
              <w:top w:val="single" w:sz="4" w:space="0" w:color="auto"/>
              <w:left w:val="nil"/>
              <w:bottom w:val="single" w:sz="4" w:space="0" w:color="auto"/>
              <w:right w:val="nil"/>
            </w:tcBorders>
          </w:tcPr>
          <w:p w14:paraId="5336AF0D"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Raji et al., 2009</w:t>
            </w:r>
          </w:p>
          <w:p w14:paraId="73E67417" w14:textId="77777777" w:rsidR="00F4687C" w:rsidRPr="008C1CBE" w:rsidRDefault="00F4687C" w:rsidP="00BD0CFF">
            <w:pPr>
              <w:rPr>
                <w:rFonts w:ascii="Times New Roman" w:hAnsi="Times New Roman" w:cs="Times New Roman"/>
                <w:sz w:val="20"/>
                <w:szCs w:val="20"/>
              </w:rPr>
            </w:pPr>
            <w:r w:rsidRPr="00E96F63">
              <w:rPr>
                <w:rFonts w:ascii="Times New Roman" w:hAnsi="Times New Roman" w:cs="Times New Roman"/>
                <w:sz w:val="20"/>
                <w:szCs w:val="20"/>
              </w:rPr>
              <w:fldChar w:fldCharType="begin" w:fldLock="1"/>
            </w:r>
            <w:r w:rsidRPr="008C1CBE">
              <w:rPr>
                <w:rFonts w:ascii="Times New Roman" w:hAnsi="Times New Roman" w:cs="Times New Roman"/>
                <w:sz w:val="20"/>
                <w:szCs w:val="20"/>
              </w:rPr>
              <w:instrText>ADDIN CSL_CITATION {"citationItems":[{"id":"ITEM-1","itemData":{"DOI":"10.1212/WNL.0b013e3181c3f293","ISSN":"0028-3878","abstract":"Background: Lack of clear understanding remains on the overlapping atrophy patterns of aging and early Alzheimer disease (AD) pathology in gray matter (GM) of the brain in vivo. Objective: To evaluate the independent and overlapping patterns of GM atrophy in normal aging and AD. Methods: A total of 169 cognitively normal subjects and 33 persons with probable AD enrolled in the longitudinal Cardiovascular Health Study–Cognition Study underwent 3-dimensional volumetric MRI scans. Controls remained cognitively normal for at least 5 years after their MRI scans and the probable AD subjects were relatively early in their clinical course with an average modified Mini-Mental State Examination score of 76/100. The scans were analyzed using voxel-based morphometry adjusting for total intracranial volume, gender, education, and race. Results: With older age, GM volume was lower in the sensorimotor and heteromodal association areas in frontal, temporal, occipital, and parietal lobes, as well as in the cerebellum (false discovery rate p = 0.05). Additional atrophy was observed in the posterior hippocampus, thalamus, and middle cingulate gyrus. By contrast, atrophy was seen in subjects with AD in the anterior hippocampal/parahippocampal regions and the precuneus. Normal aging and AD overlapped in the hippocampal body and the entorhinal cortex. Conclusion: Brain atrophy with aging was observed in supratentorial and infratentorial areas, as well in primary motor, sensory, and heteromodal association regions. Age and Alzheimer disease exert independent gray matter atrophy patterns but these effects overlapped substantially in the hippocampus and entorhinal cortex. (PsycINFO Database Record (c) 2016 APA, all rights reserved)","author":[{"dropping-particle":"","family":"C.A.","given":"Raji","non-dropping-particle":"","parse-names":false,"suffix":""},{"dropping-particle":"","family":"O.L.","given":"Lopez","non-dropping-particle":"","parse-names":false,"suffix":""},{"dropping-particle":"","family":"L.H.","given":"Kuller","non-dropping-particle":"","parse-names":false,"suffix":""},{"dropping-particle":"","family":"O.T.","given":"Carmichael","non-dropping-particle":"","parse-names":false,"suffix":""},{"dropping-particle":"","family":"J.T.","given":"Becker","non-dropping-particle":"","parse-names":false,"suffix":""},{"dropping-particle":"","family":"Raji","given":"C A","non-dropping-particle":"","parse-names":false,"suffix":""},{"dropping-particle":"","family":"Lopez","given":"O L","non-dropping-particle":"","parse-names":false,"suffix":""},{"dropping-particle":"","family":"Kuller","given":"L H","non-dropping-particle":"","parse-names":false,"suffix":""},{"dropping-particle":"","family":"Carmichael","given":"O T","non-dropping-particle":"","parse-names":false,"suffix":""},{"dropping-particle":"","family":"Becker","given":"J T","non-dropping-particle":"","parse-names":false,"suffix":""},{"dropping-particle":"","family":"C.A.","given":"Raji","non-dropping-particle":"","parse-names":false,"suffix":""},{"dropping-particle":"","family":"O.L.","given":"Lopez","non-dropping-particle":"","parse-names":false,"suffix":""},{"dropping-particle":"","family":"L.H.","given":"Kuller","non-dropping-particle":"","parse-names":false,"suffix":""},{"dropping-particle":"","family":"O.T.","given":"Carmichael","non-dropping-particle":"","parse-names":false,"suffix":""},{"dropping-particle":"","family":"J.T.","given":"Becker","non-dropping-particle":"","parse-names":false,"suffix":""},{"dropping-particle":"","family":"Raji","given":"C A","non-dropping-particle":"","parse-names":false,"suffix":""},{"dropping-particle":"","family":"Lopez","given":"O L","non-dropping-particle":"","parse-names":false,"suffix":""},{"dropping-particle":"","family":"Kuller","given":"L H","non-dropping-particle":"","parse-names":false,"suffix":""},{"dropping-particle":"","family":"Carmichael","given":"O T","non-dropping-particle":"","parse-names":false,"suffix":""},{"dropping-particle":"","family":"Becker","given":"J T","non-dropping-particle":"","parse-names":false,"suffix":""}],"container-title":"Neurology","id":"ITEM-1","issue":"22","issued":{"date-parts":[["2009","12","1"]]},"note":"From Duplicate 1 (Age, Alzheimer disease, and brain structure - Raji, C A; Lopez, O L; Kuller, L H; Carmichael, O T; Becker, J T; C.A., Raji; O.L., Lopez; L.H., Kuller; O.T., Carmichael; J.T., Becker; Raji, C A; Lopez, O L; Kuller, L H; Carmichael, O T; Becker, J T)\n\nFrom Duplicate 1 (Age, Alzheimer disease, and brain structure - Raji, C A; Lopez, O L; Kuller, L H; Carmichael, O T; Becker, J T)\n\nFrom Duplicate 1 (Age, Alzheimer disease, and brain structure - Raji, C A; Lopez, O L; Kuller, L H; Carmichael, O T; Becker, J T)\n\nAccession Number: 2009-23452-016. PMID: 19846828 Partial author list: First Author &amp;amp; Affiliation: Raji, C. A.; Department of Pathology, School of Medicine, University of Pittsburgh, Pittsburgh, PA, US. Release Date: 20100531. Correction Date: 20120618. Publication Type: Journal (0100), Peer Reviewed Journal (0110). Format Covered: Electronic. Document Type: Journal Article. Language: English. Conference Information: Annual meeting of the American Academy of Neurology, Apr-May, 2009, Seattle, WA, US. Grant Information: Raji, C. A. Conference Note: Presented in part at the aforementioned conference. Major Descriptor: Aging; Alzheimer's Disease; Brain; Neuropathology; Gray Matter. Minor Descriptor: Cerebral Atrophy; Neuroanatomy. Classification: Neurological Disorders &amp;amp; Brain Damage (3297). Population: Human (10); Male (30); Female (40). Location: US. Age Group: Adulthood (18 yrs &amp;amp; older) (300); Aged (65 yrs &amp;amp; older) (380); Very Old (85 yrs &amp;amp; older) (390). Tests &amp;amp; Measures: Mini Mental State Examination. Methodology: Empirical Study; Quantitative Study. Supplemental Data: Other Internet. References Available: Y. Page Count: 7. Issue Publication Date: Dec 1, 2009. Publication History: Accepted Date: Sep 10, 2009; First Submitted Date: Jun 11, 2009. Copyright Statement: AAN Enterprises, Inc. 2009.\n\nFrom Duplicate 2 (Age, Alzheimer disease, and brain structure - Raji, C A; Lopez, O L; Kuller, L H; Carmichael, O T; Becker, J T; C.A., Raji; O.L., Lopez; L.H., Kuller; O.T., Carmichael; J.T., Becker; Raji, C A; Lopez, O L; Kuller, L H; Carmichael, O T; Becker, J T)\n\nFrom Duplicate 1 (Age, Alzheimer disease, and brain structure - C.A., Raji; O.L., Lopez; L.H., Kuller; O.T., Carmichael; J.T., Becker; Raji, C A; Lopez, O L; Kuller, L H; Carmichael, O T; Becker, J T)\n\nFrom Duplicate 1 (Age, Alzheimer disease, and brain structure - Raji, C A; Lopez, O L; Kuller, L H; Carmichael, O T; Becker, J T)\n\nFrom Duplicate 1 (Age, Alzheimer disease, and brain structure - Raji, C A; Lopez, O L; Kuller, L H; Carmichael, O T; Becker, J T)\n\nAccession Number: 2009-23452-016. PMID: 19846828 Partial author list: First Author &amp;amp; Affiliation: Raji, C. A.; Department of Pathology, School of Medicine, University of Pittsburgh, Pittsburgh, PA, US. Release Date: 20100531. Correction Date: 20120618. Publication Type: Journal (0100), Peer Reviewed Journal (0110). Format Covered: Electronic. Document Type: Journal Article. Language: English. Conference Information: Annual meeting of the American Academy of Neurology, Apr-May, 2009, Seattle, WA, US. Grant Information: Raji, C. A. Conference Note: Presented in part at the aforementioned conference. Major Descriptor: Aging; Alzheimer's Disease; Brain; Neuropathology; Gray Matter. Minor Descriptor: Cerebral Atrophy; Neuroanatomy. Classification: Neurological Disorders &amp;amp; Brain Damage (3297). Population: Human (10); Male (30); Female (40). Location: US. Age Group: Adulthood (18 yrs &amp;amp; older) (300); Aged (65 yrs &amp;amp; older) (380); Very Old (85 yrs &amp;amp; older) (390). Tests &amp;amp; Measures: Mini Mental State Examination. Methodology: Empirical Study; Quantitative Study. Supplemental Data: Other Internet. References Available: Y. Page Count: 7. Issue Publication Date: Dec 1, 2009. Publication History: Accepted Date: Sep 10, 2009; First Submitted Date: Jun 11, 2009. Copyright Statement: AAN Enterprises, Inc. 2009.\n\nFrom Duplicate 2 (Age, Alzheimer disease, and brain structure - Raji, C A; Lopez, O L; Kuller, L H; Carmichael, O T; Becker, J T)\n\nFrom Duplicate 1 (Age, Alzheimer disease, and brain structure - Raji, C A; Lopez, O L; Kuller, L H; Carmichael, O T; Becker, J T)\n\nAccession Number: 2009-23452-016. PMID: 19846828 Partial author list: First Author &amp;amp; Affiliation: Raji, C. A.; Department of Pathology, School of Medicine, University of Pittsburgh, Pittsburgh, PA, US. Release Date: 20100531. Correction Date: 20120618. Publication Type: Journal (0100), Peer Reviewed Journal (0110). Format Covered: Electronic. Document Type: Journal Article. Language: English. Conference Information: Annual meeting of the American Academy of Neurology, Apr-May, 2009, Seattle, WA, US. Grant Information: Raji, C. A. Conference Note: Presented in part at the aforementioned conference. Major Descriptor: Aging; Alzheimer's Disease; Brain; Neuropathology; Gray Matter. Minor Descriptor: Cerebral Atrophy; Neuroanatomy. Classification: Neurological Disorders &amp;amp; Brain Damage (3297). Population: Human (10); Male (30); Female (40). Location: US. Age Group: Adulthood (18 yrs &amp;amp; older) (300); Aged (65 yrs &amp;amp; older) (380); Very Old (85 yrs &amp;amp; older) (390). Tests &amp;amp; Measures: Mini Mental State Examination. Methodology: Empirical Study; Quantitative Study. Supplemental Data: Other Internet. References Available: Y. Page Count: 7. Issue Publication Date: Dec 1, 2009. Publication History: Accepted Date: Sep 10, 2009; First Submitted Date: Jun 11, 2009. Copyright Statement: AAN Enterprises, Inc. 2009.\n\nFrom Duplicate 2 (Age, Alzheimer disease, and brain structure - C.A., Raji; O.L., Lopez; L.H., Kuller; O.T., Carmichael; J.T., Becker; Raji, C A; Lopez, O L; Kuller, L H; Carmichael, O T; Becker, J T; C.A., Raji; O.L., Lopez; L.H., Kuller; O.T., Carmichael; J.T., Becker; Raji, C A; Lopez, O L; Kuller, L H; Carmichael, O T; Becker, J T)\n\nFrom Duplicate 1 (Age, Alzheimer disease, and brain structure - Raji, C A; Lopez, O L; Kuller, L H; Carmichael, O T; Becker, J T; C.A., Raji; O.L., Lopez; L.H., Kuller; O.T., Carmichael; J.T., Becker; Raji, C A; Lopez, O L; Kuller, L H; Carmichael, O T; Becker, J T)\n\nFrom Duplicate 1 (Age, Alzheimer disease, and brain structure - Raji, C A; Lopez, O L; Kuller, L H; Carmichael, O T; Becker, J T)\n\nFrom Duplicate 1 (Age, Alzheimer disease, and brain structure - Raji, C A; Lopez, O L; Kuller, L H; Carmichael, O T; Becker, J T)\n\nAccession Number: 2009-23452-016. PMID: 19846828 Partial author list: First Author &amp;amp; Affiliation: Raji, C. A.; Department of Pathology, School of Medicine, University of Pittsburgh, Pittsburgh, PA, US. Release Date: 20100531. Correction Date: 20120618. Publication Type: Journal (0100), Peer Reviewed Journal (0110). Format Covered: Electronic. Document Type: Journal Article. Language: English. Conference Information: Annual meeting of the American Academy of Neurology, Apr-May, 2009, Seattle, WA, US. Grant Information: Raji, C. A. Conference Note: Presented in part at the aforementioned conference. Major Descriptor: Aging; Alzheimer's Disease; Brain; Neuropathology; Gray Matter. Minor Descriptor: Cerebral Atrophy; Neuroanatomy. Classification: Neurological Disorders &amp;amp; Brain Damage (3297). Population: Human (10); Male (30); Female (40). Location: US. Age Group: Adulthood (18 yrs &amp;amp; older) (300); Aged (65 yrs &amp;amp; older) (380); Very Old (85 yrs &amp;amp; older) (390). Tests &amp;amp; Measures: Mini Mental State Examination. Methodology: Empirical Study; Quantitative Study. Supplemental Data: Other Internet. References Available: Y. Page Count: 7. Issue Publication Date: Dec 1, 2009. Publication History: Accepted Date: Sep 10, 2009; First Submitted Date: Jun 11, 2009. Copyright Statement: AAN Enterprises, Inc. 2009.\n\nFrom Duplicate 2 (Age, Alzheimer disease, and brain structure - Raji, C A; Lopez, O L; Kuller, L H; Carmichael, O T; Becker, J T; C.A., Raji; O.L., Lopez; L.H., Kuller; O.T., Carmichael; J.T., Becker; Raji, C A; Lopez, O L; Kuller, L H; Carmichael, O T; Becker, J T)\n\nFrom Duplicate 1 (Age, Alzheimer disease, and brain structure - C.A., Raji; O.L., Lopez; L.H., Kuller; O.T., Carmichael; J.T., Becker; Raji, C A; Lopez, O L; Kuller, L H; Carmichael, O T; Becker, J T)\n\nFrom Duplicate 1 (Age, Alzheimer disease, and brain structure - Raji, C A; Lopez, O L; Kuller, L H; Carmichael, O T; Becker, J T)\n\nFrom Duplicate 1 (Age, Alzheimer disease, and brain structure - Raji, C A; Lopez, O L; Kuller, L H; Carmichael, O T; Becker, J T)\n\nAccession Number: 2009-23452-016. PMID: 19846828 Partial author list: First Author &amp;amp; Affiliation: Raji, C. A.; Department of Pathology, School of Medicine, University of Pittsburgh, Pittsburgh, PA, US. Release Date: 20100531. Correction Date: 20120618. Publication Type: Journal (0100), Peer Reviewed Journal (0110). Format Covered: Electronic. Document Type: Journal Article. Language: English. Conference Information: Annual meeting of the American Academy of Neurology, Apr-May, 2009, Seattle, WA, US. Grant Information: Raji, C. A. Conference Note: Presented in part at the aforementioned conference. Major Descriptor: Aging; Alzheimer's Disease; Brain; Neuropathology; Gray Matter. Minor Descriptor: Cerebral Atrophy; Neuroanatomy. Classification: Neurological Disorders &amp;amp; Brain Damage (3297). Population: Human (10); Male (30); Female (40). Location: US. Age Group: Adulthood (18 yrs &amp;amp; older) (300); Aged (65 yrs &amp;amp; older) (380); Very Old (85 yrs &amp;amp; older) (390). Tests &amp;amp; Measures: Mini Mental State Examination. Methodology: Empirical Study; Quantitative Study. Supplemental Data: Other Internet. References Available: Y. Page Count: 7. Issue Publication Date: Dec 1, 2009. Publication History: Accepted Date: Sep 10, 2009; First Submitted Date: Jun 11, 2009. Copyright Statement: AAN Enterprises, Inc. 2009.\n\nFrom Duplicate 2 (Age, Alzheimer disease, and brain structure - Raji, C A; Lopez, O L; Kuller, L H; Carmichael, O T; Becker, J T)\n\nFrom Duplicate 1 (Age, Alzheimer disease, and brain structure - Raji, C A; Lopez, O L; Kuller, L H; Carmichael, O T; Becker, J T)\n\nAccession Number: 2009-23452-016. PMID: 19846828 Partial author list: First Author &amp;amp; Affiliation: Raji, C. A.; Department of Pathology, School of Medicine, University of Pittsburgh, Pittsburgh, PA, US. Release Date: 20100531. Correction Date: 20120618. Publication Type: Journal (0100), Peer Reviewed Journal (0110). Format Covered: Electronic. Document Type: Journal Article. Language: English. Conference Information: Annual meeting of the American Academy of Neurology, Apr-May, 2009, Seattle, WA, US. Grant Information: Raji, C. A. Conference Note: Presented in part at the aforementioned conference. Major Descriptor: Aging; Alzheimer's Disease; Brain; Neuropathology; Gray Matter. Minor Descriptor: Cerebral Atrophy; Neuroanatomy. Classification: Neurological Disorders &amp;amp; Brain Damage (3297). Population: Human (10); Male (30); Female (40). Location: US. Age Group: Adulthood (18 yrs &amp;amp; older) (300); Aged (65 yrs &amp;amp; older) (380); Very Old (85 yrs &amp;amp; older) (390). Tests &amp;amp; Measures: Mini Mental State Examination. Methodology: Empirical Study; Quantitative Study. Supplemental Data: Other Internet. References Available: Y. Page Count: 7. Issue Publication Date: Dec 1, 2009. Publication History: Accepted Date: Sep 10, 2009; First Submitted Date: Jun 11, 2009. Copyright Statement: AAN Enterprises, Inc. 2009.\n\nFrom Duplicate 2 (Age, Alzheimer disease, and brain structure - C.A., Raji; O.L., Lopez; L.H., Kuller; O.T., Carmichael; J.T., Becker; Raji, C A; Lopez, O L; Kuller, L H; Carmichael, O T; Becker, J T; C.A., Raji; O.L., Lopez; L.H., Kuller; O.T., Carmichael; J.T., Becker; Raji, C A; Lopez, O L; Kuller, L H; Carmichael, O T; Becker, J T)\n\nFrom Duplicate 1 (Age, Alzheimer disease, and brain structure - Raji, C A; Lopez, O L; Kuller, L H; Carmichael, O T; Becker, J T)\n\nAccession Number: 2009-23452-016. PMID: 19846828 Partial author list: First Author &amp;amp; Affiliation: Raji, C. A.; Department of Pathology, School of Medicine, University of Pittsburgh, Pittsburgh, PA, US. Release Date: 20100531. Correction Date: 20120618. Publication Type: Journal (0100), Peer Reviewed Journal (0110). Format Covered: Electronic. Document Type: Journal Article. Language: English. Conference Information: Annual meeting of the American Academy of Neurology, Apr-May, 2009, Seattle, WA, US. Grant Information: Raji, C. A. Conference Note: Presented in part at the aforementioned conference. Major Descriptor: Aging; Alzheimer's Disease; Brain; Neuropathology; Gray Matter. Minor Descriptor: Cerebral Atrophy; Neuroanatomy. Classification: Neurological Disorders &amp;amp; Brain Damage (3297). Population: Human (10); Male (30); Female (40). Location: US. Age Group: Adulthood (18 yrs &amp;amp; older) (300); Aged (65 yrs &amp;amp; older) (380); Very Old (85 yrs &amp;amp; older) (390). Tests &amp;amp; Measures: Mini Mental State Examination. Methodology: Empirical Study; Quantitative Study. Supplemental Data: Other Internet. References Available: Y. Page Count: 7. Issue Publication Date: Dec 1, 2009. Publication History: Accepted Date: Sep 10, 2009; First Submitted Date: Jun 11, 2009. Copyright Statement: AAN Enterprises, Inc. 2009.\n\nFrom Duplicate 2 (Age, Alzheimer disease, and brain structure - Raji, C A; Lopez, O L; Kuller, L H; Carmichael, O T; Becker, J T; C.A., Raji; O.L., Lopez; L.H., Kuller; O.T., Carmichael; J.T., Becker; Raji, C A; Lopez, O L; Kuller, L H; Carmichael, O T; Becker, J T)\n\nFrom Duplicate 1 (Age, Alzheimer disease, and brain structure - Raji, C A; Lopez, O L; Kuller, L H; Carmichael, O T; Becker, J T)\n\nFrom Duplicate 1 (Age, Alzheimer disease, and brain structure - Raji, C A; Lopez, O L; Kuller, L H; Carmichael, O T; Becker, J T)\n\nAccession Number: 2009-23452-016. PMID: 19846828 Partial author list: First Author &amp;amp; Affiliation: Raji, C. A.; Department of Pathology, School of Medicine, University of Pittsburgh, Pittsburgh, PA, US. Release Date: 20100531. Correction Date: 20120618. Publication Type: Journal (0100), Peer Reviewed Journal (0110). Format Covered: Electronic. Document Type: Journal Article. Language: English. Conference Information: Annual meeting of the American Academy of Neurology, Apr-May, 2009, Seattle, WA, US. Grant Information: Raji, C. A. Conference Note: Presented in part at the aforementioned conference. Major Descriptor: Aging; Alzheimer's Disease; Brain; Neuropathology; Gray Matter. Minor Descriptor: Cerebral Atrophy; Neuroanatomy. Classification: Neurological Disorders &amp;amp; Brain Damage (3297). Population: Human (10); Male (30); Female (40). Location: US. Age Group: Adulthood (18 yrs &amp;amp; older) (300); Aged (65 yrs &amp;amp; older) (380); Very Old (85 yrs &amp;amp; older) (390). Tests &amp;amp; Measures: Mini Mental State Examination. Methodology: Empirical Study; Quantitative Study. Supplemental Data: Other Internet. References Available: Y. Page Count: 7. Issue Publication Date: Dec 1, 2009. Publication History: Accepted Date: Sep 10, 2009; First Submitted Date: Jun 11, 2009. Copyright Statement: AAN Enterprises, Inc. 2009.\n\nFrom Duplicate 2 (Age, Alzheimer disease, and brain structure - Raji, C A; Lopez, O L; Kuller, L H; Carmichael, O T; Becker, J T; C.A., Raji; O.L., Lopez; L.H., Kuller; O.T., Carmichael; J.T., Becker; Raji, C A; Lopez, O L; Kuller, L H; Carmichael, O T; Becker, J T)\n\nFrom Duplicate 1 (Age, Alzheimer disease, and brain structure - C.A., Raji; O.L., Lopez; L.H., Kuller; O.T., Carmichael; J.T., Becker; Raji, C A; Lopez, O L; Kuller, L H; Carmichael, O T; Becker, J T)\n\nFrom Duplicate 1 (Age, Alzheimer disease, and brain structure - Raji, C A; Lopez, O L; Kuller, L H; Carmichael, O T; Becker, J T)\n\nFrom Duplicate 1 (Age, Alzheimer disease, and brain structure - Raji, C A; Lopez, O L; Kuller, L H; Carmichael, O T; Becker, J T)\n\nAccession Number: 2009-23452-016. PMID: 19846828 Partial author list: First Author &amp;amp; Affiliation: Raji, C. A.; Department of Pathology, School of Medicine, University of Pittsburgh, Pittsburgh, PA, US. Release Date: 20100531. Correction Date: 20120618. Publication Type: Journal (0100), Peer Reviewed Journal (0110). Format Covered: Electronic. Document Type: Journal Article. Language: English. Conference Information: Annual meeting of the American Academy of Neurology, Apr-May, 2009, Seattle, WA, US. Grant Information: Raji, C. A. Conference Note: Presented in part at the aforementioned conference. Major Descriptor: Aging; Alzheimer's Disease; Brain; Neuropathology; Gray Matter. Minor Descriptor: Cerebral Atrophy; Neuroanatomy. Classification: Neurological Disorders &amp;amp; Brain Damage (3297). Population: Human (10); Male (30); Female (40). Location: US. Age Group: Adulthood (18 yrs &amp;amp; older) (300); Aged (65 yrs &amp;amp; older) (380); Very Old (85 yrs &amp;amp; older) (390). Tests &amp;amp; Measures: Mini Mental State Examination. Methodology: Empirical Study; Quantitative Study. Supplemental Data: Other Internet. References Available: Y. Page Count: 7. Issue Publication Date: Dec 1, 2009. Publication History: Accepted Date: Sep 10, 2009; First Submitted Date: Jun 11, 2009. Copyright Statement: AAN Enterprises, Inc. 2009.\n\nFrom Duplicate 2 (Age, Alzheimer disease, and brain structure - Raji, C A; Lopez, O L; Kuller, L H; Carmichael, O T; Becker, J T)\n\nFrom Duplicate 1 (Age, Alzheimer disease, and brain structure - Raji, C A; Lopez, O L; Kuller, L H; Carmichael, O T; Becker, J T)\n\nAccession Number: 2009-23452-016. PMID: 19846828 Partial author list: First Author &amp;amp; Affiliation: Raji, C. A.; Department of Pathology, School of Medicine, University of Pittsburgh, Pittsburgh, PA, US. Release Date: 20100531. Correction Date: 20120618. Publication Type: Journal (0100), Peer Reviewed Journal (0110). Format Covered: Electronic. Document Type: Journal Article. Language: English. Conference Information: Annual meeting of the American Academy of Neurology, Apr-May, 2009, Seattle, WA, US. Grant Information: Raji, C. A. Conference Note: Presented in part at the aforementioned conference. Major Descriptor: Aging; Alzheimer's Disease; Brain; Neuropathology; Gray Matter. Minor Descriptor: Cerebral Atrophy; Neuroanatomy. Classification: Neurological Disorders &amp;amp; Brain Damage (3297). Population: Human (10); Male (30); Female (40). Location: US. Age Group: Adulthood (18 yrs &amp;amp; older) (300); Aged (65 yrs &amp;amp; older) (380); Very Old (85 yrs &amp;amp; older) (390). Tests &amp;amp; Measures: Mini Mental State Examination. Methodology: Empirical Study; Quantitative Study. Supplemental Data: Other Internet. References Available: Y. Page Count: 7. Issue Publication Date: Dec 1, 2009. Publication History: Accepted Date: Sep 10, 2009; First Submitted Date: Jun 11, 2009. Copyright Statement: AAN Enterprises, Inc. 2009.\n\nFrom Duplicate 3 (Age, Alzheimer disease, and brain structure - Raji, C A; Lopez, O L; Kuller, L H; Carmichael, O T; Becker, J T; C.A., Raji; O.L., Lopez; L.H., Kuller; O.T., Carmichael; J.T., Becker; Raji, C A; Lopez, O L; Kuller, L H; Carmichael, O T; Becker, J T)\n\nFrom Duplicate 1 (Age, Alzheimer disease, and brain structure - C.A., Raji; O.L., Lopez; L.H., Kuller; O.T., Carmichael; J.T., Becker; Raji, C A; Lopez, O L; Kuller, L H; Carmichael, O T; Becker, J T)\n\nFrom Duplicate 1 (Age, Alzheimer disease, and brain structure - Raji, C A; Lopez, O L; Kuller, L H; Carmichael, O T; Becker, J T)\n\nFrom Duplicate 1 (Age, Alzheimer disease, and brain structure - Raji, C A; Lopez, O L; Kuller, L H; Carmichael, O T; Becker, J T)\n\nAccession Number: 2009-23452-016. PMID: 19846828 Partial author list: First Author &amp;amp; Affiliation: Raji, C. A.; Department of Pathology, School of Medicine, University of Pittsburgh, Pittsburgh, PA, US. Release Date: 20100531. Correction Date: 20120618. Publication Type: Journal (0100), Peer Reviewed Journal (0110). Format Covered: Electronic. Document Type: Journal Article. Language: English. Conference Information: Annual meeting of the American Academy of Neurology, Apr-May, 2009, Seattle, WA, US. Grant Information: Raji, C. A. Conference Note: Presented in part at the aforementioned conference. Major Descriptor: Aging; Alzheimer's Disease; Brain; Neuropathology; Gray Matter. Minor Descriptor: Cerebral Atrophy; Neuroanatomy. Classification: Neurological Disorders &amp;amp; Brain Damage (3297). Population: Human (10); Male (30); Female (40). Location: US. Age Group: Adulthood (18 yrs &amp;amp; older) (300); Aged (65 yrs &amp;amp; older) (380); Very Old (85 yrs &amp;amp; older) (390). Tests &amp;amp; Measures: Mini Mental State Examination. Methodology: Empirical Study; Quantitative Study. Supplemental Data: Other Internet. References Available: Y. Page Count: 7. Issue Publication Date: Dec 1, 2009. Publication History: Accepted Date: Sep 10, 2009; First Submitted Date: Jun 11, 2009. Copyright Statement: AAN Enterprises, Inc. 2009.\n\nFrom Duplicate 2 (Age, Alzheimer disease, and brain structure - Raji, C A; Lopez, O L; Kuller, L H; Carmichael, O T; Becker, J T)\n\nFrom Dupli","page":"1899-1905","publisher":"Lippincott Williams &amp; Wilkins","publisher-place":"Raji, C. A., University of Pittsburgh School of Medicine, 3501 Forbes Avenue, Suite 830, Pittsburgh, PA, US, 15213-2582","title":"Age, Alzheimer disease, and brain structure","type":"article-journal","volume":"73"},"uris":["http://www.mendeley.com/documents/?uuid=9d6e62db-cae3-4baa-bfbb-8c925ff6dd96"]}],"mendeley":{"formattedCitation":"[32]","plainTextFormattedCitation":"[32]","previouslyFormattedCitation":"[32]"},"properties":{"noteIndex":0},"schema":"https://github.com/citation-style-language/schema/raw/master/csl-citation.json"}</w:instrText>
            </w:r>
            <w:r w:rsidRPr="00E96F63">
              <w:rPr>
                <w:rFonts w:ascii="Times New Roman" w:hAnsi="Times New Roman" w:cs="Times New Roman"/>
                <w:sz w:val="20"/>
                <w:szCs w:val="20"/>
              </w:rPr>
              <w:fldChar w:fldCharType="separate"/>
            </w:r>
            <w:r w:rsidRPr="008C1CBE">
              <w:rPr>
                <w:rFonts w:ascii="Times New Roman" w:hAnsi="Times New Roman" w:cs="Times New Roman"/>
                <w:noProof/>
                <w:sz w:val="20"/>
                <w:szCs w:val="20"/>
              </w:rPr>
              <w:t>[32]</w:t>
            </w:r>
            <w:r w:rsidRPr="00E96F63">
              <w:rPr>
                <w:rFonts w:ascii="Times New Roman" w:hAnsi="Times New Roman" w:cs="Times New Roman"/>
                <w:sz w:val="20"/>
                <w:szCs w:val="20"/>
              </w:rPr>
              <w:fldChar w:fldCharType="end"/>
            </w:r>
          </w:p>
        </w:tc>
        <w:tc>
          <w:tcPr>
            <w:tcW w:w="987" w:type="dxa"/>
            <w:tcBorders>
              <w:top w:val="single" w:sz="4" w:space="0" w:color="auto"/>
              <w:left w:val="nil"/>
              <w:bottom w:val="single" w:sz="4" w:space="0" w:color="auto"/>
              <w:right w:val="nil"/>
            </w:tcBorders>
          </w:tcPr>
          <w:p w14:paraId="6B00858C"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32</w:t>
            </w:r>
          </w:p>
        </w:tc>
        <w:tc>
          <w:tcPr>
            <w:tcW w:w="1080" w:type="dxa"/>
            <w:tcBorders>
              <w:top w:val="single" w:sz="4" w:space="0" w:color="auto"/>
              <w:left w:val="nil"/>
              <w:bottom w:val="single" w:sz="4" w:space="0" w:color="auto"/>
              <w:right w:val="nil"/>
            </w:tcBorders>
          </w:tcPr>
          <w:p w14:paraId="0E103AFB"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496</w:t>
            </w:r>
          </w:p>
        </w:tc>
        <w:tc>
          <w:tcPr>
            <w:tcW w:w="1476" w:type="dxa"/>
            <w:tcBorders>
              <w:top w:val="single" w:sz="4" w:space="0" w:color="auto"/>
              <w:left w:val="nil"/>
              <w:bottom w:val="single" w:sz="4" w:space="0" w:color="auto"/>
              <w:right w:val="nil"/>
            </w:tcBorders>
          </w:tcPr>
          <w:p w14:paraId="1FB3710C"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440</w:t>
            </w:r>
          </w:p>
        </w:tc>
        <w:tc>
          <w:tcPr>
            <w:tcW w:w="2268" w:type="dxa"/>
            <w:tcBorders>
              <w:top w:val="single" w:sz="4" w:space="0" w:color="auto"/>
              <w:left w:val="nil"/>
              <w:bottom w:val="single" w:sz="4" w:space="0" w:color="auto"/>
              <w:right w:val="nil"/>
            </w:tcBorders>
          </w:tcPr>
          <w:p w14:paraId="4204A63C"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1</w:t>
            </w:r>
          </w:p>
        </w:tc>
        <w:tc>
          <w:tcPr>
            <w:tcW w:w="1134" w:type="dxa"/>
            <w:tcBorders>
              <w:top w:val="single" w:sz="4" w:space="0" w:color="auto"/>
              <w:left w:val="nil"/>
              <w:bottom w:val="single" w:sz="4" w:space="0" w:color="auto"/>
              <w:right w:val="nil"/>
            </w:tcBorders>
          </w:tcPr>
          <w:p w14:paraId="476A3393"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sym w:font="Symbol" w:char="F0AD"/>
            </w:r>
            <w:r w:rsidRPr="008C1CBE">
              <w:rPr>
                <w:rFonts w:ascii="Times New Roman" w:hAnsi="Times New Roman" w:cs="Times New Roman"/>
                <w:sz w:val="20"/>
                <w:szCs w:val="20"/>
              </w:rPr>
              <w:t xml:space="preserve"> </w:t>
            </w:r>
            <w:r w:rsidRPr="00047652">
              <w:rPr>
                <w:rFonts w:ascii="Times New Roman" w:hAnsi="Times New Roman" w:cs="Times New Roman"/>
                <w:sz w:val="20"/>
                <w:szCs w:val="20"/>
              </w:rPr>
              <w:t>(clusters 1 and 2 merged)</w:t>
            </w:r>
          </w:p>
        </w:tc>
        <w:tc>
          <w:tcPr>
            <w:tcW w:w="1701" w:type="dxa"/>
            <w:tcBorders>
              <w:top w:val="single" w:sz="4" w:space="0" w:color="auto"/>
              <w:left w:val="nil"/>
              <w:bottom w:val="single" w:sz="4" w:space="0" w:color="auto"/>
              <w:right w:val="nil"/>
            </w:tcBorders>
          </w:tcPr>
          <w:p w14:paraId="504957D5"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Yes</w:t>
            </w:r>
          </w:p>
        </w:tc>
        <w:tc>
          <w:tcPr>
            <w:tcW w:w="1418" w:type="dxa"/>
            <w:tcBorders>
              <w:top w:val="single" w:sz="4" w:space="0" w:color="auto"/>
              <w:left w:val="nil"/>
              <w:bottom w:val="single" w:sz="4" w:space="0" w:color="auto"/>
              <w:right w:val="nil"/>
            </w:tcBorders>
          </w:tcPr>
          <w:p w14:paraId="28BB6085"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No</w:t>
            </w:r>
          </w:p>
        </w:tc>
        <w:tc>
          <w:tcPr>
            <w:tcW w:w="850" w:type="dxa"/>
            <w:tcBorders>
              <w:top w:val="single" w:sz="4" w:space="0" w:color="auto"/>
              <w:left w:val="nil"/>
              <w:bottom w:val="single" w:sz="4" w:space="0" w:color="auto"/>
              <w:right w:val="nil"/>
            </w:tcBorders>
          </w:tcPr>
          <w:p w14:paraId="37729580"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2128</w:t>
            </w:r>
          </w:p>
        </w:tc>
        <w:tc>
          <w:tcPr>
            <w:tcW w:w="2552" w:type="dxa"/>
            <w:tcBorders>
              <w:top w:val="single" w:sz="4" w:space="0" w:color="auto"/>
              <w:left w:val="nil"/>
              <w:bottom w:val="single" w:sz="4" w:space="0" w:color="auto"/>
              <w:right w:val="nil"/>
            </w:tcBorders>
          </w:tcPr>
          <w:p w14:paraId="41DE1868"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 xml:space="preserve">(26 -78 -40) to (44 -58 -20) </w:t>
            </w:r>
            <w:proofErr w:type="spellStart"/>
            <w:r w:rsidRPr="008C1CBE">
              <w:rPr>
                <w:rFonts w:ascii="Times New Roman" w:hAnsi="Times New Roman" w:cs="Times New Roman"/>
                <w:sz w:val="20"/>
                <w:szCs w:val="20"/>
              </w:rPr>
              <w:t>centered</w:t>
            </w:r>
            <w:proofErr w:type="spellEnd"/>
            <w:r w:rsidRPr="008C1CBE">
              <w:rPr>
                <w:rFonts w:ascii="Times New Roman" w:hAnsi="Times New Roman" w:cs="Times New Roman"/>
                <w:sz w:val="20"/>
                <w:szCs w:val="20"/>
              </w:rPr>
              <w:t xml:space="preserve"> at (33 -67 -29)</w:t>
            </w:r>
          </w:p>
        </w:tc>
      </w:tr>
      <w:tr w:rsidR="00AD51EF" w:rsidRPr="008C1CBE" w14:paraId="4562B484" w14:textId="77777777" w:rsidTr="00AD51EF">
        <w:trPr>
          <w:trHeight w:val="261"/>
        </w:trPr>
        <w:tc>
          <w:tcPr>
            <w:tcW w:w="1419" w:type="dxa"/>
            <w:tcBorders>
              <w:top w:val="single" w:sz="4" w:space="0" w:color="auto"/>
              <w:left w:val="nil"/>
              <w:bottom w:val="single" w:sz="4" w:space="0" w:color="auto"/>
              <w:right w:val="nil"/>
            </w:tcBorders>
          </w:tcPr>
          <w:p w14:paraId="4287C1E5"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Serra et al., 2014</w:t>
            </w:r>
          </w:p>
          <w:p w14:paraId="6D263479" w14:textId="77777777" w:rsidR="00F4687C" w:rsidRPr="008C1CBE" w:rsidRDefault="00F4687C" w:rsidP="00BD0CFF">
            <w:pPr>
              <w:rPr>
                <w:rFonts w:ascii="Times New Roman" w:hAnsi="Times New Roman" w:cs="Times New Roman"/>
                <w:sz w:val="20"/>
                <w:szCs w:val="20"/>
              </w:rPr>
            </w:pPr>
            <w:r w:rsidRPr="00E96F63">
              <w:rPr>
                <w:rFonts w:ascii="Times New Roman" w:hAnsi="Times New Roman" w:cs="Times New Roman"/>
                <w:sz w:val="20"/>
                <w:szCs w:val="20"/>
              </w:rPr>
              <w:fldChar w:fldCharType="begin" w:fldLock="1"/>
            </w:r>
            <w:r w:rsidRPr="008C1CBE">
              <w:rPr>
                <w:rFonts w:ascii="Times New Roman" w:hAnsi="Times New Roman" w:cs="Times New Roman"/>
                <w:sz w:val="20"/>
                <w:szCs w:val="20"/>
              </w:rPr>
              <w:instrText>ADDIN CSL_CITATION {"citationItems":[{"id":"ITEM-1","itemData":{"DOI":"10.3233/JAD-130656","ISSN":"18758908","abstract":"Constructional apraxia (CA) is often, but not always, observed in patients with Alzheimer's disease (AD). CA is usually explained by impairment of either basic perceptual and motor abilities, or executive functions. This study aims to evaluate the structural correlates of CA in AD. Forty-eight patients with AD and 20 healthy age-matched controls underwent a thorough neuropsychological investigation and an MRI scan to collect high-resolution T1-weighted data. Patients were classified as having (ADca) or not having (ADnonca) CA based on performance on the Freehand copying of drawings task. T1-weighted volumes were process according to the voxel based morphometry protocol, to assess the presence of significant differences in local to grey matter volumes in patients compared to controls and in ADca compared to ADnonca. Post-hoc, the mean grey matter volume of clusters that resulted significantly different between groups was regressed against the neuropsychological scores in which the two patient groups performed differently. A pre-senile disease onset was significantly more frequent in patients with CA compared to ADnonca. ADca patients also showed worse performances than patients with ADnonca at some tests requiring the processing of visuo-spatial data and testing working memory. They also showed widespread reductions in grey matter volume, mainly located in areas known to be implicated in object recognition and localization, and in maintenance and re-orienting of spatial attention. These findings suggest that the occurrence of CA in AD is often associated with a peculiar clinical onset (i.e., pre-senile), neuropsychological profile, and distribution of grey matter atrophy. © 2014-IOS Press.","author":[{"dropping-particle":"","family":"Serra","given":"Laura","non-dropping-particle":"","parse-names":false,"suffix":""},{"dropping-particle":"","family":"Fadda","given":"Lucia","non-dropping-particle":"","parse-names":false,"suffix":""},{"dropping-particle":"","family":"Perri","given":"Roberta","non-dropping-particle":"","parse-names":false,"suffix":""},{"dropping-particle":"","family":"Spanò","given":"Barbara","non-dropping-particle":"","parse-names":false,"suffix":""},{"dropping-particle":"","family":"Marra","given":"Camillo","non-dropping-particle":"","parse-names":false,"suffix":""},{"dropping-particle":"","family":"Castelli","given":"Diana","non-dropping-particle":"","parse-names":false,"suffix":""},{"dropping-particle":"","family":"Torso","given":"Mario","non-dropping-particle":"","parse-names":false,"suffix":""},{"dropping-particle":"","family":"Makovac","given":"Elena","non-dropping-particle":"","parse-names":false,"suffix":""},{"dropping-particle":"","family":"Cercignani","given":"Mara","non-dropping-particle":"","parse-names":false,"suffix":""},{"dropping-particle":"","family":"Caltagirone","given":"Carlo","non-dropping-particle":"","parse-names":false,"suffix":""},{"dropping-particle":"","family":"Bozzali","given":"Marco","non-dropping-particle":"","parse-names":false,"suffix":""}],"container-title":"Journal of Alzheimer's Disease","id":"ITEM-1","issue":"2","issued":{"date-parts":[["2014"]]},"page":"391-402","title":"Constructional apraxia as a distinctive cognitive and structural brain feature of pre-senile Alzheimer's disease","type":"article-journal","volume":"38"},"uris":["http://www.mendeley.com/documents/?uuid=3f11b134-d93a-4deb-8613-61b27af5861d"]}],"mendeley":{"formattedCitation":"[33]","plainTextFormattedCitation":"[33]","previouslyFormattedCitation":"[33]"},"properties":{"noteIndex":0},"schema":"https://github.com/citation-style-language/schema/raw/master/csl-citation.json"}</w:instrText>
            </w:r>
            <w:r w:rsidRPr="00E96F63">
              <w:rPr>
                <w:rFonts w:ascii="Times New Roman" w:hAnsi="Times New Roman" w:cs="Times New Roman"/>
                <w:sz w:val="20"/>
                <w:szCs w:val="20"/>
              </w:rPr>
              <w:fldChar w:fldCharType="separate"/>
            </w:r>
            <w:r w:rsidRPr="008C1CBE">
              <w:rPr>
                <w:rFonts w:ascii="Times New Roman" w:hAnsi="Times New Roman" w:cs="Times New Roman"/>
                <w:noProof/>
                <w:sz w:val="20"/>
                <w:szCs w:val="20"/>
              </w:rPr>
              <w:t>[33]</w:t>
            </w:r>
            <w:r w:rsidRPr="00E96F63">
              <w:rPr>
                <w:rFonts w:ascii="Times New Roman" w:hAnsi="Times New Roman" w:cs="Times New Roman"/>
                <w:sz w:val="20"/>
                <w:szCs w:val="20"/>
              </w:rPr>
              <w:fldChar w:fldCharType="end"/>
            </w:r>
          </w:p>
        </w:tc>
        <w:tc>
          <w:tcPr>
            <w:tcW w:w="987" w:type="dxa"/>
            <w:tcBorders>
              <w:top w:val="single" w:sz="4" w:space="0" w:color="auto"/>
              <w:left w:val="nil"/>
              <w:bottom w:val="single" w:sz="4" w:space="0" w:color="auto"/>
              <w:right w:val="nil"/>
            </w:tcBorders>
          </w:tcPr>
          <w:p w14:paraId="6DB7FCB7"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34</w:t>
            </w:r>
          </w:p>
        </w:tc>
        <w:tc>
          <w:tcPr>
            <w:tcW w:w="1080" w:type="dxa"/>
            <w:tcBorders>
              <w:top w:val="single" w:sz="4" w:space="0" w:color="auto"/>
              <w:left w:val="nil"/>
              <w:bottom w:val="single" w:sz="4" w:space="0" w:color="auto"/>
              <w:right w:val="nil"/>
            </w:tcBorders>
          </w:tcPr>
          <w:p w14:paraId="4666F4F0"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481</w:t>
            </w:r>
          </w:p>
        </w:tc>
        <w:tc>
          <w:tcPr>
            <w:tcW w:w="1476" w:type="dxa"/>
            <w:tcBorders>
              <w:top w:val="single" w:sz="4" w:space="0" w:color="auto"/>
              <w:left w:val="nil"/>
              <w:bottom w:val="single" w:sz="4" w:space="0" w:color="auto"/>
              <w:right w:val="nil"/>
            </w:tcBorders>
          </w:tcPr>
          <w:p w14:paraId="76CF69C9"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432</w:t>
            </w:r>
          </w:p>
        </w:tc>
        <w:tc>
          <w:tcPr>
            <w:tcW w:w="2268" w:type="dxa"/>
            <w:tcBorders>
              <w:top w:val="single" w:sz="4" w:space="0" w:color="auto"/>
              <w:left w:val="nil"/>
              <w:bottom w:val="single" w:sz="4" w:space="0" w:color="auto"/>
              <w:right w:val="nil"/>
            </w:tcBorders>
          </w:tcPr>
          <w:p w14:paraId="0E1A329E"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1</w:t>
            </w:r>
          </w:p>
        </w:tc>
        <w:tc>
          <w:tcPr>
            <w:tcW w:w="1134" w:type="dxa"/>
            <w:tcBorders>
              <w:top w:val="single" w:sz="4" w:space="0" w:color="auto"/>
              <w:left w:val="nil"/>
              <w:bottom w:val="single" w:sz="4" w:space="0" w:color="auto"/>
              <w:right w:val="nil"/>
            </w:tcBorders>
          </w:tcPr>
          <w:p w14:paraId="1E148EC6" w14:textId="77777777" w:rsidR="00F4687C" w:rsidRPr="008C1CBE" w:rsidRDefault="00F4687C" w:rsidP="00BD0CFF">
            <w:pPr>
              <w:rPr>
                <w:rFonts w:ascii="Times New Roman" w:hAnsi="Times New Roman" w:cs="Times New Roman"/>
                <w:sz w:val="20"/>
                <w:szCs w:val="20"/>
              </w:rPr>
            </w:pPr>
            <w:r w:rsidRPr="00047652">
              <w:rPr>
                <w:rFonts w:ascii="Times New Roman" w:hAnsi="Times New Roman" w:cs="Times New Roman"/>
                <w:sz w:val="20"/>
                <w:szCs w:val="20"/>
              </w:rPr>
              <w:sym w:font="Symbol" w:char="F0AD"/>
            </w:r>
            <w:r w:rsidRPr="00047652">
              <w:rPr>
                <w:rFonts w:ascii="Times New Roman" w:hAnsi="Times New Roman" w:cs="Times New Roman"/>
                <w:sz w:val="20"/>
                <w:szCs w:val="20"/>
              </w:rPr>
              <w:t xml:space="preserve"> (clusters 1 and 2 merged)</w:t>
            </w:r>
          </w:p>
        </w:tc>
        <w:tc>
          <w:tcPr>
            <w:tcW w:w="1701" w:type="dxa"/>
            <w:tcBorders>
              <w:top w:val="single" w:sz="4" w:space="0" w:color="auto"/>
              <w:left w:val="nil"/>
              <w:bottom w:val="single" w:sz="4" w:space="0" w:color="auto"/>
              <w:right w:val="nil"/>
            </w:tcBorders>
          </w:tcPr>
          <w:p w14:paraId="15B5FE53"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Yes</w:t>
            </w:r>
          </w:p>
        </w:tc>
        <w:tc>
          <w:tcPr>
            <w:tcW w:w="1418" w:type="dxa"/>
            <w:tcBorders>
              <w:top w:val="single" w:sz="4" w:space="0" w:color="auto"/>
              <w:left w:val="nil"/>
              <w:bottom w:val="single" w:sz="4" w:space="0" w:color="auto"/>
              <w:right w:val="nil"/>
            </w:tcBorders>
          </w:tcPr>
          <w:p w14:paraId="01EA7911"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No</w:t>
            </w:r>
          </w:p>
        </w:tc>
        <w:tc>
          <w:tcPr>
            <w:tcW w:w="850" w:type="dxa"/>
            <w:tcBorders>
              <w:top w:val="single" w:sz="4" w:space="0" w:color="auto"/>
              <w:left w:val="nil"/>
              <w:bottom w:val="single" w:sz="4" w:space="0" w:color="auto"/>
              <w:right w:val="nil"/>
            </w:tcBorders>
          </w:tcPr>
          <w:p w14:paraId="1B333C86"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2080</w:t>
            </w:r>
          </w:p>
        </w:tc>
        <w:tc>
          <w:tcPr>
            <w:tcW w:w="2552" w:type="dxa"/>
            <w:tcBorders>
              <w:top w:val="single" w:sz="4" w:space="0" w:color="auto"/>
              <w:left w:val="nil"/>
              <w:bottom w:val="single" w:sz="4" w:space="0" w:color="auto"/>
              <w:right w:val="nil"/>
            </w:tcBorders>
          </w:tcPr>
          <w:p w14:paraId="17A58EC4"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 xml:space="preserve">(26 -78 -40) to (44 -58 -20) </w:t>
            </w:r>
            <w:proofErr w:type="spellStart"/>
            <w:r w:rsidRPr="008C1CBE">
              <w:rPr>
                <w:rFonts w:ascii="Times New Roman" w:hAnsi="Times New Roman" w:cs="Times New Roman"/>
                <w:sz w:val="20"/>
                <w:szCs w:val="20"/>
              </w:rPr>
              <w:t>centered</w:t>
            </w:r>
            <w:proofErr w:type="spellEnd"/>
            <w:r w:rsidRPr="008C1CBE">
              <w:rPr>
                <w:rFonts w:ascii="Times New Roman" w:hAnsi="Times New Roman" w:cs="Times New Roman"/>
                <w:sz w:val="20"/>
                <w:szCs w:val="20"/>
              </w:rPr>
              <w:t xml:space="preserve"> at (33 -67 -29)</w:t>
            </w:r>
          </w:p>
        </w:tc>
      </w:tr>
      <w:tr w:rsidR="00AD51EF" w:rsidRPr="008C1CBE" w14:paraId="1EECA7D9" w14:textId="77777777" w:rsidTr="00AD51EF">
        <w:trPr>
          <w:trHeight w:val="261"/>
        </w:trPr>
        <w:tc>
          <w:tcPr>
            <w:tcW w:w="1419" w:type="dxa"/>
            <w:tcBorders>
              <w:top w:val="single" w:sz="4" w:space="0" w:color="auto"/>
              <w:left w:val="nil"/>
              <w:right w:val="nil"/>
            </w:tcBorders>
          </w:tcPr>
          <w:p w14:paraId="76B41872" w14:textId="77777777" w:rsidR="00F4687C" w:rsidRPr="008C1CBE" w:rsidRDefault="00F4687C" w:rsidP="00BD0CFF">
            <w:pPr>
              <w:rPr>
                <w:rFonts w:ascii="Times New Roman" w:hAnsi="Times New Roman" w:cs="Times New Roman"/>
                <w:sz w:val="20"/>
                <w:szCs w:val="20"/>
              </w:rPr>
            </w:pPr>
            <w:proofErr w:type="spellStart"/>
            <w:r w:rsidRPr="008C1CBE">
              <w:rPr>
                <w:rFonts w:ascii="Times New Roman" w:hAnsi="Times New Roman" w:cs="Times New Roman"/>
                <w:sz w:val="20"/>
                <w:szCs w:val="20"/>
              </w:rPr>
              <w:t>Toniolo</w:t>
            </w:r>
            <w:proofErr w:type="spellEnd"/>
            <w:r w:rsidRPr="008C1CBE">
              <w:rPr>
                <w:rFonts w:ascii="Times New Roman" w:hAnsi="Times New Roman" w:cs="Times New Roman"/>
                <w:sz w:val="20"/>
                <w:szCs w:val="20"/>
              </w:rPr>
              <w:t xml:space="preserve"> et al., 2018</w:t>
            </w:r>
          </w:p>
          <w:p w14:paraId="761ACE36" w14:textId="77777777" w:rsidR="00F4687C" w:rsidRPr="008C1CBE" w:rsidRDefault="00F4687C" w:rsidP="00BD0CFF">
            <w:pPr>
              <w:rPr>
                <w:rFonts w:ascii="Times New Roman" w:hAnsi="Times New Roman" w:cs="Times New Roman"/>
                <w:sz w:val="20"/>
                <w:szCs w:val="20"/>
              </w:rPr>
            </w:pPr>
            <w:r w:rsidRPr="00E96F63">
              <w:rPr>
                <w:rFonts w:ascii="Times New Roman" w:hAnsi="Times New Roman" w:cs="Times New Roman"/>
                <w:sz w:val="20"/>
                <w:szCs w:val="20"/>
              </w:rPr>
              <w:fldChar w:fldCharType="begin" w:fldLock="1"/>
            </w:r>
            <w:r w:rsidRPr="008C1CBE">
              <w:rPr>
                <w:rFonts w:ascii="Times New Roman" w:hAnsi="Times New Roman" w:cs="Times New Roman"/>
                <w:sz w:val="20"/>
                <w:szCs w:val="20"/>
              </w:rPr>
              <w:instrText>ADDIN CSL_CITATION {"citationItems":[{"id":"ITEM-1","itemData":{"DOI":"10.3389/fncel.2018.00430","ISSN":"16625102","abstract":"The role of the cerebellum in cognitive function has been broadly investigated in the last decades from an anatomical, clinical and functional point of view and new evidence points towards a significant contribution of the posterior lobes of the cerebellum in cognition in Alzheimer’s disease (AD). In the present work we used SUIT-VBM (Voxel-Based-Morphometry) to perform an analysis of the pattern of cerebellar Grey Matter (GM) atrophy in amnestic mild cognitive impairment (a-MCI) and AD dementia patients compared to healthy subjects (HS), in order to follow the changes of non-motor features of cerebellar degeneration throughout disease progression. This template has been validated to guarantee a significant improvement in voxel-to-voxel alignment of the individual fissures and the deep cerebellar nuclei compared to MNI (Montreal Neurological Institute) whole-brain template. Our analysis shows a progression of cerebellar GM volume changes throughout a continuous spectrum from early to late clinical stages of AD. In particular vermis and paravermian areas of the anterior (I-V) and posterior (VI) lobes are involved since the a-MCI stage, with a later involvement of the hemispheric part of the posterior lobes (VI lobule) and Crus I in AD dementia patients only. These findings supports the importance of the role of the cerebellum in higher-level functions, and whilst confirming previous data on the involvement of Crus I in AD dementia, provides new evidence of an involvement of the vermis in the early stages of the disease.","author":[{"dropping-particle":"","family":"Toniolo","given":"Sofia","non-dropping-particle":"","parse-names":false,"suffix":""},{"dropping-particle":"","family":"Serra","given":"Laura","non-dropping-particle":"","parse-names":false,"suffix":""},{"dropping-particle":"","family":"Olivito","given":"Giusy","non-dropping-particle":"","parse-names":false,"suffix":""},{"dropping-particle":"","family":"Marra","given":"Camillo","non-dropping-particle":"","parse-names":false,"suffix":""},{"dropping-particle":"","family":"Bozzali","given":"Marco","non-dropping-particle":"","parse-names":false,"suffix":""},{"dropping-particle":"","family":"Cercignani","given":"Mara","non-dropping-particle":"","parse-names":false,"suffix":""}],"container-title":"Frontiers in Cellular Neuroscience","id":"ITEM-1","issue":"November","issued":{"date-parts":[["2018"]]},"page":"1-8","title":"Patterns of cerebellar gray matter atrophy across Alzheimer’s disease progression","type":"article-journal","volume":"12"},"uris":["http://www.mendeley.com/documents/?uuid=f207c8e2-06de-4fee-a3d4-d7455823144c"]}],"mendeley":{"formattedCitation":"[9]","plainTextFormattedCitation":"[9]","previouslyFormattedCitation":"[9]"},"properties":{"noteIndex":0},"schema":"https://github.com/citation-style-language/schema/raw/master/csl-citation.json"}</w:instrText>
            </w:r>
            <w:r w:rsidRPr="00E96F63">
              <w:rPr>
                <w:rFonts w:ascii="Times New Roman" w:hAnsi="Times New Roman" w:cs="Times New Roman"/>
                <w:sz w:val="20"/>
                <w:szCs w:val="20"/>
              </w:rPr>
              <w:fldChar w:fldCharType="separate"/>
            </w:r>
            <w:r w:rsidRPr="008C1CBE">
              <w:rPr>
                <w:rFonts w:ascii="Times New Roman" w:hAnsi="Times New Roman" w:cs="Times New Roman"/>
                <w:noProof/>
                <w:sz w:val="20"/>
                <w:szCs w:val="20"/>
              </w:rPr>
              <w:t>[9]</w:t>
            </w:r>
            <w:r w:rsidRPr="00E96F63">
              <w:rPr>
                <w:rFonts w:ascii="Times New Roman" w:hAnsi="Times New Roman" w:cs="Times New Roman"/>
                <w:sz w:val="20"/>
                <w:szCs w:val="20"/>
              </w:rPr>
              <w:fldChar w:fldCharType="end"/>
            </w:r>
          </w:p>
        </w:tc>
        <w:tc>
          <w:tcPr>
            <w:tcW w:w="987" w:type="dxa"/>
            <w:tcBorders>
              <w:top w:val="single" w:sz="4" w:space="0" w:color="auto"/>
              <w:left w:val="nil"/>
              <w:bottom w:val="single" w:sz="4" w:space="0" w:color="auto"/>
              <w:right w:val="nil"/>
            </w:tcBorders>
          </w:tcPr>
          <w:p w14:paraId="7D65F71B"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32</w:t>
            </w:r>
          </w:p>
        </w:tc>
        <w:tc>
          <w:tcPr>
            <w:tcW w:w="1080" w:type="dxa"/>
            <w:tcBorders>
              <w:top w:val="single" w:sz="4" w:space="0" w:color="auto"/>
              <w:left w:val="nil"/>
              <w:bottom w:val="single" w:sz="4" w:space="0" w:color="auto"/>
              <w:right w:val="nil"/>
            </w:tcBorders>
          </w:tcPr>
          <w:p w14:paraId="4BC5D300"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442</w:t>
            </w:r>
          </w:p>
        </w:tc>
        <w:tc>
          <w:tcPr>
            <w:tcW w:w="1476" w:type="dxa"/>
            <w:tcBorders>
              <w:top w:val="single" w:sz="4" w:space="0" w:color="auto"/>
              <w:left w:val="nil"/>
              <w:bottom w:val="single" w:sz="4" w:space="0" w:color="auto"/>
              <w:right w:val="nil"/>
            </w:tcBorders>
          </w:tcPr>
          <w:p w14:paraId="7F3C7B24"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424</w:t>
            </w:r>
          </w:p>
        </w:tc>
        <w:tc>
          <w:tcPr>
            <w:tcW w:w="2268" w:type="dxa"/>
            <w:tcBorders>
              <w:top w:val="single" w:sz="4" w:space="0" w:color="auto"/>
              <w:left w:val="nil"/>
              <w:bottom w:val="single" w:sz="4" w:space="0" w:color="auto"/>
              <w:right w:val="nil"/>
            </w:tcBorders>
          </w:tcPr>
          <w:p w14:paraId="4E4D139B"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1</w:t>
            </w:r>
          </w:p>
        </w:tc>
        <w:tc>
          <w:tcPr>
            <w:tcW w:w="1134" w:type="dxa"/>
            <w:tcBorders>
              <w:top w:val="single" w:sz="4" w:space="0" w:color="auto"/>
              <w:left w:val="nil"/>
              <w:bottom w:val="single" w:sz="4" w:space="0" w:color="auto"/>
              <w:right w:val="nil"/>
            </w:tcBorders>
          </w:tcPr>
          <w:p w14:paraId="7DF60123" w14:textId="77777777" w:rsidR="00F4687C" w:rsidRPr="008C1CBE" w:rsidRDefault="00F4687C" w:rsidP="00BD0CFF">
            <w:pPr>
              <w:rPr>
                <w:rFonts w:ascii="Times New Roman" w:hAnsi="Times New Roman" w:cs="Times New Roman"/>
                <w:sz w:val="20"/>
                <w:szCs w:val="20"/>
              </w:rPr>
            </w:pPr>
            <w:r w:rsidRPr="00047652">
              <w:rPr>
                <w:rFonts w:ascii="Times New Roman" w:hAnsi="Times New Roman" w:cs="Times New Roman"/>
                <w:sz w:val="20"/>
                <w:szCs w:val="20"/>
              </w:rPr>
              <w:sym w:font="Symbol" w:char="F0AD"/>
            </w:r>
            <w:r w:rsidRPr="00047652">
              <w:rPr>
                <w:rFonts w:ascii="Times New Roman" w:hAnsi="Times New Roman" w:cs="Times New Roman"/>
                <w:sz w:val="20"/>
                <w:szCs w:val="20"/>
              </w:rPr>
              <w:t xml:space="preserve"> (clusters 1 and 2 merged)</w:t>
            </w:r>
          </w:p>
        </w:tc>
        <w:tc>
          <w:tcPr>
            <w:tcW w:w="1701" w:type="dxa"/>
            <w:tcBorders>
              <w:top w:val="single" w:sz="4" w:space="0" w:color="auto"/>
              <w:left w:val="nil"/>
              <w:bottom w:val="single" w:sz="4" w:space="0" w:color="auto"/>
              <w:right w:val="nil"/>
            </w:tcBorders>
          </w:tcPr>
          <w:p w14:paraId="6196A821" w14:textId="77777777" w:rsidR="00F4687C" w:rsidRPr="008C1CBE" w:rsidRDefault="00F4687C" w:rsidP="00BD0CFF">
            <w:pPr>
              <w:rPr>
                <w:rFonts w:ascii="Times New Roman" w:hAnsi="Times New Roman" w:cs="Times New Roman"/>
                <w:sz w:val="20"/>
                <w:szCs w:val="20"/>
              </w:rPr>
            </w:pPr>
            <w:r w:rsidRPr="00047652">
              <w:rPr>
                <w:rFonts w:ascii="Times New Roman" w:hAnsi="Times New Roman" w:cs="Times New Roman"/>
                <w:sz w:val="20"/>
                <w:szCs w:val="20"/>
              </w:rPr>
              <w:t>Yes</w:t>
            </w:r>
          </w:p>
        </w:tc>
        <w:tc>
          <w:tcPr>
            <w:tcW w:w="1418" w:type="dxa"/>
            <w:tcBorders>
              <w:top w:val="single" w:sz="4" w:space="0" w:color="auto"/>
              <w:left w:val="nil"/>
              <w:bottom w:val="single" w:sz="4" w:space="0" w:color="auto"/>
              <w:right w:val="nil"/>
            </w:tcBorders>
          </w:tcPr>
          <w:p w14:paraId="6BBCE31C"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No</w:t>
            </w:r>
          </w:p>
        </w:tc>
        <w:tc>
          <w:tcPr>
            <w:tcW w:w="850" w:type="dxa"/>
            <w:tcBorders>
              <w:top w:val="single" w:sz="4" w:space="0" w:color="auto"/>
              <w:left w:val="nil"/>
              <w:bottom w:val="single" w:sz="4" w:space="0" w:color="auto"/>
              <w:right w:val="nil"/>
            </w:tcBorders>
          </w:tcPr>
          <w:p w14:paraId="4861A34E"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1512</w:t>
            </w:r>
          </w:p>
        </w:tc>
        <w:tc>
          <w:tcPr>
            <w:tcW w:w="2552" w:type="dxa"/>
            <w:tcBorders>
              <w:top w:val="single" w:sz="4" w:space="0" w:color="auto"/>
              <w:left w:val="nil"/>
              <w:bottom w:val="single" w:sz="4" w:space="0" w:color="auto"/>
              <w:right w:val="nil"/>
            </w:tcBorders>
          </w:tcPr>
          <w:p w14:paraId="64C2C42C" w14:textId="77777777" w:rsidR="00F4687C" w:rsidRPr="008C1CBE" w:rsidRDefault="00F4687C" w:rsidP="00BD0CFF">
            <w:pPr>
              <w:rPr>
                <w:rFonts w:ascii="Times New Roman" w:hAnsi="Times New Roman" w:cs="Times New Roman"/>
                <w:sz w:val="20"/>
                <w:szCs w:val="20"/>
              </w:rPr>
            </w:pPr>
            <w:r w:rsidRPr="008C1CBE">
              <w:rPr>
                <w:rFonts w:ascii="Times New Roman" w:hAnsi="Times New Roman" w:cs="Times New Roman"/>
                <w:sz w:val="20"/>
                <w:szCs w:val="20"/>
              </w:rPr>
              <w:t xml:space="preserve">(26 -78 -40) to (42 -58 -24) </w:t>
            </w:r>
            <w:proofErr w:type="spellStart"/>
            <w:r w:rsidRPr="008C1CBE">
              <w:rPr>
                <w:rFonts w:ascii="Times New Roman" w:hAnsi="Times New Roman" w:cs="Times New Roman"/>
                <w:sz w:val="20"/>
                <w:szCs w:val="20"/>
              </w:rPr>
              <w:t>centered</w:t>
            </w:r>
            <w:proofErr w:type="spellEnd"/>
            <w:r w:rsidRPr="008C1CBE">
              <w:rPr>
                <w:rFonts w:ascii="Times New Roman" w:hAnsi="Times New Roman" w:cs="Times New Roman"/>
                <w:sz w:val="20"/>
                <w:szCs w:val="20"/>
              </w:rPr>
              <w:t xml:space="preserve"> at (31 -69 -31)</w:t>
            </w:r>
          </w:p>
        </w:tc>
      </w:tr>
    </w:tbl>
    <w:p w14:paraId="3C4EC632" w14:textId="77777777" w:rsidR="00F4687C" w:rsidRPr="00277FF1" w:rsidRDefault="00F4687C" w:rsidP="00F4687C">
      <w:pPr>
        <w:rPr>
          <w:rFonts w:ascii="Times New Roman" w:hAnsi="Times New Roman" w:cs="Times New Roman"/>
          <w:b/>
          <w:sz w:val="20"/>
          <w:szCs w:val="20"/>
        </w:rPr>
      </w:pPr>
      <w:proofErr w:type="spellStart"/>
      <w:r w:rsidRPr="008C1CBE">
        <w:rPr>
          <w:rFonts w:ascii="Times New Roman" w:hAnsi="Times New Roman" w:cs="Times New Roman"/>
          <w:b/>
          <w:sz w:val="20"/>
          <w:szCs w:val="20"/>
          <w:vertAlign w:val="superscript"/>
        </w:rPr>
        <w:lastRenderedPageBreak/>
        <w:t>b</w:t>
      </w:r>
      <w:r w:rsidRPr="008C1CBE">
        <w:rPr>
          <w:rFonts w:ascii="Times New Roman" w:hAnsi="Times New Roman" w:cs="Times New Roman"/>
          <w:b/>
          <w:sz w:val="20"/>
          <w:szCs w:val="20"/>
        </w:rPr>
        <w:t>In</w:t>
      </w:r>
      <w:proofErr w:type="spellEnd"/>
      <w:r w:rsidRPr="008C1CBE">
        <w:rPr>
          <w:rFonts w:ascii="Times New Roman" w:hAnsi="Times New Roman" w:cs="Times New Roman"/>
          <w:b/>
          <w:sz w:val="20"/>
          <w:szCs w:val="20"/>
        </w:rPr>
        <w:t xml:space="preserve"> the jackknife analysis for </w:t>
      </w:r>
      <w:proofErr w:type="spellStart"/>
      <w:r w:rsidRPr="008C1CBE">
        <w:rPr>
          <w:rFonts w:ascii="Times New Roman" w:hAnsi="Times New Roman" w:cs="Times New Roman"/>
          <w:b/>
          <w:sz w:val="20"/>
          <w:szCs w:val="20"/>
        </w:rPr>
        <w:t>Möller</w:t>
      </w:r>
      <w:proofErr w:type="spellEnd"/>
      <w:r w:rsidRPr="008C1CBE">
        <w:rPr>
          <w:rFonts w:ascii="Times New Roman" w:hAnsi="Times New Roman" w:cs="Times New Roman"/>
          <w:b/>
          <w:sz w:val="20"/>
          <w:szCs w:val="20"/>
        </w:rPr>
        <w:t xml:space="preserve"> et al. (2013), the large AD cluster split into two </w:t>
      </w:r>
      <w:proofErr w:type="spellStart"/>
      <w:r w:rsidRPr="008C1CBE">
        <w:rPr>
          <w:rFonts w:ascii="Times New Roman" w:hAnsi="Times New Roman" w:cs="Times New Roman"/>
          <w:b/>
          <w:sz w:val="20"/>
          <w:szCs w:val="20"/>
        </w:rPr>
        <w:t>subclusters</w:t>
      </w:r>
      <w:proofErr w:type="spellEnd"/>
      <w:r w:rsidRPr="008C1CBE">
        <w:rPr>
          <w:rFonts w:ascii="Times New Roman" w:hAnsi="Times New Roman" w:cs="Times New Roman"/>
          <w:b/>
          <w:sz w:val="20"/>
          <w:szCs w:val="20"/>
        </w:rPr>
        <w:t xml:space="preserve"> (numbered 1 and 2 here) that were no longer contiguous</w:t>
      </w:r>
      <w:r>
        <w:rPr>
          <w:rFonts w:ascii="Times New Roman" w:hAnsi="Times New Roman" w:cs="Times New Roman"/>
          <w:b/>
          <w:sz w:val="20"/>
          <w:szCs w:val="20"/>
        </w:rPr>
        <w:t xml:space="preserve"> but remained in the same spatial location as the large combined cluster. Another third cluster in left anterior cerebellar regions emerged as significant which had not been found in any of the other analyses.</w:t>
      </w:r>
    </w:p>
    <w:p w14:paraId="35164BEC" w14:textId="77777777" w:rsidR="00F4687C" w:rsidRDefault="00F4687C" w:rsidP="00F4687C">
      <w:pPr>
        <w:rPr>
          <w:rFonts w:ascii="Times New Roman" w:hAnsi="Times New Roman" w:cs="Times New Roman"/>
          <w:b/>
          <w:sz w:val="20"/>
          <w:szCs w:val="20"/>
        </w:rPr>
      </w:pPr>
      <w:r>
        <w:rPr>
          <w:rFonts w:ascii="Times New Roman" w:hAnsi="Times New Roman" w:cs="Times New Roman"/>
          <w:b/>
          <w:sz w:val="20"/>
          <w:szCs w:val="20"/>
        </w:rPr>
        <w:br w:type="page"/>
      </w:r>
    </w:p>
    <w:p w14:paraId="0C6A04B3" w14:textId="77777777" w:rsidR="008B0240" w:rsidRPr="00344DBB" w:rsidRDefault="008B0240" w:rsidP="008B0240">
      <w:pPr>
        <w:rPr>
          <w:rFonts w:ascii="Times New Roman" w:hAnsi="Times New Roman" w:cs="Times New Roman"/>
          <w:b/>
          <w:sz w:val="20"/>
          <w:szCs w:val="20"/>
        </w:rPr>
      </w:pPr>
      <w:r>
        <w:rPr>
          <w:rFonts w:ascii="Times New Roman" w:hAnsi="Times New Roman" w:cs="Times New Roman"/>
          <w:b/>
          <w:sz w:val="20"/>
          <w:szCs w:val="20"/>
        </w:rPr>
        <w:lastRenderedPageBreak/>
        <w:t xml:space="preserve">Table D2. Summary of the effects of </w:t>
      </w:r>
      <w:proofErr w:type="spellStart"/>
      <w:r>
        <w:rPr>
          <w:rFonts w:ascii="Times New Roman" w:hAnsi="Times New Roman" w:cs="Times New Roman"/>
          <w:b/>
          <w:sz w:val="20"/>
          <w:szCs w:val="20"/>
        </w:rPr>
        <w:t>jackknifing</w:t>
      </w:r>
      <w:proofErr w:type="spellEnd"/>
      <w:r>
        <w:rPr>
          <w:rFonts w:ascii="Times New Roman" w:hAnsi="Times New Roman" w:cs="Times New Roman"/>
          <w:b/>
          <w:sz w:val="20"/>
          <w:szCs w:val="20"/>
        </w:rPr>
        <w:t xml:space="preserve"> on each of the clusters from the main ageing and AD analyses.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25"/>
        <w:gridCol w:w="1620"/>
        <w:gridCol w:w="1800"/>
        <w:gridCol w:w="1890"/>
        <w:gridCol w:w="1800"/>
        <w:gridCol w:w="1890"/>
        <w:gridCol w:w="1440"/>
      </w:tblGrid>
      <w:tr w:rsidR="008B0240" w:rsidRPr="00DA631D" w14:paraId="3D3C0F7D" w14:textId="77777777" w:rsidTr="00BD0CFF">
        <w:tc>
          <w:tcPr>
            <w:tcW w:w="1525" w:type="dxa"/>
          </w:tcPr>
          <w:p w14:paraId="5A43079D" w14:textId="77777777" w:rsidR="008B0240" w:rsidRPr="00DA631D" w:rsidRDefault="008B0240" w:rsidP="00BD0CFF">
            <w:pPr>
              <w:rPr>
                <w:rFonts w:ascii="Times New Roman" w:hAnsi="Times New Roman" w:cs="Times New Roman"/>
                <w:b/>
                <w:sz w:val="20"/>
                <w:szCs w:val="20"/>
              </w:rPr>
            </w:pPr>
            <w:r w:rsidRPr="00DA631D">
              <w:rPr>
                <w:rFonts w:ascii="Times New Roman" w:hAnsi="Times New Roman" w:cs="Times New Roman"/>
                <w:b/>
                <w:sz w:val="20"/>
                <w:szCs w:val="20"/>
              </w:rPr>
              <w:t>Cluster from main analysis</w:t>
            </w:r>
          </w:p>
        </w:tc>
        <w:tc>
          <w:tcPr>
            <w:tcW w:w="1620" w:type="dxa"/>
          </w:tcPr>
          <w:p w14:paraId="588801E7" w14:textId="77777777" w:rsidR="008B0240" w:rsidRDefault="008B0240" w:rsidP="00BD0CFF">
            <w:pPr>
              <w:rPr>
                <w:rFonts w:ascii="Times New Roman" w:hAnsi="Times New Roman" w:cs="Times New Roman"/>
                <w:b/>
                <w:sz w:val="20"/>
                <w:szCs w:val="20"/>
              </w:rPr>
            </w:pPr>
            <w:r w:rsidRPr="00DA631D">
              <w:rPr>
                <w:rFonts w:ascii="Times New Roman" w:hAnsi="Times New Roman" w:cs="Times New Roman"/>
                <w:b/>
                <w:sz w:val="20"/>
                <w:szCs w:val="20"/>
              </w:rPr>
              <w:t xml:space="preserve">Survives thresholding in </w:t>
            </w:r>
            <w:proofErr w:type="spellStart"/>
            <w:r w:rsidRPr="00DA631D">
              <w:rPr>
                <w:rFonts w:ascii="Times New Roman" w:hAnsi="Times New Roman" w:cs="Times New Roman"/>
                <w:b/>
                <w:i/>
                <w:sz w:val="20"/>
                <w:szCs w:val="20"/>
              </w:rPr>
              <w:t>n</w:t>
            </w:r>
            <w:r w:rsidRPr="00DA631D">
              <w:rPr>
                <w:rFonts w:ascii="Times New Roman" w:hAnsi="Times New Roman" w:cs="Times New Roman"/>
                <w:b/>
                <w:sz w:val="20"/>
                <w:szCs w:val="20"/>
              </w:rPr>
              <w:t xml:space="preserve"> one</w:t>
            </w:r>
            <w:proofErr w:type="spellEnd"/>
            <w:r w:rsidRPr="00DA631D">
              <w:rPr>
                <w:rFonts w:ascii="Times New Roman" w:hAnsi="Times New Roman" w:cs="Times New Roman"/>
                <w:b/>
                <w:sz w:val="20"/>
                <w:szCs w:val="20"/>
              </w:rPr>
              <w:t xml:space="preserve">-study removed analyses </w:t>
            </w:r>
          </w:p>
          <w:p w14:paraId="74BDDC06" w14:textId="77777777" w:rsidR="008B0240" w:rsidRPr="00DA631D" w:rsidRDefault="008B0240" w:rsidP="00BD0CFF">
            <w:pPr>
              <w:rPr>
                <w:rFonts w:ascii="Times New Roman" w:hAnsi="Times New Roman" w:cs="Times New Roman"/>
                <w:b/>
                <w:sz w:val="20"/>
                <w:szCs w:val="20"/>
              </w:rPr>
            </w:pPr>
            <w:r>
              <w:rPr>
                <w:rFonts w:ascii="Times New Roman" w:hAnsi="Times New Roman" w:cs="Times New Roman"/>
                <w:b/>
                <w:sz w:val="20"/>
                <w:szCs w:val="20"/>
              </w:rPr>
              <w:t>(%)</w:t>
            </w:r>
          </w:p>
        </w:tc>
        <w:tc>
          <w:tcPr>
            <w:tcW w:w="1800" w:type="dxa"/>
          </w:tcPr>
          <w:p w14:paraId="32AEBB9B" w14:textId="77777777" w:rsidR="008B0240" w:rsidRDefault="008B0240" w:rsidP="00BD0CFF">
            <w:pPr>
              <w:rPr>
                <w:rFonts w:ascii="Times New Roman" w:hAnsi="Times New Roman" w:cs="Times New Roman"/>
                <w:b/>
                <w:sz w:val="20"/>
                <w:szCs w:val="20"/>
              </w:rPr>
            </w:pPr>
            <w:r w:rsidRPr="00DA631D">
              <w:rPr>
                <w:rFonts w:ascii="Times New Roman" w:hAnsi="Times New Roman" w:cs="Times New Roman"/>
                <w:b/>
                <w:sz w:val="20"/>
                <w:szCs w:val="20"/>
              </w:rPr>
              <w:t xml:space="preserve">Is reduced in size in </w:t>
            </w:r>
            <w:proofErr w:type="spellStart"/>
            <w:r w:rsidRPr="00DA631D">
              <w:rPr>
                <w:rFonts w:ascii="Times New Roman" w:hAnsi="Times New Roman" w:cs="Times New Roman"/>
                <w:b/>
                <w:i/>
                <w:sz w:val="20"/>
                <w:szCs w:val="20"/>
              </w:rPr>
              <w:t>n</w:t>
            </w:r>
            <w:r w:rsidRPr="00DA631D">
              <w:rPr>
                <w:rFonts w:ascii="Times New Roman" w:hAnsi="Times New Roman" w:cs="Times New Roman"/>
                <w:b/>
                <w:sz w:val="20"/>
                <w:szCs w:val="20"/>
              </w:rPr>
              <w:t xml:space="preserve"> one</w:t>
            </w:r>
            <w:proofErr w:type="spellEnd"/>
            <w:r w:rsidRPr="00DA631D">
              <w:rPr>
                <w:rFonts w:ascii="Times New Roman" w:hAnsi="Times New Roman" w:cs="Times New Roman"/>
                <w:b/>
                <w:sz w:val="20"/>
                <w:szCs w:val="20"/>
              </w:rPr>
              <w:t>-study removed analyses</w:t>
            </w:r>
          </w:p>
          <w:p w14:paraId="745FF2A9" w14:textId="77777777" w:rsidR="008B0240" w:rsidRPr="00DA631D" w:rsidRDefault="008B0240" w:rsidP="00BD0CFF">
            <w:pPr>
              <w:rPr>
                <w:rFonts w:ascii="Times New Roman" w:hAnsi="Times New Roman" w:cs="Times New Roman"/>
                <w:b/>
                <w:sz w:val="20"/>
                <w:szCs w:val="20"/>
              </w:rPr>
            </w:pPr>
            <w:r>
              <w:rPr>
                <w:rFonts w:ascii="Times New Roman" w:hAnsi="Times New Roman" w:cs="Times New Roman"/>
                <w:b/>
                <w:sz w:val="20"/>
                <w:szCs w:val="20"/>
              </w:rPr>
              <w:t>(%)</w:t>
            </w:r>
          </w:p>
        </w:tc>
        <w:tc>
          <w:tcPr>
            <w:tcW w:w="1890" w:type="dxa"/>
          </w:tcPr>
          <w:p w14:paraId="1FED36EE" w14:textId="77777777" w:rsidR="008B0240" w:rsidRDefault="008B0240" w:rsidP="00BD0CFF">
            <w:pPr>
              <w:rPr>
                <w:rFonts w:ascii="Times New Roman" w:hAnsi="Times New Roman" w:cs="Times New Roman"/>
                <w:b/>
                <w:sz w:val="20"/>
                <w:szCs w:val="20"/>
              </w:rPr>
            </w:pPr>
            <w:r w:rsidRPr="00DA631D">
              <w:rPr>
                <w:rFonts w:ascii="Times New Roman" w:hAnsi="Times New Roman" w:cs="Times New Roman"/>
                <w:b/>
                <w:sz w:val="20"/>
                <w:szCs w:val="20"/>
              </w:rPr>
              <w:t xml:space="preserve">Is increased in size in </w:t>
            </w:r>
            <w:proofErr w:type="spellStart"/>
            <w:r w:rsidRPr="00DA631D">
              <w:rPr>
                <w:rFonts w:ascii="Times New Roman" w:hAnsi="Times New Roman" w:cs="Times New Roman"/>
                <w:b/>
                <w:i/>
                <w:sz w:val="20"/>
                <w:szCs w:val="20"/>
              </w:rPr>
              <w:t>n</w:t>
            </w:r>
            <w:r w:rsidRPr="00DA631D">
              <w:rPr>
                <w:rFonts w:ascii="Times New Roman" w:hAnsi="Times New Roman" w:cs="Times New Roman"/>
                <w:b/>
                <w:sz w:val="20"/>
                <w:szCs w:val="20"/>
              </w:rPr>
              <w:t xml:space="preserve"> one</w:t>
            </w:r>
            <w:proofErr w:type="spellEnd"/>
            <w:r w:rsidRPr="00DA631D">
              <w:rPr>
                <w:rFonts w:ascii="Times New Roman" w:hAnsi="Times New Roman" w:cs="Times New Roman"/>
                <w:b/>
                <w:sz w:val="20"/>
                <w:szCs w:val="20"/>
              </w:rPr>
              <w:t>-study removed analyses</w:t>
            </w:r>
          </w:p>
          <w:p w14:paraId="6A6113E9" w14:textId="77777777" w:rsidR="008B0240" w:rsidRPr="00DA631D" w:rsidRDefault="008B0240" w:rsidP="00BD0CFF">
            <w:pPr>
              <w:rPr>
                <w:rFonts w:ascii="Times New Roman" w:hAnsi="Times New Roman" w:cs="Times New Roman"/>
                <w:b/>
                <w:sz w:val="20"/>
                <w:szCs w:val="20"/>
              </w:rPr>
            </w:pPr>
            <w:r>
              <w:rPr>
                <w:rFonts w:ascii="Times New Roman" w:hAnsi="Times New Roman" w:cs="Times New Roman"/>
                <w:b/>
                <w:sz w:val="20"/>
                <w:szCs w:val="20"/>
              </w:rPr>
              <w:t>(%)</w:t>
            </w:r>
          </w:p>
        </w:tc>
        <w:tc>
          <w:tcPr>
            <w:tcW w:w="1800" w:type="dxa"/>
          </w:tcPr>
          <w:p w14:paraId="2945CE7A" w14:textId="77777777" w:rsidR="008B0240" w:rsidRDefault="008B0240" w:rsidP="00BD0CFF">
            <w:pPr>
              <w:rPr>
                <w:rFonts w:ascii="Times New Roman" w:hAnsi="Times New Roman" w:cs="Times New Roman"/>
                <w:b/>
                <w:sz w:val="20"/>
                <w:szCs w:val="20"/>
              </w:rPr>
            </w:pPr>
            <w:r w:rsidRPr="00DA631D">
              <w:rPr>
                <w:rFonts w:ascii="Times New Roman" w:hAnsi="Times New Roman" w:cs="Times New Roman"/>
                <w:b/>
                <w:sz w:val="20"/>
                <w:szCs w:val="20"/>
              </w:rPr>
              <w:t xml:space="preserve">Is unchanged in size in </w:t>
            </w:r>
            <w:proofErr w:type="spellStart"/>
            <w:r w:rsidRPr="00DA631D">
              <w:rPr>
                <w:rFonts w:ascii="Times New Roman" w:hAnsi="Times New Roman" w:cs="Times New Roman"/>
                <w:b/>
                <w:i/>
                <w:sz w:val="20"/>
                <w:szCs w:val="20"/>
              </w:rPr>
              <w:t>n</w:t>
            </w:r>
            <w:r w:rsidRPr="00DA631D">
              <w:rPr>
                <w:rFonts w:ascii="Times New Roman" w:hAnsi="Times New Roman" w:cs="Times New Roman"/>
                <w:b/>
                <w:sz w:val="20"/>
                <w:szCs w:val="20"/>
              </w:rPr>
              <w:t xml:space="preserve"> one</w:t>
            </w:r>
            <w:proofErr w:type="spellEnd"/>
            <w:r w:rsidRPr="00DA631D">
              <w:rPr>
                <w:rFonts w:ascii="Times New Roman" w:hAnsi="Times New Roman" w:cs="Times New Roman"/>
                <w:b/>
                <w:sz w:val="20"/>
                <w:szCs w:val="20"/>
              </w:rPr>
              <w:t>-study removed analyses</w:t>
            </w:r>
          </w:p>
          <w:p w14:paraId="760EE952" w14:textId="77777777" w:rsidR="008B0240" w:rsidRPr="00DA631D" w:rsidRDefault="008B0240" w:rsidP="00BD0CFF">
            <w:pPr>
              <w:rPr>
                <w:rFonts w:ascii="Times New Roman" w:hAnsi="Times New Roman" w:cs="Times New Roman"/>
                <w:b/>
                <w:sz w:val="20"/>
                <w:szCs w:val="20"/>
              </w:rPr>
            </w:pPr>
            <w:r>
              <w:rPr>
                <w:rFonts w:ascii="Times New Roman" w:hAnsi="Times New Roman" w:cs="Times New Roman"/>
                <w:b/>
                <w:sz w:val="20"/>
                <w:szCs w:val="20"/>
              </w:rPr>
              <w:t>(%)</w:t>
            </w:r>
          </w:p>
        </w:tc>
        <w:tc>
          <w:tcPr>
            <w:tcW w:w="1890" w:type="dxa"/>
          </w:tcPr>
          <w:p w14:paraId="3519E82D" w14:textId="77777777" w:rsidR="008B0240" w:rsidRDefault="008B0240" w:rsidP="00BD0CFF">
            <w:pPr>
              <w:rPr>
                <w:rFonts w:ascii="Times New Roman" w:hAnsi="Times New Roman" w:cs="Times New Roman"/>
                <w:b/>
                <w:sz w:val="20"/>
                <w:szCs w:val="20"/>
              </w:rPr>
            </w:pPr>
            <w:r w:rsidRPr="00DA631D">
              <w:rPr>
                <w:rFonts w:ascii="Times New Roman" w:hAnsi="Times New Roman" w:cs="Times New Roman"/>
                <w:b/>
                <w:sz w:val="20"/>
                <w:szCs w:val="20"/>
              </w:rPr>
              <w:t xml:space="preserve">Changes peak location by &gt;2 in </w:t>
            </w:r>
            <w:proofErr w:type="spellStart"/>
            <w:r w:rsidRPr="00DA631D">
              <w:rPr>
                <w:rFonts w:ascii="Times New Roman" w:hAnsi="Times New Roman" w:cs="Times New Roman"/>
                <w:b/>
                <w:i/>
                <w:sz w:val="20"/>
                <w:szCs w:val="20"/>
              </w:rPr>
              <w:t>n</w:t>
            </w:r>
            <w:r w:rsidRPr="00DA631D">
              <w:rPr>
                <w:rFonts w:ascii="Times New Roman" w:hAnsi="Times New Roman" w:cs="Times New Roman"/>
                <w:b/>
                <w:sz w:val="20"/>
                <w:szCs w:val="20"/>
              </w:rPr>
              <w:t xml:space="preserve"> one</w:t>
            </w:r>
            <w:proofErr w:type="spellEnd"/>
            <w:r w:rsidRPr="00DA631D">
              <w:rPr>
                <w:rFonts w:ascii="Times New Roman" w:hAnsi="Times New Roman" w:cs="Times New Roman"/>
                <w:b/>
                <w:sz w:val="20"/>
                <w:szCs w:val="20"/>
              </w:rPr>
              <w:t>-study removed analyses</w:t>
            </w:r>
          </w:p>
          <w:p w14:paraId="3DECC3B7" w14:textId="77777777" w:rsidR="008B0240" w:rsidRPr="00DA631D" w:rsidRDefault="008B0240" w:rsidP="00BD0CFF">
            <w:pPr>
              <w:rPr>
                <w:rFonts w:ascii="Times New Roman" w:hAnsi="Times New Roman" w:cs="Times New Roman"/>
                <w:b/>
                <w:sz w:val="20"/>
                <w:szCs w:val="20"/>
              </w:rPr>
            </w:pPr>
            <w:r>
              <w:rPr>
                <w:rFonts w:ascii="Times New Roman" w:hAnsi="Times New Roman" w:cs="Times New Roman"/>
                <w:b/>
                <w:sz w:val="20"/>
                <w:szCs w:val="20"/>
              </w:rPr>
              <w:t>(%)</w:t>
            </w:r>
          </w:p>
        </w:tc>
        <w:tc>
          <w:tcPr>
            <w:tcW w:w="1440" w:type="dxa"/>
          </w:tcPr>
          <w:p w14:paraId="3F1D1441" w14:textId="77777777" w:rsidR="008B0240" w:rsidRDefault="008B0240" w:rsidP="00BD0CFF">
            <w:pPr>
              <w:rPr>
                <w:rFonts w:ascii="Times New Roman" w:hAnsi="Times New Roman" w:cs="Times New Roman"/>
                <w:b/>
                <w:sz w:val="20"/>
                <w:szCs w:val="20"/>
              </w:rPr>
            </w:pPr>
            <w:r w:rsidRPr="00DA631D">
              <w:rPr>
                <w:rFonts w:ascii="Times New Roman" w:hAnsi="Times New Roman" w:cs="Times New Roman"/>
                <w:b/>
                <w:sz w:val="20"/>
                <w:szCs w:val="20"/>
              </w:rPr>
              <w:t xml:space="preserve">Changes peak label in </w:t>
            </w:r>
            <w:proofErr w:type="spellStart"/>
            <w:r w:rsidRPr="00DA631D">
              <w:rPr>
                <w:rFonts w:ascii="Times New Roman" w:hAnsi="Times New Roman" w:cs="Times New Roman"/>
                <w:b/>
                <w:i/>
                <w:sz w:val="20"/>
                <w:szCs w:val="20"/>
              </w:rPr>
              <w:t>n</w:t>
            </w:r>
            <w:r w:rsidRPr="00DA631D">
              <w:rPr>
                <w:rFonts w:ascii="Times New Roman" w:hAnsi="Times New Roman" w:cs="Times New Roman"/>
                <w:b/>
                <w:sz w:val="20"/>
                <w:szCs w:val="20"/>
              </w:rPr>
              <w:t xml:space="preserve"> one</w:t>
            </w:r>
            <w:proofErr w:type="spellEnd"/>
            <w:r w:rsidRPr="00DA631D">
              <w:rPr>
                <w:rFonts w:ascii="Times New Roman" w:hAnsi="Times New Roman" w:cs="Times New Roman"/>
                <w:b/>
                <w:sz w:val="20"/>
                <w:szCs w:val="20"/>
              </w:rPr>
              <w:t>-study removed analyses</w:t>
            </w:r>
          </w:p>
          <w:p w14:paraId="599ED41C" w14:textId="77777777" w:rsidR="008B0240" w:rsidRPr="00DA631D" w:rsidRDefault="008B0240" w:rsidP="00BD0CFF">
            <w:pPr>
              <w:rPr>
                <w:rFonts w:ascii="Times New Roman" w:hAnsi="Times New Roman" w:cs="Times New Roman"/>
                <w:b/>
                <w:sz w:val="20"/>
                <w:szCs w:val="20"/>
              </w:rPr>
            </w:pPr>
            <w:r>
              <w:rPr>
                <w:rFonts w:ascii="Times New Roman" w:hAnsi="Times New Roman" w:cs="Times New Roman"/>
                <w:b/>
                <w:sz w:val="20"/>
                <w:szCs w:val="20"/>
              </w:rPr>
              <w:t>(%)</w:t>
            </w:r>
          </w:p>
        </w:tc>
      </w:tr>
      <w:tr w:rsidR="008B0240" w:rsidRPr="008C1CBE" w14:paraId="61D415B9" w14:textId="77777777" w:rsidTr="00BD0CFF">
        <w:tc>
          <w:tcPr>
            <w:tcW w:w="1525" w:type="dxa"/>
          </w:tcPr>
          <w:p w14:paraId="442AF5AB" w14:textId="77777777" w:rsidR="008B0240" w:rsidRPr="008C1CBE" w:rsidRDefault="008B0240" w:rsidP="00BD0CFF">
            <w:pPr>
              <w:rPr>
                <w:rFonts w:ascii="Times New Roman" w:hAnsi="Times New Roman" w:cs="Times New Roman"/>
                <w:b/>
                <w:i/>
                <w:iCs/>
                <w:sz w:val="20"/>
                <w:szCs w:val="20"/>
              </w:rPr>
            </w:pPr>
            <w:r w:rsidRPr="008C1CBE">
              <w:rPr>
                <w:rFonts w:ascii="Times New Roman" w:hAnsi="Times New Roman" w:cs="Times New Roman"/>
                <w:b/>
                <w:i/>
                <w:iCs/>
                <w:sz w:val="20"/>
                <w:szCs w:val="20"/>
              </w:rPr>
              <w:t>Healthy ageing</w:t>
            </w:r>
          </w:p>
        </w:tc>
        <w:tc>
          <w:tcPr>
            <w:tcW w:w="1620" w:type="dxa"/>
          </w:tcPr>
          <w:p w14:paraId="3F1F70FF" w14:textId="77777777" w:rsidR="008B0240" w:rsidRPr="008C1CBE" w:rsidRDefault="008B0240" w:rsidP="00BD0CFF">
            <w:pPr>
              <w:rPr>
                <w:rFonts w:ascii="Times New Roman" w:hAnsi="Times New Roman" w:cs="Times New Roman"/>
                <w:b/>
                <w:sz w:val="20"/>
                <w:szCs w:val="20"/>
              </w:rPr>
            </w:pPr>
          </w:p>
        </w:tc>
        <w:tc>
          <w:tcPr>
            <w:tcW w:w="1800" w:type="dxa"/>
          </w:tcPr>
          <w:p w14:paraId="343EB23E" w14:textId="77777777" w:rsidR="008B0240" w:rsidRPr="008C1CBE" w:rsidRDefault="008B0240" w:rsidP="00BD0CFF">
            <w:pPr>
              <w:rPr>
                <w:rFonts w:ascii="Times New Roman" w:hAnsi="Times New Roman" w:cs="Times New Roman"/>
                <w:b/>
                <w:sz w:val="20"/>
                <w:szCs w:val="20"/>
              </w:rPr>
            </w:pPr>
          </w:p>
        </w:tc>
        <w:tc>
          <w:tcPr>
            <w:tcW w:w="1890" w:type="dxa"/>
          </w:tcPr>
          <w:p w14:paraId="6448B290" w14:textId="77777777" w:rsidR="008B0240" w:rsidRPr="008C1CBE" w:rsidRDefault="008B0240" w:rsidP="00BD0CFF">
            <w:pPr>
              <w:rPr>
                <w:rFonts w:ascii="Times New Roman" w:hAnsi="Times New Roman" w:cs="Times New Roman"/>
                <w:b/>
                <w:sz w:val="20"/>
                <w:szCs w:val="20"/>
              </w:rPr>
            </w:pPr>
          </w:p>
        </w:tc>
        <w:tc>
          <w:tcPr>
            <w:tcW w:w="1800" w:type="dxa"/>
          </w:tcPr>
          <w:p w14:paraId="53F72770" w14:textId="77777777" w:rsidR="008B0240" w:rsidRPr="008C1CBE" w:rsidRDefault="008B0240" w:rsidP="00BD0CFF">
            <w:pPr>
              <w:rPr>
                <w:rFonts w:ascii="Times New Roman" w:hAnsi="Times New Roman" w:cs="Times New Roman"/>
                <w:b/>
                <w:sz w:val="20"/>
                <w:szCs w:val="20"/>
              </w:rPr>
            </w:pPr>
          </w:p>
        </w:tc>
        <w:tc>
          <w:tcPr>
            <w:tcW w:w="1890" w:type="dxa"/>
          </w:tcPr>
          <w:p w14:paraId="4BB0C775" w14:textId="77777777" w:rsidR="008B0240" w:rsidRPr="008C1CBE" w:rsidRDefault="008B0240" w:rsidP="00BD0CFF">
            <w:pPr>
              <w:rPr>
                <w:rFonts w:ascii="Times New Roman" w:hAnsi="Times New Roman" w:cs="Times New Roman"/>
                <w:b/>
                <w:sz w:val="20"/>
                <w:szCs w:val="20"/>
              </w:rPr>
            </w:pPr>
          </w:p>
        </w:tc>
        <w:tc>
          <w:tcPr>
            <w:tcW w:w="1440" w:type="dxa"/>
          </w:tcPr>
          <w:p w14:paraId="57E0B030" w14:textId="77777777" w:rsidR="008B0240" w:rsidRPr="008C1CBE" w:rsidRDefault="008B0240" w:rsidP="00BD0CFF">
            <w:pPr>
              <w:rPr>
                <w:rFonts w:ascii="Times New Roman" w:hAnsi="Times New Roman" w:cs="Times New Roman"/>
                <w:b/>
                <w:sz w:val="20"/>
                <w:szCs w:val="20"/>
              </w:rPr>
            </w:pPr>
          </w:p>
        </w:tc>
      </w:tr>
      <w:tr w:rsidR="008B0240" w:rsidRPr="008C1CBE" w14:paraId="16718AA1" w14:textId="77777777" w:rsidTr="00BD0CFF">
        <w:tc>
          <w:tcPr>
            <w:tcW w:w="1525" w:type="dxa"/>
          </w:tcPr>
          <w:p w14:paraId="205256D1"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1</w:t>
            </w:r>
          </w:p>
        </w:tc>
        <w:tc>
          <w:tcPr>
            <w:tcW w:w="1620" w:type="dxa"/>
          </w:tcPr>
          <w:p w14:paraId="11D94607"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18</w:t>
            </w:r>
          </w:p>
          <w:p w14:paraId="57603390"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(100)</w:t>
            </w:r>
          </w:p>
        </w:tc>
        <w:tc>
          <w:tcPr>
            <w:tcW w:w="1800" w:type="dxa"/>
          </w:tcPr>
          <w:p w14:paraId="20A6FDEC"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7</w:t>
            </w:r>
          </w:p>
          <w:p w14:paraId="4167FBB5"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(39)</w:t>
            </w:r>
          </w:p>
        </w:tc>
        <w:tc>
          <w:tcPr>
            <w:tcW w:w="1890" w:type="dxa"/>
          </w:tcPr>
          <w:p w14:paraId="4D3038B4"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2</w:t>
            </w:r>
          </w:p>
          <w:p w14:paraId="4DFC2516"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(11)</w:t>
            </w:r>
          </w:p>
        </w:tc>
        <w:tc>
          <w:tcPr>
            <w:tcW w:w="1800" w:type="dxa"/>
          </w:tcPr>
          <w:p w14:paraId="5D2792B5"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9</w:t>
            </w:r>
          </w:p>
          <w:p w14:paraId="5234222A"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(50)</w:t>
            </w:r>
          </w:p>
        </w:tc>
        <w:tc>
          <w:tcPr>
            <w:tcW w:w="1890" w:type="dxa"/>
          </w:tcPr>
          <w:p w14:paraId="350F7B20"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1</w:t>
            </w:r>
          </w:p>
          <w:p w14:paraId="2DF35A9C"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(6)</w:t>
            </w:r>
          </w:p>
        </w:tc>
        <w:tc>
          <w:tcPr>
            <w:tcW w:w="1440" w:type="dxa"/>
          </w:tcPr>
          <w:p w14:paraId="6BE7E04C"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0</w:t>
            </w:r>
          </w:p>
          <w:p w14:paraId="3994A458"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(0)</w:t>
            </w:r>
          </w:p>
        </w:tc>
      </w:tr>
      <w:tr w:rsidR="008B0240" w:rsidRPr="008C1CBE" w14:paraId="05FEE48C" w14:textId="77777777" w:rsidTr="00BD0CFF">
        <w:tc>
          <w:tcPr>
            <w:tcW w:w="1525" w:type="dxa"/>
          </w:tcPr>
          <w:p w14:paraId="1CE000FB"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2</w:t>
            </w:r>
          </w:p>
        </w:tc>
        <w:tc>
          <w:tcPr>
            <w:tcW w:w="1620" w:type="dxa"/>
          </w:tcPr>
          <w:p w14:paraId="58926364"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 xml:space="preserve">18 </w:t>
            </w:r>
          </w:p>
          <w:p w14:paraId="02FBD4BD"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(100)</w:t>
            </w:r>
          </w:p>
        </w:tc>
        <w:tc>
          <w:tcPr>
            <w:tcW w:w="1800" w:type="dxa"/>
          </w:tcPr>
          <w:p w14:paraId="121D0F3C"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6</w:t>
            </w:r>
          </w:p>
          <w:p w14:paraId="7FDE2997"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(33)</w:t>
            </w:r>
          </w:p>
        </w:tc>
        <w:tc>
          <w:tcPr>
            <w:tcW w:w="1890" w:type="dxa"/>
          </w:tcPr>
          <w:p w14:paraId="08EE90ED"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9</w:t>
            </w:r>
          </w:p>
          <w:p w14:paraId="433A8C5E"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(50)</w:t>
            </w:r>
          </w:p>
        </w:tc>
        <w:tc>
          <w:tcPr>
            <w:tcW w:w="1800" w:type="dxa"/>
          </w:tcPr>
          <w:p w14:paraId="3827DBCC"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3</w:t>
            </w:r>
          </w:p>
          <w:p w14:paraId="6C27FF4B"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(17)</w:t>
            </w:r>
          </w:p>
        </w:tc>
        <w:tc>
          <w:tcPr>
            <w:tcW w:w="1890" w:type="dxa"/>
          </w:tcPr>
          <w:p w14:paraId="5579C673"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1</w:t>
            </w:r>
          </w:p>
          <w:p w14:paraId="3BBEFA53"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(6)</w:t>
            </w:r>
          </w:p>
        </w:tc>
        <w:tc>
          <w:tcPr>
            <w:tcW w:w="1440" w:type="dxa"/>
          </w:tcPr>
          <w:p w14:paraId="2896261C"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0</w:t>
            </w:r>
          </w:p>
          <w:p w14:paraId="2340BF7D"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(0)</w:t>
            </w:r>
          </w:p>
        </w:tc>
      </w:tr>
      <w:tr w:rsidR="008B0240" w:rsidRPr="008C1CBE" w14:paraId="516D06B0" w14:textId="77777777" w:rsidTr="00BD0CFF">
        <w:tc>
          <w:tcPr>
            <w:tcW w:w="1525" w:type="dxa"/>
          </w:tcPr>
          <w:p w14:paraId="1E9282F0"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3</w:t>
            </w:r>
          </w:p>
        </w:tc>
        <w:tc>
          <w:tcPr>
            <w:tcW w:w="1620" w:type="dxa"/>
          </w:tcPr>
          <w:p w14:paraId="75B5EDE0"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17</w:t>
            </w:r>
          </w:p>
          <w:p w14:paraId="5F73AF85"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(94)</w:t>
            </w:r>
          </w:p>
        </w:tc>
        <w:tc>
          <w:tcPr>
            <w:tcW w:w="1800" w:type="dxa"/>
          </w:tcPr>
          <w:p w14:paraId="742178F9"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5</w:t>
            </w:r>
          </w:p>
          <w:p w14:paraId="432AEBBB"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(28)</w:t>
            </w:r>
          </w:p>
        </w:tc>
        <w:tc>
          <w:tcPr>
            <w:tcW w:w="1890" w:type="dxa"/>
          </w:tcPr>
          <w:p w14:paraId="60A247C3"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8</w:t>
            </w:r>
          </w:p>
          <w:p w14:paraId="4CA7F415"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(44)</w:t>
            </w:r>
          </w:p>
        </w:tc>
        <w:tc>
          <w:tcPr>
            <w:tcW w:w="1800" w:type="dxa"/>
          </w:tcPr>
          <w:p w14:paraId="624BA736"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4</w:t>
            </w:r>
          </w:p>
          <w:p w14:paraId="0B5ABDCE"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(22)</w:t>
            </w:r>
          </w:p>
        </w:tc>
        <w:tc>
          <w:tcPr>
            <w:tcW w:w="1890" w:type="dxa"/>
          </w:tcPr>
          <w:p w14:paraId="33302CA0"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3</w:t>
            </w:r>
          </w:p>
          <w:p w14:paraId="5A2CD715"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(17)</w:t>
            </w:r>
          </w:p>
        </w:tc>
        <w:tc>
          <w:tcPr>
            <w:tcW w:w="1440" w:type="dxa"/>
          </w:tcPr>
          <w:p w14:paraId="05441C1F"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0</w:t>
            </w:r>
          </w:p>
          <w:p w14:paraId="20F77C6C"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(0)</w:t>
            </w:r>
          </w:p>
        </w:tc>
      </w:tr>
      <w:tr w:rsidR="008B0240" w:rsidRPr="008C1CBE" w14:paraId="1B46DD8D" w14:textId="77777777" w:rsidTr="00BD0CFF">
        <w:tc>
          <w:tcPr>
            <w:tcW w:w="1525" w:type="dxa"/>
          </w:tcPr>
          <w:p w14:paraId="5EA66467"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4</w:t>
            </w:r>
          </w:p>
        </w:tc>
        <w:tc>
          <w:tcPr>
            <w:tcW w:w="1620" w:type="dxa"/>
          </w:tcPr>
          <w:p w14:paraId="3066B4C9"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17</w:t>
            </w:r>
          </w:p>
          <w:p w14:paraId="6F32560A"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(94)</w:t>
            </w:r>
          </w:p>
        </w:tc>
        <w:tc>
          <w:tcPr>
            <w:tcW w:w="1800" w:type="dxa"/>
          </w:tcPr>
          <w:p w14:paraId="791BA15C"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5</w:t>
            </w:r>
          </w:p>
          <w:p w14:paraId="340A3DA2"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(28)</w:t>
            </w:r>
          </w:p>
        </w:tc>
        <w:tc>
          <w:tcPr>
            <w:tcW w:w="1890" w:type="dxa"/>
          </w:tcPr>
          <w:p w14:paraId="07EB4965"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3</w:t>
            </w:r>
          </w:p>
          <w:p w14:paraId="686B5D7D"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(17)</w:t>
            </w:r>
          </w:p>
        </w:tc>
        <w:tc>
          <w:tcPr>
            <w:tcW w:w="1800" w:type="dxa"/>
          </w:tcPr>
          <w:p w14:paraId="79EE6E48"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9</w:t>
            </w:r>
          </w:p>
          <w:p w14:paraId="4B09B33F"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(50)</w:t>
            </w:r>
          </w:p>
        </w:tc>
        <w:tc>
          <w:tcPr>
            <w:tcW w:w="1890" w:type="dxa"/>
          </w:tcPr>
          <w:p w14:paraId="4E2E51BA"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0</w:t>
            </w:r>
          </w:p>
          <w:p w14:paraId="62021E3E"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(0)</w:t>
            </w:r>
          </w:p>
        </w:tc>
        <w:tc>
          <w:tcPr>
            <w:tcW w:w="1440" w:type="dxa"/>
          </w:tcPr>
          <w:p w14:paraId="064F09EB"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0</w:t>
            </w:r>
          </w:p>
          <w:p w14:paraId="213C243C"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(0)</w:t>
            </w:r>
          </w:p>
        </w:tc>
      </w:tr>
      <w:tr w:rsidR="008B0240" w:rsidRPr="008C1CBE" w14:paraId="605962BF" w14:textId="77777777" w:rsidTr="00BD0CFF">
        <w:trPr>
          <w:trHeight w:val="422"/>
        </w:trPr>
        <w:tc>
          <w:tcPr>
            <w:tcW w:w="1525" w:type="dxa"/>
          </w:tcPr>
          <w:p w14:paraId="08AE3634"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5</w:t>
            </w:r>
          </w:p>
        </w:tc>
        <w:tc>
          <w:tcPr>
            <w:tcW w:w="1620" w:type="dxa"/>
          </w:tcPr>
          <w:p w14:paraId="1E622369" w14:textId="77777777" w:rsidR="008B0240" w:rsidRPr="008C1CBE" w:rsidRDefault="008B0240" w:rsidP="00BD0CFF">
            <w:pPr>
              <w:rPr>
                <w:rFonts w:ascii="Times New Roman" w:hAnsi="Times New Roman" w:cs="Times New Roman"/>
                <w:sz w:val="20"/>
                <w:szCs w:val="20"/>
                <w:vertAlign w:val="superscript"/>
              </w:rPr>
            </w:pPr>
            <w:r w:rsidRPr="008C1CBE">
              <w:rPr>
                <w:rFonts w:ascii="Times New Roman" w:hAnsi="Times New Roman" w:cs="Times New Roman"/>
                <w:sz w:val="20"/>
                <w:szCs w:val="20"/>
              </w:rPr>
              <w:t>15</w:t>
            </w:r>
            <w:r w:rsidRPr="008C1CBE">
              <w:rPr>
                <w:rFonts w:ascii="Times New Roman" w:hAnsi="Times New Roman" w:cs="Times New Roman"/>
                <w:sz w:val="20"/>
                <w:szCs w:val="20"/>
                <w:vertAlign w:val="superscript"/>
              </w:rPr>
              <w:t>a</w:t>
            </w:r>
          </w:p>
          <w:p w14:paraId="35F547AA"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(83)</w:t>
            </w:r>
          </w:p>
        </w:tc>
        <w:tc>
          <w:tcPr>
            <w:tcW w:w="1800" w:type="dxa"/>
          </w:tcPr>
          <w:p w14:paraId="1DCB1A67"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4</w:t>
            </w:r>
          </w:p>
          <w:p w14:paraId="13C0AC80"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(22)</w:t>
            </w:r>
          </w:p>
        </w:tc>
        <w:tc>
          <w:tcPr>
            <w:tcW w:w="1890" w:type="dxa"/>
          </w:tcPr>
          <w:p w14:paraId="61A65E20"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1</w:t>
            </w:r>
          </w:p>
          <w:p w14:paraId="4675D13C"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(6)</w:t>
            </w:r>
          </w:p>
        </w:tc>
        <w:tc>
          <w:tcPr>
            <w:tcW w:w="1800" w:type="dxa"/>
          </w:tcPr>
          <w:p w14:paraId="30E8BBF2"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10</w:t>
            </w:r>
          </w:p>
          <w:p w14:paraId="6B7F01E3"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(56)</w:t>
            </w:r>
          </w:p>
        </w:tc>
        <w:tc>
          <w:tcPr>
            <w:tcW w:w="1890" w:type="dxa"/>
          </w:tcPr>
          <w:p w14:paraId="02784C8B"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1</w:t>
            </w:r>
          </w:p>
          <w:p w14:paraId="5C1D1356"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(6)</w:t>
            </w:r>
          </w:p>
        </w:tc>
        <w:tc>
          <w:tcPr>
            <w:tcW w:w="1440" w:type="dxa"/>
          </w:tcPr>
          <w:p w14:paraId="627BB5D7"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0</w:t>
            </w:r>
          </w:p>
          <w:p w14:paraId="3EFBE3A7"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(0)</w:t>
            </w:r>
          </w:p>
        </w:tc>
      </w:tr>
      <w:tr w:rsidR="008B0240" w:rsidRPr="008C1CBE" w14:paraId="62D5478B" w14:textId="77777777" w:rsidTr="00BD0CFF">
        <w:trPr>
          <w:trHeight w:val="422"/>
        </w:trPr>
        <w:tc>
          <w:tcPr>
            <w:tcW w:w="11965" w:type="dxa"/>
            <w:gridSpan w:val="7"/>
            <w:tcBorders>
              <w:bottom w:val="single" w:sz="4" w:space="0" w:color="auto"/>
            </w:tcBorders>
          </w:tcPr>
          <w:p w14:paraId="602E147F"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b/>
                <w:bCs/>
                <w:i/>
                <w:iCs/>
                <w:sz w:val="20"/>
                <w:szCs w:val="20"/>
              </w:rPr>
              <w:t>Alzheimer’s disease</w:t>
            </w:r>
          </w:p>
        </w:tc>
      </w:tr>
      <w:tr w:rsidR="008B0240" w:rsidRPr="008C1CBE" w14:paraId="3E12D49E" w14:textId="77777777" w:rsidTr="00BD0CFF">
        <w:trPr>
          <w:trHeight w:val="422"/>
        </w:trPr>
        <w:tc>
          <w:tcPr>
            <w:tcW w:w="1525" w:type="dxa"/>
          </w:tcPr>
          <w:p w14:paraId="2B267F8E"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1</w:t>
            </w:r>
          </w:p>
        </w:tc>
        <w:tc>
          <w:tcPr>
            <w:tcW w:w="1620" w:type="dxa"/>
          </w:tcPr>
          <w:p w14:paraId="7EF83F2D" w14:textId="77777777" w:rsidR="008B0240" w:rsidRPr="008C1CBE" w:rsidRDefault="008B0240" w:rsidP="00BD0CFF">
            <w:pPr>
              <w:rPr>
                <w:rFonts w:ascii="Times New Roman" w:hAnsi="Times New Roman" w:cs="Times New Roman"/>
                <w:sz w:val="20"/>
                <w:szCs w:val="20"/>
                <w:vertAlign w:val="superscript"/>
              </w:rPr>
            </w:pPr>
            <w:r w:rsidRPr="008C1CBE">
              <w:rPr>
                <w:rFonts w:ascii="Times New Roman" w:hAnsi="Times New Roman" w:cs="Times New Roman"/>
                <w:sz w:val="20"/>
                <w:szCs w:val="20"/>
              </w:rPr>
              <w:t>11</w:t>
            </w:r>
            <w:r w:rsidRPr="008C1CBE">
              <w:rPr>
                <w:rFonts w:ascii="Times New Roman" w:hAnsi="Times New Roman" w:cs="Times New Roman"/>
                <w:sz w:val="20"/>
                <w:szCs w:val="20"/>
                <w:vertAlign w:val="superscript"/>
              </w:rPr>
              <w:t>b</w:t>
            </w:r>
          </w:p>
          <w:p w14:paraId="149CA453"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(85)</w:t>
            </w:r>
          </w:p>
        </w:tc>
        <w:tc>
          <w:tcPr>
            <w:tcW w:w="1800" w:type="dxa"/>
          </w:tcPr>
          <w:p w14:paraId="5858CB1C"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5</w:t>
            </w:r>
          </w:p>
          <w:p w14:paraId="6174CB89"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(45)</w:t>
            </w:r>
          </w:p>
        </w:tc>
        <w:tc>
          <w:tcPr>
            <w:tcW w:w="1890" w:type="dxa"/>
          </w:tcPr>
          <w:p w14:paraId="58B122DB" w14:textId="77777777" w:rsidR="008B0240" w:rsidRPr="00047652" w:rsidRDefault="008B0240" w:rsidP="00BD0CFF">
            <w:pPr>
              <w:rPr>
                <w:rFonts w:ascii="Times New Roman" w:hAnsi="Times New Roman" w:cs="Times New Roman"/>
                <w:sz w:val="20"/>
                <w:szCs w:val="20"/>
                <w:vertAlign w:val="superscript"/>
              </w:rPr>
            </w:pPr>
            <w:r w:rsidRPr="008C1CBE">
              <w:rPr>
                <w:rFonts w:ascii="Times New Roman" w:hAnsi="Times New Roman" w:cs="Times New Roman"/>
                <w:sz w:val="20"/>
                <w:szCs w:val="20"/>
              </w:rPr>
              <w:t>6</w:t>
            </w:r>
            <w:r w:rsidRPr="008C1CBE">
              <w:rPr>
                <w:rFonts w:ascii="Times New Roman" w:hAnsi="Times New Roman" w:cs="Times New Roman"/>
                <w:sz w:val="20"/>
                <w:szCs w:val="20"/>
                <w:vertAlign w:val="superscript"/>
              </w:rPr>
              <w:t>c</w:t>
            </w:r>
          </w:p>
          <w:p w14:paraId="1E930E77"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(55)</w:t>
            </w:r>
          </w:p>
        </w:tc>
        <w:tc>
          <w:tcPr>
            <w:tcW w:w="1800" w:type="dxa"/>
          </w:tcPr>
          <w:p w14:paraId="0A9EBC15"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0</w:t>
            </w:r>
          </w:p>
          <w:p w14:paraId="06A224BC"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(0)</w:t>
            </w:r>
          </w:p>
        </w:tc>
        <w:tc>
          <w:tcPr>
            <w:tcW w:w="1890" w:type="dxa"/>
          </w:tcPr>
          <w:p w14:paraId="1567EF21"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7</w:t>
            </w:r>
          </w:p>
          <w:p w14:paraId="4F4D8C9E" w14:textId="77777777" w:rsidR="008B0240" w:rsidRPr="00047652" w:rsidRDefault="008B0240" w:rsidP="00BD0CFF">
            <w:pPr>
              <w:rPr>
                <w:rFonts w:ascii="Times New Roman" w:hAnsi="Times New Roman" w:cs="Times New Roman"/>
                <w:sz w:val="20"/>
                <w:szCs w:val="20"/>
                <w:vertAlign w:val="superscript"/>
              </w:rPr>
            </w:pPr>
            <w:r w:rsidRPr="008C1CBE">
              <w:rPr>
                <w:rFonts w:ascii="Times New Roman" w:hAnsi="Times New Roman" w:cs="Times New Roman"/>
                <w:sz w:val="20"/>
                <w:szCs w:val="20"/>
              </w:rPr>
              <w:t>(63)</w:t>
            </w:r>
            <w:r w:rsidRPr="008C1CBE">
              <w:rPr>
                <w:rFonts w:ascii="Times New Roman" w:hAnsi="Times New Roman" w:cs="Times New Roman"/>
                <w:sz w:val="20"/>
                <w:szCs w:val="20"/>
                <w:vertAlign w:val="superscript"/>
              </w:rPr>
              <w:t>d</w:t>
            </w:r>
          </w:p>
        </w:tc>
        <w:tc>
          <w:tcPr>
            <w:tcW w:w="1440" w:type="dxa"/>
          </w:tcPr>
          <w:p w14:paraId="6D187C1C"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0</w:t>
            </w:r>
          </w:p>
          <w:p w14:paraId="5F5E41E5"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(0)</w:t>
            </w:r>
          </w:p>
        </w:tc>
      </w:tr>
      <w:tr w:rsidR="008B0240" w:rsidRPr="008C1CBE" w14:paraId="38880A27" w14:textId="77777777" w:rsidTr="00BD0CFF">
        <w:trPr>
          <w:trHeight w:val="422"/>
        </w:trPr>
        <w:tc>
          <w:tcPr>
            <w:tcW w:w="1525" w:type="dxa"/>
            <w:tcBorders>
              <w:bottom w:val="single" w:sz="4" w:space="0" w:color="auto"/>
            </w:tcBorders>
          </w:tcPr>
          <w:p w14:paraId="737396D9"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2</w:t>
            </w:r>
          </w:p>
        </w:tc>
        <w:tc>
          <w:tcPr>
            <w:tcW w:w="1620" w:type="dxa"/>
            <w:tcBorders>
              <w:bottom w:val="single" w:sz="4" w:space="0" w:color="auto"/>
            </w:tcBorders>
          </w:tcPr>
          <w:p w14:paraId="346F00CA" w14:textId="77777777" w:rsidR="008B0240" w:rsidRPr="008C1CBE" w:rsidRDefault="008B0240" w:rsidP="00BD0CFF">
            <w:pPr>
              <w:rPr>
                <w:rFonts w:ascii="Times New Roman" w:hAnsi="Times New Roman" w:cs="Times New Roman"/>
                <w:sz w:val="20"/>
                <w:szCs w:val="20"/>
                <w:vertAlign w:val="superscript"/>
              </w:rPr>
            </w:pPr>
            <w:r w:rsidRPr="008C1CBE">
              <w:rPr>
                <w:rFonts w:ascii="Times New Roman" w:hAnsi="Times New Roman" w:cs="Times New Roman"/>
                <w:sz w:val="20"/>
                <w:szCs w:val="20"/>
              </w:rPr>
              <w:t>11</w:t>
            </w:r>
            <w:r w:rsidRPr="008C1CBE">
              <w:rPr>
                <w:rFonts w:ascii="Times New Roman" w:hAnsi="Times New Roman" w:cs="Times New Roman"/>
                <w:sz w:val="20"/>
                <w:szCs w:val="20"/>
                <w:vertAlign w:val="superscript"/>
              </w:rPr>
              <w:t>b</w:t>
            </w:r>
          </w:p>
          <w:p w14:paraId="217E05E6"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(85)</w:t>
            </w:r>
          </w:p>
        </w:tc>
        <w:tc>
          <w:tcPr>
            <w:tcW w:w="1800" w:type="dxa"/>
            <w:tcBorders>
              <w:bottom w:val="single" w:sz="4" w:space="0" w:color="auto"/>
            </w:tcBorders>
          </w:tcPr>
          <w:p w14:paraId="7AB50B16"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5</w:t>
            </w:r>
          </w:p>
          <w:p w14:paraId="0E775696"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(45)</w:t>
            </w:r>
          </w:p>
        </w:tc>
        <w:tc>
          <w:tcPr>
            <w:tcW w:w="1890" w:type="dxa"/>
            <w:tcBorders>
              <w:bottom w:val="single" w:sz="4" w:space="0" w:color="auto"/>
            </w:tcBorders>
          </w:tcPr>
          <w:p w14:paraId="13417B42" w14:textId="77777777" w:rsidR="008B0240" w:rsidRPr="008C1CBE" w:rsidRDefault="008B0240" w:rsidP="00BD0CFF">
            <w:pPr>
              <w:rPr>
                <w:rFonts w:ascii="Times New Roman" w:hAnsi="Times New Roman" w:cs="Times New Roman"/>
                <w:sz w:val="20"/>
                <w:szCs w:val="20"/>
                <w:vertAlign w:val="superscript"/>
              </w:rPr>
            </w:pPr>
            <w:r w:rsidRPr="008C1CBE">
              <w:rPr>
                <w:rFonts w:ascii="Times New Roman" w:hAnsi="Times New Roman" w:cs="Times New Roman"/>
                <w:sz w:val="20"/>
                <w:szCs w:val="20"/>
              </w:rPr>
              <w:t>6</w:t>
            </w:r>
            <w:r w:rsidRPr="008C1CBE">
              <w:rPr>
                <w:rFonts w:ascii="Times New Roman" w:hAnsi="Times New Roman" w:cs="Times New Roman"/>
                <w:sz w:val="20"/>
                <w:szCs w:val="20"/>
                <w:vertAlign w:val="superscript"/>
              </w:rPr>
              <w:t>c</w:t>
            </w:r>
          </w:p>
          <w:p w14:paraId="52224062" w14:textId="77777777" w:rsidR="008B0240" w:rsidRPr="00047652" w:rsidRDefault="008B0240" w:rsidP="00BD0CFF">
            <w:pPr>
              <w:rPr>
                <w:rFonts w:ascii="Times New Roman" w:hAnsi="Times New Roman" w:cs="Times New Roman"/>
                <w:sz w:val="20"/>
                <w:szCs w:val="20"/>
                <w:vertAlign w:val="superscript"/>
              </w:rPr>
            </w:pPr>
            <w:r w:rsidRPr="008C1CBE">
              <w:rPr>
                <w:rFonts w:ascii="Times New Roman" w:hAnsi="Times New Roman" w:cs="Times New Roman"/>
                <w:sz w:val="20"/>
                <w:szCs w:val="20"/>
              </w:rPr>
              <w:t>(55)</w:t>
            </w:r>
          </w:p>
        </w:tc>
        <w:tc>
          <w:tcPr>
            <w:tcW w:w="1800" w:type="dxa"/>
            <w:tcBorders>
              <w:bottom w:val="single" w:sz="4" w:space="0" w:color="auto"/>
            </w:tcBorders>
          </w:tcPr>
          <w:p w14:paraId="070CCC4B"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0</w:t>
            </w:r>
          </w:p>
          <w:p w14:paraId="110600D0"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(0)</w:t>
            </w:r>
          </w:p>
        </w:tc>
        <w:tc>
          <w:tcPr>
            <w:tcW w:w="1890" w:type="dxa"/>
            <w:tcBorders>
              <w:bottom w:val="single" w:sz="4" w:space="0" w:color="auto"/>
            </w:tcBorders>
          </w:tcPr>
          <w:p w14:paraId="2E59DB71"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 xml:space="preserve">6 </w:t>
            </w:r>
          </w:p>
          <w:p w14:paraId="48445A83" w14:textId="77777777" w:rsidR="008B0240" w:rsidRPr="00047652" w:rsidRDefault="008B0240" w:rsidP="00BD0CFF">
            <w:pPr>
              <w:rPr>
                <w:rFonts w:ascii="Times New Roman" w:hAnsi="Times New Roman" w:cs="Times New Roman"/>
                <w:sz w:val="20"/>
                <w:szCs w:val="20"/>
                <w:vertAlign w:val="superscript"/>
              </w:rPr>
            </w:pPr>
            <w:r w:rsidRPr="008C1CBE">
              <w:rPr>
                <w:rFonts w:ascii="Times New Roman" w:hAnsi="Times New Roman" w:cs="Times New Roman"/>
                <w:sz w:val="20"/>
                <w:szCs w:val="20"/>
              </w:rPr>
              <w:t>(55)</w:t>
            </w:r>
            <w:r w:rsidRPr="008C1CBE">
              <w:rPr>
                <w:rFonts w:ascii="Times New Roman" w:hAnsi="Times New Roman" w:cs="Times New Roman"/>
                <w:sz w:val="20"/>
                <w:szCs w:val="20"/>
                <w:vertAlign w:val="superscript"/>
              </w:rPr>
              <w:t>d</w:t>
            </w:r>
          </w:p>
        </w:tc>
        <w:tc>
          <w:tcPr>
            <w:tcW w:w="1440" w:type="dxa"/>
            <w:tcBorders>
              <w:bottom w:val="single" w:sz="4" w:space="0" w:color="auto"/>
            </w:tcBorders>
          </w:tcPr>
          <w:p w14:paraId="015132FA"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0</w:t>
            </w:r>
          </w:p>
          <w:p w14:paraId="231D5D11" w14:textId="77777777" w:rsidR="008B0240" w:rsidRPr="008C1CBE" w:rsidRDefault="008B0240" w:rsidP="00BD0CFF">
            <w:pPr>
              <w:rPr>
                <w:rFonts w:ascii="Times New Roman" w:hAnsi="Times New Roman" w:cs="Times New Roman"/>
                <w:sz w:val="20"/>
                <w:szCs w:val="20"/>
              </w:rPr>
            </w:pPr>
            <w:r w:rsidRPr="008C1CBE">
              <w:rPr>
                <w:rFonts w:ascii="Times New Roman" w:hAnsi="Times New Roman" w:cs="Times New Roman"/>
                <w:sz w:val="20"/>
                <w:szCs w:val="20"/>
              </w:rPr>
              <w:t>(0)</w:t>
            </w:r>
          </w:p>
        </w:tc>
      </w:tr>
    </w:tbl>
    <w:p w14:paraId="55FA4941" w14:textId="77777777" w:rsidR="008B0240" w:rsidRPr="008C1CBE" w:rsidRDefault="008B0240" w:rsidP="008B0240">
      <w:pPr>
        <w:rPr>
          <w:rFonts w:ascii="Times New Roman" w:hAnsi="Times New Roman" w:cs="Times New Roman"/>
          <w:sz w:val="20"/>
          <w:szCs w:val="20"/>
        </w:rPr>
      </w:pPr>
      <w:proofErr w:type="spellStart"/>
      <w:r w:rsidRPr="008C1CBE">
        <w:rPr>
          <w:rFonts w:ascii="Times New Roman" w:hAnsi="Times New Roman" w:cs="Times New Roman"/>
          <w:sz w:val="20"/>
          <w:szCs w:val="20"/>
          <w:vertAlign w:val="superscript"/>
        </w:rPr>
        <w:t>a</w:t>
      </w:r>
      <w:r w:rsidRPr="008C1CBE">
        <w:rPr>
          <w:rFonts w:ascii="Times New Roman" w:hAnsi="Times New Roman" w:cs="Times New Roman"/>
          <w:sz w:val="20"/>
          <w:szCs w:val="20"/>
        </w:rPr>
        <w:t>This</w:t>
      </w:r>
      <w:proofErr w:type="spellEnd"/>
      <w:r w:rsidRPr="008C1CBE">
        <w:rPr>
          <w:rFonts w:ascii="Times New Roman" w:hAnsi="Times New Roman" w:cs="Times New Roman"/>
          <w:sz w:val="20"/>
          <w:szCs w:val="20"/>
        </w:rPr>
        <w:t xml:space="preserve"> cluster splits into two smaller clusters that are no longer connected in one of the jackknife analyses.</w:t>
      </w:r>
    </w:p>
    <w:p w14:paraId="7DD924EA" w14:textId="77777777" w:rsidR="008B0240" w:rsidRPr="008C1CBE" w:rsidRDefault="008B0240" w:rsidP="008B0240">
      <w:pPr>
        <w:tabs>
          <w:tab w:val="left" w:pos="1833"/>
        </w:tabs>
        <w:rPr>
          <w:rFonts w:ascii="Times New Roman" w:hAnsi="Times New Roman" w:cs="Times New Roman"/>
          <w:sz w:val="20"/>
          <w:szCs w:val="20"/>
        </w:rPr>
      </w:pPr>
      <w:r w:rsidRPr="008C1CBE">
        <w:rPr>
          <w:rFonts w:ascii="Times New Roman" w:hAnsi="Times New Roman" w:cs="Times New Roman"/>
          <w:sz w:val="20"/>
          <w:szCs w:val="20"/>
        </w:rPr>
        <w:t>Note that changes in size here refer to any alterations in the cluster size, regardless of whether this change was in one voxel or a large number of voxels.</w:t>
      </w:r>
    </w:p>
    <w:p w14:paraId="0E6A3134" w14:textId="77777777" w:rsidR="008B0240" w:rsidRPr="008C1CBE" w:rsidRDefault="008B0240" w:rsidP="008B0240">
      <w:pPr>
        <w:rPr>
          <w:rFonts w:ascii="Times New Roman" w:hAnsi="Times New Roman" w:cs="Times New Roman"/>
          <w:sz w:val="20"/>
          <w:szCs w:val="20"/>
        </w:rPr>
      </w:pPr>
      <w:proofErr w:type="spellStart"/>
      <w:r w:rsidRPr="008C1CBE">
        <w:rPr>
          <w:rFonts w:ascii="Times New Roman" w:hAnsi="Times New Roman" w:cs="Times New Roman"/>
          <w:sz w:val="20"/>
          <w:szCs w:val="20"/>
          <w:vertAlign w:val="superscript"/>
        </w:rPr>
        <w:t>b</w:t>
      </w:r>
      <w:r w:rsidRPr="008C1CBE">
        <w:rPr>
          <w:rFonts w:ascii="Times New Roman" w:hAnsi="Times New Roman" w:cs="Times New Roman"/>
          <w:sz w:val="20"/>
          <w:szCs w:val="20"/>
        </w:rPr>
        <w:t>This</w:t>
      </w:r>
      <w:proofErr w:type="spellEnd"/>
      <w:r w:rsidRPr="008C1CBE">
        <w:rPr>
          <w:rFonts w:ascii="Times New Roman" w:hAnsi="Times New Roman" w:cs="Times New Roman"/>
          <w:sz w:val="20"/>
          <w:szCs w:val="20"/>
        </w:rPr>
        <w:t xml:space="preserve"> includes instances in which cluster 1 and 2 merge, which are counted as survival of each cluster. </w:t>
      </w:r>
      <w:proofErr w:type="spellStart"/>
      <w:r w:rsidRPr="008C1CBE">
        <w:rPr>
          <w:rFonts w:ascii="Times New Roman" w:hAnsi="Times New Roman" w:cs="Times New Roman"/>
          <w:sz w:val="20"/>
          <w:szCs w:val="20"/>
          <w:vertAlign w:val="superscript"/>
        </w:rPr>
        <w:t>c</w:t>
      </w:r>
      <w:r w:rsidRPr="008C1CBE">
        <w:rPr>
          <w:rFonts w:ascii="Times New Roman" w:hAnsi="Times New Roman" w:cs="Times New Roman"/>
          <w:sz w:val="20"/>
          <w:szCs w:val="20"/>
        </w:rPr>
        <w:t>This</w:t>
      </w:r>
      <w:proofErr w:type="spellEnd"/>
      <w:r w:rsidRPr="008C1CBE">
        <w:rPr>
          <w:rFonts w:ascii="Times New Roman" w:hAnsi="Times New Roman" w:cs="Times New Roman"/>
          <w:sz w:val="20"/>
          <w:szCs w:val="20"/>
        </w:rPr>
        <w:t xml:space="preserve"> refers to cases in which clusters 1 and 2 merged. </w:t>
      </w:r>
    </w:p>
    <w:p w14:paraId="1AEE45AD" w14:textId="77777777" w:rsidR="008B0240" w:rsidRPr="00BA1CC4" w:rsidRDefault="008B0240" w:rsidP="008B0240">
      <w:pPr>
        <w:rPr>
          <w:rFonts w:ascii="Times New Roman" w:hAnsi="Times New Roman" w:cs="Times New Roman"/>
          <w:sz w:val="20"/>
          <w:szCs w:val="20"/>
        </w:rPr>
      </w:pPr>
      <w:proofErr w:type="spellStart"/>
      <w:r w:rsidRPr="008C1CBE">
        <w:rPr>
          <w:rFonts w:ascii="Times New Roman" w:hAnsi="Times New Roman" w:cs="Times New Roman"/>
          <w:sz w:val="20"/>
          <w:szCs w:val="20"/>
          <w:vertAlign w:val="superscript"/>
        </w:rPr>
        <w:t>d</w:t>
      </w:r>
      <w:r w:rsidRPr="008C1CBE">
        <w:rPr>
          <w:rFonts w:ascii="Times New Roman" w:hAnsi="Times New Roman" w:cs="Times New Roman"/>
          <w:sz w:val="20"/>
          <w:szCs w:val="20"/>
        </w:rPr>
        <w:t>This</w:t>
      </w:r>
      <w:proofErr w:type="spellEnd"/>
      <w:r w:rsidRPr="008C1CBE">
        <w:rPr>
          <w:rFonts w:ascii="Times New Roman" w:hAnsi="Times New Roman" w:cs="Times New Roman"/>
          <w:sz w:val="20"/>
          <w:szCs w:val="20"/>
        </w:rPr>
        <w:t xml:space="preserve"> includes five instances in which clusters 1 and 2 merge.</w:t>
      </w:r>
    </w:p>
    <w:p w14:paraId="41F3B0A6" w14:textId="77777777" w:rsidR="008B0240" w:rsidRPr="00047652" w:rsidRDefault="008B0240" w:rsidP="008B0240">
      <w:pPr>
        <w:rPr>
          <w:rFonts w:ascii="Times New Roman" w:hAnsi="Times New Roman" w:cs="Times New Roman"/>
          <w:sz w:val="20"/>
          <w:szCs w:val="20"/>
          <w:vertAlign w:val="superscript"/>
        </w:rPr>
      </w:pPr>
      <w:r>
        <w:rPr>
          <w:rFonts w:ascii="Times New Roman" w:hAnsi="Times New Roman" w:cs="Times New Roman"/>
          <w:sz w:val="20"/>
          <w:szCs w:val="20"/>
        </w:rPr>
        <w:t>Percentages of changes in cluster properties are based on all instances in which this cluster survives.</w:t>
      </w:r>
    </w:p>
    <w:p w14:paraId="64209D97" w14:textId="77777777" w:rsidR="001C2425" w:rsidRDefault="001C2425" w:rsidP="001C2425">
      <w:pPr>
        <w:rPr>
          <w:rFonts w:ascii="Times New Roman" w:hAnsi="Times New Roman" w:cs="Times New Roman"/>
          <w:sz w:val="20"/>
          <w:szCs w:val="20"/>
        </w:rPr>
      </w:pPr>
    </w:p>
    <w:p w14:paraId="524A8471" w14:textId="77777777" w:rsidR="001C2425" w:rsidRPr="00A34BED" w:rsidRDefault="001C2425" w:rsidP="001C2425">
      <w:pPr>
        <w:rPr>
          <w:rFonts w:ascii="Times New Roman" w:hAnsi="Times New Roman" w:cs="Times New Roman"/>
          <w:sz w:val="20"/>
          <w:szCs w:val="20"/>
        </w:rPr>
        <w:sectPr w:rsidR="001C2425" w:rsidRPr="00A34BED" w:rsidSect="006B0DDA">
          <w:pgSz w:w="16820" w:h="11900" w:orient="landscape"/>
          <w:pgMar w:top="1134" w:right="1440" w:bottom="1134" w:left="1440" w:header="720" w:footer="720" w:gutter="0"/>
          <w:cols w:space="720"/>
          <w:docGrid w:linePitch="360"/>
        </w:sectPr>
      </w:pPr>
    </w:p>
    <w:p w14:paraId="217E1A8E" w14:textId="59515360" w:rsidR="00900F40" w:rsidRDefault="001C51C4">
      <w:pPr>
        <w:rPr>
          <w:b/>
          <w:bCs/>
        </w:rPr>
      </w:pPr>
      <w:r w:rsidRPr="001C51C4">
        <w:rPr>
          <w:b/>
          <w:bCs/>
        </w:rPr>
        <w:lastRenderedPageBreak/>
        <w:t xml:space="preserve">a. </w:t>
      </w:r>
    </w:p>
    <w:p w14:paraId="1FF86823" w14:textId="0E6BD897" w:rsidR="001C51C4" w:rsidRDefault="001C51C4">
      <w:pPr>
        <w:rPr>
          <w:b/>
          <w:bCs/>
        </w:rPr>
      </w:pPr>
      <w:r>
        <w:rPr>
          <w:b/>
          <w:bCs/>
          <w:noProof/>
        </w:rPr>
        <w:drawing>
          <wp:inline distT="0" distB="0" distL="0" distR="0" wp14:anchorId="4C7E14E7" wp14:editId="1732AEE2">
            <wp:extent cx="5778500" cy="8115300"/>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_D_flatmap_ageing.png"/>
                    <pic:cNvPicPr/>
                  </pic:nvPicPr>
                  <pic:blipFill>
                    <a:blip r:embed="rId8">
                      <a:extLst>
                        <a:ext uri="{28A0092B-C50C-407E-A947-70E740481C1C}">
                          <a14:useLocalDpi xmlns:a14="http://schemas.microsoft.com/office/drawing/2010/main" val="0"/>
                        </a:ext>
                      </a:extLst>
                    </a:blip>
                    <a:stretch>
                      <a:fillRect/>
                    </a:stretch>
                  </pic:blipFill>
                  <pic:spPr>
                    <a:xfrm>
                      <a:off x="0" y="0"/>
                      <a:ext cx="5778500" cy="8115300"/>
                    </a:xfrm>
                    <a:prstGeom prst="rect">
                      <a:avLst/>
                    </a:prstGeom>
                  </pic:spPr>
                </pic:pic>
              </a:graphicData>
            </a:graphic>
          </wp:inline>
        </w:drawing>
      </w:r>
    </w:p>
    <w:p w14:paraId="5A60CD14" w14:textId="4AF9BCC8" w:rsidR="001C51C4" w:rsidRDefault="001C51C4">
      <w:pPr>
        <w:rPr>
          <w:b/>
          <w:bCs/>
        </w:rPr>
      </w:pPr>
    </w:p>
    <w:p w14:paraId="69CC28C2" w14:textId="58448E17" w:rsidR="001C51C4" w:rsidRDefault="001C51C4">
      <w:pPr>
        <w:rPr>
          <w:b/>
          <w:bCs/>
        </w:rPr>
      </w:pPr>
    </w:p>
    <w:p w14:paraId="590BEC9C" w14:textId="6DC542C2" w:rsidR="001C51C4" w:rsidRDefault="001C51C4">
      <w:pPr>
        <w:rPr>
          <w:b/>
          <w:bCs/>
        </w:rPr>
      </w:pPr>
      <w:r>
        <w:rPr>
          <w:b/>
          <w:bCs/>
        </w:rPr>
        <w:lastRenderedPageBreak/>
        <w:t>b.</w:t>
      </w:r>
    </w:p>
    <w:p w14:paraId="439F07CF" w14:textId="15B26D14" w:rsidR="001C51C4" w:rsidRDefault="001C51C4">
      <w:pPr>
        <w:rPr>
          <w:b/>
          <w:bCs/>
        </w:rPr>
      </w:pPr>
      <w:r>
        <w:rPr>
          <w:b/>
          <w:bCs/>
          <w:noProof/>
        </w:rPr>
        <w:drawing>
          <wp:inline distT="0" distB="0" distL="0" distR="0" wp14:anchorId="3C792BE9" wp14:editId="171481FD">
            <wp:extent cx="5905500" cy="6642100"/>
            <wp:effectExtent l="0" t="0" r="0" b="0"/>
            <wp:docPr id="2" name="Picture 2"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p_D_flatmap_AD.jpg"/>
                    <pic:cNvPicPr/>
                  </pic:nvPicPr>
                  <pic:blipFill>
                    <a:blip r:embed="rId9">
                      <a:extLst>
                        <a:ext uri="{28A0092B-C50C-407E-A947-70E740481C1C}">
                          <a14:useLocalDpi xmlns:a14="http://schemas.microsoft.com/office/drawing/2010/main" val="0"/>
                        </a:ext>
                      </a:extLst>
                    </a:blip>
                    <a:stretch>
                      <a:fillRect/>
                    </a:stretch>
                  </pic:blipFill>
                  <pic:spPr>
                    <a:xfrm>
                      <a:off x="0" y="0"/>
                      <a:ext cx="5905500" cy="6642100"/>
                    </a:xfrm>
                    <a:prstGeom prst="rect">
                      <a:avLst/>
                    </a:prstGeom>
                  </pic:spPr>
                </pic:pic>
              </a:graphicData>
            </a:graphic>
          </wp:inline>
        </w:drawing>
      </w:r>
    </w:p>
    <w:p w14:paraId="5A6C4E9C" w14:textId="77777777" w:rsidR="00E601BE" w:rsidRPr="00FA53E0" w:rsidRDefault="00E601BE" w:rsidP="00E601BE">
      <w:pPr>
        <w:rPr>
          <w:rFonts w:ascii="Times New Roman" w:hAnsi="Times New Roman" w:cs="Times New Roman"/>
          <w:b/>
          <w:bCs/>
          <w:sz w:val="20"/>
          <w:szCs w:val="20"/>
        </w:rPr>
      </w:pPr>
      <w:r w:rsidRPr="00A34BED">
        <w:rPr>
          <w:rFonts w:ascii="Times New Roman" w:hAnsi="Times New Roman" w:cs="Times New Roman"/>
          <w:b/>
          <w:bCs/>
          <w:sz w:val="20"/>
          <w:szCs w:val="20"/>
        </w:rPr>
        <w:t xml:space="preserve">Figure </w:t>
      </w:r>
      <w:r>
        <w:rPr>
          <w:rFonts w:ascii="Times New Roman" w:hAnsi="Times New Roman" w:cs="Times New Roman"/>
          <w:b/>
          <w:bCs/>
          <w:sz w:val="20"/>
          <w:szCs w:val="20"/>
        </w:rPr>
        <w:t>D1</w:t>
      </w:r>
      <w:r w:rsidRPr="00A34BED">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Flatmaps</w:t>
      </w:r>
      <w:proofErr w:type="spellEnd"/>
      <w:r w:rsidRPr="00A34BED">
        <w:rPr>
          <w:rFonts w:ascii="Times New Roman" w:hAnsi="Times New Roman" w:cs="Times New Roman"/>
          <w:b/>
          <w:bCs/>
          <w:sz w:val="20"/>
          <w:szCs w:val="20"/>
        </w:rPr>
        <w:t xml:space="preserve"> for each of the 18 jackknife analyses</w:t>
      </w:r>
      <w:r>
        <w:rPr>
          <w:rFonts w:ascii="Times New Roman" w:hAnsi="Times New Roman" w:cs="Times New Roman"/>
          <w:b/>
          <w:bCs/>
          <w:sz w:val="20"/>
          <w:szCs w:val="20"/>
        </w:rPr>
        <w:t xml:space="preserve"> for age-related grey matter decline (a) and for the 13 jackknife analyses for atrophy associated with Alzheimer’s disease (b). The number of subjects included in each study is indicated by </w:t>
      </w:r>
      <w:r>
        <w:rPr>
          <w:rFonts w:ascii="Times New Roman" w:hAnsi="Times New Roman" w:cs="Times New Roman"/>
          <w:b/>
          <w:bCs/>
          <w:i/>
          <w:iCs/>
          <w:sz w:val="20"/>
          <w:szCs w:val="20"/>
        </w:rPr>
        <w:t>n</w:t>
      </w:r>
      <w:r>
        <w:rPr>
          <w:rFonts w:ascii="Times New Roman" w:hAnsi="Times New Roman" w:cs="Times New Roman"/>
          <w:b/>
          <w:bCs/>
          <w:sz w:val="20"/>
          <w:szCs w:val="20"/>
        </w:rPr>
        <w:t xml:space="preserve"> and the number of coordinates of cerebellar grey matter loss is given by </w:t>
      </w:r>
      <w:r>
        <w:rPr>
          <w:rFonts w:ascii="Times New Roman" w:hAnsi="Times New Roman" w:cs="Times New Roman"/>
          <w:b/>
          <w:bCs/>
          <w:i/>
          <w:iCs/>
          <w:sz w:val="20"/>
          <w:szCs w:val="20"/>
        </w:rPr>
        <w:t>k</w:t>
      </w:r>
      <w:r>
        <w:rPr>
          <w:rFonts w:ascii="Times New Roman" w:hAnsi="Times New Roman" w:cs="Times New Roman"/>
          <w:b/>
          <w:bCs/>
          <w:sz w:val="20"/>
          <w:szCs w:val="20"/>
        </w:rPr>
        <w:t>.</w:t>
      </w:r>
    </w:p>
    <w:p w14:paraId="08109336" w14:textId="77777777" w:rsidR="00E601BE" w:rsidRDefault="00E601BE" w:rsidP="00E601BE">
      <w:pPr>
        <w:rPr>
          <w:rFonts w:ascii="Times New Roman" w:hAnsi="Times New Roman" w:cs="Times New Roman"/>
          <w:sz w:val="20"/>
          <w:szCs w:val="20"/>
        </w:rPr>
      </w:pPr>
      <w:r>
        <w:rPr>
          <w:rFonts w:ascii="Times New Roman" w:hAnsi="Times New Roman" w:cs="Times New Roman"/>
          <w:sz w:val="20"/>
          <w:szCs w:val="20"/>
        </w:rPr>
        <w:br w:type="page"/>
      </w:r>
    </w:p>
    <w:p w14:paraId="790F48E4" w14:textId="71399DC0" w:rsidR="00E601BE" w:rsidRDefault="001A687F">
      <w:pPr>
        <w:rPr>
          <w:b/>
          <w:bCs/>
        </w:rPr>
      </w:pPr>
      <w:r>
        <w:rPr>
          <w:b/>
          <w:bCs/>
        </w:rPr>
        <w:lastRenderedPageBreak/>
        <w:t>a.</w:t>
      </w:r>
    </w:p>
    <w:p w14:paraId="4A65C270" w14:textId="3808F936" w:rsidR="001A687F" w:rsidRDefault="002C3949">
      <w:pPr>
        <w:rPr>
          <w:b/>
          <w:bCs/>
        </w:rPr>
      </w:pPr>
      <w:r>
        <w:rPr>
          <w:b/>
          <w:bCs/>
          <w:noProof/>
        </w:rPr>
        <w:drawing>
          <wp:inline distT="0" distB="0" distL="0" distR="0" wp14:anchorId="7FCEDE6B" wp14:editId="7ABCCCC7">
            <wp:extent cx="5842000" cy="8445500"/>
            <wp:effectExtent l="0" t="0" r="0" b="0"/>
            <wp:docPr id="3" name="Picture 3" descr="Diagram, 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_D_g1_ageing.jpg"/>
                    <pic:cNvPicPr/>
                  </pic:nvPicPr>
                  <pic:blipFill>
                    <a:blip r:embed="rId10">
                      <a:extLst>
                        <a:ext uri="{28A0092B-C50C-407E-A947-70E740481C1C}">
                          <a14:useLocalDpi xmlns:a14="http://schemas.microsoft.com/office/drawing/2010/main" val="0"/>
                        </a:ext>
                      </a:extLst>
                    </a:blip>
                    <a:stretch>
                      <a:fillRect/>
                    </a:stretch>
                  </pic:blipFill>
                  <pic:spPr>
                    <a:xfrm>
                      <a:off x="0" y="0"/>
                      <a:ext cx="5842000" cy="8445500"/>
                    </a:xfrm>
                    <a:prstGeom prst="rect">
                      <a:avLst/>
                    </a:prstGeom>
                  </pic:spPr>
                </pic:pic>
              </a:graphicData>
            </a:graphic>
          </wp:inline>
        </w:drawing>
      </w:r>
    </w:p>
    <w:p w14:paraId="4B4D5D77" w14:textId="720777B1" w:rsidR="002C3949" w:rsidRDefault="002C3949">
      <w:pPr>
        <w:rPr>
          <w:b/>
          <w:bCs/>
        </w:rPr>
      </w:pPr>
    </w:p>
    <w:p w14:paraId="2387BCDC" w14:textId="38AF789A" w:rsidR="002C3949" w:rsidRDefault="002C3949">
      <w:pPr>
        <w:rPr>
          <w:b/>
          <w:bCs/>
        </w:rPr>
      </w:pPr>
      <w:r>
        <w:rPr>
          <w:b/>
          <w:bCs/>
        </w:rPr>
        <w:lastRenderedPageBreak/>
        <w:t>b.</w:t>
      </w:r>
    </w:p>
    <w:p w14:paraId="3EB2772C" w14:textId="1DB7F123" w:rsidR="002C3949" w:rsidRDefault="002C3949">
      <w:pPr>
        <w:rPr>
          <w:b/>
          <w:bCs/>
        </w:rPr>
      </w:pPr>
      <w:r>
        <w:rPr>
          <w:b/>
          <w:bCs/>
          <w:noProof/>
        </w:rPr>
        <w:drawing>
          <wp:inline distT="0" distB="0" distL="0" distR="0" wp14:anchorId="549A7554" wp14:editId="51AF3F1D">
            <wp:extent cx="6116320" cy="7112635"/>
            <wp:effectExtent l="0" t="0" r="5080" b="0"/>
            <wp:docPr id="4" name="Picture 4" descr="Diagram, 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p_D_g1_AD.jpg"/>
                    <pic:cNvPicPr/>
                  </pic:nvPicPr>
                  <pic:blipFill>
                    <a:blip r:embed="rId11">
                      <a:extLst>
                        <a:ext uri="{28A0092B-C50C-407E-A947-70E740481C1C}">
                          <a14:useLocalDpi xmlns:a14="http://schemas.microsoft.com/office/drawing/2010/main" val="0"/>
                        </a:ext>
                      </a:extLst>
                    </a:blip>
                    <a:stretch>
                      <a:fillRect/>
                    </a:stretch>
                  </pic:blipFill>
                  <pic:spPr>
                    <a:xfrm>
                      <a:off x="0" y="0"/>
                      <a:ext cx="6116320" cy="7112635"/>
                    </a:xfrm>
                    <a:prstGeom prst="rect">
                      <a:avLst/>
                    </a:prstGeom>
                  </pic:spPr>
                </pic:pic>
              </a:graphicData>
            </a:graphic>
          </wp:inline>
        </w:drawing>
      </w:r>
    </w:p>
    <w:p w14:paraId="0CC72200" w14:textId="77777777" w:rsidR="002047CF" w:rsidRPr="00FA53E0" w:rsidRDefault="002047CF" w:rsidP="002047CF">
      <w:pPr>
        <w:rPr>
          <w:rFonts w:ascii="Times New Roman" w:hAnsi="Times New Roman" w:cs="Times New Roman"/>
          <w:b/>
          <w:bCs/>
          <w:sz w:val="20"/>
          <w:szCs w:val="20"/>
        </w:rPr>
      </w:pPr>
      <w:r w:rsidRPr="00A34BED">
        <w:rPr>
          <w:rFonts w:ascii="Times New Roman" w:hAnsi="Times New Roman" w:cs="Times New Roman"/>
          <w:b/>
          <w:bCs/>
          <w:sz w:val="20"/>
          <w:szCs w:val="20"/>
        </w:rPr>
        <w:t xml:space="preserve">Figure </w:t>
      </w:r>
      <w:r>
        <w:rPr>
          <w:rFonts w:ascii="Times New Roman" w:hAnsi="Times New Roman" w:cs="Times New Roman"/>
          <w:b/>
          <w:bCs/>
          <w:sz w:val="20"/>
          <w:szCs w:val="20"/>
        </w:rPr>
        <w:t>D</w:t>
      </w:r>
      <w:r w:rsidRPr="00A34BED">
        <w:rPr>
          <w:rFonts w:ascii="Times New Roman" w:hAnsi="Times New Roman" w:cs="Times New Roman"/>
          <w:b/>
          <w:bCs/>
          <w:sz w:val="20"/>
          <w:szCs w:val="20"/>
        </w:rPr>
        <w:t>2. Gradient 1 and 2 values plotted for each of the 18 jackknife analyses</w:t>
      </w:r>
      <w:r>
        <w:rPr>
          <w:rFonts w:ascii="Times New Roman" w:hAnsi="Times New Roman" w:cs="Times New Roman"/>
          <w:b/>
          <w:bCs/>
          <w:sz w:val="20"/>
          <w:szCs w:val="20"/>
        </w:rPr>
        <w:t xml:space="preserve"> of age-related grey matter decline (a) and the 13 analyses for AD (b)</w:t>
      </w:r>
      <w:r w:rsidRPr="00A34BED">
        <w:rPr>
          <w:rFonts w:ascii="Times New Roman" w:hAnsi="Times New Roman" w:cs="Times New Roman"/>
          <w:b/>
          <w:bCs/>
          <w:sz w:val="20"/>
          <w:szCs w:val="20"/>
        </w:rPr>
        <w:t>.</w:t>
      </w:r>
      <w:r>
        <w:rPr>
          <w:rFonts w:ascii="Times New Roman" w:hAnsi="Times New Roman" w:cs="Times New Roman"/>
          <w:b/>
          <w:bCs/>
          <w:sz w:val="20"/>
          <w:szCs w:val="20"/>
        </w:rPr>
        <w:t xml:space="preserve"> The number of subjects included in each study is indicated by </w:t>
      </w:r>
      <w:r>
        <w:rPr>
          <w:rFonts w:ascii="Times New Roman" w:hAnsi="Times New Roman" w:cs="Times New Roman"/>
          <w:b/>
          <w:bCs/>
          <w:i/>
          <w:iCs/>
          <w:sz w:val="20"/>
          <w:szCs w:val="20"/>
        </w:rPr>
        <w:t>n</w:t>
      </w:r>
      <w:r>
        <w:rPr>
          <w:rFonts w:ascii="Times New Roman" w:hAnsi="Times New Roman" w:cs="Times New Roman"/>
          <w:b/>
          <w:bCs/>
          <w:sz w:val="20"/>
          <w:szCs w:val="20"/>
        </w:rPr>
        <w:t xml:space="preserve"> and the number of coordinates of cerebellar grey matter loss is given by </w:t>
      </w:r>
      <w:r>
        <w:rPr>
          <w:rFonts w:ascii="Times New Roman" w:hAnsi="Times New Roman" w:cs="Times New Roman"/>
          <w:b/>
          <w:bCs/>
          <w:i/>
          <w:iCs/>
          <w:sz w:val="20"/>
          <w:szCs w:val="20"/>
        </w:rPr>
        <w:t>k</w:t>
      </w:r>
      <w:r>
        <w:rPr>
          <w:rFonts w:ascii="Times New Roman" w:hAnsi="Times New Roman" w:cs="Times New Roman"/>
          <w:b/>
          <w:bCs/>
          <w:sz w:val="20"/>
          <w:szCs w:val="20"/>
        </w:rPr>
        <w:t>.</w:t>
      </w:r>
    </w:p>
    <w:p w14:paraId="4E70187D" w14:textId="77777777" w:rsidR="002047CF" w:rsidRDefault="002047CF" w:rsidP="002047CF">
      <w:pPr>
        <w:rPr>
          <w:rFonts w:ascii="Times New Roman" w:hAnsi="Times New Roman" w:cs="Times New Roman"/>
          <w:b/>
          <w:bCs/>
          <w:sz w:val="20"/>
          <w:szCs w:val="20"/>
        </w:rPr>
      </w:pPr>
      <w:r>
        <w:rPr>
          <w:rFonts w:ascii="Times New Roman" w:hAnsi="Times New Roman" w:cs="Times New Roman"/>
          <w:b/>
          <w:bCs/>
          <w:sz w:val="20"/>
          <w:szCs w:val="20"/>
        </w:rPr>
        <w:br w:type="page"/>
      </w:r>
    </w:p>
    <w:p w14:paraId="34AA8543" w14:textId="52D9ABD6" w:rsidR="002047CF" w:rsidRDefault="004469D6" w:rsidP="004469D6">
      <w:pPr>
        <w:rPr>
          <w:b/>
          <w:bCs/>
        </w:rPr>
      </w:pPr>
      <w:r>
        <w:rPr>
          <w:b/>
          <w:bCs/>
        </w:rPr>
        <w:lastRenderedPageBreak/>
        <w:t>a.</w:t>
      </w:r>
    </w:p>
    <w:p w14:paraId="03A208DD" w14:textId="46B81CAD" w:rsidR="004469D6" w:rsidRDefault="004469D6" w:rsidP="004469D6">
      <w:pPr>
        <w:rPr>
          <w:b/>
          <w:bCs/>
        </w:rPr>
      </w:pPr>
      <w:r>
        <w:rPr>
          <w:b/>
          <w:bCs/>
          <w:noProof/>
        </w:rPr>
        <w:drawing>
          <wp:inline distT="0" distB="0" distL="0" distR="0" wp14:anchorId="1BC7FDE2" wp14:editId="1DD82C23">
            <wp:extent cx="5702300" cy="8242300"/>
            <wp:effectExtent l="0" t="0" r="0" b="0"/>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p_D_g3_ageing.jpg"/>
                    <pic:cNvPicPr/>
                  </pic:nvPicPr>
                  <pic:blipFill>
                    <a:blip r:embed="rId12">
                      <a:extLst>
                        <a:ext uri="{28A0092B-C50C-407E-A947-70E740481C1C}">
                          <a14:useLocalDpi xmlns:a14="http://schemas.microsoft.com/office/drawing/2010/main" val="0"/>
                        </a:ext>
                      </a:extLst>
                    </a:blip>
                    <a:stretch>
                      <a:fillRect/>
                    </a:stretch>
                  </pic:blipFill>
                  <pic:spPr>
                    <a:xfrm>
                      <a:off x="0" y="0"/>
                      <a:ext cx="5702300" cy="8242300"/>
                    </a:xfrm>
                    <a:prstGeom prst="rect">
                      <a:avLst/>
                    </a:prstGeom>
                  </pic:spPr>
                </pic:pic>
              </a:graphicData>
            </a:graphic>
          </wp:inline>
        </w:drawing>
      </w:r>
    </w:p>
    <w:p w14:paraId="2030F59C" w14:textId="4A700FC7" w:rsidR="004469D6" w:rsidRDefault="004469D6" w:rsidP="004469D6">
      <w:pPr>
        <w:rPr>
          <w:b/>
          <w:bCs/>
        </w:rPr>
      </w:pPr>
    </w:p>
    <w:p w14:paraId="481A1371" w14:textId="2B68C133" w:rsidR="004469D6" w:rsidRDefault="004469D6" w:rsidP="004469D6">
      <w:pPr>
        <w:rPr>
          <w:b/>
          <w:bCs/>
        </w:rPr>
      </w:pPr>
    </w:p>
    <w:p w14:paraId="6CC891A0" w14:textId="7932FA13" w:rsidR="004469D6" w:rsidRDefault="004469D6" w:rsidP="004469D6">
      <w:pPr>
        <w:rPr>
          <w:b/>
          <w:bCs/>
        </w:rPr>
      </w:pPr>
      <w:r>
        <w:rPr>
          <w:b/>
          <w:bCs/>
        </w:rPr>
        <w:lastRenderedPageBreak/>
        <w:t>b.</w:t>
      </w:r>
    </w:p>
    <w:p w14:paraId="33B09A79" w14:textId="0F16933C" w:rsidR="004469D6" w:rsidRDefault="00BF5799" w:rsidP="004469D6">
      <w:pPr>
        <w:rPr>
          <w:b/>
          <w:bCs/>
        </w:rPr>
      </w:pPr>
      <w:r>
        <w:rPr>
          <w:b/>
          <w:bCs/>
          <w:noProof/>
        </w:rPr>
        <w:drawing>
          <wp:inline distT="0" distB="0" distL="0" distR="0" wp14:anchorId="58DD5D6B" wp14:editId="53BD8CDB">
            <wp:extent cx="5384800" cy="6527800"/>
            <wp:effectExtent l="0" t="0" r="0" b="0"/>
            <wp:docPr id="6" name="Picture 6"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p_D_g3_AD.jpg"/>
                    <pic:cNvPicPr/>
                  </pic:nvPicPr>
                  <pic:blipFill>
                    <a:blip r:embed="rId13">
                      <a:extLst>
                        <a:ext uri="{28A0092B-C50C-407E-A947-70E740481C1C}">
                          <a14:useLocalDpi xmlns:a14="http://schemas.microsoft.com/office/drawing/2010/main" val="0"/>
                        </a:ext>
                      </a:extLst>
                    </a:blip>
                    <a:stretch>
                      <a:fillRect/>
                    </a:stretch>
                  </pic:blipFill>
                  <pic:spPr>
                    <a:xfrm>
                      <a:off x="0" y="0"/>
                      <a:ext cx="5384800" cy="6527800"/>
                    </a:xfrm>
                    <a:prstGeom prst="rect">
                      <a:avLst/>
                    </a:prstGeom>
                  </pic:spPr>
                </pic:pic>
              </a:graphicData>
            </a:graphic>
          </wp:inline>
        </w:drawing>
      </w:r>
    </w:p>
    <w:p w14:paraId="5AAFE4E7" w14:textId="77777777" w:rsidR="00BF5799" w:rsidRPr="00845E84" w:rsidRDefault="00BF5799" w:rsidP="00BF5799">
      <w:pPr>
        <w:rPr>
          <w:rFonts w:ascii="Times New Roman" w:hAnsi="Times New Roman" w:cs="Times New Roman"/>
          <w:b/>
          <w:bCs/>
          <w:i/>
          <w:iCs/>
          <w:sz w:val="20"/>
          <w:szCs w:val="20"/>
        </w:rPr>
      </w:pPr>
      <w:r w:rsidRPr="00A34BED">
        <w:rPr>
          <w:rFonts w:ascii="Times New Roman" w:hAnsi="Times New Roman" w:cs="Times New Roman"/>
          <w:b/>
          <w:bCs/>
          <w:sz w:val="20"/>
          <w:szCs w:val="20"/>
        </w:rPr>
        <w:t xml:space="preserve">Figure </w:t>
      </w:r>
      <w:r>
        <w:rPr>
          <w:rFonts w:ascii="Times New Roman" w:hAnsi="Times New Roman" w:cs="Times New Roman"/>
          <w:b/>
          <w:bCs/>
          <w:sz w:val="20"/>
          <w:szCs w:val="20"/>
        </w:rPr>
        <w:t>D3</w:t>
      </w:r>
      <w:r w:rsidRPr="00A34BED">
        <w:rPr>
          <w:rFonts w:ascii="Times New Roman" w:hAnsi="Times New Roman" w:cs="Times New Roman"/>
          <w:b/>
          <w:bCs/>
          <w:sz w:val="20"/>
          <w:szCs w:val="20"/>
        </w:rPr>
        <w:t xml:space="preserve">. Gradient 1 and </w:t>
      </w:r>
      <w:r>
        <w:rPr>
          <w:rFonts w:ascii="Times New Roman" w:hAnsi="Times New Roman" w:cs="Times New Roman"/>
          <w:b/>
          <w:bCs/>
          <w:sz w:val="20"/>
          <w:szCs w:val="20"/>
        </w:rPr>
        <w:t>3</w:t>
      </w:r>
      <w:r w:rsidRPr="00A34BED">
        <w:rPr>
          <w:rFonts w:ascii="Times New Roman" w:hAnsi="Times New Roman" w:cs="Times New Roman"/>
          <w:b/>
          <w:bCs/>
          <w:sz w:val="20"/>
          <w:szCs w:val="20"/>
        </w:rPr>
        <w:t xml:space="preserve"> values plotted for each of the</w:t>
      </w:r>
      <w:r>
        <w:rPr>
          <w:rFonts w:ascii="Times New Roman" w:hAnsi="Times New Roman" w:cs="Times New Roman"/>
          <w:b/>
          <w:bCs/>
          <w:sz w:val="20"/>
          <w:szCs w:val="20"/>
        </w:rPr>
        <w:t xml:space="preserve"> </w:t>
      </w:r>
      <w:r w:rsidRPr="00A34BED">
        <w:rPr>
          <w:rFonts w:ascii="Times New Roman" w:hAnsi="Times New Roman" w:cs="Times New Roman"/>
          <w:b/>
          <w:bCs/>
          <w:sz w:val="20"/>
          <w:szCs w:val="20"/>
        </w:rPr>
        <w:t>18 jackknife analyses</w:t>
      </w:r>
      <w:r>
        <w:rPr>
          <w:rFonts w:ascii="Times New Roman" w:hAnsi="Times New Roman" w:cs="Times New Roman"/>
          <w:b/>
          <w:bCs/>
          <w:sz w:val="20"/>
          <w:szCs w:val="20"/>
        </w:rPr>
        <w:t xml:space="preserve"> of age-related grey matter decline (a) and the 13 jackknife analyses for AD (b)</w:t>
      </w:r>
      <w:r w:rsidRPr="00A34BED">
        <w:rPr>
          <w:rFonts w:ascii="Times New Roman" w:hAnsi="Times New Roman" w:cs="Times New Roman"/>
          <w:b/>
          <w:bCs/>
          <w:sz w:val="20"/>
          <w:szCs w:val="20"/>
        </w:rPr>
        <w:t>.</w:t>
      </w:r>
      <w:r>
        <w:rPr>
          <w:rFonts w:ascii="Times New Roman" w:hAnsi="Times New Roman" w:cs="Times New Roman"/>
          <w:b/>
          <w:bCs/>
          <w:sz w:val="20"/>
          <w:szCs w:val="20"/>
        </w:rPr>
        <w:t xml:space="preserve"> The number of subjects included in each study is indicated by </w:t>
      </w:r>
      <w:r>
        <w:rPr>
          <w:rFonts w:ascii="Times New Roman" w:hAnsi="Times New Roman" w:cs="Times New Roman"/>
          <w:b/>
          <w:bCs/>
          <w:i/>
          <w:iCs/>
          <w:sz w:val="20"/>
          <w:szCs w:val="20"/>
        </w:rPr>
        <w:t>n</w:t>
      </w:r>
      <w:r>
        <w:rPr>
          <w:rFonts w:ascii="Times New Roman" w:hAnsi="Times New Roman" w:cs="Times New Roman"/>
          <w:b/>
          <w:bCs/>
          <w:sz w:val="20"/>
          <w:szCs w:val="20"/>
        </w:rPr>
        <w:t xml:space="preserve"> and the number of coordinates of cerebellar grey matter loss is given by </w:t>
      </w:r>
      <w:r>
        <w:rPr>
          <w:rFonts w:ascii="Times New Roman" w:hAnsi="Times New Roman" w:cs="Times New Roman"/>
          <w:b/>
          <w:bCs/>
          <w:i/>
          <w:iCs/>
          <w:sz w:val="20"/>
          <w:szCs w:val="20"/>
        </w:rPr>
        <w:t>k.</w:t>
      </w:r>
    </w:p>
    <w:p w14:paraId="28ED520D" w14:textId="77777777" w:rsidR="00BF5799" w:rsidRDefault="00BF5799" w:rsidP="00BF5799">
      <w:pPr>
        <w:rPr>
          <w:rFonts w:ascii="Times New Roman" w:hAnsi="Times New Roman" w:cs="Times New Roman"/>
          <w:b/>
          <w:bCs/>
          <w:sz w:val="20"/>
          <w:szCs w:val="20"/>
        </w:rPr>
      </w:pPr>
    </w:p>
    <w:p w14:paraId="33719849" w14:textId="77777777" w:rsidR="00BF5799" w:rsidRDefault="00BF5799" w:rsidP="00BF5799">
      <w:pPr>
        <w:rPr>
          <w:rFonts w:ascii="Times New Roman" w:hAnsi="Times New Roman" w:cs="Times New Roman"/>
          <w:b/>
          <w:bCs/>
          <w:sz w:val="20"/>
          <w:szCs w:val="20"/>
        </w:rPr>
      </w:pPr>
    </w:p>
    <w:p w14:paraId="27EC0103" w14:textId="77777777" w:rsidR="00BF5799" w:rsidRDefault="00BF5799" w:rsidP="00BF5799">
      <w:pPr>
        <w:rPr>
          <w:rFonts w:ascii="Times New Roman" w:hAnsi="Times New Roman" w:cs="Times New Roman"/>
          <w:b/>
          <w:bCs/>
          <w:sz w:val="20"/>
          <w:szCs w:val="20"/>
        </w:rPr>
        <w:sectPr w:rsidR="00BF5799" w:rsidSect="00FA5CCD">
          <w:pgSz w:w="11900" w:h="16820"/>
          <w:pgMar w:top="1440" w:right="1440" w:bottom="1440" w:left="1440" w:header="720" w:footer="720" w:gutter="0"/>
          <w:cols w:space="720"/>
          <w:docGrid w:linePitch="360"/>
        </w:sectPr>
      </w:pPr>
    </w:p>
    <w:p w14:paraId="71ADADF8" w14:textId="38F94790" w:rsidR="00091714" w:rsidRPr="00FA53E0" w:rsidRDefault="00091714" w:rsidP="00091714">
      <w:pPr>
        <w:rPr>
          <w:rFonts w:ascii="Times New Roman" w:hAnsi="Times New Roman" w:cs="Times New Roman"/>
          <w:b/>
          <w:bCs/>
          <w:sz w:val="20"/>
          <w:szCs w:val="20"/>
        </w:rPr>
      </w:pPr>
      <w:r>
        <w:rPr>
          <w:rFonts w:ascii="Times New Roman" w:hAnsi="Times New Roman" w:cs="Times New Roman"/>
          <w:b/>
          <w:bCs/>
          <w:sz w:val="20"/>
          <w:szCs w:val="20"/>
        </w:rPr>
        <w:lastRenderedPageBreak/>
        <w:tab/>
        <w:t xml:space="preserve">               13 Alzheimer’s disease jackknife tests</w:t>
      </w:r>
      <w:r>
        <w:rPr>
          <w:rFonts w:ascii="Times New Roman" w:hAnsi="Times New Roman" w:cs="Times New Roman"/>
          <w:b/>
          <w:bCs/>
          <w:sz w:val="20"/>
          <w:szCs w:val="20"/>
        </w:rPr>
        <w:tab/>
      </w:r>
      <w:r>
        <w:rPr>
          <w:rFonts w:ascii="Times New Roman" w:hAnsi="Times New Roman" w:cs="Times New Roman"/>
          <w:b/>
          <w:bCs/>
          <w:sz w:val="20"/>
          <w:szCs w:val="20"/>
        </w:rPr>
        <w:t xml:space="preserve">          </w:t>
      </w:r>
      <w:r>
        <w:rPr>
          <w:rFonts w:ascii="Times New Roman" w:hAnsi="Times New Roman" w:cs="Times New Roman"/>
          <w:b/>
          <w:bCs/>
          <w:sz w:val="20"/>
          <w:szCs w:val="20"/>
        </w:rPr>
        <w:t>18 healthy ageing jackknife tests</w:t>
      </w:r>
    </w:p>
    <w:p w14:paraId="2EF7E9AC" w14:textId="14F56D8A" w:rsidR="00091714" w:rsidRDefault="00091714" w:rsidP="00091714">
      <w:pPr>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267814C3" wp14:editId="3CC083DE">
            <wp:extent cx="5879940" cy="7666708"/>
            <wp:effectExtent l="0" t="0" r="63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p_D_jckknife_hist.pdf"/>
                    <pic:cNvPicPr/>
                  </pic:nvPicPr>
                  <pic:blipFill rotWithShape="1">
                    <a:blip r:embed="rId14">
                      <a:extLst>
                        <a:ext uri="{28A0092B-C50C-407E-A947-70E740481C1C}">
                          <a14:useLocalDpi xmlns:a14="http://schemas.microsoft.com/office/drawing/2010/main" val="0"/>
                        </a:ext>
                      </a:extLst>
                    </a:blip>
                    <a:srcRect l="3720" t="15170" b="14218"/>
                    <a:stretch/>
                  </pic:blipFill>
                  <pic:spPr bwMode="auto">
                    <a:xfrm>
                      <a:off x="0" y="0"/>
                      <a:ext cx="5886533" cy="7675304"/>
                    </a:xfrm>
                    <a:prstGeom prst="rect">
                      <a:avLst/>
                    </a:prstGeom>
                    <a:ln>
                      <a:noFill/>
                    </a:ln>
                    <a:extLst>
                      <a:ext uri="{53640926-AAD7-44D8-BBD7-CCE9431645EC}">
                        <a14:shadowObscured xmlns:a14="http://schemas.microsoft.com/office/drawing/2010/main"/>
                      </a:ext>
                    </a:extLst>
                  </pic:spPr>
                </pic:pic>
              </a:graphicData>
            </a:graphic>
          </wp:inline>
        </w:drawing>
      </w:r>
    </w:p>
    <w:p w14:paraId="77CC3895" w14:textId="77777777" w:rsidR="00091714" w:rsidRDefault="00091714" w:rsidP="00091714">
      <w:pPr>
        <w:rPr>
          <w:rFonts w:ascii="Times New Roman" w:hAnsi="Times New Roman" w:cs="Times New Roman"/>
          <w:b/>
          <w:bCs/>
          <w:sz w:val="20"/>
          <w:szCs w:val="20"/>
        </w:rPr>
      </w:pPr>
      <w:r>
        <w:rPr>
          <w:rFonts w:ascii="Times New Roman" w:hAnsi="Times New Roman" w:cs="Times New Roman"/>
          <w:b/>
          <w:bCs/>
          <w:sz w:val="20"/>
          <w:szCs w:val="20"/>
        </w:rPr>
        <w:t xml:space="preserve">Figure D4. Summary of differences in gradient values between AD and healthy ageing following a jackknife procedure. </w:t>
      </w:r>
    </w:p>
    <w:p w14:paraId="70A3A8CF" w14:textId="77777777" w:rsidR="00091714" w:rsidRDefault="00091714" w:rsidP="00091714">
      <w:pPr>
        <w:rPr>
          <w:rFonts w:ascii="Times New Roman" w:hAnsi="Times New Roman" w:cs="Times New Roman"/>
          <w:b/>
          <w:bCs/>
          <w:sz w:val="20"/>
          <w:szCs w:val="20"/>
        </w:rPr>
      </w:pPr>
      <w:r>
        <w:rPr>
          <w:rFonts w:ascii="Times New Roman" w:hAnsi="Times New Roman" w:cs="Times New Roman"/>
          <w:b/>
          <w:bCs/>
          <w:sz w:val="20"/>
          <w:szCs w:val="20"/>
        </w:rPr>
        <w:t xml:space="preserve">Panels a, b, and c represent jackknife analyses for gradients 1, 2, and 3, respectively. The differences between gradient values for AD and ageing were calculated as </w:t>
      </w:r>
      <w:r>
        <w:rPr>
          <w:rFonts w:ascii="Times New Roman" w:hAnsi="Times New Roman" w:cs="Times New Roman"/>
          <w:b/>
          <w:bCs/>
          <w:i/>
          <w:iCs/>
          <w:sz w:val="20"/>
          <w:szCs w:val="20"/>
        </w:rPr>
        <w:t>z-</w:t>
      </w:r>
      <w:r>
        <w:rPr>
          <w:rFonts w:ascii="Times New Roman" w:hAnsi="Times New Roman" w:cs="Times New Roman"/>
          <w:b/>
          <w:bCs/>
          <w:sz w:val="20"/>
          <w:szCs w:val="20"/>
        </w:rPr>
        <w:t xml:space="preserve">scores based on the Wilcoxon rank sum test. Left panels show results of comparing the gradient values from the total healthy ageing sample (18 studies) to the gradient values from the Alzheimer’s disease data set with a given study removed from the analysis (i.e. 12 studies rather than the full 13). Right panels show results of comparing the gradient values from the total AD sample (13 </w:t>
      </w:r>
      <w:r>
        <w:rPr>
          <w:rFonts w:ascii="Times New Roman" w:hAnsi="Times New Roman" w:cs="Times New Roman"/>
          <w:b/>
          <w:bCs/>
          <w:sz w:val="20"/>
          <w:szCs w:val="20"/>
        </w:rPr>
        <w:lastRenderedPageBreak/>
        <w:t>studies) to the gradient values from the healthy ageing data set with a given study removed from the analysis (i.e. 17 studies rather than the full 18). The red asterisk marks the observed mean difference between all AD and all healthy ageing studies.</w:t>
      </w:r>
    </w:p>
    <w:p w14:paraId="701B198B" w14:textId="021C2D5D" w:rsidR="00BF5799" w:rsidRDefault="00BF5799" w:rsidP="004469D6">
      <w:pPr>
        <w:rPr>
          <w:b/>
          <w:bCs/>
        </w:rPr>
      </w:pPr>
    </w:p>
    <w:p w14:paraId="2750549F" w14:textId="77777777" w:rsidR="0085214A" w:rsidRPr="00EB3881" w:rsidRDefault="0085214A" w:rsidP="0085214A">
      <w:pPr>
        <w:rPr>
          <w:rFonts w:ascii="Times New Roman" w:hAnsi="Times New Roman" w:cs="Times New Roman"/>
          <w:b/>
          <w:bCs/>
        </w:rPr>
      </w:pPr>
      <w:r w:rsidRPr="00EB3881">
        <w:rPr>
          <w:rFonts w:ascii="Times New Roman" w:hAnsi="Times New Roman" w:cs="Times New Roman"/>
          <w:b/>
          <w:bCs/>
        </w:rPr>
        <w:t>References</w:t>
      </w:r>
    </w:p>
    <w:bookmarkStart w:id="0" w:name="_GoBack"/>
    <w:p w14:paraId="4FCB0E62" w14:textId="77777777" w:rsidR="0085214A" w:rsidRPr="00105428" w:rsidRDefault="0085214A" w:rsidP="0085214A">
      <w:pPr>
        <w:widowControl w:val="0"/>
        <w:autoSpaceDE w:val="0"/>
        <w:autoSpaceDN w:val="0"/>
        <w:adjustRightInd w:val="0"/>
        <w:ind w:left="640" w:hanging="640"/>
        <w:rPr>
          <w:rFonts w:ascii="Times New Roman" w:hAnsi="Times New Roman" w:cs="Times New Roman"/>
          <w:noProof/>
        </w:rPr>
      </w:pPr>
      <w:r w:rsidRPr="00EB3881">
        <w:rPr>
          <w:rFonts w:ascii="Times New Roman" w:hAnsi="Times New Roman" w:cs="Times New Roman"/>
          <w:b/>
          <w:bCs/>
        </w:rPr>
        <w:fldChar w:fldCharType="begin" w:fldLock="1"/>
      </w:r>
      <w:r w:rsidRPr="00EB3881">
        <w:rPr>
          <w:rFonts w:ascii="Times New Roman" w:hAnsi="Times New Roman" w:cs="Times New Roman"/>
          <w:b/>
          <w:bCs/>
        </w:rPr>
        <w:instrText xml:space="preserve">ADDIN Mendeley Bibliography CSL_BIBLIOGRAPHY </w:instrText>
      </w:r>
      <w:r w:rsidRPr="00EB3881">
        <w:rPr>
          <w:rFonts w:ascii="Times New Roman" w:hAnsi="Times New Roman" w:cs="Times New Roman"/>
          <w:b/>
          <w:bCs/>
        </w:rPr>
        <w:fldChar w:fldCharType="separate"/>
      </w:r>
      <w:r w:rsidRPr="00105428">
        <w:rPr>
          <w:rFonts w:ascii="Times New Roman" w:hAnsi="Times New Roman" w:cs="Times New Roman"/>
          <w:noProof/>
        </w:rPr>
        <w:t>[1]</w:t>
      </w:r>
      <w:r w:rsidRPr="00105428">
        <w:rPr>
          <w:rFonts w:ascii="Times New Roman" w:hAnsi="Times New Roman" w:cs="Times New Roman"/>
          <w:noProof/>
        </w:rPr>
        <w:tab/>
        <w:t>Hu S, Ide JS, Chao HH, Castagna B, Fischer KA, Zhang S, et al. Structural and functional cerebral bases of diminished inhibitory control during healthy aging. Hum Brain Mapp 2018;39:5085–5096. doi:10.1002/hbm.24347.</w:t>
      </w:r>
    </w:p>
    <w:p w14:paraId="3BF3AF67" w14:textId="77777777" w:rsidR="0085214A" w:rsidRPr="00105428" w:rsidRDefault="0085214A" w:rsidP="0085214A">
      <w:pPr>
        <w:widowControl w:val="0"/>
        <w:autoSpaceDE w:val="0"/>
        <w:autoSpaceDN w:val="0"/>
        <w:adjustRightInd w:val="0"/>
        <w:ind w:left="640" w:hanging="640"/>
        <w:rPr>
          <w:rFonts w:ascii="Times New Roman" w:hAnsi="Times New Roman" w:cs="Times New Roman"/>
          <w:noProof/>
        </w:rPr>
      </w:pPr>
      <w:r w:rsidRPr="00105428">
        <w:rPr>
          <w:rFonts w:ascii="Times New Roman" w:hAnsi="Times New Roman" w:cs="Times New Roman"/>
          <w:noProof/>
        </w:rPr>
        <w:t>[2]</w:t>
      </w:r>
      <w:r w:rsidRPr="00105428">
        <w:rPr>
          <w:rFonts w:ascii="Times New Roman" w:hAnsi="Times New Roman" w:cs="Times New Roman"/>
          <w:noProof/>
        </w:rPr>
        <w:tab/>
        <w:t>Antonova E, Parslow D, Brammer M, Dawson GR, Jackson SHDD, Morris RG. Age-related neural activity during allocentric spatial memory. Memory 2009;17:125–43. doi:10.1080/09658210802077348.</w:t>
      </w:r>
    </w:p>
    <w:p w14:paraId="0E9CC82E" w14:textId="77777777" w:rsidR="0085214A" w:rsidRPr="00105428" w:rsidRDefault="0085214A" w:rsidP="0085214A">
      <w:pPr>
        <w:widowControl w:val="0"/>
        <w:autoSpaceDE w:val="0"/>
        <w:autoSpaceDN w:val="0"/>
        <w:adjustRightInd w:val="0"/>
        <w:ind w:left="640" w:hanging="640"/>
        <w:rPr>
          <w:rFonts w:ascii="Times New Roman" w:hAnsi="Times New Roman" w:cs="Times New Roman"/>
          <w:noProof/>
        </w:rPr>
      </w:pPr>
      <w:r w:rsidRPr="0085214A">
        <w:rPr>
          <w:rFonts w:ascii="Times New Roman" w:hAnsi="Times New Roman" w:cs="Times New Roman"/>
          <w:noProof/>
          <w:lang w:val="de-DE"/>
        </w:rPr>
        <w:t>[3]</w:t>
      </w:r>
      <w:r w:rsidRPr="0085214A">
        <w:rPr>
          <w:rFonts w:ascii="Times New Roman" w:hAnsi="Times New Roman" w:cs="Times New Roman"/>
          <w:noProof/>
          <w:lang w:val="de-DE"/>
        </w:rPr>
        <w:tab/>
        <w:t xml:space="preserve">Yu T, Korgaonkar MS, Grieve SM. </w:t>
      </w:r>
      <w:r w:rsidRPr="00105428">
        <w:rPr>
          <w:rFonts w:ascii="Times New Roman" w:hAnsi="Times New Roman" w:cs="Times New Roman"/>
          <w:noProof/>
        </w:rPr>
        <w:t>Gray matter atrophy in the cerebellum—Evidence of increased vulnerability of the crus and vermis with advancing age. The Cerebellum 2017;16:388–97. doi:10.1007/s12311-016-0813-x.</w:t>
      </w:r>
    </w:p>
    <w:p w14:paraId="2FB8444F" w14:textId="77777777" w:rsidR="0085214A" w:rsidRPr="00105428" w:rsidRDefault="0085214A" w:rsidP="0085214A">
      <w:pPr>
        <w:widowControl w:val="0"/>
        <w:autoSpaceDE w:val="0"/>
        <w:autoSpaceDN w:val="0"/>
        <w:adjustRightInd w:val="0"/>
        <w:ind w:left="640" w:hanging="640"/>
        <w:rPr>
          <w:rFonts w:ascii="Times New Roman" w:hAnsi="Times New Roman" w:cs="Times New Roman"/>
          <w:noProof/>
        </w:rPr>
      </w:pPr>
      <w:r w:rsidRPr="00105428">
        <w:rPr>
          <w:rFonts w:ascii="Times New Roman" w:hAnsi="Times New Roman" w:cs="Times New Roman"/>
          <w:noProof/>
        </w:rPr>
        <w:t>[4]</w:t>
      </w:r>
      <w:r w:rsidRPr="00105428">
        <w:rPr>
          <w:rFonts w:ascii="Times New Roman" w:hAnsi="Times New Roman" w:cs="Times New Roman"/>
          <w:noProof/>
        </w:rPr>
        <w:tab/>
        <w:t>Kalpouzos G, Chételat G, Landeau B, Clochon P, Viader F, Eustache F, et al. Structural and metabolic correlates of episodic memory in relation to the depth of encoding in normal aging. J Cogn Neurosci 2009;21:372–89. doi:10.1162/jocn.2008.21027.</w:t>
      </w:r>
    </w:p>
    <w:p w14:paraId="4B215BFF" w14:textId="77777777" w:rsidR="0085214A" w:rsidRPr="00105428" w:rsidRDefault="0085214A" w:rsidP="0085214A">
      <w:pPr>
        <w:widowControl w:val="0"/>
        <w:autoSpaceDE w:val="0"/>
        <w:autoSpaceDN w:val="0"/>
        <w:adjustRightInd w:val="0"/>
        <w:ind w:left="640" w:hanging="640"/>
        <w:rPr>
          <w:rFonts w:ascii="Times New Roman" w:hAnsi="Times New Roman" w:cs="Times New Roman"/>
          <w:noProof/>
        </w:rPr>
      </w:pPr>
      <w:r w:rsidRPr="00105428">
        <w:rPr>
          <w:rFonts w:ascii="Times New Roman" w:hAnsi="Times New Roman" w:cs="Times New Roman"/>
          <w:noProof/>
        </w:rPr>
        <w:t>[5]</w:t>
      </w:r>
      <w:r w:rsidRPr="00105428">
        <w:rPr>
          <w:rFonts w:ascii="Times New Roman" w:hAnsi="Times New Roman" w:cs="Times New Roman"/>
          <w:noProof/>
        </w:rPr>
        <w:tab/>
        <w:t>Canu E, McLaren DG, Fitzgerald ME, Bendlin BB, Zoccatelli G, Alessandrini F, et al. Mapping the structural brain changes in Alzheimer’s disease: The independent contribution of two imaging modalities. Adv Alzheimer’s Dis 2011;2:487–98. doi:10.3233/978-1-60750-793-2-487.</w:t>
      </w:r>
    </w:p>
    <w:p w14:paraId="59D3228C" w14:textId="77777777" w:rsidR="0085214A" w:rsidRPr="00105428" w:rsidRDefault="0085214A" w:rsidP="0085214A">
      <w:pPr>
        <w:widowControl w:val="0"/>
        <w:autoSpaceDE w:val="0"/>
        <w:autoSpaceDN w:val="0"/>
        <w:adjustRightInd w:val="0"/>
        <w:ind w:left="640" w:hanging="640"/>
        <w:rPr>
          <w:rFonts w:ascii="Times New Roman" w:hAnsi="Times New Roman" w:cs="Times New Roman"/>
          <w:noProof/>
        </w:rPr>
      </w:pPr>
      <w:r w:rsidRPr="00105428">
        <w:rPr>
          <w:rFonts w:ascii="Times New Roman" w:hAnsi="Times New Roman" w:cs="Times New Roman"/>
          <w:noProof/>
        </w:rPr>
        <w:t>[6]</w:t>
      </w:r>
      <w:r w:rsidRPr="00105428">
        <w:rPr>
          <w:rFonts w:ascii="Times New Roman" w:hAnsi="Times New Roman" w:cs="Times New Roman"/>
          <w:noProof/>
        </w:rPr>
        <w:tab/>
        <w:t>Guo CC, Tan R, Hodges JR, Hu X, Sami S, Hornberger M. Network-selective vulnerability of the human cerebellum to Alzheimer’s disease and frontotemporal dementia. Brain 2016;139:1527–38. doi:10.1093/brain/aww003.</w:t>
      </w:r>
    </w:p>
    <w:p w14:paraId="13E137B1" w14:textId="77777777" w:rsidR="0085214A" w:rsidRPr="00105428" w:rsidRDefault="0085214A" w:rsidP="0085214A">
      <w:pPr>
        <w:widowControl w:val="0"/>
        <w:autoSpaceDE w:val="0"/>
        <w:autoSpaceDN w:val="0"/>
        <w:adjustRightInd w:val="0"/>
        <w:ind w:left="640" w:hanging="640"/>
        <w:rPr>
          <w:rFonts w:ascii="Times New Roman" w:hAnsi="Times New Roman" w:cs="Times New Roman"/>
          <w:noProof/>
        </w:rPr>
      </w:pPr>
      <w:r w:rsidRPr="00105428">
        <w:rPr>
          <w:rFonts w:ascii="Times New Roman" w:hAnsi="Times New Roman" w:cs="Times New Roman"/>
          <w:noProof/>
        </w:rPr>
        <w:t>[7]</w:t>
      </w:r>
      <w:r w:rsidRPr="00105428">
        <w:rPr>
          <w:rFonts w:ascii="Times New Roman" w:hAnsi="Times New Roman" w:cs="Times New Roman"/>
          <w:noProof/>
        </w:rPr>
        <w:tab/>
        <w:t>Canu E, Frisoni GB, Agosta F, Pievani M, Bonetti M, Filippi M. Early and late onset Alzheimer’s disease patients have distinct patterns of white matter damage. Neurobiol Aging 2012;33:1023–33. doi:10.1016/j.neurobiolaging.2010.09.021.</w:t>
      </w:r>
    </w:p>
    <w:p w14:paraId="42224B2E" w14:textId="77777777" w:rsidR="0085214A" w:rsidRPr="00105428" w:rsidRDefault="0085214A" w:rsidP="0085214A">
      <w:pPr>
        <w:widowControl w:val="0"/>
        <w:autoSpaceDE w:val="0"/>
        <w:autoSpaceDN w:val="0"/>
        <w:adjustRightInd w:val="0"/>
        <w:ind w:left="640" w:hanging="640"/>
        <w:rPr>
          <w:rFonts w:ascii="Times New Roman" w:hAnsi="Times New Roman" w:cs="Times New Roman"/>
          <w:noProof/>
        </w:rPr>
      </w:pPr>
      <w:r w:rsidRPr="00105428">
        <w:rPr>
          <w:rFonts w:ascii="Times New Roman" w:hAnsi="Times New Roman" w:cs="Times New Roman"/>
          <w:noProof/>
        </w:rPr>
        <w:t>[8]</w:t>
      </w:r>
      <w:r w:rsidRPr="00105428">
        <w:rPr>
          <w:rFonts w:ascii="Times New Roman" w:hAnsi="Times New Roman" w:cs="Times New Roman"/>
          <w:noProof/>
        </w:rPr>
        <w:tab/>
        <w:t>Möller C, Vrenken H, Jiskoot L, Versteeg A, Barkhof F, Scheltens P, et al. Different patterns of gray matter atrophy in early- and late-onset Alzheimer’s disease. Neurobiol Aging 2013;34:2014–22. doi:http://dx.doi.org/10.1016/j.neurobiolaging.2013.02.013.</w:t>
      </w:r>
    </w:p>
    <w:p w14:paraId="38AB014C" w14:textId="77777777" w:rsidR="0085214A" w:rsidRPr="00105428" w:rsidRDefault="0085214A" w:rsidP="0085214A">
      <w:pPr>
        <w:widowControl w:val="0"/>
        <w:autoSpaceDE w:val="0"/>
        <w:autoSpaceDN w:val="0"/>
        <w:adjustRightInd w:val="0"/>
        <w:ind w:left="640" w:hanging="640"/>
        <w:rPr>
          <w:rFonts w:ascii="Times New Roman" w:hAnsi="Times New Roman" w:cs="Times New Roman"/>
          <w:noProof/>
        </w:rPr>
      </w:pPr>
      <w:r w:rsidRPr="00105428">
        <w:rPr>
          <w:rFonts w:ascii="Times New Roman" w:hAnsi="Times New Roman" w:cs="Times New Roman"/>
          <w:noProof/>
        </w:rPr>
        <w:t>[9]</w:t>
      </w:r>
      <w:r w:rsidRPr="00105428">
        <w:rPr>
          <w:rFonts w:ascii="Times New Roman" w:hAnsi="Times New Roman" w:cs="Times New Roman"/>
          <w:noProof/>
        </w:rPr>
        <w:tab/>
        <w:t>Toniolo S, Serra L, Olivito G, Marra C, Bozzali M, Cercignani M. Patterns of cerebellar gray matter atrophy across Alzheimer’s disease progression. Front Cell Neurosci 2018;12:1–8. doi:10.3389/fncel.2018.00430.</w:t>
      </w:r>
    </w:p>
    <w:p w14:paraId="135D956E" w14:textId="77777777" w:rsidR="0085214A" w:rsidRPr="00105428" w:rsidRDefault="0085214A" w:rsidP="0085214A">
      <w:pPr>
        <w:widowControl w:val="0"/>
        <w:autoSpaceDE w:val="0"/>
        <w:autoSpaceDN w:val="0"/>
        <w:adjustRightInd w:val="0"/>
        <w:ind w:left="640" w:hanging="640"/>
        <w:rPr>
          <w:rFonts w:ascii="Times New Roman" w:hAnsi="Times New Roman" w:cs="Times New Roman"/>
          <w:noProof/>
        </w:rPr>
      </w:pPr>
      <w:r w:rsidRPr="00105428">
        <w:rPr>
          <w:rFonts w:ascii="Times New Roman" w:hAnsi="Times New Roman" w:cs="Times New Roman"/>
          <w:noProof/>
        </w:rPr>
        <w:t>[10]</w:t>
      </w:r>
      <w:r w:rsidRPr="00105428">
        <w:rPr>
          <w:rFonts w:ascii="Times New Roman" w:hAnsi="Times New Roman" w:cs="Times New Roman"/>
          <w:noProof/>
        </w:rPr>
        <w:tab/>
        <w:t>Abe O, Yamasue H, Aoki S, Suga M, Yamada H, Kasai K, et al. Aging in the CNS: comparison of gray/white matter volume and diffusion tensor data. Neurobiol Aging 2008;29:102–16. doi:10.1016/j.neurobiolaging.2006.09.003.</w:t>
      </w:r>
    </w:p>
    <w:p w14:paraId="083A681E" w14:textId="77777777" w:rsidR="0085214A" w:rsidRPr="00105428" w:rsidRDefault="0085214A" w:rsidP="0085214A">
      <w:pPr>
        <w:widowControl w:val="0"/>
        <w:autoSpaceDE w:val="0"/>
        <w:autoSpaceDN w:val="0"/>
        <w:adjustRightInd w:val="0"/>
        <w:ind w:left="640" w:hanging="640"/>
        <w:rPr>
          <w:rFonts w:ascii="Times New Roman" w:hAnsi="Times New Roman" w:cs="Times New Roman"/>
          <w:noProof/>
        </w:rPr>
      </w:pPr>
      <w:r w:rsidRPr="00105428">
        <w:rPr>
          <w:rFonts w:ascii="Times New Roman" w:hAnsi="Times New Roman" w:cs="Times New Roman"/>
          <w:noProof/>
        </w:rPr>
        <w:t>[11]</w:t>
      </w:r>
      <w:r w:rsidRPr="00105428">
        <w:rPr>
          <w:rFonts w:ascii="Times New Roman" w:hAnsi="Times New Roman" w:cs="Times New Roman"/>
          <w:noProof/>
        </w:rPr>
        <w:tab/>
        <w:t>Alexander GE, Chen K, Merkley TL, Reiman EM, Caselli RJ, Aschenbrenner M, et al. Regional network of magnetic resonance imaging gray matter volume in healthy aging. Neuroreport 2006;17:951–6. doi:10.1097/01.wnr.0000220135.16844.b6.</w:t>
      </w:r>
    </w:p>
    <w:p w14:paraId="43B9017E" w14:textId="77777777" w:rsidR="0085214A" w:rsidRPr="00105428" w:rsidRDefault="0085214A" w:rsidP="0085214A">
      <w:pPr>
        <w:widowControl w:val="0"/>
        <w:autoSpaceDE w:val="0"/>
        <w:autoSpaceDN w:val="0"/>
        <w:adjustRightInd w:val="0"/>
        <w:ind w:left="640" w:hanging="640"/>
        <w:rPr>
          <w:rFonts w:ascii="Times New Roman" w:hAnsi="Times New Roman" w:cs="Times New Roman"/>
          <w:noProof/>
        </w:rPr>
      </w:pPr>
      <w:r w:rsidRPr="00105428">
        <w:rPr>
          <w:rFonts w:ascii="Times New Roman" w:hAnsi="Times New Roman" w:cs="Times New Roman"/>
          <w:noProof/>
        </w:rPr>
        <w:t>[12]</w:t>
      </w:r>
      <w:r w:rsidRPr="00105428">
        <w:rPr>
          <w:rFonts w:ascii="Times New Roman" w:hAnsi="Times New Roman" w:cs="Times New Roman"/>
          <w:noProof/>
        </w:rPr>
        <w:tab/>
        <w:t>Bauer E, Gebhardt H, Gruppe H, Gallhofer B, Sammer G. Altered negative priming in older subjects: First evidence from behavioral and neural level. Front Hum Neurosci 2012;6:1–10. doi:10.3389/fnhum.2012.00270.</w:t>
      </w:r>
    </w:p>
    <w:p w14:paraId="2B7B1A43" w14:textId="77777777" w:rsidR="0085214A" w:rsidRPr="00105428" w:rsidRDefault="0085214A" w:rsidP="0085214A">
      <w:pPr>
        <w:widowControl w:val="0"/>
        <w:autoSpaceDE w:val="0"/>
        <w:autoSpaceDN w:val="0"/>
        <w:adjustRightInd w:val="0"/>
        <w:ind w:left="640" w:hanging="640"/>
        <w:rPr>
          <w:rFonts w:ascii="Times New Roman" w:hAnsi="Times New Roman" w:cs="Times New Roman"/>
          <w:noProof/>
        </w:rPr>
      </w:pPr>
      <w:r w:rsidRPr="00105428">
        <w:rPr>
          <w:rFonts w:ascii="Times New Roman" w:hAnsi="Times New Roman" w:cs="Times New Roman"/>
          <w:noProof/>
        </w:rPr>
        <w:t>[13]</w:t>
      </w:r>
      <w:r w:rsidRPr="00105428">
        <w:rPr>
          <w:rFonts w:ascii="Times New Roman" w:hAnsi="Times New Roman" w:cs="Times New Roman"/>
          <w:noProof/>
        </w:rPr>
        <w:tab/>
        <w:t>Bauer E, Sammer G, Toepper M. Performance level and cortical atrophy modulate the neural response to increasing working memory load in younger and older adults. Front Aging Neurosci 2018;10:1–15. doi:10.3389/fnagi.2018.00265.</w:t>
      </w:r>
    </w:p>
    <w:p w14:paraId="2CAB4DDD" w14:textId="77777777" w:rsidR="0085214A" w:rsidRPr="00105428" w:rsidRDefault="0085214A" w:rsidP="0085214A">
      <w:pPr>
        <w:widowControl w:val="0"/>
        <w:autoSpaceDE w:val="0"/>
        <w:autoSpaceDN w:val="0"/>
        <w:adjustRightInd w:val="0"/>
        <w:ind w:left="640" w:hanging="640"/>
        <w:rPr>
          <w:rFonts w:ascii="Times New Roman" w:hAnsi="Times New Roman" w:cs="Times New Roman"/>
          <w:noProof/>
        </w:rPr>
      </w:pPr>
      <w:r w:rsidRPr="00105428">
        <w:rPr>
          <w:rFonts w:ascii="Times New Roman" w:hAnsi="Times New Roman" w:cs="Times New Roman"/>
          <w:noProof/>
        </w:rPr>
        <w:t>[14]</w:t>
      </w:r>
      <w:r w:rsidRPr="00105428">
        <w:rPr>
          <w:rFonts w:ascii="Times New Roman" w:hAnsi="Times New Roman" w:cs="Times New Roman"/>
          <w:noProof/>
        </w:rPr>
        <w:tab/>
        <w:t>Bergfield KL, Hanson KD, Chen K, Teipel SJ, Hampel H, Rapoport SI, et al. Age-related networks of regional covariance in MRI gray matter: Reproducible multivariate patterns in healthy aging. Neuroimage 2010;49:1750–9. doi:10.1016/j.neuroimage.2009.09.051.</w:t>
      </w:r>
    </w:p>
    <w:p w14:paraId="42D6E2BD" w14:textId="77777777" w:rsidR="0085214A" w:rsidRPr="00105428" w:rsidRDefault="0085214A" w:rsidP="0085214A">
      <w:pPr>
        <w:widowControl w:val="0"/>
        <w:autoSpaceDE w:val="0"/>
        <w:autoSpaceDN w:val="0"/>
        <w:adjustRightInd w:val="0"/>
        <w:ind w:left="640" w:hanging="640"/>
        <w:rPr>
          <w:rFonts w:ascii="Times New Roman" w:hAnsi="Times New Roman" w:cs="Times New Roman"/>
          <w:noProof/>
        </w:rPr>
      </w:pPr>
      <w:r w:rsidRPr="00105428">
        <w:rPr>
          <w:rFonts w:ascii="Times New Roman" w:hAnsi="Times New Roman" w:cs="Times New Roman"/>
          <w:noProof/>
        </w:rPr>
        <w:t>[15]</w:t>
      </w:r>
      <w:r w:rsidRPr="00105428">
        <w:rPr>
          <w:rFonts w:ascii="Times New Roman" w:hAnsi="Times New Roman" w:cs="Times New Roman"/>
          <w:noProof/>
        </w:rPr>
        <w:tab/>
        <w:t xml:space="preserve">Dickie DA, Job DE, Gonzalez DR, Shenkin SD, Wardlaw JM. Use of brain MRI atlases to determine boundaries of age-related pathology: the importance of statistical method. PLoS </w:t>
      </w:r>
      <w:r w:rsidRPr="00105428">
        <w:rPr>
          <w:rFonts w:ascii="Times New Roman" w:hAnsi="Times New Roman" w:cs="Times New Roman"/>
          <w:noProof/>
        </w:rPr>
        <w:lastRenderedPageBreak/>
        <w:t>One 2015;10:e0127939. doi:10.1371/journal.pone.0127939.</w:t>
      </w:r>
    </w:p>
    <w:p w14:paraId="48C54321" w14:textId="77777777" w:rsidR="0085214A" w:rsidRPr="00105428" w:rsidRDefault="0085214A" w:rsidP="0085214A">
      <w:pPr>
        <w:widowControl w:val="0"/>
        <w:autoSpaceDE w:val="0"/>
        <w:autoSpaceDN w:val="0"/>
        <w:adjustRightInd w:val="0"/>
        <w:ind w:left="640" w:hanging="640"/>
        <w:rPr>
          <w:rFonts w:ascii="Times New Roman" w:hAnsi="Times New Roman" w:cs="Times New Roman"/>
          <w:noProof/>
        </w:rPr>
      </w:pPr>
      <w:r w:rsidRPr="00105428">
        <w:rPr>
          <w:rFonts w:ascii="Times New Roman" w:hAnsi="Times New Roman" w:cs="Times New Roman"/>
          <w:noProof/>
        </w:rPr>
        <w:t>[16]</w:t>
      </w:r>
      <w:r w:rsidRPr="00105428">
        <w:rPr>
          <w:rFonts w:ascii="Times New Roman" w:hAnsi="Times New Roman" w:cs="Times New Roman"/>
          <w:noProof/>
        </w:rPr>
        <w:tab/>
        <w:t>Draganski B, Ashburner J, Hutton C, Kherif F, Frackowiak RSJJ, Helms G, et al. Regional specificity of MRI contrast parameter changes in normal ageing revealed by voxel-based quantification (VBQ). Neuroimage 2011;55:1423–34. doi:10.1016/j.neuroimage.2011.01.052.</w:t>
      </w:r>
    </w:p>
    <w:p w14:paraId="52AD13FE" w14:textId="77777777" w:rsidR="0085214A" w:rsidRPr="00105428" w:rsidRDefault="0085214A" w:rsidP="0085214A">
      <w:pPr>
        <w:widowControl w:val="0"/>
        <w:autoSpaceDE w:val="0"/>
        <w:autoSpaceDN w:val="0"/>
        <w:adjustRightInd w:val="0"/>
        <w:ind w:left="640" w:hanging="640"/>
        <w:rPr>
          <w:rFonts w:ascii="Times New Roman" w:hAnsi="Times New Roman" w:cs="Times New Roman"/>
          <w:noProof/>
        </w:rPr>
      </w:pPr>
      <w:r w:rsidRPr="00105428">
        <w:rPr>
          <w:rFonts w:ascii="Times New Roman" w:hAnsi="Times New Roman" w:cs="Times New Roman"/>
          <w:noProof/>
        </w:rPr>
        <w:t>[17]</w:t>
      </w:r>
      <w:r w:rsidRPr="00105428">
        <w:rPr>
          <w:rFonts w:ascii="Times New Roman" w:hAnsi="Times New Roman" w:cs="Times New Roman"/>
          <w:noProof/>
        </w:rPr>
        <w:tab/>
        <w:t>Good CD, Johnsrude IS, Ashburner J, Henson RNA, Friston KJ, Frackowiak RSJ. A voxel-based morphometric study of ageing in 465 normal adult human brains. Neuroimage 2001;14:21–36. doi:10.1006/nimg.2001.0786.</w:t>
      </w:r>
    </w:p>
    <w:p w14:paraId="54E4CA4B" w14:textId="77777777" w:rsidR="0085214A" w:rsidRPr="00105428" w:rsidRDefault="0085214A" w:rsidP="0085214A">
      <w:pPr>
        <w:widowControl w:val="0"/>
        <w:autoSpaceDE w:val="0"/>
        <w:autoSpaceDN w:val="0"/>
        <w:adjustRightInd w:val="0"/>
        <w:ind w:left="640" w:hanging="640"/>
        <w:rPr>
          <w:rFonts w:ascii="Times New Roman" w:hAnsi="Times New Roman" w:cs="Times New Roman"/>
          <w:noProof/>
        </w:rPr>
      </w:pPr>
      <w:r w:rsidRPr="00105428">
        <w:rPr>
          <w:rFonts w:ascii="Times New Roman" w:hAnsi="Times New Roman" w:cs="Times New Roman"/>
          <w:noProof/>
        </w:rPr>
        <w:t>[18]</w:t>
      </w:r>
      <w:r w:rsidRPr="00105428">
        <w:rPr>
          <w:rFonts w:ascii="Times New Roman" w:hAnsi="Times New Roman" w:cs="Times New Roman"/>
          <w:noProof/>
        </w:rPr>
        <w:tab/>
        <w:t>Kalpouzos G, Chételat G, Baron JC, Landeau B, Mevel K, Godeau C, et al. Voxel-based mapping of brain gray matter volume and glucose metabolism profiles in normal aging. Neurobiol Aging 2009;30:112–24. doi:10.1016/j.neurobiolaging.2007.05.019.</w:t>
      </w:r>
    </w:p>
    <w:p w14:paraId="683182F9" w14:textId="77777777" w:rsidR="0085214A" w:rsidRPr="00105428" w:rsidRDefault="0085214A" w:rsidP="0085214A">
      <w:pPr>
        <w:widowControl w:val="0"/>
        <w:autoSpaceDE w:val="0"/>
        <w:autoSpaceDN w:val="0"/>
        <w:adjustRightInd w:val="0"/>
        <w:ind w:left="640" w:hanging="640"/>
        <w:rPr>
          <w:rFonts w:ascii="Times New Roman" w:hAnsi="Times New Roman" w:cs="Times New Roman"/>
          <w:noProof/>
        </w:rPr>
      </w:pPr>
      <w:r w:rsidRPr="00105428">
        <w:rPr>
          <w:rFonts w:ascii="Times New Roman" w:hAnsi="Times New Roman" w:cs="Times New Roman"/>
          <w:noProof/>
        </w:rPr>
        <w:t>[19]</w:t>
      </w:r>
      <w:r w:rsidRPr="00105428">
        <w:rPr>
          <w:rFonts w:ascii="Times New Roman" w:hAnsi="Times New Roman" w:cs="Times New Roman"/>
          <w:noProof/>
        </w:rPr>
        <w:tab/>
        <w:t>Kalpouzos G, Persson J, Nyberg L. Local brain atrophy accounts for functional activity differences in normal aging. Neurobiol Aging 2012;33:e1–13. doi:10.1016/j.neurobiolaging.2011.02.021.</w:t>
      </w:r>
    </w:p>
    <w:p w14:paraId="4E7A8198" w14:textId="77777777" w:rsidR="0085214A" w:rsidRPr="00105428" w:rsidRDefault="0085214A" w:rsidP="0085214A">
      <w:pPr>
        <w:widowControl w:val="0"/>
        <w:autoSpaceDE w:val="0"/>
        <w:autoSpaceDN w:val="0"/>
        <w:adjustRightInd w:val="0"/>
        <w:ind w:left="640" w:hanging="640"/>
        <w:rPr>
          <w:rFonts w:ascii="Times New Roman" w:hAnsi="Times New Roman" w:cs="Times New Roman"/>
          <w:noProof/>
        </w:rPr>
      </w:pPr>
      <w:r w:rsidRPr="00105428">
        <w:rPr>
          <w:rFonts w:ascii="Times New Roman" w:hAnsi="Times New Roman" w:cs="Times New Roman"/>
          <w:noProof/>
        </w:rPr>
        <w:t>[20]</w:t>
      </w:r>
      <w:r w:rsidRPr="00105428">
        <w:rPr>
          <w:rFonts w:ascii="Times New Roman" w:hAnsi="Times New Roman" w:cs="Times New Roman"/>
          <w:noProof/>
        </w:rPr>
        <w:tab/>
        <w:t>Maguire EA, Frith CD. Aging affects the engagement of the hippocampus during autobiographical memory retrieval. Brain 2003;126:1511–23. doi:10.1093/brain/awg157.</w:t>
      </w:r>
    </w:p>
    <w:p w14:paraId="4CCA76B7" w14:textId="77777777" w:rsidR="0085214A" w:rsidRPr="00105428" w:rsidRDefault="0085214A" w:rsidP="0085214A">
      <w:pPr>
        <w:widowControl w:val="0"/>
        <w:autoSpaceDE w:val="0"/>
        <w:autoSpaceDN w:val="0"/>
        <w:adjustRightInd w:val="0"/>
        <w:ind w:left="640" w:hanging="640"/>
        <w:rPr>
          <w:rFonts w:ascii="Times New Roman" w:hAnsi="Times New Roman" w:cs="Times New Roman"/>
          <w:noProof/>
        </w:rPr>
      </w:pPr>
      <w:r w:rsidRPr="00105428">
        <w:rPr>
          <w:rFonts w:ascii="Times New Roman" w:hAnsi="Times New Roman" w:cs="Times New Roman"/>
          <w:noProof/>
        </w:rPr>
        <w:t>[21]</w:t>
      </w:r>
      <w:r w:rsidRPr="00105428">
        <w:rPr>
          <w:rFonts w:ascii="Times New Roman" w:hAnsi="Times New Roman" w:cs="Times New Roman"/>
          <w:noProof/>
        </w:rPr>
        <w:tab/>
        <w:t>Salami A, Eriksson J, Nyberg L. Opposing effects of aging on large-scale Brain systems for memory encoding and cognitive control. J Neurosci 2012;32:10749–57. doi:10.1523/JNEUROSCI.0278-12.2012.</w:t>
      </w:r>
    </w:p>
    <w:p w14:paraId="0E3923CC" w14:textId="77777777" w:rsidR="0085214A" w:rsidRPr="00105428" w:rsidRDefault="0085214A" w:rsidP="0085214A">
      <w:pPr>
        <w:widowControl w:val="0"/>
        <w:autoSpaceDE w:val="0"/>
        <w:autoSpaceDN w:val="0"/>
        <w:adjustRightInd w:val="0"/>
        <w:ind w:left="640" w:hanging="640"/>
        <w:rPr>
          <w:rFonts w:ascii="Times New Roman" w:hAnsi="Times New Roman" w:cs="Times New Roman"/>
          <w:noProof/>
        </w:rPr>
      </w:pPr>
      <w:r w:rsidRPr="00105428">
        <w:rPr>
          <w:rFonts w:ascii="Times New Roman" w:hAnsi="Times New Roman" w:cs="Times New Roman"/>
          <w:noProof/>
        </w:rPr>
        <w:t>[22]</w:t>
      </w:r>
      <w:r w:rsidRPr="00105428">
        <w:rPr>
          <w:rFonts w:ascii="Times New Roman" w:hAnsi="Times New Roman" w:cs="Times New Roman"/>
          <w:noProof/>
        </w:rPr>
        <w:tab/>
        <w:t>Steffener J, Brickman AM, Rakitin BC, Gazes Y, Stern Y. The impact of age-related changes on working memory functional activity. Brain Imaging Behav 2009;3:142–53. doi:10.1007/s11682-008-9056-x.</w:t>
      </w:r>
    </w:p>
    <w:p w14:paraId="411F105E" w14:textId="77777777" w:rsidR="0085214A" w:rsidRPr="00105428" w:rsidRDefault="0085214A" w:rsidP="0085214A">
      <w:pPr>
        <w:widowControl w:val="0"/>
        <w:autoSpaceDE w:val="0"/>
        <w:autoSpaceDN w:val="0"/>
        <w:adjustRightInd w:val="0"/>
        <w:ind w:left="640" w:hanging="640"/>
        <w:rPr>
          <w:rFonts w:ascii="Times New Roman" w:hAnsi="Times New Roman" w:cs="Times New Roman"/>
          <w:noProof/>
        </w:rPr>
      </w:pPr>
      <w:r w:rsidRPr="00105428">
        <w:rPr>
          <w:rFonts w:ascii="Times New Roman" w:hAnsi="Times New Roman" w:cs="Times New Roman"/>
          <w:noProof/>
        </w:rPr>
        <w:t>[23]</w:t>
      </w:r>
      <w:r w:rsidRPr="00105428">
        <w:rPr>
          <w:rFonts w:ascii="Times New Roman" w:hAnsi="Times New Roman" w:cs="Times New Roman"/>
          <w:noProof/>
        </w:rPr>
        <w:tab/>
        <w:t>Thürling M, Galuba J, Thieme A, Burciu RG, Goricke S, Beck A, et al. Age effects in storage and extinction of a naturally acquired conditioned eyeblink response. Neurobiol Learn Mem 2014;109:104–12. doi:10.1016/j.nlm.2013.12.007.</w:t>
      </w:r>
    </w:p>
    <w:p w14:paraId="5FC3B605" w14:textId="77777777" w:rsidR="0085214A" w:rsidRPr="00105428" w:rsidRDefault="0085214A" w:rsidP="0085214A">
      <w:pPr>
        <w:widowControl w:val="0"/>
        <w:autoSpaceDE w:val="0"/>
        <w:autoSpaceDN w:val="0"/>
        <w:adjustRightInd w:val="0"/>
        <w:ind w:left="640" w:hanging="640"/>
        <w:rPr>
          <w:rFonts w:ascii="Times New Roman" w:hAnsi="Times New Roman" w:cs="Times New Roman"/>
          <w:noProof/>
        </w:rPr>
      </w:pPr>
      <w:r w:rsidRPr="00105428">
        <w:rPr>
          <w:rFonts w:ascii="Times New Roman" w:hAnsi="Times New Roman" w:cs="Times New Roman"/>
          <w:noProof/>
        </w:rPr>
        <w:t>[24]</w:t>
      </w:r>
      <w:r w:rsidRPr="00105428">
        <w:rPr>
          <w:rFonts w:ascii="Times New Roman" w:hAnsi="Times New Roman" w:cs="Times New Roman"/>
          <w:noProof/>
        </w:rPr>
        <w:tab/>
        <w:t>Ziegler G, Dahnke R, Jäncke L, Yotter RA, May A, Gaser C. Brain structural trajectories over the adult lifespan. Hum Brain Mapp 2012;33:2377–89. doi:10.1002/hbm.21374.</w:t>
      </w:r>
    </w:p>
    <w:p w14:paraId="722ACFC8" w14:textId="77777777" w:rsidR="0085214A" w:rsidRPr="00105428" w:rsidRDefault="0085214A" w:rsidP="0085214A">
      <w:pPr>
        <w:widowControl w:val="0"/>
        <w:autoSpaceDE w:val="0"/>
        <w:autoSpaceDN w:val="0"/>
        <w:adjustRightInd w:val="0"/>
        <w:ind w:left="640" w:hanging="640"/>
        <w:rPr>
          <w:rFonts w:ascii="Times New Roman" w:hAnsi="Times New Roman" w:cs="Times New Roman"/>
          <w:noProof/>
        </w:rPr>
      </w:pPr>
      <w:r w:rsidRPr="00105428">
        <w:rPr>
          <w:rFonts w:ascii="Times New Roman" w:hAnsi="Times New Roman" w:cs="Times New Roman"/>
          <w:noProof/>
        </w:rPr>
        <w:t>[25]</w:t>
      </w:r>
      <w:r w:rsidRPr="00105428">
        <w:rPr>
          <w:rFonts w:ascii="Times New Roman" w:hAnsi="Times New Roman" w:cs="Times New Roman"/>
          <w:noProof/>
        </w:rPr>
        <w:tab/>
        <w:t>Ahmed RM, Landin-Romero R, Liang CT, Keogh JM, Henning E, Strikwerda-Brown C, et al. Neural networks associated with body composition in frontotemporal dementia. Ann Clin Transl Neurol 2019;6:1707–17. doi:10.1002/acn3.50869.</w:t>
      </w:r>
    </w:p>
    <w:p w14:paraId="6F72100F" w14:textId="77777777" w:rsidR="0085214A" w:rsidRPr="00105428" w:rsidRDefault="0085214A" w:rsidP="0085214A">
      <w:pPr>
        <w:widowControl w:val="0"/>
        <w:autoSpaceDE w:val="0"/>
        <w:autoSpaceDN w:val="0"/>
        <w:adjustRightInd w:val="0"/>
        <w:ind w:left="640" w:hanging="640"/>
        <w:rPr>
          <w:rFonts w:ascii="Times New Roman" w:hAnsi="Times New Roman" w:cs="Times New Roman"/>
          <w:noProof/>
        </w:rPr>
      </w:pPr>
      <w:r w:rsidRPr="00105428">
        <w:rPr>
          <w:rFonts w:ascii="Times New Roman" w:hAnsi="Times New Roman" w:cs="Times New Roman"/>
          <w:noProof/>
        </w:rPr>
        <w:t>[26]</w:t>
      </w:r>
      <w:r w:rsidRPr="00105428">
        <w:rPr>
          <w:rFonts w:ascii="Times New Roman" w:hAnsi="Times New Roman" w:cs="Times New Roman"/>
          <w:noProof/>
        </w:rPr>
        <w:tab/>
        <w:t>Colloby SJ, O’Brien JT, Taylor JP. Patterns of cerebellar volume loss in dementia with Lewy bodies and Alzheimer’s disease: A VBM-DARTEL study. Psychiatry Res - Neuroimaging 2014;223:187–91. doi:10.1016/j.pscychresns.2014.06.006.</w:t>
      </w:r>
    </w:p>
    <w:p w14:paraId="05DEF894" w14:textId="77777777" w:rsidR="0085214A" w:rsidRPr="00105428" w:rsidRDefault="0085214A" w:rsidP="0085214A">
      <w:pPr>
        <w:widowControl w:val="0"/>
        <w:autoSpaceDE w:val="0"/>
        <w:autoSpaceDN w:val="0"/>
        <w:adjustRightInd w:val="0"/>
        <w:ind w:left="640" w:hanging="640"/>
        <w:rPr>
          <w:rFonts w:ascii="Times New Roman" w:hAnsi="Times New Roman" w:cs="Times New Roman"/>
          <w:noProof/>
        </w:rPr>
      </w:pPr>
      <w:r w:rsidRPr="00105428">
        <w:rPr>
          <w:rFonts w:ascii="Times New Roman" w:hAnsi="Times New Roman" w:cs="Times New Roman"/>
          <w:noProof/>
        </w:rPr>
        <w:t>[27]</w:t>
      </w:r>
      <w:r w:rsidRPr="00105428">
        <w:rPr>
          <w:rFonts w:ascii="Times New Roman" w:hAnsi="Times New Roman" w:cs="Times New Roman"/>
          <w:noProof/>
        </w:rPr>
        <w:tab/>
        <w:t>Farrow TFD, Thiyagesh SN, Wilkinson ID, Parks RW, Ingram L, Woodruff PWR. Fronto-temporal-lobe atrophy in early-stage Alzheimer’s disease identified using an improved detection methodology. Psychiatry Res 2007;155:11–9. doi:10.1016/j.pscychresns.2006.12.013.</w:t>
      </w:r>
    </w:p>
    <w:p w14:paraId="55F2F33F" w14:textId="77777777" w:rsidR="0085214A" w:rsidRPr="00105428" w:rsidRDefault="0085214A" w:rsidP="0085214A">
      <w:pPr>
        <w:widowControl w:val="0"/>
        <w:autoSpaceDE w:val="0"/>
        <w:autoSpaceDN w:val="0"/>
        <w:adjustRightInd w:val="0"/>
        <w:ind w:left="640" w:hanging="640"/>
        <w:rPr>
          <w:rFonts w:ascii="Times New Roman" w:hAnsi="Times New Roman" w:cs="Times New Roman"/>
          <w:noProof/>
        </w:rPr>
      </w:pPr>
      <w:r w:rsidRPr="00105428">
        <w:rPr>
          <w:rFonts w:ascii="Times New Roman" w:hAnsi="Times New Roman" w:cs="Times New Roman"/>
          <w:noProof/>
        </w:rPr>
        <w:t>[28]</w:t>
      </w:r>
      <w:r w:rsidRPr="00105428">
        <w:rPr>
          <w:rFonts w:ascii="Times New Roman" w:hAnsi="Times New Roman" w:cs="Times New Roman"/>
          <w:noProof/>
        </w:rPr>
        <w:tab/>
        <w:t>Lehmann M, Crutch SJ, Ridgway GR, Ridha BH, Barnes J, Warrington EK, et al. Cortical thickness and voxel-based morphometry in posterior cortical atrophy and typical Alzheimer’s disease. Neurobiol Aging 2011;32:1466–76. doi:10.1016/j.neurobiolaging.2009.08.017.</w:t>
      </w:r>
    </w:p>
    <w:p w14:paraId="646A9B8A" w14:textId="77777777" w:rsidR="0085214A" w:rsidRPr="00105428" w:rsidRDefault="0085214A" w:rsidP="0085214A">
      <w:pPr>
        <w:widowControl w:val="0"/>
        <w:autoSpaceDE w:val="0"/>
        <w:autoSpaceDN w:val="0"/>
        <w:adjustRightInd w:val="0"/>
        <w:ind w:left="640" w:hanging="640"/>
        <w:rPr>
          <w:rFonts w:ascii="Times New Roman" w:hAnsi="Times New Roman" w:cs="Times New Roman"/>
          <w:noProof/>
        </w:rPr>
      </w:pPr>
      <w:r w:rsidRPr="00105428">
        <w:rPr>
          <w:rFonts w:ascii="Times New Roman" w:hAnsi="Times New Roman" w:cs="Times New Roman"/>
          <w:noProof/>
        </w:rPr>
        <w:t>[29]</w:t>
      </w:r>
      <w:r w:rsidRPr="00105428">
        <w:rPr>
          <w:rFonts w:ascii="Times New Roman" w:hAnsi="Times New Roman" w:cs="Times New Roman"/>
          <w:noProof/>
        </w:rPr>
        <w:tab/>
        <w:t>Mazère J, Prunier C, Barret O, Guyot M, Hommet C, Guilloteau D, et al. In vivo SPECT imaging of vesicular acetylcholine transporter using [123I]-IBVM in early Alzheimer’s disease. Neuroimage 2008;40:280–8. doi:10.1016/j.neuroimage.2007.11.028.</w:t>
      </w:r>
    </w:p>
    <w:p w14:paraId="68DDED4C" w14:textId="77777777" w:rsidR="0085214A" w:rsidRPr="00105428" w:rsidRDefault="0085214A" w:rsidP="0085214A">
      <w:pPr>
        <w:widowControl w:val="0"/>
        <w:autoSpaceDE w:val="0"/>
        <w:autoSpaceDN w:val="0"/>
        <w:adjustRightInd w:val="0"/>
        <w:ind w:left="640" w:hanging="640"/>
        <w:rPr>
          <w:rFonts w:ascii="Times New Roman" w:hAnsi="Times New Roman" w:cs="Times New Roman"/>
          <w:noProof/>
        </w:rPr>
      </w:pPr>
      <w:r w:rsidRPr="00105428">
        <w:rPr>
          <w:rFonts w:ascii="Times New Roman" w:hAnsi="Times New Roman" w:cs="Times New Roman"/>
          <w:noProof/>
        </w:rPr>
        <w:t>[30]</w:t>
      </w:r>
      <w:r w:rsidRPr="00105428">
        <w:rPr>
          <w:rFonts w:ascii="Times New Roman" w:hAnsi="Times New Roman" w:cs="Times New Roman"/>
          <w:noProof/>
        </w:rPr>
        <w:tab/>
        <w:t>Ossenkoppele R, Pijnenburg YAL, Perry DC, Cohn-Sheehy BI, Scheltens NME, Vogel JW, et al. The behavioural/dysexecutive variant of Alzheimer’s disease: Clinical, neuroimaging and pathological features. Brain 2015;138:2732–49. doi:10.1093/brain/awv191.</w:t>
      </w:r>
    </w:p>
    <w:p w14:paraId="24E57997" w14:textId="77777777" w:rsidR="0085214A" w:rsidRPr="00105428" w:rsidRDefault="0085214A" w:rsidP="0085214A">
      <w:pPr>
        <w:widowControl w:val="0"/>
        <w:autoSpaceDE w:val="0"/>
        <w:autoSpaceDN w:val="0"/>
        <w:adjustRightInd w:val="0"/>
        <w:ind w:left="640" w:hanging="640"/>
        <w:rPr>
          <w:rFonts w:ascii="Times New Roman" w:hAnsi="Times New Roman" w:cs="Times New Roman"/>
          <w:noProof/>
        </w:rPr>
      </w:pPr>
      <w:r w:rsidRPr="00105428">
        <w:rPr>
          <w:rFonts w:ascii="Times New Roman" w:hAnsi="Times New Roman" w:cs="Times New Roman"/>
          <w:noProof/>
        </w:rPr>
        <w:t>[31]</w:t>
      </w:r>
      <w:r w:rsidRPr="00105428">
        <w:rPr>
          <w:rFonts w:ascii="Times New Roman" w:hAnsi="Times New Roman" w:cs="Times New Roman"/>
          <w:noProof/>
        </w:rPr>
        <w:tab/>
        <w:t>Raji CA, Lopez OL, Kuller LH, Carmichael OT, Becker JT. Age, Alzheimer disease, and brain structure. Neurology 2009;73:1899–905. doi:10.1212/WNL.0b013e3181c3f293.</w:t>
      </w:r>
    </w:p>
    <w:p w14:paraId="12766ECC" w14:textId="77777777" w:rsidR="0085214A" w:rsidRPr="00105428" w:rsidRDefault="0085214A" w:rsidP="0085214A">
      <w:pPr>
        <w:widowControl w:val="0"/>
        <w:autoSpaceDE w:val="0"/>
        <w:autoSpaceDN w:val="0"/>
        <w:adjustRightInd w:val="0"/>
        <w:ind w:left="640" w:hanging="640"/>
        <w:rPr>
          <w:rFonts w:ascii="Times New Roman" w:hAnsi="Times New Roman" w:cs="Times New Roman"/>
          <w:noProof/>
        </w:rPr>
      </w:pPr>
      <w:r w:rsidRPr="00105428">
        <w:rPr>
          <w:rFonts w:ascii="Times New Roman" w:hAnsi="Times New Roman" w:cs="Times New Roman"/>
          <w:noProof/>
        </w:rPr>
        <w:t>[32]</w:t>
      </w:r>
      <w:r w:rsidRPr="00105428">
        <w:rPr>
          <w:rFonts w:ascii="Times New Roman" w:hAnsi="Times New Roman" w:cs="Times New Roman"/>
          <w:noProof/>
        </w:rPr>
        <w:tab/>
        <w:t xml:space="preserve">Serra L, Fadda L, Perri R, Spanò B, Marra C, Castelli D, et al. Constructional apraxia as a distinctive cognitive and structural brain feature of pre-senile Alzheimer’s disease. J </w:t>
      </w:r>
      <w:r w:rsidRPr="00105428">
        <w:rPr>
          <w:rFonts w:ascii="Times New Roman" w:hAnsi="Times New Roman" w:cs="Times New Roman"/>
          <w:noProof/>
        </w:rPr>
        <w:lastRenderedPageBreak/>
        <w:t>Alzheimer’s Dis 2014;38:391–402. doi:10.3233/JAD-130656.</w:t>
      </w:r>
    </w:p>
    <w:p w14:paraId="0E04F42C" w14:textId="648552E3" w:rsidR="0085214A" w:rsidRPr="004469D6" w:rsidRDefault="0085214A" w:rsidP="0085214A">
      <w:pPr>
        <w:rPr>
          <w:b/>
          <w:bCs/>
        </w:rPr>
      </w:pPr>
      <w:r w:rsidRPr="00EB3881">
        <w:rPr>
          <w:rFonts w:ascii="Times New Roman" w:hAnsi="Times New Roman" w:cs="Times New Roman"/>
          <w:b/>
          <w:bCs/>
        </w:rPr>
        <w:fldChar w:fldCharType="end"/>
      </w:r>
      <w:bookmarkEnd w:id="0"/>
    </w:p>
    <w:sectPr w:rsidR="0085214A" w:rsidRPr="004469D6" w:rsidSect="00350BAE">
      <w:pgSz w:w="11900" w:h="16820"/>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91B682" w14:textId="77777777" w:rsidR="009810BD" w:rsidRDefault="009810BD" w:rsidP="004469D6">
      <w:r>
        <w:separator/>
      </w:r>
    </w:p>
  </w:endnote>
  <w:endnote w:type="continuationSeparator" w:id="0">
    <w:p w14:paraId="2F5A630A" w14:textId="77777777" w:rsidR="009810BD" w:rsidRDefault="009810BD" w:rsidP="00446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EB27AD" w14:textId="77777777" w:rsidR="009810BD" w:rsidRDefault="009810BD" w:rsidP="004469D6">
      <w:r>
        <w:separator/>
      </w:r>
    </w:p>
  </w:footnote>
  <w:footnote w:type="continuationSeparator" w:id="0">
    <w:p w14:paraId="64F6689F" w14:textId="77777777" w:rsidR="009810BD" w:rsidRDefault="009810BD" w:rsidP="004469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3C81E4F"/>
    <w:multiLevelType w:val="hybridMultilevel"/>
    <w:tmpl w:val="27E25B3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715"/>
    <w:rsid w:val="00017E4B"/>
    <w:rsid w:val="00020AB1"/>
    <w:rsid w:val="000225B3"/>
    <w:rsid w:val="000246C6"/>
    <w:rsid w:val="00046611"/>
    <w:rsid w:val="00062EE2"/>
    <w:rsid w:val="00082449"/>
    <w:rsid w:val="00091714"/>
    <w:rsid w:val="000A78DC"/>
    <w:rsid w:val="000B0853"/>
    <w:rsid w:val="000C69F1"/>
    <w:rsid w:val="000C6DD2"/>
    <w:rsid w:val="000D1B54"/>
    <w:rsid w:val="000E3F30"/>
    <w:rsid w:val="000E6A27"/>
    <w:rsid w:val="00106E24"/>
    <w:rsid w:val="00112BFE"/>
    <w:rsid w:val="001209B0"/>
    <w:rsid w:val="00130808"/>
    <w:rsid w:val="00130BE7"/>
    <w:rsid w:val="00161B93"/>
    <w:rsid w:val="00181D2C"/>
    <w:rsid w:val="001839F2"/>
    <w:rsid w:val="001A687F"/>
    <w:rsid w:val="001C2425"/>
    <w:rsid w:val="001C2954"/>
    <w:rsid w:val="001C51C4"/>
    <w:rsid w:val="001E6F67"/>
    <w:rsid w:val="002047CF"/>
    <w:rsid w:val="00212474"/>
    <w:rsid w:val="002154D8"/>
    <w:rsid w:val="00216478"/>
    <w:rsid w:val="00217A07"/>
    <w:rsid w:val="0022101D"/>
    <w:rsid w:val="00226BB3"/>
    <w:rsid w:val="00233F2D"/>
    <w:rsid w:val="00283B0B"/>
    <w:rsid w:val="0029692C"/>
    <w:rsid w:val="002C3949"/>
    <w:rsid w:val="002D0E60"/>
    <w:rsid w:val="002E634A"/>
    <w:rsid w:val="002E7B52"/>
    <w:rsid w:val="00300683"/>
    <w:rsid w:val="00312D8C"/>
    <w:rsid w:val="00334531"/>
    <w:rsid w:val="00346BC4"/>
    <w:rsid w:val="00350BAE"/>
    <w:rsid w:val="00363270"/>
    <w:rsid w:val="00364582"/>
    <w:rsid w:val="0036483C"/>
    <w:rsid w:val="0037403A"/>
    <w:rsid w:val="0038578D"/>
    <w:rsid w:val="00386F86"/>
    <w:rsid w:val="003C3B4C"/>
    <w:rsid w:val="003C54F4"/>
    <w:rsid w:val="003D7CB8"/>
    <w:rsid w:val="003E1E23"/>
    <w:rsid w:val="003E284C"/>
    <w:rsid w:val="003F0A02"/>
    <w:rsid w:val="00403680"/>
    <w:rsid w:val="00404C60"/>
    <w:rsid w:val="00417DF3"/>
    <w:rsid w:val="0042671C"/>
    <w:rsid w:val="00427012"/>
    <w:rsid w:val="00427715"/>
    <w:rsid w:val="00432F51"/>
    <w:rsid w:val="004429DE"/>
    <w:rsid w:val="004452DD"/>
    <w:rsid w:val="004469D6"/>
    <w:rsid w:val="00455BB5"/>
    <w:rsid w:val="00462E1B"/>
    <w:rsid w:val="004837E3"/>
    <w:rsid w:val="0048440B"/>
    <w:rsid w:val="004902B4"/>
    <w:rsid w:val="004A0870"/>
    <w:rsid w:val="004B3550"/>
    <w:rsid w:val="004C144A"/>
    <w:rsid w:val="004C1E15"/>
    <w:rsid w:val="004C6136"/>
    <w:rsid w:val="004D4656"/>
    <w:rsid w:val="004D75E5"/>
    <w:rsid w:val="00500B73"/>
    <w:rsid w:val="005030B3"/>
    <w:rsid w:val="005040FE"/>
    <w:rsid w:val="005058EE"/>
    <w:rsid w:val="00511C7A"/>
    <w:rsid w:val="005165AC"/>
    <w:rsid w:val="005204EE"/>
    <w:rsid w:val="005242FA"/>
    <w:rsid w:val="00525F2E"/>
    <w:rsid w:val="00537B09"/>
    <w:rsid w:val="00551E74"/>
    <w:rsid w:val="005532CC"/>
    <w:rsid w:val="005615F4"/>
    <w:rsid w:val="0058482C"/>
    <w:rsid w:val="0058727B"/>
    <w:rsid w:val="00591B70"/>
    <w:rsid w:val="005A7A97"/>
    <w:rsid w:val="005B0AC2"/>
    <w:rsid w:val="005B3049"/>
    <w:rsid w:val="005C7A0A"/>
    <w:rsid w:val="005D7FF0"/>
    <w:rsid w:val="005E5471"/>
    <w:rsid w:val="005E61DE"/>
    <w:rsid w:val="005E66C2"/>
    <w:rsid w:val="005E6FAC"/>
    <w:rsid w:val="005F2EDD"/>
    <w:rsid w:val="005F7B55"/>
    <w:rsid w:val="00607BB8"/>
    <w:rsid w:val="006124FA"/>
    <w:rsid w:val="00635BA3"/>
    <w:rsid w:val="00635BB5"/>
    <w:rsid w:val="00646453"/>
    <w:rsid w:val="00647740"/>
    <w:rsid w:val="00656F76"/>
    <w:rsid w:val="006617BB"/>
    <w:rsid w:val="0066190D"/>
    <w:rsid w:val="0066327F"/>
    <w:rsid w:val="00670A98"/>
    <w:rsid w:val="00671870"/>
    <w:rsid w:val="006759AA"/>
    <w:rsid w:val="00682845"/>
    <w:rsid w:val="00695C49"/>
    <w:rsid w:val="006A1815"/>
    <w:rsid w:val="006A73AE"/>
    <w:rsid w:val="006B2F6F"/>
    <w:rsid w:val="006B7F36"/>
    <w:rsid w:val="006C2786"/>
    <w:rsid w:val="006C716A"/>
    <w:rsid w:val="006F49EE"/>
    <w:rsid w:val="00701EBC"/>
    <w:rsid w:val="00715AFA"/>
    <w:rsid w:val="007436E5"/>
    <w:rsid w:val="00744E56"/>
    <w:rsid w:val="0076166A"/>
    <w:rsid w:val="0076724B"/>
    <w:rsid w:val="007675BD"/>
    <w:rsid w:val="007803FD"/>
    <w:rsid w:val="00782EB5"/>
    <w:rsid w:val="007831F4"/>
    <w:rsid w:val="007928D7"/>
    <w:rsid w:val="00792C1C"/>
    <w:rsid w:val="00796E25"/>
    <w:rsid w:val="007A2091"/>
    <w:rsid w:val="007B3377"/>
    <w:rsid w:val="007B5B40"/>
    <w:rsid w:val="007C1B38"/>
    <w:rsid w:val="007C51E4"/>
    <w:rsid w:val="007C6809"/>
    <w:rsid w:val="007D08A4"/>
    <w:rsid w:val="007D4A21"/>
    <w:rsid w:val="007E26FC"/>
    <w:rsid w:val="007F09CB"/>
    <w:rsid w:val="00813D79"/>
    <w:rsid w:val="008212DE"/>
    <w:rsid w:val="00821C67"/>
    <w:rsid w:val="008243C8"/>
    <w:rsid w:val="0083794E"/>
    <w:rsid w:val="008414E3"/>
    <w:rsid w:val="00843429"/>
    <w:rsid w:val="00850EB6"/>
    <w:rsid w:val="0085214A"/>
    <w:rsid w:val="00855496"/>
    <w:rsid w:val="008557FB"/>
    <w:rsid w:val="008571B5"/>
    <w:rsid w:val="00870FCE"/>
    <w:rsid w:val="00874ACB"/>
    <w:rsid w:val="00886121"/>
    <w:rsid w:val="0089003C"/>
    <w:rsid w:val="008948B5"/>
    <w:rsid w:val="008A11C5"/>
    <w:rsid w:val="008B0240"/>
    <w:rsid w:val="008C31A6"/>
    <w:rsid w:val="008C3CA9"/>
    <w:rsid w:val="008D0AF1"/>
    <w:rsid w:val="008D5E32"/>
    <w:rsid w:val="008D7B36"/>
    <w:rsid w:val="008F2C43"/>
    <w:rsid w:val="00917C69"/>
    <w:rsid w:val="00934CFE"/>
    <w:rsid w:val="00941074"/>
    <w:rsid w:val="00944B3A"/>
    <w:rsid w:val="009536C3"/>
    <w:rsid w:val="00961ADB"/>
    <w:rsid w:val="00964F6E"/>
    <w:rsid w:val="00966140"/>
    <w:rsid w:val="009703A3"/>
    <w:rsid w:val="00975F7E"/>
    <w:rsid w:val="009810BD"/>
    <w:rsid w:val="00982275"/>
    <w:rsid w:val="00985E8C"/>
    <w:rsid w:val="00990F37"/>
    <w:rsid w:val="00992F54"/>
    <w:rsid w:val="009A5BE0"/>
    <w:rsid w:val="009A607A"/>
    <w:rsid w:val="009B2FF9"/>
    <w:rsid w:val="009C3F86"/>
    <w:rsid w:val="009C6B07"/>
    <w:rsid w:val="009E560E"/>
    <w:rsid w:val="009F7149"/>
    <w:rsid w:val="00A1107A"/>
    <w:rsid w:val="00A16854"/>
    <w:rsid w:val="00A31040"/>
    <w:rsid w:val="00A318E8"/>
    <w:rsid w:val="00A438F4"/>
    <w:rsid w:val="00A5461D"/>
    <w:rsid w:val="00A6733D"/>
    <w:rsid w:val="00A76421"/>
    <w:rsid w:val="00A95940"/>
    <w:rsid w:val="00AA67B7"/>
    <w:rsid w:val="00AC47AB"/>
    <w:rsid w:val="00AC6E3C"/>
    <w:rsid w:val="00AC794F"/>
    <w:rsid w:val="00AD51EF"/>
    <w:rsid w:val="00AD611A"/>
    <w:rsid w:val="00AD75A7"/>
    <w:rsid w:val="00AE1451"/>
    <w:rsid w:val="00AE2DDA"/>
    <w:rsid w:val="00AF07F5"/>
    <w:rsid w:val="00B0361F"/>
    <w:rsid w:val="00B04D4E"/>
    <w:rsid w:val="00B0626A"/>
    <w:rsid w:val="00B100EA"/>
    <w:rsid w:val="00B12B37"/>
    <w:rsid w:val="00B16570"/>
    <w:rsid w:val="00B223F7"/>
    <w:rsid w:val="00B254F9"/>
    <w:rsid w:val="00B27705"/>
    <w:rsid w:val="00B570BB"/>
    <w:rsid w:val="00B9275E"/>
    <w:rsid w:val="00B937D8"/>
    <w:rsid w:val="00BC039B"/>
    <w:rsid w:val="00BC596F"/>
    <w:rsid w:val="00BD657E"/>
    <w:rsid w:val="00BF5799"/>
    <w:rsid w:val="00BF765D"/>
    <w:rsid w:val="00C02B64"/>
    <w:rsid w:val="00C1151D"/>
    <w:rsid w:val="00C16454"/>
    <w:rsid w:val="00C34EB9"/>
    <w:rsid w:val="00C52AD2"/>
    <w:rsid w:val="00C77BC1"/>
    <w:rsid w:val="00C93637"/>
    <w:rsid w:val="00CA3267"/>
    <w:rsid w:val="00CA5AC7"/>
    <w:rsid w:val="00CB31B6"/>
    <w:rsid w:val="00CB7312"/>
    <w:rsid w:val="00CC238D"/>
    <w:rsid w:val="00D07475"/>
    <w:rsid w:val="00D0765C"/>
    <w:rsid w:val="00D1589F"/>
    <w:rsid w:val="00D223F4"/>
    <w:rsid w:val="00D23CF6"/>
    <w:rsid w:val="00D35FE2"/>
    <w:rsid w:val="00D46701"/>
    <w:rsid w:val="00D572A4"/>
    <w:rsid w:val="00D62C5A"/>
    <w:rsid w:val="00D64848"/>
    <w:rsid w:val="00D71496"/>
    <w:rsid w:val="00D753F6"/>
    <w:rsid w:val="00D76B28"/>
    <w:rsid w:val="00D858D4"/>
    <w:rsid w:val="00D901E3"/>
    <w:rsid w:val="00DA044E"/>
    <w:rsid w:val="00DA190C"/>
    <w:rsid w:val="00DB0CB3"/>
    <w:rsid w:val="00DB5EC0"/>
    <w:rsid w:val="00DB7CDF"/>
    <w:rsid w:val="00DC5DAA"/>
    <w:rsid w:val="00DD37D8"/>
    <w:rsid w:val="00DD61A6"/>
    <w:rsid w:val="00DF160B"/>
    <w:rsid w:val="00DF446C"/>
    <w:rsid w:val="00DF5BA9"/>
    <w:rsid w:val="00E171A6"/>
    <w:rsid w:val="00E22173"/>
    <w:rsid w:val="00E24CD1"/>
    <w:rsid w:val="00E26B08"/>
    <w:rsid w:val="00E3044C"/>
    <w:rsid w:val="00E42C76"/>
    <w:rsid w:val="00E42F5D"/>
    <w:rsid w:val="00E46F30"/>
    <w:rsid w:val="00E601BE"/>
    <w:rsid w:val="00E733B4"/>
    <w:rsid w:val="00E80514"/>
    <w:rsid w:val="00E83C1F"/>
    <w:rsid w:val="00E861F4"/>
    <w:rsid w:val="00EA680B"/>
    <w:rsid w:val="00EC6E21"/>
    <w:rsid w:val="00ED27D6"/>
    <w:rsid w:val="00ED56A3"/>
    <w:rsid w:val="00ED7780"/>
    <w:rsid w:val="00EF1FE1"/>
    <w:rsid w:val="00EF363C"/>
    <w:rsid w:val="00EF3B79"/>
    <w:rsid w:val="00F32E17"/>
    <w:rsid w:val="00F32FA2"/>
    <w:rsid w:val="00F36583"/>
    <w:rsid w:val="00F44680"/>
    <w:rsid w:val="00F451B1"/>
    <w:rsid w:val="00F4687C"/>
    <w:rsid w:val="00F77547"/>
    <w:rsid w:val="00F84DAA"/>
    <w:rsid w:val="00FA3032"/>
    <w:rsid w:val="00FB542B"/>
    <w:rsid w:val="00FB6C7F"/>
    <w:rsid w:val="00FC1483"/>
    <w:rsid w:val="00FC2DAA"/>
    <w:rsid w:val="00FC3962"/>
    <w:rsid w:val="00FC4869"/>
    <w:rsid w:val="00FC5E1E"/>
    <w:rsid w:val="00FC6BD5"/>
    <w:rsid w:val="00FD5189"/>
    <w:rsid w:val="00FE68E4"/>
    <w:rsid w:val="00FF03B7"/>
    <w:rsid w:val="00FF19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CD25100"/>
  <w15:chartTrackingRefBased/>
  <w15:docId w15:val="{37EE89D6-6996-BF46-B1FE-B0973423B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6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D1589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1589F"/>
    <w:pPr>
      <w:spacing w:before="240"/>
    </w:pPr>
    <w:rPr>
      <w:rFonts w:cstheme="minorHAnsi"/>
      <w:b/>
      <w:bCs/>
      <w:color w:val="2F5496" w:themeColor="accent1" w:themeShade="BF"/>
      <w:sz w:val="20"/>
      <w:szCs w:val="20"/>
    </w:rPr>
  </w:style>
  <w:style w:type="paragraph" w:styleId="TOC3">
    <w:name w:val="toc 3"/>
    <w:basedOn w:val="Normal"/>
    <w:next w:val="Normal"/>
    <w:autoRedefine/>
    <w:uiPriority w:val="39"/>
    <w:unhideWhenUsed/>
    <w:rsid w:val="00D1589F"/>
    <w:pPr>
      <w:spacing w:before="240" w:after="240"/>
    </w:pPr>
    <w:rPr>
      <w:rFonts w:cstheme="minorHAnsi"/>
      <w:b/>
      <w:i/>
      <w:color w:val="000000" w:themeColor="text1"/>
      <w:sz w:val="20"/>
      <w:szCs w:val="20"/>
      <w:u w:val="single"/>
    </w:rPr>
  </w:style>
  <w:style w:type="paragraph" w:styleId="TOC5">
    <w:name w:val="toc 5"/>
    <w:basedOn w:val="Normal"/>
    <w:next w:val="Normal"/>
    <w:autoRedefine/>
    <w:uiPriority w:val="39"/>
    <w:unhideWhenUsed/>
    <w:rsid w:val="00D1589F"/>
    <w:pPr>
      <w:ind w:left="720"/>
    </w:pPr>
    <w:rPr>
      <w:rFonts w:cstheme="minorHAnsi"/>
      <w:i/>
      <w:color w:val="000000" w:themeColor="text1"/>
      <w:sz w:val="20"/>
      <w:szCs w:val="20"/>
    </w:rPr>
  </w:style>
  <w:style w:type="paragraph" w:styleId="TOC4">
    <w:name w:val="toc 4"/>
    <w:basedOn w:val="Normal"/>
    <w:next w:val="Normal"/>
    <w:autoRedefine/>
    <w:uiPriority w:val="39"/>
    <w:unhideWhenUsed/>
    <w:rsid w:val="00D1589F"/>
    <w:pPr>
      <w:ind w:left="720"/>
    </w:pPr>
    <w:rPr>
      <w:rFonts w:cstheme="minorHAnsi"/>
      <w:sz w:val="20"/>
      <w:szCs w:val="20"/>
      <w:u w:val="single"/>
    </w:rPr>
  </w:style>
  <w:style w:type="paragraph" w:styleId="BalloonText">
    <w:name w:val="Balloon Text"/>
    <w:basedOn w:val="Normal"/>
    <w:link w:val="BalloonTextChar"/>
    <w:uiPriority w:val="99"/>
    <w:semiHidden/>
    <w:unhideWhenUsed/>
    <w:rsid w:val="0042771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27715"/>
    <w:rPr>
      <w:rFonts w:ascii="Times New Roman" w:hAnsi="Times New Roman" w:cs="Times New Roman"/>
      <w:sz w:val="18"/>
      <w:szCs w:val="18"/>
    </w:rPr>
  </w:style>
  <w:style w:type="table" w:styleId="TableGrid">
    <w:name w:val="Table Grid"/>
    <w:basedOn w:val="TableNormal"/>
    <w:uiPriority w:val="39"/>
    <w:rsid w:val="00F468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4687C"/>
    <w:pPr>
      <w:ind w:left="720"/>
      <w:contextualSpacing/>
    </w:pPr>
  </w:style>
  <w:style w:type="paragraph" w:styleId="Header">
    <w:name w:val="header"/>
    <w:basedOn w:val="Normal"/>
    <w:link w:val="HeaderChar"/>
    <w:uiPriority w:val="99"/>
    <w:unhideWhenUsed/>
    <w:rsid w:val="004469D6"/>
    <w:pPr>
      <w:tabs>
        <w:tab w:val="center" w:pos="4513"/>
        <w:tab w:val="right" w:pos="9026"/>
      </w:tabs>
    </w:pPr>
  </w:style>
  <w:style w:type="character" w:customStyle="1" w:styleId="HeaderChar">
    <w:name w:val="Header Char"/>
    <w:basedOn w:val="DefaultParagraphFont"/>
    <w:link w:val="Header"/>
    <w:uiPriority w:val="99"/>
    <w:rsid w:val="004469D6"/>
  </w:style>
  <w:style w:type="paragraph" w:styleId="Footer">
    <w:name w:val="footer"/>
    <w:basedOn w:val="Normal"/>
    <w:link w:val="FooterChar"/>
    <w:uiPriority w:val="99"/>
    <w:unhideWhenUsed/>
    <w:rsid w:val="004469D6"/>
    <w:pPr>
      <w:tabs>
        <w:tab w:val="center" w:pos="4513"/>
        <w:tab w:val="right" w:pos="9026"/>
      </w:tabs>
    </w:pPr>
  </w:style>
  <w:style w:type="character" w:customStyle="1" w:styleId="FooterChar">
    <w:name w:val="Footer Char"/>
    <w:basedOn w:val="DefaultParagraphFont"/>
    <w:link w:val="Footer"/>
    <w:uiPriority w:val="99"/>
    <w:rsid w:val="004469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FA7E4-F262-1D4E-AA5D-018DFBCC5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22</Pages>
  <Words>38022</Words>
  <Characters>216731</Characters>
  <Application>Microsoft Office Word</Application>
  <DocSecurity>0</DocSecurity>
  <Lines>1806</Lines>
  <Paragraphs>508</Paragraphs>
  <ScaleCrop>false</ScaleCrop>
  <Company/>
  <LinksUpToDate>false</LinksUpToDate>
  <CharactersWithSpaces>254245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Gellersen</dc:creator>
  <cp:keywords/>
  <dc:description/>
  <cp:lastModifiedBy>Helena Gellersen</cp:lastModifiedBy>
  <cp:revision>17</cp:revision>
  <dcterms:created xsi:type="dcterms:W3CDTF">2021-01-05T15:33:00Z</dcterms:created>
  <dcterms:modified xsi:type="dcterms:W3CDTF">2021-01-05T15:49:00Z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http://www.zotero.org/styles/alzheimers-and-dementia-the-journal-of-the-alzheimers-association</vt:lpwstr>
  </property>
  <property fmtid="{D5CDD505-2E9C-101B-9397-08002B2CF9AE}" pid="3" name="Mendeley Recent Style Name 0_1">
    <vt:lpwstr>Alzheimer's &amp; Dementia: The Journal of the Alzheimer's Association</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 11th edition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http://www.zotero.org/styles/cognition</vt:lpwstr>
  </property>
  <property fmtid="{D5CDD505-2E9C-101B-9397-08002B2CF9AE}" pid="17" name="Mendeley Recent Style Name 7_1">
    <vt:lpwstr>Cognition</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ies>
</file>