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91" w:rsidRPr="00483691" w:rsidRDefault="00483691" w:rsidP="00483691">
      <w:pPr>
        <w:spacing w:line="360" w:lineRule="auto"/>
        <w:jc w:val="center"/>
        <w:rPr>
          <w:rFonts w:ascii="Times New Roman" w:hAnsi="Times New Roman" w:cs="Times New Roman"/>
          <w:b/>
          <w:sz w:val="40"/>
          <w:szCs w:val="40"/>
        </w:rPr>
      </w:pPr>
      <w:r w:rsidRPr="00483691">
        <w:rPr>
          <w:rFonts w:ascii="Times New Roman" w:hAnsi="Times New Roman" w:cs="Times New Roman"/>
          <w:b/>
          <w:sz w:val="40"/>
          <w:szCs w:val="40"/>
        </w:rPr>
        <w:t>Effect of Vitamin D deficiency on COVID-19 status: A systematic review</w:t>
      </w:r>
    </w:p>
    <w:p w:rsidR="00483691" w:rsidRDefault="00483691">
      <w:pPr>
        <w:rPr>
          <w:rFonts w:ascii="Times New Roman" w:hAnsi="Times New Roman" w:cs="Times New Roman"/>
          <w:b/>
          <w:sz w:val="28"/>
          <w:szCs w:val="28"/>
        </w:rPr>
      </w:pPr>
    </w:p>
    <w:p w:rsidR="00052774" w:rsidRPr="00E95CEF" w:rsidRDefault="00E95CEF">
      <w:pPr>
        <w:rPr>
          <w:rFonts w:ascii="Times New Roman" w:hAnsi="Times New Roman" w:cs="Times New Roman"/>
          <w:b/>
          <w:sz w:val="28"/>
          <w:szCs w:val="28"/>
        </w:rPr>
      </w:pPr>
      <w:r w:rsidRPr="00E95CEF">
        <w:rPr>
          <w:rFonts w:ascii="Times New Roman" w:hAnsi="Times New Roman" w:cs="Times New Roman"/>
          <w:b/>
          <w:sz w:val="28"/>
          <w:szCs w:val="28"/>
        </w:rPr>
        <w:t>Supplementary tables</w:t>
      </w:r>
    </w:p>
    <w:p w:rsidR="00E95CEF" w:rsidRDefault="00E95CEF" w:rsidP="00B17A93">
      <w:pPr>
        <w:rPr>
          <w:b/>
        </w:rPr>
      </w:pPr>
    </w:p>
    <w:p w:rsidR="00B17A93" w:rsidRDefault="00B17A93" w:rsidP="00B17A93">
      <w:r w:rsidRPr="00E95CEF">
        <w:rPr>
          <w:b/>
        </w:rPr>
        <w:t>Table S1</w:t>
      </w:r>
      <w:r>
        <w:t>: PubMed search results for Vitamin D status and COVID-19.</w:t>
      </w:r>
    </w:p>
    <w:tbl>
      <w:tblPr>
        <w:tblStyle w:val="TableGrid"/>
        <w:tblW w:w="9813" w:type="dxa"/>
        <w:tblInd w:w="0" w:type="dxa"/>
        <w:tblLook w:val="04A0" w:firstRow="1" w:lastRow="0" w:firstColumn="1" w:lastColumn="0" w:noHBand="0" w:noVBand="1"/>
      </w:tblPr>
      <w:tblGrid>
        <w:gridCol w:w="8601"/>
        <w:gridCol w:w="1212"/>
      </w:tblGrid>
      <w:tr w:rsidR="00B17A93" w:rsidTr="00F145A4">
        <w:trPr>
          <w:trHeight w:val="227"/>
        </w:trPr>
        <w:tc>
          <w:tcPr>
            <w:tcW w:w="8874" w:type="dxa"/>
          </w:tcPr>
          <w:p w:rsidR="00B17A93" w:rsidRPr="008D3047" w:rsidRDefault="00B17A93" w:rsidP="00F145A4">
            <w:pPr>
              <w:jc w:val="center"/>
              <w:rPr>
                <w:rFonts w:ascii="Times New Roman" w:hAnsi="Times New Roman" w:cs="Times New Roman"/>
                <w:b/>
                <w:sz w:val="32"/>
                <w:szCs w:val="32"/>
              </w:rPr>
            </w:pPr>
            <w:r w:rsidRPr="008D3047">
              <w:rPr>
                <w:rFonts w:ascii="Times New Roman" w:hAnsi="Times New Roman" w:cs="Times New Roman"/>
                <w:b/>
                <w:sz w:val="32"/>
                <w:szCs w:val="32"/>
              </w:rPr>
              <w:t>Search strategy</w:t>
            </w:r>
          </w:p>
        </w:tc>
        <w:tc>
          <w:tcPr>
            <w:tcW w:w="939" w:type="dxa"/>
          </w:tcPr>
          <w:p w:rsidR="00B17A93" w:rsidRPr="008D3047" w:rsidRDefault="00B17A93" w:rsidP="00F145A4">
            <w:pPr>
              <w:rPr>
                <w:rFonts w:ascii="Times New Roman" w:hAnsi="Times New Roman" w:cs="Times New Roman"/>
                <w:b/>
                <w:sz w:val="32"/>
                <w:szCs w:val="32"/>
              </w:rPr>
            </w:pPr>
            <w:r w:rsidRPr="008D3047">
              <w:rPr>
                <w:rFonts w:ascii="Times New Roman" w:hAnsi="Times New Roman" w:cs="Times New Roman"/>
                <w:b/>
                <w:sz w:val="32"/>
                <w:szCs w:val="32"/>
              </w:rPr>
              <w:t>Results</w:t>
            </w:r>
          </w:p>
        </w:tc>
      </w:tr>
      <w:tr w:rsidR="00B17A93" w:rsidTr="00F145A4">
        <w:trPr>
          <w:trHeight w:val="1367"/>
        </w:trPr>
        <w:tc>
          <w:tcPr>
            <w:tcW w:w="8874" w:type="dxa"/>
          </w:tcPr>
          <w:p w:rsidR="00B17A93" w:rsidRPr="00001655" w:rsidRDefault="00B17A93" w:rsidP="00483691">
            <w:pPr>
              <w:autoSpaceDE w:val="0"/>
              <w:autoSpaceDN w:val="0"/>
              <w:adjustRightInd w:val="0"/>
              <w:spacing w:line="360" w:lineRule="auto"/>
              <w:jc w:val="both"/>
              <w:rPr>
                <w:rFonts w:ascii="Times New Roman" w:hAnsi="Times New Roman" w:cs="Times New Roman"/>
                <w:sz w:val="24"/>
                <w:szCs w:val="24"/>
              </w:rPr>
            </w:pPr>
            <w:r w:rsidRPr="00001655">
              <w:rPr>
                <w:rFonts w:ascii="Times New Roman" w:hAnsi="Times New Roman" w:cs="Times New Roman"/>
                <w:sz w:val="24"/>
                <w:szCs w:val="24"/>
              </w:rPr>
              <w:t>("Vitamin D</w:t>
            </w:r>
            <w:r>
              <w:rPr>
                <w:rFonts w:ascii="Times New Roman" w:hAnsi="Times New Roman" w:cs="Times New Roman"/>
                <w:sz w:val="24"/>
                <w:szCs w:val="24"/>
              </w:rPr>
              <w:t xml:space="preserve">," OR "25‐Hydroxyvitamin D," </w:t>
            </w:r>
            <w:r w:rsidRPr="00001655">
              <w:rPr>
                <w:rFonts w:ascii="Times New Roman" w:hAnsi="Times New Roman" w:cs="Times New Roman"/>
                <w:sz w:val="24"/>
                <w:szCs w:val="24"/>
              </w:rPr>
              <w:t>OR "Low Vitamin D.") AND ("COVID-19" OR "2019-nCoV" OR "Coronavirus" OR "SARS-CoV-2") AND ("disease severity" OR "IMV" OR "ICU admission" OR "mortality" OR "hospitalization" OR "infection")</w:t>
            </w:r>
          </w:p>
          <w:p w:rsidR="00B17A93" w:rsidRDefault="00B17A93" w:rsidP="00F145A4">
            <w:pPr>
              <w:rPr>
                <w:rFonts w:ascii="Times New Roman" w:hAnsi="Times New Roman" w:cs="Times New Roman"/>
                <w:sz w:val="24"/>
                <w:szCs w:val="24"/>
              </w:rPr>
            </w:pPr>
          </w:p>
          <w:p w:rsidR="00B17A93" w:rsidRPr="00227CE0" w:rsidRDefault="00B17A93" w:rsidP="00F145A4">
            <w:pPr>
              <w:rPr>
                <w:rFonts w:ascii="Times New Roman" w:hAnsi="Times New Roman" w:cs="Times New Roman"/>
                <w:sz w:val="24"/>
                <w:szCs w:val="24"/>
              </w:rPr>
            </w:pPr>
            <w:r w:rsidRPr="00A67273">
              <w:rPr>
                <w:rFonts w:ascii="Times New Roman" w:hAnsi="Times New Roman" w:cs="Times New Roman"/>
                <w:b/>
                <w:sz w:val="24"/>
                <w:szCs w:val="24"/>
              </w:rPr>
              <w:t>Timespan</w:t>
            </w:r>
            <w:r>
              <w:rPr>
                <w:rFonts w:ascii="Times New Roman" w:hAnsi="Times New Roman" w:cs="Times New Roman"/>
                <w:sz w:val="24"/>
                <w:szCs w:val="24"/>
              </w:rPr>
              <w:t xml:space="preserve">: 1/12/2019 to 3/11/2020, </w:t>
            </w:r>
            <w:r w:rsidRPr="00A67273">
              <w:rPr>
                <w:rFonts w:ascii="Times New Roman" w:hAnsi="Times New Roman" w:cs="Times New Roman"/>
                <w:b/>
                <w:sz w:val="24"/>
                <w:szCs w:val="24"/>
              </w:rPr>
              <w:t>Article type</w:t>
            </w:r>
            <w:r>
              <w:rPr>
                <w:rFonts w:ascii="Times New Roman" w:hAnsi="Times New Roman" w:cs="Times New Roman"/>
                <w:sz w:val="24"/>
                <w:szCs w:val="24"/>
              </w:rPr>
              <w:t xml:space="preserve">: </w:t>
            </w:r>
            <w:r w:rsidRPr="00A67273">
              <w:rPr>
                <w:rFonts w:ascii="Times New Roman" w:hAnsi="Times New Roman" w:cs="Times New Roman"/>
                <w:sz w:val="24"/>
                <w:szCs w:val="24"/>
              </w:rPr>
              <w:t>Journal article</w:t>
            </w:r>
            <w:r>
              <w:rPr>
                <w:rFonts w:ascii="Times New Roman" w:hAnsi="Times New Roman" w:cs="Times New Roman"/>
                <w:sz w:val="24"/>
                <w:szCs w:val="24"/>
              </w:rPr>
              <w:t xml:space="preserve">, </w:t>
            </w:r>
            <w:r w:rsidRPr="00A67273">
              <w:rPr>
                <w:rFonts w:ascii="Times New Roman" w:hAnsi="Times New Roman" w:cs="Times New Roman"/>
                <w:b/>
                <w:sz w:val="24"/>
                <w:szCs w:val="24"/>
              </w:rPr>
              <w:t>Language</w:t>
            </w:r>
            <w:r>
              <w:rPr>
                <w:rFonts w:ascii="Times New Roman" w:hAnsi="Times New Roman" w:cs="Times New Roman"/>
                <w:sz w:val="24"/>
                <w:szCs w:val="24"/>
              </w:rPr>
              <w:t>: English</w:t>
            </w:r>
          </w:p>
        </w:tc>
        <w:tc>
          <w:tcPr>
            <w:tcW w:w="939" w:type="dxa"/>
          </w:tcPr>
          <w:p w:rsidR="00B17A93" w:rsidRPr="008D3047" w:rsidRDefault="00AF038A" w:rsidP="00F145A4">
            <w:pPr>
              <w:rPr>
                <w:rFonts w:ascii="Times New Roman" w:hAnsi="Times New Roman" w:cs="Times New Roman"/>
                <w:sz w:val="24"/>
                <w:szCs w:val="24"/>
              </w:rPr>
            </w:pPr>
            <w:r>
              <w:rPr>
                <w:rFonts w:ascii="Times New Roman" w:hAnsi="Times New Roman" w:cs="Times New Roman"/>
                <w:sz w:val="24"/>
                <w:szCs w:val="24"/>
              </w:rPr>
              <w:t>135</w:t>
            </w:r>
          </w:p>
        </w:tc>
      </w:tr>
    </w:tbl>
    <w:p w:rsidR="00B17A93" w:rsidRDefault="00B17A93" w:rsidP="00B17A93">
      <w:pPr>
        <w:rPr>
          <w:b/>
        </w:rPr>
      </w:pPr>
    </w:p>
    <w:p w:rsidR="00B17A93" w:rsidRDefault="00B17A93" w:rsidP="00B17A93">
      <w:pPr>
        <w:rPr>
          <w:b/>
        </w:rPr>
      </w:pPr>
    </w:p>
    <w:p w:rsidR="00B17A93" w:rsidRPr="008D3047" w:rsidRDefault="00B17A93" w:rsidP="00B17A93">
      <w:r>
        <w:rPr>
          <w:b/>
        </w:rPr>
        <w:t xml:space="preserve">Table S2: </w:t>
      </w:r>
      <w:r>
        <w:t>Google Scholar search results for Vitamin D status and COVID-19.</w:t>
      </w:r>
    </w:p>
    <w:tbl>
      <w:tblPr>
        <w:tblStyle w:val="TableGrid"/>
        <w:tblW w:w="0" w:type="auto"/>
        <w:tblInd w:w="0" w:type="dxa"/>
        <w:tblLook w:val="04A0" w:firstRow="1" w:lastRow="0" w:firstColumn="1" w:lastColumn="0" w:noHBand="0" w:noVBand="1"/>
      </w:tblPr>
      <w:tblGrid>
        <w:gridCol w:w="8719"/>
        <w:gridCol w:w="1277"/>
      </w:tblGrid>
      <w:tr w:rsidR="00B17A93" w:rsidRPr="008D3047" w:rsidTr="00F145A4">
        <w:trPr>
          <w:trHeight w:val="344"/>
        </w:trPr>
        <w:tc>
          <w:tcPr>
            <w:tcW w:w="8719" w:type="dxa"/>
          </w:tcPr>
          <w:p w:rsidR="00B17A93" w:rsidRPr="008D3047" w:rsidRDefault="00B17A93" w:rsidP="00F145A4">
            <w:pPr>
              <w:jc w:val="center"/>
              <w:rPr>
                <w:rFonts w:ascii="Times New Roman" w:hAnsi="Times New Roman" w:cs="Times New Roman"/>
                <w:b/>
                <w:sz w:val="32"/>
                <w:szCs w:val="32"/>
              </w:rPr>
            </w:pPr>
            <w:r w:rsidRPr="008D3047">
              <w:rPr>
                <w:rFonts w:ascii="Times New Roman" w:hAnsi="Times New Roman" w:cs="Times New Roman"/>
                <w:b/>
                <w:sz w:val="32"/>
                <w:szCs w:val="32"/>
              </w:rPr>
              <w:t>Search strategy</w:t>
            </w:r>
          </w:p>
        </w:tc>
        <w:tc>
          <w:tcPr>
            <w:tcW w:w="1277" w:type="dxa"/>
          </w:tcPr>
          <w:p w:rsidR="00B17A93" w:rsidRPr="008D3047" w:rsidRDefault="00B17A93" w:rsidP="00F145A4">
            <w:pPr>
              <w:jc w:val="center"/>
              <w:rPr>
                <w:rFonts w:ascii="Times New Roman" w:hAnsi="Times New Roman" w:cs="Times New Roman"/>
                <w:b/>
                <w:sz w:val="32"/>
                <w:szCs w:val="32"/>
              </w:rPr>
            </w:pPr>
            <w:r w:rsidRPr="008D3047">
              <w:rPr>
                <w:rFonts w:ascii="Times New Roman" w:hAnsi="Times New Roman" w:cs="Times New Roman"/>
                <w:b/>
                <w:sz w:val="32"/>
                <w:szCs w:val="32"/>
              </w:rPr>
              <w:t>Results</w:t>
            </w:r>
          </w:p>
        </w:tc>
      </w:tr>
      <w:tr w:rsidR="00B17A93" w:rsidTr="00F145A4">
        <w:trPr>
          <w:trHeight w:val="1291"/>
        </w:trPr>
        <w:tc>
          <w:tcPr>
            <w:tcW w:w="8719" w:type="dxa"/>
          </w:tcPr>
          <w:p w:rsidR="00B17A93" w:rsidRDefault="00B17A93" w:rsidP="00483691">
            <w:pPr>
              <w:autoSpaceDE w:val="0"/>
              <w:autoSpaceDN w:val="0"/>
              <w:adjustRightInd w:val="0"/>
              <w:spacing w:line="360" w:lineRule="auto"/>
              <w:jc w:val="both"/>
              <w:rPr>
                <w:rFonts w:ascii="Times New Roman" w:hAnsi="Times New Roman" w:cs="Times New Roman"/>
                <w:sz w:val="24"/>
                <w:szCs w:val="24"/>
              </w:rPr>
            </w:pPr>
            <w:r w:rsidRPr="00001655">
              <w:rPr>
                <w:rFonts w:ascii="Times New Roman" w:hAnsi="Times New Roman" w:cs="Times New Roman"/>
                <w:sz w:val="24"/>
                <w:szCs w:val="24"/>
              </w:rPr>
              <w:t>("Vitamin D</w:t>
            </w:r>
            <w:r>
              <w:rPr>
                <w:rFonts w:ascii="Times New Roman" w:hAnsi="Times New Roman" w:cs="Times New Roman"/>
                <w:sz w:val="24"/>
                <w:szCs w:val="24"/>
              </w:rPr>
              <w:t xml:space="preserve">," OR "25‐Hydroxyvitamin D," </w:t>
            </w:r>
            <w:r w:rsidRPr="00001655">
              <w:rPr>
                <w:rFonts w:ascii="Times New Roman" w:hAnsi="Times New Roman" w:cs="Times New Roman"/>
                <w:sz w:val="24"/>
                <w:szCs w:val="24"/>
              </w:rPr>
              <w:t>OR "Low Vitamin D.") AND ("COVID-19" OR "2019-nCoV" OR "Coronavirus" OR "SARS-CoV-2") AND ("disease severity" OR "IMV" OR "ICU admission" OR "mortality" OR "hospitalization" OR "infection")</w:t>
            </w:r>
          </w:p>
          <w:p w:rsidR="00483691" w:rsidRPr="00483691" w:rsidRDefault="00483691" w:rsidP="00483691">
            <w:pPr>
              <w:autoSpaceDE w:val="0"/>
              <w:autoSpaceDN w:val="0"/>
              <w:adjustRightInd w:val="0"/>
              <w:spacing w:line="360" w:lineRule="auto"/>
              <w:jc w:val="both"/>
              <w:rPr>
                <w:rFonts w:ascii="Times New Roman" w:hAnsi="Times New Roman" w:cs="Times New Roman"/>
                <w:sz w:val="24"/>
                <w:szCs w:val="24"/>
              </w:rPr>
            </w:pPr>
          </w:p>
          <w:p w:rsidR="00B17A93" w:rsidRPr="008D3047" w:rsidRDefault="00B17A93" w:rsidP="00483691">
            <w:pPr>
              <w:spacing w:line="360" w:lineRule="auto"/>
              <w:rPr>
                <w:rFonts w:ascii="Times New Roman" w:hAnsi="Times New Roman" w:cs="Times New Roman"/>
                <w:sz w:val="24"/>
                <w:szCs w:val="24"/>
              </w:rPr>
            </w:pPr>
            <w:r w:rsidRPr="008D3047">
              <w:rPr>
                <w:rFonts w:ascii="Times New Roman" w:hAnsi="Times New Roman" w:cs="Times New Roman"/>
                <w:b/>
                <w:sz w:val="24"/>
                <w:szCs w:val="24"/>
              </w:rPr>
              <w:t>Timespan</w:t>
            </w:r>
            <w:r>
              <w:rPr>
                <w:rFonts w:ascii="Times New Roman" w:hAnsi="Times New Roman" w:cs="Times New Roman"/>
                <w:sz w:val="24"/>
                <w:szCs w:val="24"/>
              </w:rPr>
              <w:t>: Since 2020</w:t>
            </w:r>
            <w:r w:rsidR="004333AA">
              <w:rPr>
                <w:rFonts w:ascii="Times New Roman" w:hAnsi="Times New Roman" w:cs="Times New Roman"/>
                <w:sz w:val="24"/>
                <w:szCs w:val="24"/>
              </w:rPr>
              <w:t xml:space="preserve">                 </w:t>
            </w:r>
            <w:r w:rsidR="004333AA" w:rsidRPr="00B17A93">
              <w:rPr>
                <w:rFonts w:ascii="Times New Roman" w:hAnsi="Times New Roman" w:cs="Times New Roman"/>
                <w:b/>
                <w:sz w:val="24"/>
                <w:szCs w:val="24"/>
              </w:rPr>
              <w:t>Language</w:t>
            </w:r>
            <w:r w:rsidR="004333AA">
              <w:rPr>
                <w:rFonts w:ascii="Times New Roman" w:hAnsi="Times New Roman" w:cs="Times New Roman"/>
                <w:sz w:val="24"/>
                <w:szCs w:val="24"/>
              </w:rPr>
              <w:t>: English</w:t>
            </w:r>
          </w:p>
        </w:tc>
        <w:tc>
          <w:tcPr>
            <w:tcW w:w="1277" w:type="dxa"/>
          </w:tcPr>
          <w:p w:rsidR="00B17A93" w:rsidRPr="008D3047" w:rsidRDefault="00B17A93" w:rsidP="00F145A4">
            <w:pPr>
              <w:rPr>
                <w:rFonts w:ascii="Times New Roman" w:hAnsi="Times New Roman" w:cs="Times New Roman"/>
                <w:sz w:val="24"/>
                <w:szCs w:val="24"/>
              </w:rPr>
            </w:pPr>
            <w:r>
              <w:rPr>
                <w:rFonts w:ascii="Times New Roman" w:hAnsi="Times New Roman" w:cs="Times New Roman"/>
                <w:sz w:val="24"/>
                <w:szCs w:val="24"/>
              </w:rPr>
              <w:t>2630</w:t>
            </w:r>
          </w:p>
        </w:tc>
      </w:tr>
    </w:tbl>
    <w:p w:rsidR="00B17A93" w:rsidRDefault="00B17A93" w:rsidP="00B17A93"/>
    <w:p w:rsidR="00B17A93" w:rsidRDefault="00B17A93" w:rsidP="00B17A93"/>
    <w:p w:rsidR="00483691" w:rsidRDefault="00483691" w:rsidP="00B17A93"/>
    <w:p w:rsidR="00483691" w:rsidRDefault="00483691" w:rsidP="00B17A93"/>
    <w:p w:rsidR="00483691" w:rsidRDefault="00483691" w:rsidP="00B17A93"/>
    <w:p w:rsidR="00483691" w:rsidRDefault="00483691" w:rsidP="00B17A93"/>
    <w:p w:rsidR="00483691" w:rsidRDefault="00483691" w:rsidP="00B17A93"/>
    <w:p w:rsidR="00483691" w:rsidRDefault="00483691" w:rsidP="00B17A93"/>
    <w:p w:rsidR="00B17A93" w:rsidRDefault="00B17A93" w:rsidP="00B17A93">
      <w:r>
        <w:rPr>
          <w:b/>
        </w:rPr>
        <w:lastRenderedPageBreak/>
        <w:t xml:space="preserve">Table S3: </w:t>
      </w:r>
      <w:proofErr w:type="spellStart"/>
      <w:r>
        <w:t>ScienceDirect</w:t>
      </w:r>
      <w:proofErr w:type="spellEnd"/>
      <w:r>
        <w:t xml:space="preserve"> search results for Vitamin D status and COVID-19.</w:t>
      </w:r>
    </w:p>
    <w:tbl>
      <w:tblPr>
        <w:tblStyle w:val="TableGrid"/>
        <w:tblW w:w="0" w:type="auto"/>
        <w:tblInd w:w="0" w:type="dxa"/>
        <w:tblLook w:val="04A0" w:firstRow="1" w:lastRow="0" w:firstColumn="1" w:lastColumn="0" w:noHBand="0" w:noVBand="1"/>
      </w:tblPr>
      <w:tblGrid>
        <w:gridCol w:w="8626"/>
        <w:gridCol w:w="1337"/>
      </w:tblGrid>
      <w:tr w:rsidR="00B17A93" w:rsidTr="00F145A4">
        <w:trPr>
          <w:trHeight w:val="403"/>
        </w:trPr>
        <w:tc>
          <w:tcPr>
            <w:tcW w:w="8626" w:type="dxa"/>
          </w:tcPr>
          <w:p w:rsidR="00B17A93" w:rsidRPr="008D3047" w:rsidRDefault="00B17A93" w:rsidP="00F145A4">
            <w:pPr>
              <w:jc w:val="center"/>
              <w:rPr>
                <w:rFonts w:ascii="Times New Roman" w:hAnsi="Times New Roman" w:cs="Times New Roman"/>
                <w:b/>
                <w:sz w:val="32"/>
                <w:szCs w:val="32"/>
              </w:rPr>
            </w:pPr>
            <w:r w:rsidRPr="008D3047">
              <w:rPr>
                <w:rFonts w:ascii="Times New Roman" w:hAnsi="Times New Roman" w:cs="Times New Roman"/>
                <w:b/>
                <w:sz w:val="32"/>
                <w:szCs w:val="32"/>
              </w:rPr>
              <w:t>Search Strategy</w:t>
            </w:r>
          </w:p>
        </w:tc>
        <w:tc>
          <w:tcPr>
            <w:tcW w:w="1337" w:type="dxa"/>
          </w:tcPr>
          <w:p w:rsidR="00B17A93" w:rsidRPr="008D3047" w:rsidRDefault="00B17A93" w:rsidP="00F145A4">
            <w:pPr>
              <w:jc w:val="center"/>
              <w:rPr>
                <w:rFonts w:ascii="Times New Roman" w:hAnsi="Times New Roman" w:cs="Times New Roman"/>
                <w:b/>
                <w:sz w:val="32"/>
                <w:szCs w:val="32"/>
              </w:rPr>
            </w:pPr>
            <w:r w:rsidRPr="008D3047">
              <w:rPr>
                <w:rFonts w:ascii="Times New Roman" w:hAnsi="Times New Roman" w:cs="Times New Roman"/>
                <w:b/>
                <w:sz w:val="32"/>
                <w:szCs w:val="32"/>
              </w:rPr>
              <w:t>Results</w:t>
            </w:r>
          </w:p>
        </w:tc>
      </w:tr>
      <w:tr w:rsidR="00B17A93" w:rsidTr="00227CE0">
        <w:trPr>
          <w:trHeight w:val="1385"/>
        </w:trPr>
        <w:tc>
          <w:tcPr>
            <w:tcW w:w="8626" w:type="dxa"/>
          </w:tcPr>
          <w:p w:rsidR="00B17A93" w:rsidRPr="008D3047" w:rsidRDefault="00B17A93" w:rsidP="00483691">
            <w:pPr>
              <w:autoSpaceDE w:val="0"/>
              <w:autoSpaceDN w:val="0"/>
              <w:adjustRightInd w:val="0"/>
              <w:spacing w:line="360" w:lineRule="auto"/>
              <w:jc w:val="both"/>
              <w:rPr>
                <w:rFonts w:ascii="Times New Roman" w:hAnsi="Times New Roman" w:cs="Times New Roman"/>
                <w:sz w:val="24"/>
                <w:szCs w:val="24"/>
              </w:rPr>
            </w:pPr>
            <w:r w:rsidRPr="00001655">
              <w:rPr>
                <w:rFonts w:ascii="Times New Roman" w:hAnsi="Times New Roman" w:cs="Times New Roman"/>
                <w:sz w:val="24"/>
                <w:szCs w:val="24"/>
              </w:rPr>
              <w:t>("Vitamin D</w:t>
            </w:r>
            <w:r>
              <w:rPr>
                <w:rFonts w:ascii="Times New Roman" w:hAnsi="Times New Roman" w:cs="Times New Roman"/>
                <w:sz w:val="24"/>
                <w:szCs w:val="24"/>
              </w:rPr>
              <w:t xml:space="preserve">," OR "25‐Hydroxyvitamin D," </w:t>
            </w:r>
            <w:r w:rsidRPr="00001655">
              <w:rPr>
                <w:rFonts w:ascii="Times New Roman" w:hAnsi="Times New Roman" w:cs="Times New Roman"/>
                <w:sz w:val="24"/>
                <w:szCs w:val="24"/>
              </w:rPr>
              <w:t>OR "Low Vitamin D.") AND ("COVID-19" OR "2019-nCoV" OR "Coronavirus" OR "SARS-CoV-2") AND ("disease severity" OR "IMV" OR "ICU admission" OR "mortality" OR "hospitalization" OR "infection")</w:t>
            </w:r>
          </w:p>
          <w:p w:rsidR="00B17A93" w:rsidRDefault="00B17A93" w:rsidP="00F145A4"/>
          <w:p w:rsidR="00B17A93" w:rsidRPr="008D3047" w:rsidRDefault="00B17A93" w:rsidP="004333AA">
            <w:pPr>
              <w:rPr>
                <w:rFonts w:ascii="Times New Roman" w:hAnsi="Times New Roman" w:cs="Times New Roman"/>
                <w:sz w:val="24"/>
                <w:szCs w:val="24"/>
              </w:rPr>
            </w:pPr>
            <w:r w:rsidRPr="008D3047">
              <w:rPr>
                <w:rFonts w:ascii="Times New Roman" w:hAnsi="Times New Roman" w:cs="Times New Roman"/>
                <w:b/>
                <w:sz w:val="24"/>
                <w:szCs w:val="24"/>
              </w:rPr>
              <w:t>Article type:</w:t>
            </w:r>
            <w:r w:rsidRPr="008D3047">
              <w:rPr>
                <w:rFonts w:ascii="Times New Roman" w:hAnsi="Times New Roman" w:cs="Times New Roman"/>
                <w:sz w:val="24"/>
                <w:szCs w:val="24"/>
              </w:rPr>
              <w:t xml:space="preserve"> Research article</w:t>
            </w:r>
            <w:r w:rsidR="004333AA">
              <w:rPr>
                <w:rFonts w:ascii="Times New Roman" w:hAnsi="Times New Roman" w:cs="Times New Roman"/>
                <w:sz w:val="24"/>
                <w:szCs w:val="24"/>
              </w:rPr>
              <w:t xml:space="preserve"> </w:t>
            </w:r>
          </w:p>
        </w:tc>
        <w:tc>
          <w:tcPr>
            <w:tcW w:w="1337" w:type="dxa"/>
          </w:tcPr>
          <w:p w:rsidR="00B17A93" w:rsidRDefault="00B17A93" w:rsidP="00F145A4">
            <w:r>
              <w:t>9</w:t>
            </w:r>
          </w:p>
        </w:tc>
      </w:tr>
    </w:tbl>
    <w:p w:rsidR="00B17A93" w:rsidRDefault="00B17A93"/>
    <w:p w:rsidR="00B17A93" w:rsidRDefault="00B17A93"/>
    <w:p w:rsidR="00483691" w:rsidRDefault="00483691"/>
    <w:p w:rsidR="00052774" w:rsidRDefault="00052774" w:rsidP="00052774">
      <w:pPr>
        <w:rPr>
          <w:sz w:val="24"/>
          <w:szCs w:val="24"/>
        </w:rPr>
      </w:pPr>
      <w:r>
        <w:rPr>
          <w:b/>
          <w:bCs/>
        </w:rPr>
        <w:t xml:space="preserve">Table S4. </w:t>
      </w:r>
      <w:r>
        <w:t xml:space="preserve">Newcastle-Ottawa scale assessment of study quality for </w:t>
      </w:r>
      <w:r>
        <w:rPr>
          <w:b/>
          <w:bCs/>
        </w:rPr>
        <w:t>cross-sectional study</w:t>
      </w:r>
    </w:p>
    <w:tbl>
      <w:tblPr>
        <w:tblStyle w:val="TableGrid"/>
        <w:tblW w:w="10342" w:type="dxa"/>
        <w:tblInd w:w="0" w:type="dxa"/>
        <w:tblLook w:val="04A0" w:firstRow="1" w:lastRow="0" w:firstColumn="1" w:lastColumn="0" w:noHBand="0" w:noVBand="1"/>
      </w:tblPr>
      <w:tblGrid>
        <w:gridCol w:w="1265"/>
        <w:gridCol w:w="1749"/>
        <w:gridCol w:w="816"/>
        <w:gridCol w:w="1383"/>
        <w:gridCol w:w="1172"/>
        <w:gridCol w:w="1372"/>
        <w:gridCol w:w="1161"/>
        <w:gridCol w:w="1127"/>
        <w:gridCol w:w="883"/>
      </w:tblGrid>
      <w:tr w:rsidR="00052774" w:rsidTr="00052774">
        <w:trPr>
          <w:trHeight w:val="198"/>
        </w:trPr>
        <w:tc>
          <w:tcPr>
            <w:tcW w:w="953" w:type="dxa"/>
            <w:vMerge w:val="restart"/>
            <w:tcBorders>
              <w:top w:val="single" w:sz="4" w:space="0" w:color="auto"/>
              <w:left w:val="single" w:sz="4" w:space="0" w:color="auto"/>
              <w:bottom w:val="single" w:sz="4" w:space="0" w:color="auto"/>
              <w:right w:val="single" w:sz="4" w:space="0" w:color="auto"/>
            </w:tcBorders>
            <w:hideMark/>
          </w:tcPr>
          <w:p w:rsidR="00052774" w:rsidRDefault="00052774" w:rsidP="00F145A4">
            <w:pPr>
              <w:rPr>
                <w:sz w:val="24"/>
                <w:szCs w:val="24"/>
              </w:rPr>
            </w:pPr>
            <w:r>
              <w:rPr>
                <w:sz w:val="24"/>
                <w:szCs w:val="24"/>
              </w:rPr>
              <w:t>Author</w:t>
            </w:r>
          </w:p>
        </w:tc>
        <w:tc>
          <w:tcPr>
            <w:tcW w:w="5120" w:type="dxa"/>
            <w:gridSpan w:val="4"/>
            <w:tcBorders>
              <w:top w:val="single" w:sz="4" w:space="0" w:color="auto"/>
              <w:left w:val="single" w:sz="4" w:space="0" w:color="auto"/>
              <w:bottom w:val="single" w:sz="4" w:space="0" w:color="auto"/>
              <w:right w:val="single" w:sz="4" w:space="0" w:color="auto"/>
            </w:tcBorders>
            <w:hideMark/>
          </w:tcPr>
          <w:p w:rsidR="00052774" w:rsidRDefault="00052774" w:rsidP="00F145A4">
            <w:pPr>
              <w:jc w:val="center"/>
              <w:rPr>
                <w:sz w:val="24"/>
                <w:szCs w:val="24"/>
              </w:rPr>
            </w:pPr>
            <w:r>
              <w:rPr>
                <w:sz w:val="24"/>
                <w:szCs w:val="24"/>
              </w:rPr>
              <w:t>Selection</w:t>
            </w:r>
          </w:p>
        </w:tc>
        <w:tc>
          <w:tcPr>
            <w:tcW w:w="1372"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jc w:val="center"/>
              <w:rPr>
                <w:sz w:val="20"/>
                <w:szCs w:val="20"/>
              </w:rPr>
            </w:pPr>
            <w:r>
              <w:rPr>
                <w:sz w:val="20"/>
                <w:szCs w:val="20"/>
              </w:rPr>
              <w:t>Comparability</w:t>
            </w:r>
          </w:p>
          <w:p w:rsidR="00052774" w:rsidRDefault="00052774" w:rsidP="00F145A4">
            <w:pPr>
              <w:jc w:val="center"/>
              <w:rPr>
                <w:sz w:val="24"/>
                <w:szCs w:val="24"/>
              </w:rPr>
            </w:pPr>
          </w:p>
        </w:tc>
        <w:tc>
          <w:tcPr>
            <w:tcW w:w="2288" w:type="dxa"/>
            <w:gridSpan w:val="2"/>
            <w:tcBorders>
              <w:top w:val="single" w:sz="4" w:space="0" w:color="auto"/>
              <w:left w:val="single" w:sz="4" w:space="0" w:color="auto"/>
              <w:bottom w:val="single" w:sz="4" w:space="0" w:color="auto"/>
              <w:right w:val="single" w:sz="4" w:space="0" w:color="auto"/>
            </w:tcBorders>
            <w:hideMark/>
          </w:tcPr>
          <w:p w:rsidR="00052774" w:rsidRDefault="00052774" w:rsidP="00F145A4">
            <w:pPr>
              <w:jc w:val="center"/>
              <w:rPr>
                <w:sz w:val="24"/>
                <w:szCs w:val="24"/>
              </w:rPr>
            </w:pPr>
            <w:r>
              <w:rPr>
                <w:sz w:val="24"/>
                <w:szCs w:val="24"/>
              </w:rPr>
              <w:t>Outcome</w:t>
            </w:r>
          </w:p>
        </w:tc>
        <w:tc>
          <w:tcPr>
            <w:tcW w:w="609" w:type="dxa"/>
            <w:vMerge w:val="restart"/>
            <w:tcBorders>
              <w:top w:val="single" w:sz="4" w:space="0" w:color="auto"/>
              <w:left w:val="single" w:sz="4" w:space="0" w:color="auto"/>
              <w:right w:val="single" w:sz="4" w:space="0" w:color="auto"/>
            </w:tcBorders>
          </w:tcPr>
          <w:p w:rsidR="00052774" w:rsidRDefault="00052774" w:rsidP="00F145A4">
            <w:pPr>
              <w:jc w:val="center"/>
              <w:rPr>
                <w:sz w:val="24"/>
                <w:szCs w:val="24"/>
              </w:rPr>
            </w:pPr>
            <w:r>
              <w:rPr>
                <w:sz w:val="24"/>
                <w:szCs w:val="24"/>
              </w:rPr>
              <w:t xml:space="preserve">Study </w:t>
            </w:r>
          </w:p>
          <w:p w:rsidR="00052774" w:rsidRDefault="00052774" w:rsidP="00F145A4">
            <w:pPr>
              <w:jc w:val="center"/>
              <w:rPr>
                <w:sz w:val="24"/>
                <w:szCs w:val="24"/>
              </w:rPr>
            </w:pPr>
            <w:r>
              <w:rPr>
                <w:sz w:val="24"/>
                <w:szCs w:val="24"/>
              </w:rPr>
              <w:t>quality</w:t>
            </w:r>
          </w:p>
        </w:tc>
      </w:tr>
      <w:tr w:rsidR="00052774" w:rsidTr="00052774">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sz w:val="24"/>
                <w:szCs w:val="24"/>
              </w:rPr>
            </w:pP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52774" w:rsidRDefault="00052774" w:rsidP="00F145A4">
            <w:pPr>
              <w:jc w:val="center"/>
              <w:rPr>
                <w:sz w:val="24"/>
                <w:szCs w:val="24"/>
              </w:rPr>
            </w:pPr>
            <w:r>
              <w:rPr>
                <w:sz w:val="24"/>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52774" w:rsidRDefault="00052774" w:rsidP="00F145A4">
            <w:pPr>
              <w:jc w:val="center"/>
              <w:rPr>
                <w:sz w:val="24"/>
                <w:szCs w:val="24"/>
              </w:rPr>
            </w:pPr>
            <w:r>
              <w:rPr>
                <w:sz w:val="24"/>
                <w:szCs w:val="24"/>
              </w:rPr>
              <w:t>2</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52774" w:rsidRDefault="00052774" w:rsidP="00F145A4">
            <w:pPr>
              <w:jc w:val="center"/>
              <w:rPr>
                <w:sz w:val="24"/>
                <w:szCs w:val="24"/>
              </w:rPr>
            </w:pPr>
            <w:r>
              <w:rPr>
                <w:sz w:val="24"/>
                <w:szCs w:val="24"/>
              </w:rPr>
              <w:t>3</w:t>
            </w:r>
          </w:p>
        </w:tc>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52774" w:rsidRDefault="00052774" w:rsidP="00F145A4">
            <w:pPr>
              <w:jc w:val="center"/>
              <w:rPr>
                <w:sz w:val="24"/>
                <w:szCs w:val="24"/>
              </w:rPr>
            </w:pPr>
            <w:r>
              <w:rPr>
                <w:sz w:val="24"/>
                <w:szCs w:val="24"/>
              </w:rPr>
              <w:t>4</w:t>
            </w:r>
          </w:p>
        </w:tc>
        <w:tc>
          <w:tcPr>
            <w:tcW w:w="1372"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052774" w:rsidRDefault="00052774" w:rsidP="00F145A4">
            <w:pPr>
              <w:jc w:val="center"/>
              <w:rPr>
                <w:sz w:val="24"/>
                <w:szCs w:val="24"/>
              </w:rPr>
            </w:pPr>
            <w:r>
              <w:rPr>
                <w:sz w:val="24"/>
                <w:szCs w:val="24"/>
              </w:rPr>
              <w:t>5</w:t>
            </w:r>
          </w:p>
        </w:tc>
        <w:tc>
          <w:tcPr>
            <w:tcW w:w="116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052774" w:rsidRDefault="00052774" w:rsidP="00F145A4">
            <w:pPr>
              <w:jc w:val="center"/>
              <w:rPr>
                <w:sz w:val="24"/>
                <w:szCs w:val="24"/>
              </w:rPr>
            </w:pPr>
            <w:r>
              <w:rPr>
                <w:sz w:val="24"/>
                <w:szCs w:val="24"/>
              </w:rPr>
              <w:t>6</w:t>
            </w:r>
          </w:p>
        </w:tc>
        <w:tc>
          <w:tcPr>
            <w:tcW w:w="112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052774" w:rsidRDefault="00052774" w:rsidP="00F145A4">
            <w:pPr>
              <w:jc w:val="center"/>
              <w:rPr>
                <w:sz w:val="24"/>
                <w:szCs w:val="24"/>
              </w:rPr>
            </w:pPr>
            <w:r>
              <w:rPr>
                <w:sz w:val="24"/>
                <w:szCs w:val="24"/>
              </w:rPr>
              <w:t>7</w:t>
            </w:r>
          </w:p>
        </w:tc>
        <w:tc>
          <w:tcPr>
            <w:tcW w:w="609" w:type="dxa"/>
            <w:vMerge/>
            <w:tcBorders>
              <w:left w:val="single" w:sz="4" w:space="0" w:color="auto"/>
              <w:right w:val="single" w:sz="4" w:space="0" w:color="auto"/>
            </w:tcBorders>
            <w:shd w:val="clear" w:color="auto" w:fill="538135" w:themeFill="accent6" w:themeFillShade="BF"/>
          </w:tcPr>
          <w:p w:rsidR="00052774" w:rsidRDefault="00052774" w:rsidP="00F145A4">
            <w:pPr>
              <w:jc w:val="center"/>
              <w:rPr>
                <w:sz w:val="24"/>
                <w:szCs w:val="24"/>
              </w:rPr>
            </w:pPr>
          </w:p>
        </w:tc>
      </w:tr>
      <w:tr w:rsidR="00052774" w:rsidTr="00052774">
        <w:trPr>
          <w:trHeight w:val="1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sz w:val="24"/>
                <w:szCs w:val="24"/>
              </w:rPr>
            </w:pPr>
          </w:p>
        </w:tc>
        <w:tc>
          <w:tcPr>
            <w:tcW w:w="1749"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0"/>
                <w:szCs w:val="20"/>
              </w:rPr>
            </w:pPr>
            <w:r>
              <w:rPr>
                <w:sz w:val="20"/>
                <w:szCs w:val="20"/>
              </w:rPr>
              <w:t xml:space="preserve">Representativeness of the sample </w:t>
            </w:r>
          </w:p>
          <w:p w:rsidR="00052774" w:rsidRDefault="00052774" w:rsidP="00F145A4">
            <w:pPr>
              <w:rPr>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 xml:space="preserve">Sample size </w:t>
            </w:r>
          </w:p>
        </w:tc>
        <w:tc>
          <w:tcPr>
            <w:tcW w:w="1383"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 xml:space="preserve">Ascertainment of exposure </w:t>
            </w:r>
          </w:p>
        </w:tc>
        <w:tc>
          <w:tcPr>
            <w:tcW w:w="1172"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Non-respondents</w:t>
            </w:r>
          </w:p>
        </w:tc>
        <w:tc>
          <w:tcPr>
            <w:tcW w:w="1372"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 xml:space="preserve">The subjects in different outcome groups are comparable, based on the study design or analysis. Confounding factors are controlled. </w:t>
            </w:r>
          </w:p>
        </w:tc>
        <w:tc>
          <w:tcPr>
            <w:tcW w:w="1161"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 xml:space="preserve">Assessment of outcome </w:t>
            </w:r>
          </w:p>
        </w:tc>
        <w:tc>
          <w:tcPr>
            <w:tcW w:w="1127"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rPr>
                <w:sz w:val="20"/>
                <w:szCs w:val="20"/>
              </w:rPr>
            </w:pPr>
            <w:r>
              <w:rPr>
                <w:sz w:val="20"/>
                <w:szCs w:val="20"/>
              </w:rPr>
              <w:t xml:space="preserve">Statistical test is appropriate </w:t>
            </w:r>
          </w:p>
        </w:tc>
        <w:tc>
          <w:tcPr>
            <w:tcW w:w="609" w:type="dxa"/>
            <w:vMerge/>
            <w:tcBorders>
              <w:left w:val="single" w:sz="4" w:space="0" w:color="auto"/>
              <w:bottom w:val="single" w:sz="4" w:space="0" w:color="auto"/>
              <w:right w:val="single" w:sz="4" w:space="0" w:color="auto"/>
            </w:tcBorders>
          </w:tcPr>
          <w:p w:rsidR="00052774" w:rsidRDefault="00052774" w:rsidP="00F145A4">
            <w:pPr>
              <w:pStyle w:val="Default"/>
              <w:rPr>
                <w:sz w:val="20"/>
                <w:szCs w:val="20"/>
              </w:rPr>
            </w:pPr>
          </w:p>
        </w:tc>
      </w:tr>
      <w:tr w:rsidR="00052774" w:rsidTr="00E95CEF">
        <w:trPr>
          <w:trHeight w:val="845"/>
        </w:trPr>
        <w:tc>
          <w:tcPr>
            <w:tcW w:w="953" w:type="dxa"/>
            <w:tcBorders>
              <w:top w:val="single" w:sz="4" w:space="0" w:color="auto"/>
              <w:left w:val="single" w:sz="4" w:space="0" w:color="auto"/>
              <w:bottom w:val="single" w:sz="4" w:space="0" w:color="auto"/>
              <w:right w:val="single" w:sz="4" w:space="0" w:color="auto"/>
            </w:tcBorders>
          </w:tcPr>
          <w:p w:rsidR="00052774" w:rsidRDefault="005C4E86" w:rsidP="00F145A4">
            <w:pPr>
              <w:rPr>
                <w:sz w:val="24"/>
                <w:szCs w:val="24"/>
              </w:rPr>
            </w:pPr>
            <w:r>
              <w:rPr>
                <w:sz w:val="24"/>
                <w:szCs w:val="24"/>
              </w:rPr>
              <w:fldChar w:fldCharType="begin" w:fldLock="1"/>
            </w:r>
            <w:r>
              <w:rPr>
                <w:sz w:val="24"/>
                <w:szCs w:val="24"/>
              </w:rPr>
              <w:instrText>ADDIN CSL_CITATION {"citationItems":[{"id":"ITEM-1","itemData":{"DOI":"10.1371/journal.pone.0239799","ISBN":"1111111111","ISSN":"19326203","PMID":"32976513","abstract":"Background To investigate the association between serum 25-hydroxyvitamin D levels and its effect on adverse clinical outcomes, and parameters of immune function and mortality due to a SARS-CoV-2 infection. Study design The hospital data of 235 patients infected with COVID-19 were analyzed. Results Based on CDC criteria, among our study patients, 74% had severe COVID-19 infection and 32.8% were vitamin D sufficient. After adjusting for confounding factors, there was a significant association between vitamin D sufficiency and reduction in clinical severity, inpatient mortality serum levels of C-reactive protein (CRP) and an increase in lymphocyte percentage. Only 9.7% of patients older than 40 years who were vitamin D sufficient succumbed to the infection compared to 20% who had a circulating level of 25(OH)D&lt; 30 ng/ml. The significant reduction in serum CRP, an inflammatory marker, along with increased lymphocytes percentage suggest that vitamin D sufficiency also may help modulate the immune response possibly by reducing risk for cytokine storm in response to this viral infection. Conclusion Therefore, it is recommended that improving vitamin D status in the general population and in particular hospitalized patients has a potential benefit in reducing the severity of morbidities and mortality associated with acquiring COVID-19.","author":[{"dropping-particle":"","family":"Maghbooli","given":"Zhila","non-dropping-particle":"","parse-names":false,"suffix":""},{"dropping-particle":"","family":"Sahraian","given":"Mohammad Ali","non-dropping-particle":"","parse-names":false,"suffix":""},{"dropping-particle":"","family":"Ebrahimi","given":"Mehdi","non-dropping-particle":"","parse-names":false,"suffix":""},{"dropping-particle":"","family":"Pazoki","given":"Marzieh","non-dropping-particle":"","parse-names":false,"suffix":""},{"dropping-particle":"","family":"Kafan","given":"Samira","non-dropping-particle":"","parse-names":false,"suffix":""},{"dropping-particle":"","family":"Tabriz","given":"Hedieh Moradi","non-dropping-particle":"","parse-names":false,"suffix":""},{"dropping-particle":"","family":"Hadadi","given":"Azar","non-dropping-particle":"","parse-names":false,"suffix":""},{"dropping-particle":"","family":"Montazeri","given":"Mahnaz","non-dropping-particle":"","parse-names":false,"suffix":""},{"dropping-particle":"","family":"Nasiri","given":"Mehrad","non-dropping-particle":"","parse-names":false,"suffix":""},{"dropping-particle":"","family":"Shirvani","given":"Arash","non-dropping-particle":"","parse-names":false,"suffix":""},{"dropping-particle":"","family":"Holick","given":"Michael F.","non-dropping-particle":"","parse-names":false,"suffix":""}],"container-title":"PLoS ONE","id":"ITEM-1","issue":"9 September","issued":{"date-parts":[["2020"]]},"page":"1-13","title":"Vitamin D sufficiency, a serum 25-hydroxyvitamin D at least 30 ng/mL reduced risk for adverse clinical outcomes in patients with COVID-19 infection","type":"article-journal","volume":"15"},"uris":["http://www.mendeley.com/documents/?uuid=d8524148-9449-4639-8a7c-2acbf6843e21"]}],"mendeley":{"formattedCitation":"(Maghbooli &lt;i&gt;et al.&lt;/i&gt;, 2020)","manualFormatting":"Maghbooli et al., 2020","plainTextFormattedCitation":"(Maghbooli et al., 2020)","previouslyFormattedCitation":"(Maghbooli &lt;i&gt;et al.&lt;/i&gt;, 2020)"},"properties":{"noteIndex":0},"schema":"https://github.com/citation-style-language/schema/raw/master/csl-citation.json"}</w:instrText>
            </w:r>
            <w:r>
              <w:rPr>
                <w:sz w:val="24"/>
                <w:szCs w:val="24"/>
              </w:rPr>
              <w:fldChar w:fldCharType="separate"/>
            </w:r>
            <w:r w:rsidRPr="00FF0D7F">
              <w:rPr>
                <w:noProof/>
                <w:sz w:val="24"/>
                <w:szCs w:val="24"/>
              </w:rPr>
              <w:t xml:space="preserve">Maghbooli </w:t>
            </w:r>
            <w:r w:rsidRPr="00FF0D7F">
              <w:rPr>
                <w:i/>
                <w:noProof/>
                <w:sz w:val="24"/>
                <w:szCs w:val="24"/>
              </w:rPr>
              <w:t>et al.</w:t>
            </w:r>
            <w:r w:rsidRPr="00FF0D7F">
              <w:rPr>
                <w:noProof/>
                <w:sz w:val="24"/>
                <w:szCs w:val="24"/>
              </w:rPr>
              <w:t>, 2020</w:t>
            </w:r>
            <w:r>
              <w:rPr>
                <w:sz w:val="24"/>
                <w:szCs w:val="24"/>
              </w:rPr>
              <w:fldChar w:fldCharType="end"/>
            </w:r>
          </w:p>
        </w:tc>
        <w:tc>
          <w:tcPr>
            <w:tcW w:w="174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38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61"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6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6</w:t>
            </w:r>
          </w:p>
        </w:tc>
      </w:tr>
      <w:tr w:rsidR="00052774" w:rsidTr="00E95CEF">
        <w:trPr>
          <w:trHeight w:val="710"/>
        </w:trPr>
        <w:tc>
          <w:tcPr>
            <w:tcW w:w="953" w:type="dxa"/>
            <w:tcBorders>
              <w:top w:val="single" w:sz="4" w:space="0" w:color="auto"/>
              <w:left w:val="single" w:sz="4" w:space="0" w:color="auto"/>
              <w:bottom w:val="single" w:sz="4" w:space="0" w:color="auto"/>
              <w:right w:val="single" w:sz="4" w:space="0" w:color="auto"/>
            </w:tcBorders>
          </w:tcPr>
          <w:p w:rsidR="00052774" w:rsidRDefault="00936DA0" w:rsidP="00F145A4">
            <w:pPr>
              <w:rPr>
                <w:sz w:val="24"/>
                <w:szCs w:val="24"/>
              </w:rPr>
            </w:pPr>
            <w:r>
              <w:rPr>
                <w:sz w:val="24"/>
                <w:szCs w:val="24"/>
              </w:rPr>
              <w:fldChar w:fldCharType="begin" w:fldLock="1"/>
            </w:r>
            <w:r>
              <w:rPr>
                <w:sz w:val="24"/>
                <w:szCs w:val="24"/>
              </w:rPr>
              <w:instrText>ADDIN CSL_CITATION {"citationItems":[{"id":"ITEM-1","itemData":{"DOI":"10.1016/j.dsx.2020.04.050","ISSN":"18780334","PMID":"32413819","abstract":"Background and aims: COVID-19 and low levels of vitamin D appear to disproportionately affect black and minority ethnic individuals. We aimed to establish whether blood 25-hydroxyvitamin D (25(OH)D) concentration was associated with COVID-19 risk, and whether it explained the higher incidence of COVID-19 in black and South Asian people. Methods: UK Biobank recruited 502,624 participants aged 37–73 years between 2006 and 2010. Baseline exposure data, including 25(OH)D concentration and ethnicity, were linked to COVID-19 test results. Univariable and multivariable logistic regression analyses were performed for the association between 25(OH)D and confirmed COVID-19, and the association between ethnicity and both 25(OH)D and COVID-19. Results: Complete data were available for 348,598 UK Biobank participants. Of these, 449 had confirmed COVID-19 infection. Vitamin D was associated with COVID-19 infection univariably (OR = 0.99; 95% CI 0.99–0.999; p = 0.013), but not after adjustment for confounders (OR = 1.00; 95% CI = 0.998–1.01; p = 0.208). Ethnicity was associated with COVID-19 infection univariably (blacks versus whites OR = 5.32, 95% CI = 3.68–7.70, p-value&lt;0.001; South Asians versus whites OR = 2.65, 95% CI = 1.65–4.25, p-value&lt;0.001). Adjustment for 25(OH)D concentration made little difference to the magnitude of the association. Conclusions: Our findings do not support a potential link between vitamin D concentrations and risk of COVID-19 infection, nor that vitamin D concentration may explain ethnic differences in COVID-19 infection.","author":[{"dropping-particle":"","family":"Hastie","given":"Claire E.","non-dropping-particle":"","parse-names":false,"suffix":""},{"dropping-particle":"","family":"Mackay","given":"Daniel F.","non-dropping-particle":"","parse-names":false,"suffix":""},{"dropping-particle":"","family":"Ho","given":"Frederick","non-dropping-particle":"","parse-names":false,"suffix":""},{"dropping-particle":"","family":"Celis-Morales","given":"Carlos A.","non-dropping-particle":"","parse-names":false,"suffix":""},{"dropping-particle":"","family":"Katikireddi","given":"Srinivasa Vittal","non-dropping-particle":"","parse-names":false,"suffix":""},{"dropping-particle":"","family":"Niedzwiedz","given":"Claire L.","non-dropping-particle":"","parse-names":false,"suffix":""},{"dropping-particle":"","family":"Jani","given":"Bhautesh D.","non-dropping-particle":"","parse-names":false,"suffix":""},{"dropping-particle":"","family":"Welsh","given":"Paul","non-dropping-particle":"","parse-names":false,"suffix":""},{"dropping-particle":"","family":"Mair","given":"Frances S.","non-dropping-particle":"","parse-names":false,"suffix":""},{"dropping-particle":"","family":"Gray","given":"Stuart R.","non-dropping-particle":"","parse-names":false,"suffix":""},{"dropping-particle":"","family":"O'Donnell","given":"Catherine A.","non-dropping-particle":"","parse-names":false,"suffix":""},{"dropping-particle":"","family":"Gill","given":"Jason MR","non-dropping-particle":"","parse-names":false,"suffix":""},{"dropping-particle":"","family":"Sattar","given":"Naveed","non-dropping-particle":"","parse-names":false,"suffix":""},{"dropping-particle":"","family":"Pell","given":"Jill P.","non-dropping-particle":"","parse-names":false,"suffix":""}],"container-title":"Diabetes and Metabolic Syndrome: Clinical Research and Reviews","id":"ITEM-1","issue":"4","issued":{"date-parts":[["2020"]]},"page":"561-565","publisher":"Elsevier Ltd","title":"Vitamin D concentrations and COVID-19 infection in UK Biobank","type":"article-journal","volume":"14"},"uris":["http://www.mendeley.com/documents/?uuid=2c5ca0f8-317f-4f59-93a2-2295b59fe52a"]}],"mendeley":{"formattedCitation":"(Hastie &lt;i&gt;et al.&lt;/i&gt;, 2020)","manualFormatting":"Hastie et al., 2020","plainTextFormattedCitation":"(Hastie et al., 2020)"},"properties":{"noteIndex":0},"schema":"https://github.com/citation-style-language/schema/raw/master/csl-citation.json"}</w:instrText>
            </w:r>
            <w:r>
              <w:rPr>
                <w:sz w:val="24"/>
                <w:szCs w:val="24"/>
              </w:rPr>
              <w:fldChar w:fldCharType="separate"/>
            </w:r>
            <w:r w:rsidRPr="00463CA2">
              <w:rPr>
                <w:noProof/>
                <w:sz w:val="24"/>
                <w:szCs w:val="24"/>
              </w:rPr>
              <w:t xml:space="preserve">Hastie </w:t>
            </w:r>
            <w:r w:rsidRPr="00463CA2">
              <w:rPr>
                <w:i/>
                <w:noProof/>
                <w:sz w:val="24"/>
                <w:szCs w:val="24"/>
              </w:rPr>
              <w:t>et al.</w:t>
            </w:r>
            <w:r w:rsidRPr="00463CA2">
              <w:rPr>
                <w:noProof/>
                <w:sz w:val="24"/>
                <w:szCs w:val="24"/>
              </w:rPr>
              <w:t>, 2020</w:t>
            </w:r>
            <w:r>
              <w:rPr>
                <w:sz w:val="24"/>
                <w:szCs w:val="24"/>
              </w:rPr>
              <w:fldChar w:fldCharType="end"/>
            </w:r>
          </w:p>
        </w:tc>
        <w:tc>
          <w:tcPr>
            <w:tcW w:w="174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38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6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5</w:t>
            </w:r>
          </w:p>
        </w:tc>
      </w:tr>
      <w:tr w:rsidR="00052774" w:rsidTr="00E95CEF">
        <w:trPr>
          <w:trHeight w:val="710"/>
        </w:trPr>
        <w:tc>
          <w:tcPr>
            <w:tcW w:w="953" w:type="dxa"/>
            <w:tcBorders>
              <w:top w:val="single" w:sz="4" w:space="0" w:color="auto"/>
              <w:left w:val="single" w:sz="4" w:space="0" w:color="auto"/>
              <w:bottom w:val="single" w:sz="4" w:space="0" w:color="auto"/>
              <w:right w:val="single" w:sz="4" w:space="0" w:color="auto"/>
            </w:tcBorders>
          </w:tcPr>
          <w:p w:rsidR="00052774" w:rsidRDefault="00786F03" w:rsidP="00F145A4">
            <w:pPr>
              <w:rPr>
                <w:sz w:val="24"/>
                <w:szCs w:val="24"/>
              </w:rPr>
            </w:pPr>
            <w:r>
              <w:rPr>
                <w:sz w:val="24"/>
                <w:szCs w:val="24"/>
              </w:rPr>
              <w:fldChar w:fldCharType="begin" w:fldLock="1"/>
            </w:r>
            <w:r>
              <w:rPr>
                <w:sz w:val="24"/>
                <w:szCs w:val="24"/>
              </w:rPr>
              <w:instrText>ADDIN CSL_CITATION {"citationItems":[{"id":"ITEM-1","itemData":{"DOI":"10.1111/febs.15495","ISSN":"17424658","PMID":"32700398","abstract":"Vitamin D deficiency is a worldwide pandemic. The aim of this study was to evaluate associations of plasma 25(OH)D levels with the likelihood of coronavirus disease 2019 (COVID-19) infection and hospitalization. The study population included the 14 000 members of Leumit Health Services, who were tested for COVID-19 infection from February 1st to April 30th, 2020, and who had at least one previous blood test for the plasma 25(OH)D level. ‘Suboptimal’ or ‘low’ plasma 25(OH)D level was defined as plasma 25-hydroxyvitamin D, or 25(OH)D, concentration below the level of 30 ng/mL. Of 7807 individuals, 782 (10.02%) were COVID-19-positive, and 7025 (89.98%) COVID-19-negative. The mean plasma vitamin D level was significantly lower among those who tested positive than negative for COVID-19 [19.00 ng/mL (95% confidence interval (CI) 18.41–19.59) vs. 20.55 (95% CI: 20.32–20.78)]. Univariate analysis demonstrated an association between the low plasma 25(OH)D level and increased likelihood of COVID-19 infection [crude odds ratio (OR) of 1.58 (95% CI: 1.24–2.01, P &lt; 0.001)], and of hospitalization due to the SARS-CoV-2 virus [crude OR of 2.09 (95% CI: 1.01–4.30, P &lt; 0.05)]. In multivariate analyses that controlled for demographic variables, and psychiatric and somatic disorders, the adjusted OR of COVID-19 infection [1.45 (95% CI: 1.08–1.95, P &lt; 0.001)] and of hospitalization due to the SARS-CoV-2 virus [1.95 (95% CI: 0.98–4.845, P = 0.061)] were preserved. In the multivariate analyses, age over 50 years, male gender and low–medium socioeconomic status were also positively associated with the risk of COVID-19 infection; age over 50 years was positively associated with the likelihood of hospitalization due to COVID-19. We concluded that low plasma 25(OH)D levels appear to be an independent risk factor for COVID-19 infection and hospitalization.","author":[{"dropping-particle":"","family":"Merzon","given":"Eugene","non-dropping-particle":"","parse-names":false,"suffix":""},{"dropping-particle":"","family":"Tworowski","given":"Dmitry","non-dropping-particle":"","parse-names":false,"suffix":""},{"dropping-particle":"","family":"Gorohovski","given":"Alessandro","non-dropping-particle":"","parse-names":false,"suffix":""},{"dropping-particle":"","family":"Vinker","given":"Shlomo","non-dropping-particle":"","parse-names":false,"suffix":""},{"dropping-particle":"","family":"Golan Cohen","given":"Avivit","non-dropping-particle":"","parse-names":false,"suffix":""},{"dropping-particle":"","family":"Green","given":"Ilan","non-dropping-particle":"","parse-names":false,"suffix":""},{"dropping-particle":"","family":"Frenkel-Morgenstern","given":"Milana","non-dropping-particle":"","parse-names":false,"suffix":""}],"container-title":"FEBS Journal","id":"ITEM-1","issue":"17","issued":{"date-parts":[["2020"]]},"page":"3693-3702","title":"Low plasma 25(OH) vitamin D level is associated with increased risk of COVID-19 infection: an Israeli population-based study","type":"article-journal","volume":"287"},"uris":["http://www.mendeley.com/documents/?uuid=c2a18a8b-e4b5-4822-a630-885ba67ee567"]}],"mendeley":{"formattedCitation":"(Merzon &lt;i&gt;et al.&lt;/i&gt;, 2020)","manualFormatting":"Merzon et al., 2020","plainTextFormattedCitation":"(Merzon et al., 2020)","previouslyFormattedCitation":"(Merzon &lt;i&gt;et al.&lt;/i&gt;, 2020)"},"properties":{"noteIndex":0},"schema":"https://github.com/citation-style-language/schema/raw/master/csl-citation.json"}</w:instrText>
            </w:r>
            <w:r>
              <w:rPr>
                <w:sz w:val="24"/>
                <w:szCs w:val="24"/>
              </w:rPr>
              <w:fldChar w:fldCharType="separate"/>
            </w:r>
            <w:r w:rsidRPr="009314DC">
              <w:rPr>
                <w:noProof/>
                <w:sz w:val="24"/>
                <w:szCs w:val="24"/>
              </w:rPr>
              <w:t xml:space="preserve">Merzon </w:t>
            </w:r>
            <w:r w:rsidRPr="009314DC">
              <w:rPr>
                <w:i/>
                <w:noProof/>
                <w:sz w:val="24"/>
                <w:szCs w:val="24"/>
              </w:rPr>
              <w:t>et al.</w:t>
            </w:r>
            <w:r w:rsidRPr="009314DC">
              <w:rPr>
                <w:noProof/>
                <w:sz w:val="24"/>
                <w:szCs w:val="24"/>
              </w:rPr>
              <w:t>, 2020</w:t>
            </w:r>
            <w:r>
              <w:rPr>
                <w:sz w:val="24"/>
                <w:szCs w:val="24"/>
              </w:rPr>
              <w:fldChar w:fldCharType="end"/>
            </w:r>
          </w:p>
        </w:tc>
        <w:tc>
          <w:tcPr>
            <w:tcW w:w="174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38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p>
        </w:tc>
        <w:tc>
          <w:tcPr>
            <w:tcW w:w="1161"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6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5</w:t>
            </w:r>
          </w:p>
        </w:tc>
      </w:tr>
      <w:tr w:rsidR="00052774" w:rsidTr="00E95CEF">
        <w:trPr>
          <w:trHeight w:val="890"/>
        </w:trPr>
        <w:tc>
          <w:tcPr>
            <w:tcW w:w="953" w:type="dxa"/>
            <w:tcBorders>
              <w:top w:val="single" w:sz="4" w:space="0" w:color="auto"/>
              <w:left w:val="single" w:sz="4" w:space="0" w:color="auto"/>
              <w:bottom w:val="single" w:sz="4" w:space="0" w:color="auto"/>
              <w:right w:val="single" w:sz="4" w:space="0" w:color="auto"/>
            </w:tcBorders>
          </w:tcPr>
          <w:p w:rsidR="00052774" w:rsidRDefault="00786F03" w:rsidP="00F145A4">
            <w:pPr>
              <w:rPr>
                <w:sz w:val="24"/>
                <w:szCs w:val="24"/>
              </w:rPr>
            </w:pPr>
            <w:r>
              <w:rPr>
                <w:sz w:val="24"/>
                <w:szCs w:val="24"/>
              </w:rPr>
              <w:fldChar w:fldCharType="begin" w:fldLock="1"/>
            </w:r>
            <w:r>
              <w:rPr>
                <w:sz w:val="24"/>
                <w:szCs w:val="24"/>
              </w:rPr>
              <w:instrText>ADDIN CSL_CITATION {"citationItems":[{"id":"ITEM-1","itemData":{"DOI":"10.1371/journal.pone.0239252","ISBN":"1111111111","ISSN":"19326203","PMID":"32941512","abstract":"Until treatment and vaccine for coronavirus disease-2019 (COVID-19) becomes widely available, other methods of reducing infection rates should be explored. This study used a retrospective, observational analysis of deidentified tests performed at a national clinical laboratory to determine if circulating 25-hydroxyvitamin D (25(OH)D) levels are associated with severe acute respiratory disease coronavirus 2 (SARS-CoV-2) positivity rates. Over 190,000 patients from all 50 states with SARS-CoV-2 results performed mid-March through mid-June, 2020 and matching 25(OH)D results from the preceding 12 months were included. Residential zip code data was required to match with US Census data and perform analyses of race/ethnicity proportions and latitude. A total of 191,779 patients were included (median age, 54 years [interquartile range 40.4-64.7]; 68% female. The SARS-CoV-2 positivity rate was 9.3% (95% C.I. 9.2-9.5%) and the mean seasonally adjusted 25(OH)D was 31.7 (SD 11.7). The SARS-CoV-2 positivity rate was higher in the 39,190 patients with “deficient” 25(OH)D values (&lt;20 ng/mL) (12.5%, 95% C.I. 12.2-12.8%) than in the 27,870 patients with “adequate” values (30-34 ng/mL) (8.1%, 95% C.I. 7.8-8.4%) and the 12,321 patients with values ≥55 ng/mL (5.9%, 95% C.I. 5.5-6.4%). The association between 25 (OH)D levels and SARS-CoV-2 positivity was best fitted by the weighted second-order polynomial regression, which indicated strong correlation in the total population (R2 = 0.96) and in analyses stratified by all studied demographic factors. The association between lower SARS-CoV-2 positivity rates and higher circulating 25(OH)D levels remained significant in a multivariable logistic model adjusting for all included demographic factors (adjusted odds ratio 0.984 per ng/mL increment, 95% C.I. 0.983-0.986; p&lt;0.001). SARS-CoV-2 positivity is strongly and inversely associated with circulating 25(OH)D levels, a relationship that persists across latitudes, races/ethnicities, both sexes, and age ranges. Our findings provide impetus to explore the role of vitamin D supplementation in reducing the risk for SARS-CoV-2 infection and COVID-19 disease.","author":[{"dropping-particle":"","family":"Kaufman","given":"Harvey W.","non-dropping-particle":"","parse-names":false,"suffix":""},{"dropping-particle":"","family":"Niles","given":"Justin K.","non-dropping-particle":"","parse-names":false,"suffix":""},{"dropping-particle":"","family":"Kroll","given":"Martin H.","non-dropping-particle":"","parse-names":false,"suffix":""},{"dropping-particle":"","family":"Bi","given":"Caixia","non-dropping-particle":"","parse-names":false,"suffix":""},{"dropping-particle":"","family":"Holick","given":"Michael F.","non-dropping-particle":"","parse-names":false,"suffix":""}],"container-title":"PLoS ONE","id":"ITEM-1","issue":"9 September 2020","issued":{"date-parts":[["2020"]]},"page":"1-10","title":"SARS-CoV-2 positivity rates associated with circulating 25-hydroxyvitamin D levels","type":"article-journal","volume":"15"},"uris":["http://www.mendeley.com/documents/?uuid=bc1e41b5-6dcc-48f1-9444-87484f2882f0"]}],"mendeley":{"formattedCitation":"(Kaufman &lt;i&gt;et al.&lt;/i&gt;, 2020)","manualFormatting":"Kaufman et al., 2020","plainTextFormattedCitation":"(Kaufman et al., 2020)","previouslyFormattedCitation":"(Kaufman &lt;i&gt;et al.&lt;/i&gt;, 2020)"},"properties":{"noteIndex":0},"schema":"https://github.com/citation-style-language/schema/raw/master/csl-citation.json"}</w:instrText>
            </w:r>
            <w:r>
              <w:rPr>
                <w:sz w:val="24"/>
                <w:szCs w:val="24"/>
              </w:rPr>
              <w:fldChar w:fldCharType="separate"/>
            </w:r>
            <w:r w:rsidRPr="00B4591E">
              <w:rPr>
                <w:noProof/>
                <w:sz w:val="24"/>
                <w:szCs w:val="24"/>
              </w:rPr>
              <w:t xml:space="preserve">Kaufman </w:t>
            </w:r>
            <w:r w:rsidRPr="00B4591E">
              <w:rPr>
                <w:i/>
                <w:noProof/>
                <w:sz w:val="24"/>
                <w:szCs w:val="24"/>
              </w:rPr>
              <w:t>et al.</w:t>
            </w:r>
            <w:r w:rsidRPr="00B4591E">
              <w:rPr>
                <w:noProof/>
                <w:sz w:val="24"/>
                <w:szCs w:val="24"/>
              </w:rPr>
              <w:t>, 2020</w:t>
            </w:r>
            <w:r>
              <w:rPr>
                <w:sz w:val="24"/>
                <w:szCs w:val="24"/>
              </w:rPr>
              <w:fldChar w:fldCharType="end"/>
            </w:r>
          </w:p>
        </w:tc>
        <w:tc>
          <w:tcPr>
            <w:tcW w:w="174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38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72" w:type="dxa"/>
            <w:tcBorders>
              <w:top w:val="single" w:sz="4" w:space="0" w:color="auto"/>
              <w:left w:val="single" w:sz="4" w:space="0" w:color="auto"/>
              <w:bottom w:val="single" w:sz="4" w:space="0" w:color="auto"/>
              <w:right w:val="single" w:sz="4" w:space="0" w:color="auto"/>
            </w:tcBorders>
          </w:tcPr>
          <w:p w:rsidR="00052774" w:rsidRPr="006555E3" w:rsidRDefault="00052774" w:rsidP="004333AA">
            <w:pPr>
              <w:pStyle w:val="Default"/>
              <w:jc w:val="center"/>
              <w:rPr>
                <w:rFonts w:ascii="Nirmala UI" w:hAnsi="Nirmala UI" w:cs="Nirmala UI"/>
                <w:sz w:val="20"/>
                <w:szCs w:val="20"/>
              </w:rPr>
            </w:pPr>
            <w:r>
              <w:rPr>
                <w:rFonts w:ascii="Nirmala UI" w:hAnsi="Nirmala UI" w:cs="Nirmala UI"/>
                <w:sz w:val="20"/>
                <w:szCs w:val="20"/>
              </w:rPr>
              <w:t>*</w:t>
            </w:r>
          </w:p>
        </w:tc>
        <w:tc>
          <w:tcPr>
            <w:tcW w:w="1372" w:type="dxa"/>
            <w:tcBorders>
              <w:top w:val="single" w:sz="4" w:space="0" w:color="auto"/>
              <w:left w:val="single" w:sz="4" w:space="0" w:color="auto"/>
              <w:bottom w:val="single" w:sz="4" w:space="0" w:color="auto"/>
              <w:right w:val="single" w:sz="4" w:space="0" w:color="auto"/>
            </w:tcBorders>
          </w:tcPr>
          <w:p w:rsidR="00052774" w:rsidRPr="006555E3" w:rsidRDefault="00052774" w:rsidP="004333AA">
            <w:pPr>
              <w:pStyle w:val="Default"/>
              <w:jc w:val="center"/>
              <w:rPr>
                <w:rFonts w:ascii="Nirmala UI" w:hAnsi="Nirmala UI" w:cs="Nirmala UI"/>
                <w:sz w:val="20"/>
                <w:szCs w:val="20"/>
                <w:cs/>
                <w:lang w:bidi="bn-IN"/>
              </w:rPr>
            </w:pPr>
          </w:p>
        </w:tc>
        <w:tc>
          <w:tcPr>
            <w:tcW w:w="1161"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w:t>
            </w:r>
          </w:p>
        </w:tc>
        <w:tc>
          <w:tcPr>
            <w:tcW w:w="1127" w:type="dxa"/>
            <w:tcBorders>
              <w:top w:val="single" w:sz="4" w:space="0" w:color="auto"/>
              <w:left w:val="single" w:sz="4" w:space="0" w:color="auto"/>
              <w:bottom w:val="single" w:sz="4" w:space="0" w:color="auto"/>
              <w:right w:val="single" w:sz="4" w:space="0" w:color="auto"/>
            </w:tcBorders>
          </w:tcPr>
          <w:p w:rsidR="00052774" w:rsidRPr="006555E3" w:rsidRDefault="00052774" w:rsidP="004333AA">
            <w:pPr>
              <w:pStyle w:val="Default"/>
              <w:jc w:val="center"/>
              <w:rPr>
                <w:rFonts w:cs="Arial Unicode MS"/>
                <w:sz w:val="20"/>
                <w:szCs w:val="25"/>
                <w:cs/>
                <w:lang w:bidi="bn-IN"/>
              </w:rPr>
            </w:pPr>
            <w:r>
              <w:rPr>
                <w:sz w:val="20"/>
                <w:szCs w:val="20"/>
              </w:rPr>
              <w:t>*</w:t>
            </w:r>
          </w:p>
        </w:tc>
        <w:tc>
          <w:tcPr>
            <w:tcW w:w="6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0"/>
                <w:szCs w:val="20"/>
              </w:rPr>
            </w:pPr>
            <w:r>
              <w:rPr>
                <w:sz w:val="20"/>
                <w:szCs w:val="20"/>
              </w:rPr>
              <w:t>6</w:t>
            </w:r>
          </w:p>
        </w:tc>
      </w:tr>
    </w:tbl>
    <w:p w:rsidR="00B66C5E" w:rsidRDefault="00B66C5E"/>
    <w:p w:rsidR="00E95CEF" w:rsidRDefault="00E95CEF"/>
    <w:p w:rsidR="00052774" w:rsidRDefault="00052774" w:rsidP="00052774"/>
    <w:p w:rsidR="00483691" w:rsidRDefault="00483691" w:rsidP="00052774">
      <w:pPr>
        <w:rPr>
          <w:sz w:val="24"/>
          <w:szCs w:val="24"/>
        </w:rPr>
      </w:pPr>
      <w:bookmarkStart w:id="0" w:name="_GoBack"/>
      <w:bookmarkEnd w:id="0"/>
    </w:p>
    <w:p w:rsidR="00052774" w:rsidRPr="00764F1C" w:rsidRDefault="00052774" w:rsidP="00052774">
      <w:pPr>
        <w:rPr>
          <w:rFonts w:ascii="Times New Roman" w:hAnsi="Times New Roman" w:cs="Times New Roman"/>
          <w:b/>
          <w:sz w:val="32"/>
          <w:szCs w:val="32"/>
          <w:u w:val="single"/>
        </w:rPr>
      </w:pPr>
      <w:r>
        <w:rPr>
          <w:rFonts w:ascii="Times New Roman" w:hAnsi="Times New Roman" w:cs="Times New Roman"/>
          <w:b/>
          <w:bCs/>
          <w:sz w:val="23"/>
          <w:szCs w:val="23"/>
        </w:rPr>
        <w:lastRenderedPageBreak/>
        <w:t xml:space="preserve">Table S5. </w:t>
      </w:r>
      <w:r>
        <w:rPr>
          <w:rFonts w:ascii="Times New Roman" w:hAnsi="Times New Roman" w:cs="Times New Roman"/>
          <w:sz w:val="23"/>
          <w:szCs w:val="23"/>
        </w:rPr>
        <w:t xml:space="preserve">Newcastle-Ottawa scale assessment of study quality for </w:t>
      </w:r>
      <w:r w:rsidRPr="00764F1C">
        <w:rPr>
          <w:rFonts w:ascii="Times New Roman" w:hAnsi="Times New Roman" w:cs="Times New Roman"/>
          <w:b/>
          <w:bCs/>
          <w:sz w:val="23"/>
          <w:szCs w:val="23"/>
        </w:rPr>
        <w:t>cohort study</w:t>
      </w:r>
    </w:p>
    <w:tbl>
      <w:tblPr>
        <w:tblStyle w:val="TableGrid"/>
        <w:tblW w:w="10495" w:type="dxa"/>
        <w:tblInd w:w="85" w:type="dxa"/>
        <w:tblLayout w:type="fixed"/>
        <w:tblLook w:val="04A0" w:firstRow="1" w:lastRow="0" w:firstColumn="1" w:lastColumn="0" w:noHBand="0" w:noVBand="1"/>
      </w:tblPr>
      <w:tblGrid>
        <w:gridCol w:w="1109"/>
        <w:gridCol w:w="1024"/>
        <w:gridCol w:w="1109"/>
        <w:gridCol w:w="853"/>
        <w:gridCol w:w="940"/>
        <w:gridCol w:w="853"/>
        <w:gridCol w:w="938"/>
        <w:gridCol w:w="853"/>
        <w:gridCol w:w="1024"/>
        <w:gridCol w:w="768"/>
        <w:gridCol w:w="1024"/>
      </w:tblGrid>
      <w:tr w:rsidR="00052774" w:rsidTr="00052774">
        <w:trPr>
          <w:trHeight w:val="172"/>
        </w:trPr>
        <w:tc>
          <w:tcPr>
            <w:tcW w:w="1109" w:type="dxa"/>
            <w:vMerge w:val="restart"/>
            <w:tcBorders>
              <w:top w:val="single" w:sz="4" w:space="0" w:color="auto"/>
              <w:left w:val="single" w:sz="4" w:space="0" w:color="auto"/>
              <w:bottom w:val="single" w:sz="4" w:space="0" w:color="auto"/>
              <w:right w:val="single" w:sz="4" w:space="0" w:color="auto"/>
            </w:tcBorders>
          </w:tcPr>
          <w:p w:rsidR="00052774" w:rsidRDefault="00052774" w:rsidP="00F145A4">
            <w:pPr>
              <w:rPr>
                <w:rFonts w:ascii="Times New Roman" w:hAnsi="Times New Roman" w:cs="Times New Roman"/>
                <w:bCs/>
                <w:sz w:val="32"/>
                <w:szCs w:val="32"/>
              </w:rPr>
            </w:pPr>
          </w:p>
          <w:p w:rsidR="00052774" w:rsidRDefault="00052774" w:rsidP="00F145A4">
            <w:pPr>
              <w:rPr>
                <w:rFonts w:ascii="Times New Roman" w:hAnsi="Times New Roman" w:cs="Times New Roman"/>
                <w:bCs/>
                <w:sz w:val="32"/>
                <w:szCs w:val="32"/>
              </w:rPr>
            </w:pPr>
          </w:p>
          <w:p w:rsidR="00052774" w:rsidRDefault="00052774" w:rsidP="00F145A4">
            <w:pPr>
              <w:rPr>
                <w:rFonts w:ascii="Times New Roman" w:hAnsi="Times New Roman" w:cs="Times New Roman"/>
                <w:bCs/>
                <w:sz w:val="32"/>
                <w:szCs w:val="32"/>
              </w:rPr>
            </w:pPr>
          </w:p>
          <w:p w:rsidR="00052774" w:rsidRDefault="00052774" w:rsidP="00F145A4">
            <w:pPr>
              <w:rPr>
                <w:rFonts w:ascii="Times New Roman" w:hAnsi="Times New Roman" w:cs="Times New Roman"/>
                <w:bCs/>
                <w:sz w:val="20"/>
                <w:szCs w:val="20"/>
              </w:rPr>
            </w:pPr>
          </w:p>
          <w:p w:rsidR="00052774" w:rsidRDefault="00052774" w:rsidP="00F145A4">
            <w:pPr>
              <w:rPr>
                <w:rFonts w:ascii="Times New Roman" w:hAnsi="Times New Roman" w:cs="Times New Roman"/>
                <w:bCs/>
                <w:sz w:val="20"/>
                <w:szCs w:val="20"/>
              </w:rPr>
            </w:pPr>
          </w:p>
          <w:p w:rsidR="00052774" w:rsidRDefault="00052774" w:rsidP="00F145A4">
            <w:pPr>
              <w:rPr>
                <w:rFonts w:ascii="Times New Roman" w:hAnsi="Times New Roman" w:cs="Times New Roman"/>
                <w:bCs/>
                <w:sz w:val="20"/>
                <w:szCs w:val="20"/>
              </w:rPr>
            </w:pPr>
            <w:r>
              <w:rPr>
                <w:rFonts w:ascii="Times New Roman" w:hAnsi="Times New Roman" w:cs="Times New Roman"/>
                <w:bCs/>
                <w:sz w:val="20"/>
                <w:szCs w:val="20"/>
              </w:rPr>
              <w:t>Author</w:t>
            </w:r>
          </w:p>
        </w:tc>
        <w:tc>
          <w:tcPr>
            <w:tcW w:w="3926" w:type="dxa"/>
            <w:gridSpan w:val="4"/>
            <w:tcBorders>
              <w:top w:val="single" w:sz="4" w:space="0" w:color="auto"/>
              <w:left w:val="single" w:sz="4" w:space="0" w:color="auto"/>
              <w:bottom w:val="single" w:sz="4" w:space="0" w:color="auto"/>
              <w:right w:val="single" w:sz="4" w:space="0" w:color="auto"/>
            </w:tcBorders>
            <w:hideMark/>
          </w:tcPr>
          <w:p w:rsidR="00052774" w:rsidRDefault="00052774" w:rsidP="00F145A4">
            <w:pPr>
              <w:jc w:val="center"/>
              <w:rPr>
                <w:rFonts w:ascii="Times New Roman" w:hAnsi="Times New Roman" w:cs="Times New Roman"/>
                <w:bCs/>
                <w:sz w:val="24"/>
                <w:szCs w:val="24"/>
              </w:rPr>
            </w:pPr>
            <w:r>
              <w:rPr>
                <w:rFonts w:ascii="Times New Roman" w:hAnsi="Times New Roman" w:cs="Times New Roman"/>
                <w:bCs/>
                <w:sz w:val="24"/>
                <w:szCs w:val="24"/>
              </w:rPr>
              <w:t>Selection</w:t>
            </w:r>
          </w:p>
        </w:tc>
        <w:tc>
          <w:tcPr>
            <w:tcW w:w="1791" w:type="dxa"/>
            <w:gridSpan w:val="2"/>
            <w:tcBorders>
              <w:top w:val="single" w:sz="4" w:space="0" w:color="auto"/>
              <w:left w:val="single" w:sz="4" w:space="0" w:color="auto"/>
              <w:bottom w:val="single" w:sz="4" w:space="0" w:color="auto"/>
              <w:right w:val="single" w:sz="4" w:space="0" w:color="auto"/>
            </w:tcBorders>
          </w:tcPr>
          <w:p w:rsidR="00052774" w:rsidRDefault="00052774" w:rsidP="00F145A4">
            <w:pPr>
              <w:pStyle w:val="Default"/>
              <w:jc w:val="center"/>
              <w:rPr>
                <w:sz w:val="23"/>
                <w:szCs w:val="23"/>
              </w:rPr>
            </w:pPr>
            <w:r>
              <w:rPr>
                <w:sz w:val="23"/>
                <w:szCs w:val="23"/>
              </w:rPr>
              <w:t>Comparability</w:t>
            </w:r>
          </w:p>
          <w:p w:rsidR="00052774" w:rsidRDefault="00052774" w:rsidP="00F145A4">
            <w:pPr>
              <w:rPr>
                <w:rFonts w:ascii="Times New Roman" w:hAnsi="Times New Roman" w:cs="Times New Roman"/>
                <w:bCs/>
                <w:sz w:val="32"/>
                <w:szCs w:val="32"/>
              </w:rPr>
            </w:pPr>
          </w:p>
        </w:tc>
        <w:tc>
          <w:tcPr>
            <w:tcW w:w="2645" w:type="dxa"/>
            <w:gridSpan w:val="3"/>
            <w:tcBorders>
              <w:top w:val="single" w:sz="4" w:space="0" w:color="auto"/>
              <w:left w:val="single" w:sz="4" w:space="0" w:color="auto"/>
              <w:bottom w:val="single" w:sz="4" w:space="0" w:color="auto"/>
              <w:right w:val="single" w:sz="4" w:space="0" w:color="auto"/>
            </w:tcBorders>
          </w:tcPr>
          <w:p w:rsidR="00052774" w:rsidRDefault="00052774" w:rsidP="00F145A4">
            <w:pPr>
              <w:pStyle w:val="Default"/>
              <w:jc w:val="center"/>
              <w:rPr>
                <w:sz w:val="23"/>
                <w:szCs w:val="23"/>
              </w:rPr>
            </w:pPr>
            <w:r>
              <w:rPr>
                <w:sz w:val="23"/>
                <w:szCs w:val="23"/>
              </w:rPr>
              <w:t>Outcome</w:t>
            </w:r>
          </w:p>
          <w:p w:rsidR="00052774" w:rsidRDefault="00052774" w:rsidP="00F145A4">
            <w:pPr>
              <w:rPr>
                <w:rFonts w:ascii="Times New Roman" w:hAnsi="Times New Roman" w:cs="Times New Roman"/>
                <w:bCs/>
                <w:sz w:val="32"/>
                <w:szCs w:val="32"/>
              </w:rPr>
            </w:pPr>
          </w:p>
        </w:tc>
        <w:tc>
          <w:tcPr>
            <w:tcW w:w="1024" w:type="dxa"/>
            <w:vMerge w:val="restart"/>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p>
          <w:p w:rsidR="00052774" w:rsidRDefault="00052774" w:rsidP="00F145A4">
            <w:pPr>
              <w:pStyle w:val="Default"/>
              <w:rPr>
                <w:sz w:val="23"/>
                <w:szCs w:val="23"/>
              </w:rPr>
            </w:pPr>
          </w:p>
          <w:p w:rsidR="00052774" w:rsidRDefault="00052774" w:rsidP="00F145A4">
            <w:pPr>
              <w:pStyle w:val="Default"/>
              <w:rPr>
                <w:sz w:val="23"/>
                <w:szCs w:val="23"/>
              </w:rPr>
            </w:pPr>
          </w:p>
          <w:p w:rsidR="00052774" w:rsidRDefault="00052774" w:rsidP="00F145A4">
            <w:pPr>
              <w:pStyle w:val="Default"/>
              <w:rPr>
                <w:sz w:val="23"/>
                <w:szCs w:val="23"/>
              </w:rPr>
            </w:pPr>
          </w:p>
          <w:p w:rsidR="00052774" w:rsidRDefault="00052774" w:rsidP="00F145A4">
            <w:pPr>
              <w:pStyle w:val="Default"/>
              <w:rPr>
                <w:sz w:val="23"/>
                <w:szCs w:val="23"/>
              </w:rPr>
            </w:pPr>
          </w:p>
          <w:p w:rsidR="00052774" w:rsidRDefault="00052774" w:rsidP="00F145A4">
            <w:pPr>
              <w:pStyle w:val="Default"/>
              <w:rPr>
                <w:sz w:val="23"/>
                <w:szCs w:val="23"/>
              </w:rPr>
            </w:pPr>
          </w:p>
          <w:p w:rsidR="00052774" w:rsidRDefault="00052774" w:rsidP="00F145A4">
            <w:pPr>
              <w:pStyle w:val="Default"/>
              <w:rPr>
                <w:sz w:val="23"/>
                <w:szCs w:val="23"/>
              </w:rPr>
            </w:pPr>
            <w:r>
              <w:rPr>
                <w:sz w:val="23"/>
                <w:szCs w:val="23"/>
              </w:rPr>
              <w:t>Study Quality</w:t>
            </w:r>
          </w:p>
        </w:tc>
      </w:tr>
      <w:tr w:rsidR="00052774" w:rsidTr="00786F03">
        <w:trPr>
          <w:trHeight w:val="172"/>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rFonts w:ascii="Times New Roman" w:hAnsi="Times New Roman" w:cs="Times New Roman"/>
                <w:bCs/>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1</w:t>
            </w:r>
          </w:p>
        </w:tc>
        <w:tc>
          <w:tcPr>
            <w:tcW w:w="11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2</w:t>
            </w:r>
          </w:p>
        </w:tc>
        <w:tc>
          <w:tcPr>
            <w:tcW w:w="8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3</w:t>
            </w:r>
          </w:p>
        </w:tc>
        <w:tc>
          <w:tcPr>
            <w:tcW w:w="9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4</w:t>
            </w:r>
          </w:p>
        </w:tc>
        <w:tc>
          <w:tcPr>
            <w:tcW w:w="85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5A</w:t>
            </w:r>
          </w:p>
        </w:tc>
        <w:tc>
          <w:tcPr>
            <w:tcW w:w="938"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5B</w:t>
            </w:r>
          </w:p>
        </w:tc>
        <w:tc>
          <w:tcPr>
            <w:tcW w:w="85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6</w:t>
            </w:r>
          </w:p>
        </w:tc>
        <w:tc>
          <w:tcPr>
            <w:tcW w:w="102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7</w:t>
            </w:r>
          </w:p>
        </w:tc>
        <w:tc>
          <w:tcPr>
            <w:tcW w:w="7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52774" w:rsidRDefault="00052774" w:rsidP="00F145A4">
            <w:pPr>
              <w:rPr>
                <w:rFonts w:ascii="Times New Roman" w:hAnsi="Times New Roman" w:cs="Times New Roman"/>
                <w:bCs/>
                <w:sz w:val="24"/>
                <w:szCs w:val="24"/>
              </w:rPr>
            </w:pPr>
            <w:r>
              <w:rPr>
                <w:rFonts w:ascii="Times New Roman" w:hAnsi="Times New Roman" w:cs="Times New Roman"/>
                <w:bCs/>
                <w:sz w:val="24"/>
                <w:szCs w:val="24"/>
              </w:rPr>
              <w:t>8</w:t>
            </w: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rFonts w:ascii="Times New Roman" w:hAnsi="Times New Roman" w:cs="Times New Roman"/>
                <w:color w:val="000000"/>
                <w:sz w:val="23"/>
                <w:szCs w:val="23"/>
              </w:rPr>
            </w:pPr>
          </w:p>
        </w:tc>
      </w:tr>
      <w:tr w:rsidR="00052774" w:rsidTr="00786F03">
        <w:trPr>
          <w:trHeight w:val="171"/>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rFonts w:ascii="Times New Roman" w:hAnsi="Times New Roman" w:cs="Times New Roman"/>
                <w:bCs/>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rsidR="00052774" w:rsidRDefault="00052774" w:rsidP="00F145A4">
            <w:pPr>
              <w:pStyle w:val="Default"/>
            </w:pPr>
            <w:r>
              <w:t xml:space="preserve">Exposed cohort truly representative </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pPr>
            <w:r>
              <w:t xml:space="preserve">Non-exposed cohort drawn from the same community </w:t>
            </w:r>
          </w:p>
          <w:p w:rsidR="00052774" w:rsidRDefault="00052774" w:rsidP="00F145A4">
            <w:pPr>
              <w:rPr>
                <w:rFonts w:ascii="Times New Roman" w:hAnsi="Times New Roman" w:cs="Times New Roman"/>
                <w:bCs/>
                <w:sz w:val="24"/>
                <w:szCs w:val="24"/>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pPr>
            <w:r>
              <w:t xml:space="preserve">Ascertainment of exposure </w:t>
            </w:r>
          </w:p>
          <w:p w:rsidR="00052774" w:rsidRDefault="00052774" w:rsidP="00F145A4">
            <w:pPr>
              <w:rPr>
                <w:rFonts w:ascii="Times New Roman" w:hAnsi="Times New Roman" w:cs="Times New Roman"/>
                <w:bCs/>
                <w:sz w:val="24"/>
                <w:szCs w:val="24"/>
              </w:rPr>
            </w:pP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pPr>
            <w:r>
              <w:t xml:space="preserve">Outcome of interest not present at start </w:t>
            </w:r>
          </w:p>
          <w:p w:rsidR="00052774" w:rsidRDefault="00052774" w:rsidP="00F145A4">
            <w:pPr>
              <w:rPr>
                <w:rFonts w:ascii="Times New Roman" w:hAnsi="Times New Roman" w:cs="Times New Roman"/>
                <w:bCs/>
                <w:sz w:val="24"/>
                <w:szCs w:val="24"/>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r>
              <w:rPr>
                <w:sz w:val="23"/>
                <w:szCs w:val="23"/>
              </w:rPr>
              <w:t xml:space="preserve">Cohorts comparable on basis of age </w:t>
            </w:r>
          </w:p>
          <w:p w:rsidR="00052774" w:rsidRDefault="00052774" w:rsidP="00F145A4">
            <w:pPr>
              <w:rPr>
                <w:rFonts w:ascii="Times New Roman" w:hAnsi="Times New Roman" w:cs="Times New Roman"/>
                <w:bCs/>
                <w:sz w:val="32"/>
                <w:szCs w:val="32"/>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r>
              <w:rPr>
                <w:sz w:val="23"/>
                <w:szCs w:val="23"/>
              </w:rPr>
              <w:t xml:space="preserve">Cohorts comparable on other factor(s) </w:t>
            </w:r>
          </w:p>
          <w:p w:rsidR="00052774" w:rsidRDefault="00052774" w:rsidP="00F145A4">
            <w:pPr>
              <w:rPr>
                <w:rFonts w:ascii="Times New Roman" w:hAnsi="Times New Roman" w:cs="Times New Roman"/>
                <w:bCs/>
                <w:sz w:val="32"/>
                <w:szCs w:val="32"/>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r>
              <w:rPr>
                <w:sz w:val="23"/>
                <w:szCs w:val="23"/>
              </w:rPr>
              <w:t xml:space="preserve">Quality of outcome assessment </w:t>
            </w:r>
          </w:p>
          <w:p w:rsidR="00052774" w:rsidRDefault="00052774" w:rsidP="00F145A4">
            <w:pPr>
              <w:rPr>
                <w:rFonts w:ascii="Times New Roman" w:hAnsi="Times New Roman" w:cs="Times New Roman"/>
                <w:bCs/>
                <w:sz w:val="32"/>
                <w:szCs w:val="32"/>
              </w:rPr>
            </w:pP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r>
              <w:rPr>
                <w:sz w:val="23"/>
                <w:szCs w:val="23"/>
              </w:rPr>
              <w:t xml:space="preserve">Follow-up long enough for outcomes to occur </w:t>
            </w:r>
          </w:p>
          <w:p w:rsidR="00052774" w:rsidRDefault="00052774" w:rsidP="00F145A4">
            <w:pPr>
              <w:rPr>
                <w:rFonts w:ascii="Times New Roman" w:hAnsi="Times New Roman" w:cs="Times New Roman"/>
                <w:bCs/>
                <w:sz w:val="32"/>
                <w:szCs w:val="32"/>
              </w:rPr>
            </w:pP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F145A4">
            <w:pPr>
              <w:pStyle w:val="Default"/>
              <w:rPr>
                <w:sz w:val="23"/>
                <w:szCs w:val="23"/>
              </w:rPr>
            </w:pPr>
            <w:r>
              <w:rPr>
                <w:sz w:val="23"/>
                <w:szCs w:val="23"/>
              </w:rPr>
              <w:t xml:space="preserve">Complete accounting for cohorts </w:t>
            </w:r>
          </w:p>
          <w:p w:rsidR="00052774" w:rsidRDefault="00052774" w:rsidP="00F145A4">
            <w:pPr>
              <w:rPr>
                <w:rFonts w:ascii="Times New Roman" w:hAnsi="Times New Roman" w:cs="Times New Roman"/>
                <w:bCs/>
                <w:sz w:val="32"/>
                <w:szCs w:val="3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52774" w:rsidRDefault="00052774" w:rsidP="00F145A4">
            <w:pPr>
              <w:rPr>
                <w:rFonts w:ascii="Times New Roman" w:hAnsi="Times New Roman" w:cs="Times New Roman"/>
                <w:color w:val="000000"/>
                <w:sz w:val="23"/>
                <w:szCs w:val="23"/>
              </w:rPr>
            </w:pPr>
          </w:p>
        </w:tc>
      </w:tr>
      <w:tr w:rsidR="00052774" w:rsidTr="00786F03">
        <w:trPr>
          <w:trHeight w:val="171"/>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5C4E86" w:rsidP="005C4E86">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{"citationItems":[{"id":"ITEM-1","itemData":{"DOI":"10.1007/s00394-020-02411-0","ISBN":"0039402002411","ISSN":"14366215","abstract":"Purpose: Vitamin D deficiency has been reported as a key factor in the development of infectious diseases such as respiratory tract infections and inflammatory processes like acute respiratory distress syndrome. However, the impact of vitamin D on the severity and outcome of COVID-19 is still not fully known. Herein, we aimed to evaluate the prognostic role of serum vitamin D concentration on the extent of lung involvement and final outcome in patients with COVID-19. Methods: Seventy-three subjects with confirmed diagnosis of COVID-19 were investigated in this study. The patients had been admitted to our academic hospital from February 28, 2020 to April 19, 2020. Demographic and clinical data, serum 25(OH)D levels, and findings of initial chest computed tomography were recorded. Linear and binary logistic regression, cox regression and ROC curve tests were used for statistical analysis. Results: The mean age of patients was 55.18 ± 14.98 years old; 46.4% were male. Mean serum 25(OH)D concentration was significantly lower in the deceased (13.83 ± 12.53 ng/ mL compared with discharged patients (38.41 ± 18.51 ng/mL) (P &lt; 0.001). Higher levels of 25(OH)D were associated with significantly less extent of total lung involvement (β = − 0.10, P = 0.004). In addition, vitamin D deficiency [25(OH) D &lt; 25 ng/mL] was associated with a significant increase in the risk of mortality (hazard ratio = 4.15, P = 0.04). Conclusion: This study suggests that serum vitamin D status might provide useful information regarding the clinical course, extent of lung involvement and outcome of patients with COVID-19. However, further studies with larger sample size are needed to confirm these findings.","author":[{"dropping-particle":"","family":"Abrishami","given":"Alireza","non-dropping-particle":"","parse-names":false,"suffix":""},{"dropping-particle":"","family":"Dalili","given":"Nooshin","non-dropping-particle":"","parse-names":false,"suffix":""},{"dropping-particle":"","family":"Mohammadi Torbati","given":"Peyman","non-dropping-particle":"","parse-names":false,"suffix":""},{"dropping-particle":"","family":"Asgari","given":"Reyhaneh","non-dropping-particle":"","parse-names":false,"suffix":""},{"dropping-particle":"","family":"Arab-Ahmadi","given":"Mehran","non-dropping-particle":"","parse-names":false,"suffix":""},{"dropping-particle":"","family":"Behnam","given":"Behdad","non-dropping-particle":"","parse-names":false,"suffix":""},{"dropping-particle":"","family":"Sanei-Taheri","given":"Morteza","non-dropping-particle":"","parse-names":false,"suffix":""}],"container-title":"European Journal of Nutrition","id":"ITEM-1","issue":"0123456789","issued":{"date-parts":[["2020"]]},"publisher":"Springer Berlin Heidelberg","title":"Possible association of vitamin D status with lung involvement and outcome in patients with COVID-19: a retrospective study","type":"article-journal"},"uris":["http://www.mendeley.com/documents/?uuid=f65b4a9f-c145-4d9f-a1a6-c6138e7f795e"]}],"mendeley":{"formattedCitation":"(Abrishami &lt;i&gt;et al.&lt;/i&gt;, 2020)","manualFormatting":"Abrishami et al., 2020","plainTextFormattedCitation":"(Abrishami et al., 2020)","previouslyFormattedCitation":"(Abrishami &lt;i&gt;et al.&lt;/i&gt;, 2020)"},"properties":{"noteIndex":0},"schema":"https://github.com/citation-style-language/schema/raw/master/csl-citation.json"}</w:instrText>
            </w:r>
            <w:r>
              <w:rPr>
                <w:sz w:val="24"/>
                <w:szCs w:val="24"/>
              </w:rPr>
              <w:fldChar w:fldCharType="separate"/>
            </w:r>
            <w:r w:rsidRPr="0019701D">
              <w:rPr>
                <w:noProof/>
                <w:sz w:val="24"/>
                <w:szCs w:val="24"/>
              </w:rPr>
              <w:t xml:space="preserve">Abrishami </w:t>
            </w:r>
            <w:r w:rsidRPr="0019701D">
              <w:rPr>
                <w:i/>
                <w:noProof/>
                <w:sz w:val="24"/>
                <w:szCs w:val="24"/>
              </w:rPr>
              <w:t>et al.</w:t>
            </w:r>
            <w:r w:rsidRPr="0019701D">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052774" w:rsidTr="00786F03">
        <w:trPr>
          <w:trHeight w:val="171"/>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5C4E86" w:rsidP="00F145A4">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{"citationItems":[{"id":"ITEM-1","itemData":{"DOI":"10.3390/nu12092757","ISSN":"20726643","PMID":"32927735","abstract":"Infection with the severe acute respiratory syndrome coronavirus-2 (SARS-CoV-2) poses an enormous challenge to health care systems throughout the world. Without causal treatment, identification of modifiable prognostic factors may help to improve outcomes. To explore possible associations of vitamin D (VitD) status with disease severity and survival, we studied 185 patients diagnosed with coronavirus disease 2019 (COVID-19) and treated at our center. VitD status at first presentation was assessed retrospectively using accredited laboratory methods. VitD deficiency was defined as serum total 25-hydroxyvitamin D level &lt; 12 ng/mL (&lt;30 nM). Primary endpoint was severe course of disease (i.e., need for invasive mechanical ventilation and/or death, IMV/D). Within a median observation period of 66 days (range 2–92), 23 patients required IMV. A total of 28 patients had IMV/D, including 16 deaths. Ninety-three (50%) patients required hospitalization (inpatient subgroup). A total of 41 (22%) patients were VitD deficient. When adjusted for age, gender, and comorbidities, VitD deficiency was associated with higher risk of IMV/D and death (HR 6.12, 95% CI 2.79–13.42, p &lt; 0.001 and HR 14.73, 95% CI 4.16–52.19, p &lt; 0.001, respectively). Similar correlations were observed in the inpatient subgroup. Our study demonstrates an association between VitD deficiency and severity/mortality of COVID-19, highlighting the need for interventional studies on VitD supplementation in SARS-CoV-2 infected individuals.","author":[{"dropping-particle":"","family":"Radujkovic","given":"Aleksandar","non-dropping-particle":"","parse-names":false,"suffix":""},{"dropping-particle":"","family":"Hippchen","given":"Theresa","non-dropping-particle":"","parse-names":false,"suffix":""},{"dropping-particle":"","family":"Tiwari-Heckler","given":"Shilpa","non-dropping-particle":"","parse-names":false,"suffix":""},{"dropping-particle":"","family":"Dreher","given":"Saida","non-dropping-particle":"","parse-names":false,"suffix":""},{"dropping-particle":"","family":"Boxberger","given":"Monica","non-dropping-particle":"","parse-names":false,"suffix":""},{"dropping-particle":"","family":"Merle","given":"Uta","non-dropping-particle":"","parse-names":false,"suffix":""}],"container-title":"Nutrients","id":"ITEM-1","issue":"9","issued":{"date-parts":[["2020"]]},"page":"1-13","title":"Vitamin D deficiency and outcome of COVID-19 patients","type":"article-journal","volume":"12"},"uris":["http://www.mendeley.com/documents/?uuid=35ff2108-b91a-44d1-bba7-2863456ec0dd"]}],"mendeley":{"formattedCitation":"(Radujkovic &lt;i&gt;et al.&lt;/i&gt;, 2020)","manualFormatting":"Radujkovic et al., 2020","plainTextFormattedCitation":"(Radujkovic et al., 2020)"},"properties":{"noteIndex":0},"schema":"https://github.com/citation-style-language/schema/raw/master/csl-citation.json"}</w:instrText>
            </w:r>
            <w:r>
              <w:rPr>
                <w:sz w:val="24"/>
                <w:szCs w:val="24"/>
              </w:rPr>
              <w:fldChar w:fldCharType="separate"/>
            </w:r>
            <w:r w:rsidRPr="00F52BDD">
              <w:rPr>
                <w:noProof/>
                <w:sz w:val="24"/>
                <w:szCs w:val="24"/>
              </w:rPr>
              <w:t xml:space="preserve">Radujkovic </w:t>
            </w:r>
            <w:r w:rsidRPr="00F52BDD">
              <w:rPr>
                <w:i/>
                <w:noProof/>
                <w:sz w:val="24"/>
                <w:szCs w:val="24"/>
              </w:rPr>
              <w:t>et al.</w:t>
            </w:r>
            <w:r w:rsidRPr="00F52BDD">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052774" w:rsidTr="00786F03">
        <w:trPr>
          <w:trHeight w:val="171"/>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936DA0" w:rsidP="00F145A4">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{"citationItems":[{"id":"ITEM-1","itemData":{"author":[{"dropping-particle":"","family":"Otros","given":"Trabajo Original","non-dropping-particle":"","parse-names":false,"suffix":""},{"dropping-particle":"","family":"Macaya","given":"Fernando","non-dropping-particle":"","parse-names":false,"suffix":""},{"dropping-particle":"","family":"Espejo","given":"Carolina","non-dropping-particle":"","parse-names":false,"suffix":""},{"dropping-particle":"","family":"Valls","given":"Adrián","non-dropping-particle":"","parse-names":false,"suffix":""},{"dropping-particle":"","family":"Fernández-ortiz","given":"Antonio","non-dropping-particle":"","parse-names":false,"suffix":""},{"dropping-particle":"","family":"González","given":"Juan","non-dropping-particle":"","parse-names":false,"suffix":""},{"dropping-particle":"","family":"Martín-sánchez","given":"F Javier","non-dropping-particle":"","parse-names":false,"suffix":""},{"dropping-particle":"","family":"Rubio","given":"Miguel A","non-dropping-particle":"","parse-names":false,"suffix":""}],"id":"ITEM-1","issued":{"date-parts":[["2020"]]},"page":"0-3","title":"Nutrición Hospitalaria","type":"article-journal"},"uris":["http://www.mendeley.com/documents/?uuid=60585531-814e-4d52-9b7f-47d08f770d9c"]}],"mendeley":{"formattedCitation":"(Otros &lt;i&gt;et al.&lt;/i&gt;, 2020)","manualFormatting":"Otros et al., 2020","plainTextFormattedCitation":"(Otros et al., 2020)"},"properties":{"noteIndex":0},"schema":"https://github.com/citation-style-language/schema/raw/master/csl-citation.json"}</w:instrText>
            </w:r>
            <w:r>
              <w:rPr>
                <w:sz w:val="24"/>
                <w:szCs w:val="24"/>
              </w:rPr>
              <w:fldChar w:fldCharType="separate"/>
            </w:r>
            <w:r w:rsidRPr="005E09E7">
              <w:rPr>
                <w:noProof/>
                <w:sz w:val="24"/>
                <w:szCs w:val="24"/>
              </w:rPr>
              <w:t xml:space="preserve">Otros </w:t>
            </w:r>
            <w:r w:rsidRPr="005E09E7">
              <w:rPr>
                <w:i/>
                <w:noProof/>
                <w:sz w:val="24"/>
                <w:szCs w:val="24"/>
              </w:rPr>
              <w:t>et al.</w:t>
            </w:r>
            <w:r w:rsidRPr="005E09E7">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052774" w:rsidTr="00786F03">
        <w:trPr>
          <w:trHeight w:val="171"/>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786F03" w:rsidP="00F145A4">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{"citationItems":[{"id":"ITEM-1","itemData":{"DOI":"10.1001/jamanetworkopen.2020.19722","ISSN":"25743805","PMID":"32880651","abstract":"Importance: Vitamin D treatment has been found to decrease the incidence of viral respiratory tract infection, especially in patients with vitamin D deficiency. Whether vitamin D is associated with coronavirus disease 2019 (COVID-19) incidence is unknown. Objective: To examine whether the last vitamin D status before COVID-19 testing is associated with COVID-19 test results. Design, Setting, and Participants: This retrospective cohort study at an urban academic medical center included patients with a 25-hydroxycholecalciferol or 1,25-dihydroxycholecalciferol level measured within 1 year before being tested for COVID-19 from March 3 to April 10, 2020. Exposures: Vitamin D deficiency was defined by the last measurement of 25-hydroxycholecalciferol less than 20 ng/mL or 1,25-dihydroxycholecalciferol less than 18 pg/mL before COVID-19 testing. Treatment changes were defined by changes in vitamin D type and dose between the date of the last vitamin D level measurement and the date of COVID-19 testing. Vitamin D deficiency and treatment changes were combined to categorize the most recent vitamin D status before COVID-19 testing as likely deficient (last level deficient and treatment not increased), likely sufficient (last level not deficient and treatment not decreased), and 2 groups with uncertain deficiency (last level deficient and treatment increased, and last level not deficient and treatment decreased). Main Outcomes and Measures: The outcome was a positive COVID-19 polymerase chain reaction test result. Multivariable analysis tested whether vitamin D status before COVID-19 testing was associated with testing positive for COVID-19, controlling for demographic and comorbidity indicators. Results: A total of 489 patients (mean [SD] age, 49.2 [18.4] years; 366 [75%] women; and 331 [68%] race other than White) had a vitamin D level measured in the year before COVID-19 testing. Vitamin D status before COVID-19 testing was categorized as likely deficient for 124 participants (25%), likely sufficient for 287 (59%), and uncertain for 78 (16%). Overall, 71 participants (15%) tested positive for COVID-19. In multivariate analysis, testing positive for COVID-19 was associated with increasing age up to age 50 years (relative risk, 1.06; 95% CI, 1.01-1.09; P = .02); non-White race (relative risk, 2.54; 95% CI, 1.26-5.12; P = .009), and likely deficient vitamin D status (relative risk, 1.77; 95% CI, 1.12-2.81; P = .02) compared with likely sufficient vitamin D status…","author":[{"dropping-particle":"","family":"Meltzer","given":"David O.","non-dropping-particle":"","parse-names":false,"suffix":""},{"dropping-particle":"","family":"Best","given":"Thomas J.","non-dropping-particle":"","parse-names":false,"suffix":""},{"dropping-particle":"","family":"Zhang","given":"Hui","non-dropping-particle":"","parse-names":false,"suffix":""},{"dropping-particle":"","family":"Vokes","given":"Tamara","non-dropping-particle":"","parse-names":false,"suffix":""},{"dropping-particle":"","family":"Arora","given":"Vineet","non-dropping-particle":"","parse-names":false,"suffix":""},{"dropping-particle":"","family":"Solway","given":"Julian","non-dropping-particle":"","parse-names":false,"suffix":""}],"container-title":"JAMA network open","id":"ITEM-1","issue":"9","issued":{"date-parts":[["2020"]]},"page":"e2019722","title":"Association of Vitamin D Status and Other Clinical Characteristics With COVID-19 Test Results","type":"article-journal","volume":"3"},"uris":["http://www.mendeley.com/documents/?uuid=5a3b13d2-f6b6-49af-97f2-f61d45218152"]}],"mendeley":{"formattedCitation":"(Meltzer &lt;i&gt;et al.&lt;/i&gt;, 2020)","manualFormatting":"Meltzer et al., 2020","plainTextFormattedCitation":"(Meltzer et al., 2020)","previouslyFormattedCitation":"(Meltzer &lt;i&gt;et al.&lt;/i&gt;, 2020)"},"properties":{"noteIndex":0},"schema":"https://github.com/citation-style-language/schema/raw/master/csl-citation.json"}</w:instrText>
            </w:r>
            <w:r>
              <w:rPr>
                <w:sz w:val="24"/>
                <w:szCs w:val="24"/>
              </w:rPr>
              <w:fldChar w:fldCharType="separate"/>
            </w:r>
            <w:r w:rsidRPr="000C21BB">
              <w:rPr>
                <w:noProof/>
                <w:sz w:val="24"/>
                <w:szCs w:val="24"/>
              </w:rPr>
              <w:t xml:space="preserve">Meltzer </w:t>
            </w:r>
            <w:r w:rsidRPr="000C21BB">
              <w:rPr>
                <w:i/>
                <w:noProof/>
                <w:sz w:val="24"/>
                <w:szCs w:val="24"/>
              </w:rPr>
              <w:t>et al.</w:t>
            </w:r>
            <w:r w:rsidRPr="000C21BB">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052774" w:rsidTr="00786F03">
        <w:trPr>
          <w:trHeight w:val="171"/>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786F03" w:rsidP="00F145A4">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{"citationItems":[{"id":"ITEM-1","itemData":{"DOI":"10.3390/nu12051359","ISBN":"3901143939","ISSN":"20726643","PMID":"32397511","abstract":"Severe acute respiratory syndrome coronavirus 2 (SARS-CoV-2) causes coronavirus disease 2019 (COVID-19), with a clinical outcome ranging from mild to severe, including death. To date, it is unclear why some patients develop severe symptoms. Many authors have suggested the involvement of vitamin D in reducing the risk of infections; thus, we retrospectively investigated the 25-hydroxyvitamin D (25(OH)D) concentrations in plasma obtained from a cohort of patients from Switzerland. In this cohort, significantly lower 25(OH)D levels (p = 0.004) were found in PCR-positive for SARS-CoV-2 (median value 11.1 ng/mL) patients compared with negative patients (24.6 ng/mL); this was also confirmed by stratifying patients according to age &gt;70 years. On the basis of this preliminary observation, vitamin D supplementation might be a useful measure to reduce the risk of infection. Randomized controlled trials and large population studies should be conducted to evaluate these recommendations and to confirm our preliminary observation.","author":[{"dropping-particle":"","family":"D’avolio","given":"Antonio","non-dropping-particle":"","parse-names":false,"suffix":""},{"dropping-particle":"","family":"Avataneo","given":"Valeria","non-dropping-particle":"","parse-names":false,"suffix":""},{"dropping-particle":"","family":"Manca","given":"Alessandra","non-dropping-particle":"","parse-names":false,"suffix":""},{"dropping-particle":"","family":"Cusato","given":"Jessica","non-dropping-particle":"","parse-names":false,"suffix":""},{"dropping-particle":"","family":"Nicolò","given":"Amedeo","non-dropping-particle":"De","parse-names":false,"suffix":""},{"dropping-particle":"","family":"Lucchini","given":"Renzo","non-dropping-particle":"","parse-names":false,"suffix":""},{"dropping-particle":"","family":"Keller","given":"Franco","non-dropping-particle":"","parse-names":false,"suffix":""},{"dropping-particle":"","family":"Cantù","given":"Marco","non-dropping-particle":"","parse-names":false,"suffix":""}],"container-title":"Nutrients","id":"ITEM-1","issue":"5","issued":{"date-parts":[["2020"]]},"page":"1-7","title":"25-hydroxyvitamin D concentrations are lower in patients with positive PCR for SARS-CoV-2","type":"article-journal","volume":"12"},"uris":["http://www.mendeley.com/documents/?uuid=5078a693-6744-49e7-8427-57c066b42550"]}],"mendeley":{"formattedCitation":"(D’avolio &lt;i&gt;et al.&lt;/i&gt;, 2020)","manualFormatting":"D’avolio et al., 2020","plainTextFormattedCitation":"(D’avolio et al., 2020)","previouslyFormattedCitation":"(D’avolio &lt;i&gt;et al.&lt;/i&gt;, 2020)"},"properties":{"noteIndex":0},"schema":"https://github.com/citation-style-language/schema/raw/master/csl-citation.json"}</w:instrText>
            </w:r>
            <w:r>
              <w:rPr>
                <w:sz w:val="24"/>
                <w:szCs w:val="24"/>
              </w:rPr>
              <w:fldChar w:fldCharType="separate"/>
            </w:r>
            <w:r w:rsidRPr="00CB5DBD">
              <w:rPr>
                <w:noProof/>
                <w:sz w:val="24"/>
                <w:szCs w:val="24"/>
              </w:rPr>
              <w:t xml:space="preserve">D’avolio </w:t>
            </w:r>
            <w:r w:rsidRPr="00CB5DBD">
              <w:rPr>
                <w:i/>
                <w:noProof/>
                <w:sz w:val="24"/>
                <w:szCs w:val="24"/>
              </w:rPr>
              <w:t>et al.</w:t>
            </w:r>
            <w:r w:rsidRPr="00CB5DBD">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r>
      <w:tr w:rsidR="00052774" w:rsidTr="00786F03">
        <w:trPr>
          <w:trHeight w:val="412"/>
        </w:trPr>
        <w:tc>
          <w:tcPr>
            <w:tcW w:w="1109" w:type="dxa"/>
            <w:tcBorders>
              <w:top w:val="single" w:sz="4" w:space="0" w:color="auto"/>
              <w:left w:val="single" w:sz="4" w:space="0" w:color="auto"/>
              <w:bottom w:val="single" w:sz="4" w:space="0" w:color="auto"/>
              <w:right w:val="single" w:sz="4" w:space="0" w:color="auto"/>
            </w:tcBorders>
            <w:vAlign w:val="center"/>
          </w:tcPr>
          <w:p w:rsidR="00052774" w:rsidRDefault="00786F03" w:rsidP="00F145A4">
            <w:pPr>
              <w:rPr>
                <w:rFonts w:ascii="Times New Roman" w:hAnsi="Times New Roman" w:cs="Times New Roman"/>
                <w:bCs/>
                <w:sz w:val="20"/>
                <w:szCs w:val="20"/>
              </w:rPr>
            </w:pPr>
            <w:r>
              <w:rPr>
                <w:sz w:val="24"/>
                <w:szCs w:val="24"/>
              </w:rPr>
              <w:fldChar w:fldCharType="begin" w:fldLock="1"/>
            </w:r>
            <w:r>
              <w:rPr>
                <w:sz w:val="24"/>
                <w:szCs w:val="24"/>
              </w:rPr>
              <w:instrText>ADDIN CSL_CITATION {"citationItems":[{"id":"ITEM-1","itemData":{"DOI":"10.1136/postgradmedj-2020-138712","ISSN":"14690756","PMID":"32855214","abstract":"Purpose: Older adults are more likely to be vitamin D deficient. The aim of the study was to determine whether these patients have worse outcomes with COVID-19. Methods: We conducted a prospective cohort study between 1 March and 30 April 2020 to assess the importance of vitamin D deficiency in older patients with COVID-19. The cohort consisted of patients aged ≥65 years presenting with symptoms consistent with COVID-19 (n=105). All patients were tested for serum 25-hydroxyvitamin D (25(OH)D) levels during acute illness. Diagnosis of COVID-19 was confirmed via viral reverse transcriptase PCR swab or supporting radiological evidence. COVID-19-positive arm (n=70) was sub-divided into vitamin D-deficient (≤30 nmol/L) (n=39) and -replete groups (n=35). Subgroups were assessed for disease severity using biochemical, radiological and clinical markers. Primary outcome was in-hospital mortality. Secondary outcomes were laboratory features of cytokine storm, thoracic imaging changes and requirement of non-invasive ventilation (NIV). Results: COVID-19-positive arm demonstrated lower median serum 25(OH)D level of 27 nmol/L (IQR=20-47 nmol/L) compared with COVID-19-negative arm, with median level of 52 nmol/L (IQR=31.5-71.5 nmol/L) (p value=0.0008). Among patients with vitamin D deficiency, there was higher peak D-dimer level (1914.00 μgFEU/L vs 1268.00 μgFEU/L) (p=0.034) and higher incidence of NIV support and high dependency unit admission (30.77% vs 9.68%) (p=0.042). No increased mortality was observed between groups. Conclusion: Older adults with vitamin D deficiency and COVID-19 may demonstrate worse morbidity outcomes. Vitamin D status may be a useful prognosticator.","author":[{"dropping-particle":"","family":"Baktash","given":"Vadir","non-dropping-particle":"","parse-names":false,"suffix":""},{"dropping-particle":"","family":"Hosack","given":"Tom","non-dropping-particle":"","parse-names":false,"suffix":""},{"dropping-particle":"","family":"Patel","given":"Nishil","non-dropping-particle":"","parse-names":false,"suffix":""},{"dropping-particle":"","family":"Shah","given":"Shital","non-dropping-particle":"","parse-names":false,"suffix":""},{"dropping-particle":"","family":"Kandiah","given":"Pirabakaran","non-dropping-particle":"","parse-names":false,"suffix":""},{"dropping-particle":"","family":"Abbeele","given":"Koenraad","non-dropping-particle":"Van Den","parse-names":false,"suffix":""},{"dropping-particle":"","family":"Mandal","given":"Amit K.J.","non-dropping-particle":"","parse-names":false,"suffix":""},{"dropping-particle":"","family":"Missouris","given":"Constantinos G.","non-dropping-particle":"","parse-names":false,"suffix":""}],"container-title":"Postgraduate Medical Journal","id":"ITEM-1","issued":{"date-parts":[["2020"]]},"page":"1-6","title":"Vitamin D status and outcomes for hospitalised older patients with COVID-19","type":"article-journal","volume":"2"},"uris":["http://www.mendeley.com/documents/?uuid=f8d9798b-2b67-4aa8-aace-b21b89512753"]}],"mendeley":{"formattedCitation":"(Baktash &lt;i&gt;et al.&lt;/i&gt;, 2020)","manualFormatting":"Baktash et al., 2020","plainTextFormattedCitation":"(Baktash et al., 2020)"},"properties":{"noteIndex":0},"schema":"https://github.com/citation-style-language/schema/raw/master/csl-citation.json"}</w:instrText>
            </w:r>
            <w:r>
              <w:rPr>
                <w:sz w:val="24"/>
                <w:szCs w:val="24"/>
              </w:rPr>
              <w:fldChar w:fldCharType="separate"/>
            </w:r>
            <w:r w:rsidRPr="00093D37">
              <w:rPr>
                <w:noProof/>
                <w:sz w:val="24"/>
                <w:szCs w:val="24"/>
              </w:rPr>
              <w:t xml:space="preserve">Baktash </w:t>
            </w:r>
            <w:r w:rsidRPr="00093D37">
              <w:rPr>
                <w:i/>
                <w:noProof/>
                <w:sz w:val="24"/>
                <w:szCs w:val="24"/>
              </w:rPr>
              <w:t>et al.</w:t>
            </w:r>
            <w:r w:rsidRPr="00093D37">
              <w:rPr>
                <w:noProof/>
                <w:sz w:val="24"/>
                <w:szCs w:val="24"/>
              </w:rPr>
              <w:t>, 2020</w:t>
            </w:r>
            <w:r>
              <w:rPr>
                <w:sz w:val="24"/>
                <w:szCs w:val="24"/>
              </w:rPr>
              <w:fldChar w:fldCharType="end"/>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1109"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940"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pPr>
            <w:r>
              <w:t>*</w:t>
            </w: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93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853"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1024"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r>
              <w:rPr>
                <w:sz w:val="23"/>
                <w:szCs w:val="23"/>
              </w:rPr>
              <w:t>*</w:t>
            </w:r>
          </w:p>
        </w:tc>
        <w:tc>
          <w:tcPr>
            <w:tcW w:w="768" w:type="dxa"/>
            <w:tcBorders>
              <w:top w:val="single" w:sz="4" w:space="0" w:color="auto"/>
              <w:left w:val="single" w:sz="4" w:space="0" w:color="auto"/>
              <w:bottom w:val="single" w:sz="4" w:space="0" w:color="auto"/>
              <w:right w:val="single" w:sz="4" w:space="0" w:color="auto"/>
            </w:tcBorders>
          </w:tcPr>
          <w:p w:rsidR="00052774" w:rsidRDefault="00052774" w:rsidP="004333AA">
            <w:pPr>
              <w:pStyle w:val="Default"/>
              <w:jc w:val="center"/>
              <w:rPr>
                <w:sz w:val="23"/>
                <w:szCs w:val="23"/>
              </w:rPr>
            </w:pPr>
          </w:p>
        </w:tc>
        <w:tc>
          <w:tcPr>
            <w:tcW w:w="1024" w:type="dxa"/>
            <w:tcBorders>
              <w:top w:val="single" w:sz="4" w:space="0" w:color="auto"/>
              <w:left w:val="single" w:sz="4" w:space="0" w:color="auto"/>
              <w:bottom w:val="single" w:sz="4" w:space="0" w:color="auto"/>
              <w:right w:val="single" w:sz="4" w:space="0" w:color="auto"/>
            </w:tcBorders>
            <w:vAlign w:val="center"/>
          </w:tcPr>
          <w:p w:rsidR="00052774" w:rsidRDefault="00052774" w:rsidP="004333AA">
            <w:pPr>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r>
    </w:tbl>
    <w:p w:rsidR="00052774" w:rsidRDefault="00052774" w:rsidP="00052774"/>
    <w:p w:rsidR="00936DA0" w:rsidRDefault="00936DA0" w:rsidP="00052774"/>
    <w:p w:rsidR="00936DA0" w:rsidRDefault="00936DA0" w:rsidP="00052774"/>
    <w:p w:rsidR="00936DA0" w:rsidRDefault="00936DA0" w:rsidP="00052774"/>
    <w:p w:rsidR="00936DA0" w:rsidRDefault="00936DA0" w:rsidP="00052774"/>
    <w:p w:rsidR="00936DA0" w:rsidRDefault="00936DA0" w:rsidP="00052774"/>
    <w:p w:rsidR="00936DA0" w:rsidRDefault="00936DA0" w:rsidP="00052774"/>
    <w:p w:rsidR="004333AA" w:rsidRDefault="004333AA" w:rsidP="00052774"/>
    <w:p w:rsidR="005F13D8" w:rsidRDefault="005F13D8" w:rsidP="00052774"/>
    <w:p w:rsidR="00052774" w:rsidRPr="00166279" w:rsidRDefault="00052774" w:rsidP="00052774">
      <w:pPr>
        <w:rPr>
          <w:rFonts w:ascii="Times New Roman" w:hAnsi="Times New Roman" w:cs="Times New Roman"/>
          <w:b/>
          <w:sz w:val="32"/>
          <w:szCs w:val="32"/>
          <w:u w:val="single"/>
        </w:rPr>
      </w:pPr>
      <w:r>
        <w:rPr>
          <w:rFonts w:ascii="Times New Roman" w:hAnsi="Times New Roman" w:cs="Times New Roman"/>
          <w:b/>
          <w:bCs/>
          <w:sz w:val="23"/>
          <w:szCs w:val="23"/>
        </w:rPr>
        <w:lastRenderedPageBreak/>
        <w:t xml:space="preserve">Table S6. </w:t>
      </w:r>
      <w:r>
        <w:rPr>
          <w:rFonts w:ascii="Times New Roman" w:hAnsi="Times New Roman" w:cs="Times New Roman"/>
          <w:sz w:val="23"/>
          <w:szCs w:val="23"/>
        </w:rPr>
        <w:t xml:space="preserve">Newcastle-Ottawa scale assessment of study quality for </w:t>
      </w:r>
      <w:r>
        <w:rPr>
          <w:rFonts w:ascii="Times New Roman" w:hAnsi="Times New Roman" w:cs="Times New Roman"/>
          <w:b/>
          <w:bCs/>
          <w:sz w:val="23"/>
          <w:szCs w:val="23"/>
        </w:rPr>
        <w:t>case control</w:t>
      </w:r>
      <w:r w:rsidRPr="00764F1C">
        <w:rPr>
          <w:rFonts w:ascii="Times New Roman" w:hAnsi="Times New Roman" w:cs="Times New Roman"/>
          <w:b/>
          <w:bCs/>
          <w:sz w:val="23"/>
          <w:szCs w:val="23"/>
        </w:rPr>
        <w:t xml:space="preserve"> study</w:t>
      </w:r>
    </w:p>
    <w:tbl>
      <w:tblPr>
        <w:tblStyle w:val="TableGrid"/>
        <w:tblW w:w="10370" w:type="dxa"/>
        <w:tblInd w:w="0" w:type="dxa"/>
        <w:tblLayout w:type="fixed"/>
        <w:tblLook w:val="04A0" w:firstRow="1" w:lastRow="0" w:firstColumn="1" w:lastColumn="0" w:noHBand="0" w:noVBand="1"/>
      </w:tblPr>
      <w:tblGrid>
        <w:gridCol w:w="1078"/>
        <w:gridCol w:w="1189"/>
        <w:gridCol w:w="1129"/>
        <w:gridCol w:w="1255"/>
        <w:gridCol w:w="1062"/>
        <w:gridCol w:w="1267"/>
        <w:gridCol w:w="811"/>
        <w:gridCol w:w="893"/>
        <w:gridCol w:w="644"/>
        <w:gridCol w:w="1042"/>
      </w:tblGrid>
      <w:tr w:rsidR="004333AA" w:rsidTr="001D2EEA">
        <w:trPr>
          <w:trHeight w:val="371"/>
        </w:trPr>
        <w:tc>
          <w:tcPr>
            <w:tcW w:w="1078" w:type="dxa"/>
            <w:vMerge w:val="restart"/>
            <w:tcBorders>
              <w:top w:val="single" w:sz="4" w:space="0" w:color="auto"/>
              <w:left w:val="single" w:sz="4" w:space="0" w:color="auto"/>
              <w:bottom w:val="single" w:sz="4" w:space="0" w:color="auto"/>
              <w:right w:val="single" w:sz="4" w:space="0" w:color="auto"/>
            </w:tcBorders>
            <w:hideMark/>
          </w:tcPr>
          <w:p w:rsidR="004333AA" w:rsidRDefault="004333AA" w:rsidP="00F145A4">
            <w:pPr>
              <w:rPr>
                <w:sz w:val="24"/>
                <w:szCs w:val="24"/>
              </w:rPr>
            </w:pPr>
            <w:r>
              <w:rPr>
                <w:sz w:val="24"/>
                <w:szCs w:val="24"/>
              </w:rPr>
              <w:t>Author</w:t>
            </w:r>
          </w:p>
        </w:tc>
        <w:tc>
          <w:tcPr>
            <w:tcW w:w="4635" w:type="dxa"/>
            <w:gridSpan w:val="4"/>
            <w:tcBorders>
              <w:top w:val="single" w:sz="4" w:space="0" w:color="auto"/>
              <w:left w:val="single" w:sz="4" w:space="0" w:color="auto"/>
              <w:bottom w:val="single" w:sz="4" w:space="0" w:color="auto"/>
              <w:right w:val="single" w:sz="4" w:space="0" w:color="auto"/>
            </w:tcBorders>
            <w:hideMark/>
          </w:tcPr>
          <w:p w:rsidR="004333AA" w:rsidRDefault="004333AA" w:rsidP="00F145A4">
            <w:pPr>
              <w:jc w:val="center"/>
              <w:rPr>
                <w:sz w:val="24"/>
                <w:szCs w:val="24"/>
              </w:rPr>
            </w:pPr>
            <w:r>
              <w:rPr>
                <w:sz w:val="24"/>
                <w:szCs w:val="24"/>
              </w:rPr>
              <w:t>Selection</w:t>
            </w:r>
          </w:p>
        </w:tc>
        <w:tc>
          <w:tcPr>
            <w:tcW w:w="1267" w:type="dxa"/>
            <w:tcBorders>
              <w:top w:val="single" w:sz="4" w:space="0" w:color="auto"/>
              <w:left w:val="single" w:sz="4" w:space="0" w:color="auto"/>
              <w:bottom w:val="single" w:sz="4" w:space="0" w:color="auto"/>
              <w:right w:val="single" w:sz="4" w:space="0" w:color="auto"/>
            </w:tcBorders>
          </w:tcPr>
          <w:p w:rsidR="004333AA" w:rsidRDefault="004333AA" w:rsidP="00F145A4">
            <w:pPr>
              <w:pStyle w:val="Default"/>
              <w:jc w:val="center"/>
              <w:rPr>
                <w:sz w:val="20"/>
                <w:szCs w:val="20"/>
              </w:rPr>
            </w:pPr>
            <w:r>
              <w:rPr>
                <w:sz w:val="20"/>
                <w:szCs w:val="20"/>
              </w:rPr>
              <w:t>Comparability</w:t>
            </w:r>
          </w:p>
          <w:p w:rsidR="004333AA" w:rsidRDefault="004333AA" w:rsidP="00F145A4">
            <w:pPr>
              <w:jc w:val="center"/>
              <w:rPr>
                <w:sz w:val="24"/>
                <w:szCs w:val="24"/>
              </w:rPr>
            </w:pPr>
          </w:p>
        </w:tc>
        <w:tc>
          <w:tcPr>
            <w:tcW w:w="2348" w:type="dxa"/>
            <w:gridSpan w:val="3"/>
            <w:tcBorders>
              <w:top w:val="single" w:sz="4" w:space="0" w:color="auto"/>
              <w:left w:val="single" w:sz="4" w:space="0" w:color="auto"/>
              <w:bottom w:val="single" w:sz="4" w:space="0" w:color="auto"/>
              <w:right w:val="single" w:sz="4" w:space="0" w:color="auto"/>
            </w:tcBorders>
            <w:hideMark/>
          </w:tcPr>
          <w:p w:rsidR="004333AA" w:rsidRDefault="004333AA" w:rsidP="00F145A4">
            <w:pPr>
              <w:jc w:val="center"/>
              <w:rPr>
                <w:sz w:val="24"/>
                <w:szCs w:val="24"/>
              </w:rPr>
            </w:pPr>
            <w:r>
              <w:rPr>
                <w:sz w:val="24"/>
                <w:szCs w:val="24"/>
              </w:rPr>
              <w:t>Outcome</w:t>
            </w:r>
          </w:p>
        </w:tc>
        <w:tc>
          <w:tcPr>
            <w:tcW w:w="1042" w:type="dxa"/>
            <w:vMerge w:val="restart"/>
            <w:tcBorders>
              <w:top w:val="single" w:sz="4" w:space="0" w:color="auto"/>
              <w:left w:val="single" w:sz="4" w:space="0" w:color="auto"/>
              <w:right w:val="single" w:sz="4" w:space="0" w:color="auto"/>
            </w:tcBorders>
          </w:tcPr>
          <w:p w:rsidR="004333AA" w:rsidRDefault="004333AA" w:rsidP="00F145A4">
            <w:pPr>
              <w:jc w:val="center"/>
              <w:rPr>
                <w:sz w:val="24"/>
                <w:szCs w:val="24"/>
              </w:rPr>
            </w:pPr>
            <w:r>
              <w:rPr>
                <w:sz w:val="24"/>
                <w:szCs w:val="24"/>
              </w:rPr>
              <w:t>Study quality</w:t>
            </w:r>
          </w:p>
        </w:tc>
      </w:tr>
      <w:tr w:rsidR="004333AA" w:rsidTr="004333AA">
        <w:trPr>
          <w:trHeight w:val="557"/>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4333AA" w:rsidRDefault="004333AA" w:rsidP="00F145A4">
            <w:pPr>
              <w:rPr>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33AA" w:rsidRDefault="004333AA" w:rsidP="00F145A4">
            <w:pPr>
              <w:jc w:val="center"/>
              <w:rPr>
                <w:sz w:val="24"/>
                <w:szCs w:val="24"/>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33AA" w:rsidRDefault="004333AA" w:rsidP="00F145A4">
            <w:pPr>
              <w:jc w:val="center"/>
              <w:rPr>
                <w:sz w:val="24"/>
                <w:szCs w:val="24"/>
              </w:rPr>
            </w:pPr>
            <w:r>
              <w:rPr>
                <w:sz w:val="24"/>
                <w:szCs w:val="24"/>
              </w:rPr>
              <w:t>2</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33AA" w:rsidRDefault="004333AA" w:rsidP="00F145A4">
            <w:pPr>
              <w:jc w:val="center"/>
              <w:rPr>
                <w:sz w:val="24"/>
                <w:szCs w:val="24"/>
              </w:rPr>
            </w:pPr>
            <w:r>
              <w:rPr>
                <w:sz w:val="24"/>
                <w:szCs w:val="24"/>
              </w:rPr>
              <w:t>3</w:t>
            </w:r>
          </w:p>
        </w:tc>
        <w:tc>
          <w:tcPr>
            <w:tcW w:w="10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333AA" w:rsidRDefault="004333AA" w:rsidP="00F145A4">
            <w:pPr>
              <w:jc w:val="center"/>
              <w:rPr>
                <w:sz w:val="24"/>
                <w:szCs w:val="24"/>
              </w:rPr>
            </w:pPr>
            <w:r>
              <w:rPr>
                <w:sz w:val="24"/>
                <w:szCs w:val="24"/>
              </w:rPr>
              <w:t>4</w:t>
            </w:r>
          </w:p>
        </w:tc>
        <w:tc>
          <w:tcPr>
            <w:tcW w:w="12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4333AA" w:rsidRDefault="004333AA" w:rsidP="00F145A4">
            <w:pPr>
              <w:jc w:val="center"/>
              <w:rPr>
                <w:sz w:val="24"/>
                <w:szCs w:val="24"/>
              </w:rPr>
            </w:pPr>
            <w:r>
              <w:rPr>
                <w:sz w:val="24"/>
                <w:szCs w:val="24"/>
              </w:rPr>
              <w:t>5</w:t>
            </w:r>
          </w:p>
        </w:tc>
        <w:tc>
          <w:tcPr>
            <w:tcW w:w="81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333AA" w:rsidRDefault="004333AA" w:rsidP="00F145A4">
            <w:pPr>
              <w:jc w:val="center"/>
              <w:rPr>
                <w:sz w:val="24"/>
                <w:szCs w:val="24"/>
              </w:rPr>
            </w:pPr>
            <w:r>
              <w:rPr>
                <w:sz w:val="24"/>
                <w:szCs w:val="24"/>
              </w:rPr>
              <w:t>6</w:t>
            </w:r>
          </w:p>
        </w:tc>
        <w:tc>
          <w:tcPr>
            <w:tcW w:w="89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333AA" w:rsidRDefault="004333AA" w:rsidP="00F145A4">
            <w:pPr>
              <w:jc w:val="center"/>
              <w:rPr>
                <w:sz w:val="24"/>
                <w:szCs w:val="24"/>
              </w:rPr>
            </w:pPr>
            <w:r>
              <w:rPr>
                <w:sz w:val="24"/>
                <w:szCs w:val="24"/>
              </w:rPr>
              <w:t>7</w:t>
            </w:r>
          </w:p>
        </w:tc>
        <w:tc>
          <w:tcPr>
            <w:tcW w:w="64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333AA" w:rsidRDefault="004333AA" w:rsidP="00F145A4">
            <w:pPr>
              <w:jc w:val="center"/>
              <w:rPr>
                <w:sz w:val="24"/>
                <w:szCs w:val="24"/>
              </w:rPr>
            </w:pPr>
            <w:r>
              <w:rPr>
                <w:sz w:val="24"/>
                <w:szCs w:val="24"/>
              </w:rPr>
              <w:t>8</w:t>
            </w:r>
          </w:p>
        </w:tc>
        <w:tc>
          <w:tcPr>
            <w:tcW w:w="1042" w:type="dxa"/>
            <w:vMerge/>
            <w:tcBorders>
              <w:left w:val="single" w:sz="4" w:space="0" w:color="auto"/>
              <w:right w:val="single" w:sz="4" w:space="0" w:color="auto"/>
            </w:tcBorders>
            <w:shd w:val="clear" w:color="auto" w:fill="538135" w:themeFill="accent6" w:themeFillShade="BF"/>
          </w:tcPr>
          <w:p w:rsidR="004333AA" w:rsidRDefault="004333AA" w:rsidP="00F145A4">
            <w:pPr>
              <w:jc w:val="center"/>
              <w:rPr>
                <w:sz w:val="24"/>
                <w:szCs w:val="24"/>
              </w:rPr>
            </w:pPr>
          </w:p>
        </w:tc>
      </w:tr>
      <w:tr w:rsidR="004333AA" w:rsidTr="004333AA">
        <w:trPr>
          <w:trHeight w:val="2854"/>
        </w:trPr>
        <w:tc>
          <w:tcPr>
            <w:tcW w:w="1078" w:type="dxa"/>
            <w:vMerge/>
            <w:tcBorders>
              <w:top w:val="single" w:sz="4" w:space="0" w:color="auto"/>
              <w:left w:val="single" w:sz="4" w:space="0" w:color="auto"/>
              <w:bottom w:val="single" w:sz="4" w:space="0" w:color="auto"/>
              <w:right w:val="single" w:sz="4" w:space="0" w:color="auto"/>
            </w:tcBorders>
            <w:vAlign w:val="center"/>
            <w:hideMark/>
          </w:tcPr>
          <w:p w:rsidR="004333AA" w:rsidRDefault="004333AA" w:rsidP="00F145A4">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4333AA" w:rsidRDefault="004333AA" w:rsidP="00F145A4">
            <w:pPr>
              <w:pStyle w:val="Default"/>
            </w:pPr>
            <w:r>
              <w:t>Is the case definition adequate?</w:t>
            </w:r>
          </w:p>
        </w:tc>
        <w:tc>
          <w:tcPr>
            <w:tcW w:w="1129" w:type="dxa"/>
            <w:tcBorders>
              <w:top w:val="single" w:sz="4" w:space="0" w:color="auto"/>
              <w:left w:val="single" w:sz="4" w:space="0" w:color="auto"/>
              <w:bottom w:val="single" w:sz="4" w:space="0" w:color="auto"/>
              <w:right w:val="single" w:sz="4" w:space="0" w:color="auto"/>
            </w:tcBorders>
            <w:hideMark/>
          </w:tcPr>
          <w:p w:rsidR="004333AA" w:rsidRDefault="004333AA" w:rsidP="00F145A4">
            <w:pPr>
              <w:pStyle w:val="Default"/>
              <w:rPr>
                <w:sz w:val="20"/>
                <w:szCs w:val="20"/>
              </w:rPr>
            </w:pPr>
            <w:r>
              <w:t>Representativeness of the cases</w:t>
            </w:r>
          </w:p>
        </w:tc>
        <w:tc>
          <w:tcPr>
            <w:tcW w:w="1255" w:type="dxa"/>
            <w:tcBorders>
              <w:top w:val="single" w:sz="4" w:space="0" w:color="auto"/>
              <w:left w:val="single" w:sz="4" w:space="0" w:color="auto"/>
              <w:bottom w:val="single" w:sz="4" w:space="0" w:color="auto"/>
              <w:right w:val="single" w:sz="4" w:space="0" w:color="auto"/>
            </w:tcBorders>
            <w:hideMark/>
          </w:tcPr>
          <w:p w:rsidR="004333AA" w:rsidRDefault="004333AA" w:rsidP="00F145A4">
            <w:pPr>
              <w:pStyle w:val="Default"/>
              <w:rPr>
                <w:sz w:val="20"/>
                <w:szCs w:val="20"/>
              </w:rPr>
            </w:pPr>
            <w:r>
              <w:t>Selection of Controls</w:t>
            </w:r>
            <w:r>
              <w:rPr>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hideMark/>
          </w:tcPr>
          <w:p w:rsidR="004333AA" w:rsidRDefault="004333AA" w:rsidP="00F145A4">
            <w:pPr>
              <w:pStyle w:val="Default"/>
              <w:rPr>
                <w:sz w:val="20"/>
                <w:szCs w:val="20"/>
              </w:rPr>
            </w:pPr>
            <w:r>
              <w:t>Definition of Controls</w:t>
            </w:r>
          </w:p>
        </w:tc>
        <w:tc>
          <w:tcPr>
            <w:tcW w:w="1267" w:type="dxa"/>
            <w:tcBorders>
              <w:top w:val="single" w:sz="4" w:space="0" w:color="auto"/>
              <w:left w:val="single" w:sz="4" w:space="0" w:color="auto"/>
              <w:bottom w:val="single" w:sz="4" w:space="0" w:color="auto"/>
              <w:right w:val="single" w:sz="4" w:space="0" w:color="auto"/>
            </w:tcBorders>
            <w:hideMark/>
          </w:tcPr>
          <w:p w:rsidR="004333AA" w:rsidRDefault="004333AA" w:rsidP="00F145A4">
            <w:pPr>
              <w:pStyle w:val="Default"/>
              <w:rPr>
                <w:sz w:val="20"/>
                <w:szCs w:val="20"/>
              </w:rPr>
            </w:pPr>
            <w:r>
              <w:t>Comparability of cases and controls on the basis of the design or analysis</w:t>
            </w:r>
          </w:p>
        </w:tc>
        <w:tc>
          <w:tcPr>
            <w:tcW w:w="811" w:type="dxa"/>
            <w:tcBorders>
              <w:top w:val="single" w:sz="4" w:space="0" w:color="auto"/>
              <w:left w:val="single" w:sz="4" w:space="0" w:color="auto"/>
              <w:bottom w:val="single" w:sz="4" w:space="0" w:color="auto"/>
              <w:right w:val="single" w:sz="4" w:space="0" w:color="auto"/>
            </w:tcBorders>
            <w:hideMark/>
          </w:tcPr>
          <w:p w:rsidR="004333AA" w:rsidRDefault="004333AA" w:rsidP="00F145A4">
            <w:pPr>
              <w:pStyle w:val="Default"/>
              <w:rPr>
                <w:sz w:val="20"/>
                <w:szCs w:val="20"/>
              </w:rPr>
            </w:pPr>
            <w:r>
              <w:t>Ascertainment of exposure</w:t>
            </w:r>
          </w:p>
        </w:tc>
        <w:tc>
          <w:tcPr>
            <w:tcW w:w="893" w:type="dxa"/>
            <w:tcBorders>
              <w:top w:val="single" w:sz="4" w:space="0" w:color="auto"/>
              <w:left w:val="single" w:sz="4" w:space="0" w:color="auto"/>
              <w:bottom w:val="single" w:sz="4" w:space="0" w:color="auto"/>
              <w:right w:val="single" w:sz="4" w:space="0" w:color="auto"/>
            </w:tcBorders>
          </w:tcPr>
          <w:p w:rsidR="004333AA" w:rsidRDefault="004333AA" w:rsidP="00F145A4">
            <w:pPr>
              <w:pStyle w:val="Default"/>
              <w:rPr>
                <w:sz w:val="20"/>
                <w:szCs w:val="20"/>
              </w:rPr>
            </w:pPr>
            <w:r>
              <w:t>Same method of ascertainment for cases and controls</w:t>
            </w:r>
          </w:p>
        </w:tc>
        <w:tc>
          <w:tcPr>
            <w:tcW w:w="644" w:type="dxa"/>
            <w:tcBorders>
              <w:top w:val="single" w:sz="4" w:space="0" w:color="auto"/>
              <w:left w:val="single" w:sz="4" w:space="0" w:color="auto"/>
              <w:bottom w:val="single" w:sz="4" w:space="0" w:color="auto"/>
              <w:right w:val="single" w:sz="4" w:space="0" w:color="auto"/>
            </w:tcBorders>
          </w:tcPr>
          <w:p w:rsidR="004333AA" w:rsidRDefault="004333AA" w:rsidP="00F145A4">
            <w:pPr>
              <w:pStyle w:val="Default"/>
              <w:rPr>
                <w:sz w:val="20"/>
                <w:szCs w:val="20"/>
              </w:rPr>
            </w:pPr>
            <w:r>
              <w:t>Non-Response rate</w:t>
            </w:r>
          </w:p>
        </w:tc>
        <w:tc>
          <w:tcPr>
            <w:tcW w:w="1042" w:type="dxa"/>
            <w:vMerge/>
            <w:tcBorders>
              <w:left w:val="single" w:sz="4" w:space="0" w:color="auto"/>
              <w:bottom w:val="single" w:sz="4" w:space="0" w:color="auto"/>
              <w:right w:val="single" w:sz="4" w:space="0" w:color="auto"/>
            </w:tcBorders>
          </w:tcPr>
          <w:p w:rsidR="004333AA" w:rsidRDefault="004333AA" w:rsidP="00F145A4">
            <w:pPr>
              <w:pStyle w:val="Default"/>
            </w:pPr>
          </w:p>
        </w:tc>
      </w:tr>
      <w:tr w:rsidR="004333AA" w:rsidTr="00AF038A">
        <w:trPr>
          <w:trHeight w:val="827"/>
        </w:trPr>
        <w:tc>
          <w:tcPr>
            <w:tcW w:w="1078" w:type="dxa"/>
            <w:tcBorders>
              <w:top w:val="single" w:sz="4" w:space="0" w:color="auto"/>
              <w:left w:val="single" w:sz="4" w:space="0" w:color="auto"/>
              <w:bottom w:val="single" w:sz="4" w:space="0" w:color="auto"/>
              <w:right w:val="single" w:sz="4" w:space="0" w:color="auto"/>
            </w:tcBorders>
          </w:tcPr>
          <w:p w:rsidR="004333AA" w:rsidRDefault="00786F03" w:rsidP="00F145A4">
            <w:pPr>
              <w:rPr>
                <w:sz w:val="24"/>
                <w:szCs w:val="24"/>
              </w:rPr>
            </w:pPr>
            <w:r>
              <w:rPr>
                <w:sz w:val="24"/>
                <w:szCs w:val="24"/>
              </w:rPr>
              <w:fldChar w:fldCharType="begin" w:fldLock="1"/>
            </w:r>
            <w:r>
              <w:rPr>
                <w:sz w:val="24"/>
                <w:szCs w:val="24"/>
              </w:rPr>
              <w:instrText>ADDIN CSL_CITATION {"citationItems":[{"id":"ITEM-1","itemData":{"DOI":"10.1080/07315724.2020.1826005","ISSN":"15411087","PMID":"33048028","abstract":"Background: As effective medication to treat COVID-19 is currently unavailable, preventive remedies may be particularly important. Objective: To examine the relationship between serum 25-hydroxy vitamin D (25(OH)D) level and COVID-19 infection, its severity, and its clinical case characteristics. Methods: This case-control study compared serum 25(OH)D levels and rates of vitamin D deficiency (VDD) between 80 healthy controls and 62 patients diagnosed with COVID-19 and admitted to Guangxi People’s Hospital, China, 2/16/2020–3/16/2020. Cases were categorized into asymptomatic, mild/moderate, and severe/critical disease. Logistic regression analysis was conducted to examine the associations between 25(OH)D level, or VDD, and case status/severity of COVID-19 while controlling for demographics and comorbidities. A threshold level of vitamin D for conveying COVID-19 risk was estimated. Results: Severe/critical COVID-19 cases were significantly older and had higher percentages of comorbidity (renal failure) compared to mild cases. The serum 25(OH)D concentration in COVID-19 patient was much lower than that in healthy control. And 25(OH)D level was the lowest in severe/critical cases, compared with mild cases. In further, significantly higher rates of VDD were found in COVID-19 cases (41.9%) compared to healthy controls (11.1%). And VDD was the greatest in severe/critical cases (80%), compared with mild cases (36%). These statistically significant associations remained even after controlling for demographics and comorbidities. A potential threshold of 25(OH)D (41.19 nmol/L) to protect against COVID-19 was identified. Conclusion: Elderly and people with comorbidities were susceptible to severe COVID-19 infection. VDD was a risk factor for COVID-19, especially for severe/critical cases. While further confirmation is needed, vitamin D supplementation may have prevention or treatment potential for COVID-19 disease.","author":[{"dropping-particle":"","family":"Ye","given":"Kun","non-dropping-particle":"","parse-names":false,"suffix":""},{"dropping-particle":"","family":"Tang","given":"Fen","non-dropping-particle":"","parse-names":false,"suffix":""},{"dropping-particle":"","family":"Liao","given":"Xin","non-dropping-particle":"","parse-names":false,"suffix":""},{"dropping-particle":"","family":"Shaw","given":"Benjamin A.","non-dropping-particle":"","parse-names":false,"suffix":""},{"dropping-particle":"","family":"Deng","given":"Meiqiu","non-dropping-particle":"","parse-names":false,"suffix":""},{"dropping-particle":"","family":"Huang","given":"Guangyi","non-dropping-particle":"","parse-names":false,"suffix":""},{"dropping-particle":"","family":"Qin","given":"Zhiqiang","non-dropping-particle":"","parse-names":false,"suffix":""},{"dropping-particle":"","family":"Peng","given":"Xiaomei","non-dropping-particle":"","parse-names":false,"suffix":""},{"dropping-particle":"","family":"Xiao","given":"Hewei","non-dropping-particle":"","parse-names":false,"suffix":""},{"dropping-particle":"","family":"Chen","given":"Chunxia","non-dropping-particle":"","parse-names":false,"suffix":""},{"dropping-particle":"","family":"Liu","given":"Xiaochun","non-dropping-particle":"","parse-names":false,"suffix":""},{"dropping-particle":"","family":"Ning","given":"Leping","non-dropping-particle":"","parse-names":false,"suffix":""},{"dropping-particle":"","family":"Wang","given":"Bangqin","non-dropping-particle":"","parse-names":false,"suffix":""},{"dropping-particle":"","family":"Tang","given":"Ningning","non-dropping-particle":"","parse-names":false,"suffix":""},{"dropping-particle":"","family":"Li","given":"Min","non-dropping-particle":"","parse-names":false,"suffix":""},{"dropping-particle":"","family":"Xu","given":"Fan","non-dropping-particle":"","parse-names":false,"suffix":""},{"dropping-particle":"","family":"Lin","given":"Shao","non-dropping-particle":"","parse-names":false,"suffix":""},{"dropping-particle":"","family":"Yang","given":"Jianrong","non-dropping-particle":"","parse-names":false,"suffix":""}],"container-title":"Journal of the American College of Nutrition","id":"ITEM-1","issue":"0","issued":{"date-parts":[["2020"]]},"page":"1-8","publisher":"Taylor &amp; Francis","title":"Does Serum Vitamin D Level Affect COVID-19 Infection and Its Severity?-A Case-Control Study","type":"article-journal","volume":"0"},"uris":["http://www.mendeley.com/documents/?uuid=5d01e398-519d-40c8-bb85-40c135d503dc"]}],"mendeley":{"formattedCitation":"(Ye &lt;i&gt;et al.&lt;/i&gt;, 2020)","manualFormatting":"Ye et al., 2020","plainTextFormattedCitation":"(Ye et al., 2020)","previouslyFormattedCitation":"(Ye &lt;i&gt;et al.&lt;/i&gt;, 2020)"},"properties":{"noteIndex":0},"schema":"https://github.com/citation-style-language/schema/raw/master/csl-citation.json"}</w:instrText>
            </w:r>
            <w:r>
              <w:rPr>
                <w:sz w:val="24"/>
                <w:szCs w:val="24"/>
              </w:rPr>
              <w:fldChar w:fldCharType="separate"/>
            </w:r>
            <w:r w:rsidRPr="00594851">
              <w:rPr>
                <w:noProof/>
                <w:sz w:val="24"/>
                <w:szCs w:val="24"/>
              </w:rPr>
              <w:t xml:space="preserve">Ye </w:t>
            </w:r>
            <w:r w:rsidRPr="00594851">
              <w:rPr>
                <w:i/>
                <w:noProof/>
                <w:sz w:val="24"/>
                <w:szCs w:val="24"/>
              </w:rPr>
              <w:t>et al.</w:t>
            </w:r>
            <w:r w:rsidRPr="00594851">
              <w:rPr>
                <w:noProof/>
                <w:sz w:val="24"/>
                <w:szCs w:val="24"/>
              </w:rPr>
              <w:t>, 2020</w:t>
            </w:r>
            <w:r>
              <w:rPr>
                <w:sz w:val="24"/>
                <w:szCs w:val="24"/>
              </w:rPr>
              <w:fldChar w:fldCharType="end"/>
            </w:r>
          </w:p>
        </w:tc>
        <w:tc>
          <w:tcPr>
            <w:tcW w:w="1189"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1129"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1255"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1062"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811"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893"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w:t>
            </w:r>
          </w:p>
        </w:tc>
        <w:tc>
          <w:tcPr>
            <w:tcW w:w="644"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p>
        </w:tc>
        <w:tc>
          <w:tcPr>
            <w:tcW w:w="1042" w:type="dxa"/>
            <w:tcBorders>
              <w:top w:val="single" w:sz="4" w:space="0" w:color="auto"/>
              <w:left w:val="single" w:sz="4" w:space="0" w:color="auto"/>
              <w:bottom w:val="single" w:sz="4" w:space="0" w:color="auto"/>
              <w:right w:val="single" w:sz="4" w:space="0" w:color="auto"/>
            </w:tcBorders>
          </w:tcPr>
          <w:p w:rsidR="004333AA" w:rsidRDefault="004333AA" w:rsidP="004333AA">
            <w:pPr>
              <w:pStyle w:val="Default"/>
              <w:jc w:val="center"/>
              <w:rPr>
                <w:sz w:val="20"/>
                <w:szCs w:val="20"/>
              </w:rPr>
            </w:pPr>
            <w:r>
              <w:rPr>
                <w:sz w:val="20"/>
                <w:szCs w:val="20"/>
              </w:rPr>
              <w:t>7</w:t>
            </w:r>
          </w:p>
        </w:tc>
      </w:tr>
    </w:tbl>
    <w:p w:rsidR="00052774" w:rsidRDefault="00052774"/>
    <w:sectPr w:rsidR="00052774" w:rsidSect="000527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4"/>
    <w:rsid w:val="00052774"/>
    <w:rsid w:val="00227CE0"/>
    <w:rsid w:val="00395C3A"/>
    <w:rsid w:val="004333AA"/>
    <w:rsid w:val="00483691"/>
    <w:rsid w:val="005C4E86"/>
    <w:rsid w:val="005F13D8"/>
    <w:rsid w:val="00786F03"/>
    <w:rsid w:val="00936DA0"/>
    <w:rsid w:val="00AF038A"/>
    <w:rsid w:val="00B17A93"/>
    <w:rsid w:val="00B66C5E"/>
    <w:rsid w:val="00B80CCC"/>
    <w:rsid w:val="00E9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78B2"/>
  <w15:chartTrackingRefBased/>
  <w15:docId w15:val="{5FAD6DBB-B71B-4448-B020-61FE19E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7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527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65F0-2149-4C5C-8486-420A4D89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6175</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Pranta Das</dc:creator>
  <cp:keywords/>
  <dc:description/>
  <cp:lastModifiedBy>Pranta Das</cp:lastModifiedBy>
  <cp:revision>11</cp:revision>
  <dcterms:created xsi:type="dcterms:W3CDTF">2020-11-05T14:18:00Z</dcterms:created>
  <dcterms:modified xsi:type="dcterms:W3CDTF">2020-12-02T04:25:00Z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0c662217-8397-3119-b402-2b6a8ae99fd7</vt:lpwstr>
  </property>
  <property fmtid="{D5CDD505-2E9C-101B-9397-08002B2CF9AE}" pid="24" name="Mendeley Citation Style_1">
    <vt:lpwstr>http://www.zotero.org/styles/harvard-cite-them-right</vt:lpwstr>
  </property>
</Properties>
</file>