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66796" w14:textId="583E2898" w:rsidR="00EF690B" w:rsidRDefault="003377E9">
      <w:pPr>
        <w:rPr>
          <w:lang w:val="en-US"/>
        </w:rPr>
      </w:pPr>
      <w:r>
        <w:rPr>
          <w:lang w:val="en-US"/>
        </w:rPr>
        <w:t>Supplementary materials</w:t>
      </w:r>
    </w:p>
    <w:p w14:paraId="2F28D1FA" w14:textId="4C0C2395" w:rsidR="00EF690B" w:rsidRDefault="00EF690B">
      <w:pPr>
        <w:rPr>
          <w:lang w:val="en-US"/>
        </w:rPr>
      </w:pPr>
    </w:p>
    <w:p w14:paraId="7846C425" w14:textId="672A064B" w:rsidR="00F83189" w:rsidRDefault="00F83189" w:rsidP="00F83189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Risk of bias assessment</w:t>
      </w:r>
    </w:p>
    <w:p w14:paraId="22F82819" w14:textId="314AC427" w:rsidR="00F83189" w:rsidRDefault="00F83189" w:rsidP="00F83189">
      <w:pPr>
        <w:rPr>
          <w:lang w:val="en-US"/>
        </w:rPr>
      </w:pPr>
      <w:r>
        <w:rPr>
          <w:lang w:val="en-US"/>
        </w:rPr>
        <w:t xml:space="preserve">Supplementary figure 1. Risk of bias assessment </w:t>
      </w:r>
    </w:p>
    <w:p w14:paraId="1C53DB72" w14:textId="58165EA2" w:rsidR="00F83189" w:rsidRDefault="00F83189" w:rsidP="00F83189">
      <w:pPr>
        <w:rPr>
          <w:lang w:val="en-US"/>
        </w:rPr>
      </w:pPr>
    </w:p>
    <w:p w14:paraId="6D394BDC" w14:textId="288E8758" w:rsidR="00F83189" w:rsidRPr="00A274E6" w:rsidRDefault="002563BD" w:rsidP="00F83189">
      <w:pPr>
        <w:rPr>
          <w:sz w:val="32"/>
          <w:szCs w:val="32"/>
          <w:lang w:val="en-US"/>
        </w:rPr>
      </w:pPr>
      <w:r w:rsidRPr="002563BD">
        <w:rPr>
          <w:sz w:val="32"/>
          <w:szCs w:val="32"/>
          <w:lang w:val="en-US"/>
        </w:rPr>
        <w:drawing>
          <wp:inline distT="0" distB="0" distL="0" distR="0" wp14:anchorId="7EEB0273" wp14:editId="5995A58A">
            <wp:extent cx="5943600" cy="3413125"/>
            <wp:effectExtent l="0" t="0" r="0" b="317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B9A2" w14:textId="77777777" w:rsidR="00F83189" w:rsidRDefault="00F83189">
      <w:pPr>
        <w:rPr>
          <w:sz w:val="32"/>
          <w:szCs w:val="32"/>
          <w:lang w:val="en-US"/>
        </w:rPr>
      </w:pPr>
    </w:p>
    <w:p w14:paraId="08BDFB13" w14:textId="5685B5EA" w:rsidR="00EF690B" w:rsidRPr="00A274E6" w:rsidRDefault="00265628">
      <w:pPr>
        <w:rPr>
          <w:sz w:val="32"/>
          <w:szCs w:val="32"/>
          <w:lang w:val="en-US"/>
        </w:rPr>
      </w:pPr>
      <w:r w:rsidRPr="00A274E6">
        <w:rPr>
          <w:sz w:val="32"/>
          <w:szCs w:val="32"/>
          <w:lang w:val="en-US"/>
        </w:rPr>
        <w:t xml:space="preserve">Forest plots: </w:t>
      </w:r>
      <w:r w:rsidR="00EF690B" w:rsidRPr="00A274E6">
        <w:rPr>
          <w:sz w:val="32"/>
          <w:szCs w:val="32"/>
          <w:lang w:val="en-US"/>
        </w:rPr>
        <w:t>Primary analysis</w:t>
      </w:r>
    </w:p>
    <w:p w14:paraId="709619C2" w14:textId="49670FB4" w:rsidR="00EF690B" w:rsidRDefault="00EF690B">
      <w:pPr>
        <w:rPr>
          <w:lang w:val="en-US"/>
        </w:rPr>
      </w:pPr>
    </w:p>
    <w:p w14:paraId="11D23958" w14:textId="679F59DF" w:rsidR="00EF690B" w:rsidRDefault="00EF690B">
      <w:pPr>
        <w:rPr>
          <w:lang w:val="en-US"/>
        </w:rPr>
      </w:pPr>
      <w:r>
        <w:rPr>
          <w:lang w:val="en-US"/>
        </w:rPr>
        <w:t xml:space="preserve">Supplementary figure </w:t>
      </w:r>
      <w:r w:rsidR="00F83189">
        <w:rPr>
          <w:lang w:val="en-US"/>
        </w:rPr>
        <w:t>2</w:t>
      </w:r>
      <w:r>
        <w:rPr>
          <w:lang w:val="en-US"/>
        </w:rPr>
        <w:t xml:space="preserve">. </w:t>
      </w:r>
      <w:r w:rsidR="00265628">
        <w:rPr>
          <w:lang w:val="en-US"/>
        </w:rPr>
        <w:t xml:space="preserve">Comparison: </w:t>
      </w:r>
      <w:proofErr w:type="spellStart"/>
      <w:r w:rsidR="00265628">
        <w:rPr>
          <w:lang w:val="en-US"/>
        </w:rPr>
        <w:t>Remdesivir</w:t>
      </w:r>
      <w:proofErr w:type="spellEnd"/>
      <w:r w:rsidR="00265628">
        <w:rPr>
          <w:lang w:val="en-US"/>
        </w:rPr>
        <w:t xml:space="preserve"> vs. Standard of care; Outcome: Acute kidney injury</w:t>
      </w:r>
    </w:p>
    <w:p w14:paraId="3FA3524E" w14:textId="779945B6" w:rsidR="00EF690B" w:rsidRDefault="00EF690B">
      <w:pPr>
        <w:rPr>
          <w:lang w:val="en-US"/>
        </w:rPr>
      </w:pPr>
    </w:p>
    <w:p w14:paraId="4E144CFB" w14:textId="202C39C2" w:rsidR="00EF690B" w:rsidRDefault="00EF690B">
      <w:pPr>
        <w:rPr>
          <w:lang w:val="en-US"/>
        </w:rPr>
      </w:pPr>
      <w:r w:rsidRPr="00F243FC">
        <w:rPr>
          <w:noProof/>
        </w:rPr>
        <w:drawing>
          <wp:inline distT="0" distB="0" distL="0" distR="0" wp14:anchorId="1C6892A7" wp14:editId="474F4920">
            <wp:extent cx="5943600" cy="1400926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860A" w14:textId="1E13212D" w:rsidR="006A7EDD" w:rsidRDefault="006A7EDD">
      <w:pPr>
        <w:rPr>
          <w:lang w:val="en-US"/>
        </w:rPr>
      </w:pPr>
    </w:p>
    <w:p w14:paraId="5EEC7245" w14:textId="2FE8A060" w:rsidR="006A7EDD" w:rsidRDefault="006A7EDD">
      <w:pPr>
        <w:rPr>
          <w:lang w:val="en-US"/>
        </w:rPr>
      </w:pPr>
    </w:p>
    <w:p w14:paraId="0A5D5E84" w14:textId="454CDF2C" w:rsidR="006A7EDD" w:rsidRDefault="006A7EDD">
      <w:pPr>
        <w:rPr>
          <w:lang w:val="en-US"/>
        </w:rPr>
      </w:pPr>
      <w:r>
        <w:rPr>
          <w:lang w:val="en-US"/>
        </w:rPr>
        <w:t xml:space="preserve">Supplementary figure </w:t>
      </w:r>
      <w:r w:rsidR="00F83189">
        <w:rPr>
          <w:lang w:val="en-US"/>
        </w:rPr>
        <w:t>3</w:t>
      </w:r>
      <w:r>
        <w:rPr>
          <w:lang w:val="en-US"/>
        </w:rPr>
        <w:t>. Comparison: Hydroxychloroquine vs. Standard of care; Outcome: Cardiac toxicity</w:t>
      </w:r>
    </w:p>
    <w:p w14:paraId="7CB860EE" w14:textId="41DDBCDA" w:rsidR="006A7EDD" w:rsidRDefault="006A7EDD">
      <w:pPr>
        <w:rPr>
          <w:lang w:val="en-US"/>
        </w:rPr>
      </w:pPr>
      <w:r w:rsidRPr="00A725E1">
        <w:rPr>
          <w:noProof/>
        </w:rPr>
        <w:lastRenderedPageBreak/>
        <w:drawing>
          <wp:inline distT="0" distB="0" distL="0" distR="0" wp14:anchorId="604ED1F4" wp14:editId="665106A9">
            <wp:extent cx="5943600" cy="1847215"/>
            <wp:effectExtent l="0" t="0" r="0" b="0"/>
            <wp:docPr id="39" name="Picture 3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ox and whiske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DD8B" w14:textId="78315E6D" w:rsidR="006A7EDD" w:rsidRDefault="006A7EDD">
      <w:pPr>
        <w:rPr>
          <w:lang w:val="en-US"/>
        </w:rPr>
      </w:pPr>
    </w:p>
    <w:p w14:paraId="41B44391" w14:textId="5E4E5C57" w:rsidR="006A7EDD" w:rsidRDefault="006A7EDD" w:rsidP="006A7EDD">
      <w:pPr>
        <w:rPr>
          <w:lang w:val="en-US"/>
        </w:rPr>
      </w:pPr>
      <w:r>
        <w:rPr>
          <w:lang w:val="en-US"/>
        </w:rPr>
        <w:t xml:space="preserve">Supplementary figure </w:t>
      </w:r>
      <w:r w:rsidR="00F83189">
        <w:rPr>
          <w:lang w:val="en-US"/>
        </w:rPr>
        <w:t>4</w:t>
      </w:r>
      <w:r>
        <w:rPr>
          <w:lang w:val="en-US"/>
        </w:rPr>
        <w:t xml:space="preserve">. Comparison: Hydroxychloroquine vs. Standard of care; Outcome: </w:t>
      </w:r>
      <w:proofErr w:type="spellStart"/>
      <w:r>
        <w:rPr>
          <w:lang w:val="en-US"/>
        </w:rPr>
        <w:t>Diarrhoea</w:t>
      </w:r>
      <w:proofErr w:type="spellEnd"/>
    </w:p>
    <w:p w14:paraId="4E3F6671" w14:textId="7149CD12" w:rsidR="006A7EDD" w:rsidRDefault="006A7EDD" w:rsidP="006A7EDD">
      <w:pPr>
        <w:rPr>
          <w:lang w:val="en-US"/>
        </w:rPr>
      </w:pPr>
    </w:p>
    <w:p w14:paraId="374D2B71" w14:textId="447651A0" w:rsidR="006A7EDD" w:rsidRDefault="00080881" w:rsidP="006A7EDD">
      <w:pPr>
        <w:rPr>
          <w:lang w:val="en-US"/>
        </w:rPr>
      </w:pPr>
      <w:r w:rsidRPr="00080881">
        <w:rPr>
          <w:noProof/>
          <w:lang w:val="en-US"/>
        </w:rPr>
        <w:drawing>
          <wp:inline distT="0" distB="0" distL="0" distR="0" wp14:anchorId="0A263A73" wp14:editId="0B08AC05">
            <wp:extent cx="5943600" cy="1598930"/>
            <wp:effectExtent l="0" t="0" r="0" b="1270"/>
            <wp:docPr id="10" name="Picture 1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ox and whiske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B0AF" w14:textId="77777777" w:rsidR="008D119A" w:rsidRDefault="008D119A" w:rsidP="008D119A">
      <w:pPr>
        <w:rPr>
          <w:lang w:val="en-US"/>
        </w:rPr>
      </w:pPr>
    </w:p>
    <w:p w14:paraId="37210C91" w14:textId="5863EF26" w:rsidR="008D119A" w:rsidRDefault="008D119A" w:rsidP="008D119A">
      <w:pPr>
        <w:rPr>
          <w:lang w:val="en-US"/>
        </w:rPr>
      </w:pPr>
      <w:r>
        <w:rPr>
          <w:lang w:val="en-US"/>
        </w:rPr>
        <w:t xml:space="preserve">Supplementary figure </w:t>
      </w:r>
      <w:r w:rsidR="00F83189">
        <w:rPr>
          <w:lang w:val="en-US"/>
        </w:rPr>
        <w:t>5</w:t>
      </w:r>
      <w:r>
        <w:rPr>
          <w:lang w:val="en-US"/>
        </w:rPr>
        <w:t>. Comparison: Hydroxychloroquine vs. Standard of care; Outcome: Nausea/Vomiting</w:t>
      </w:r>
    </w:p>
    <w:p w14:paraId="13F93C0C" w14:textId="5B814D8F" w:rsidR="008D119A" w:rsidRDefault="008D119A" w:rsidP="006A7EDD">
      <w:pPr>
        <w:rPr>
          <w:lang w:val="en-US"/>
        </w:rPr>
      </w:pPr>
    </w:p>
    <w:p w14:paraId="0A893F71" w14:textId="2BF11C90" w:rsidR="008D119A" w:rsidRDefault="00080881" w:rsidP="006A7EDD">
      <w:pPr>
        <w:rPr>
          <w:lang w:val="en-US"/>
        </w:rPr>
      </w:pPr>
      <w:r w:rsidRPr="00080881">
        <w:rPr>
          <w:noProof/>
          <w:lang w:val="en-US"/>
        </w:rPr>
        <w:drawing>
          <wp:inline distT="0" distB="0" distL="0" distR="0" wp14:anchorId="5BE18864" wp14:editId="67DB0C70">
            <wp:extent cx="5943600" cy="1659890"/>
            <wp:effectExtent l="0" t="0" r="0" b="381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7745" w14:textId="32509BE3" w:rsidR="006A7EDD" w:rsidRDefault="0069564B" w:rsidP="006A7EDD">
      <w:pPr>
        <w:rPr>
          <w:lang w:val="en-US"/>
        </w:rPr>
      </w:pPr>
      <w:r>
        <w:rPr>
          <w:lang w:val="en-US"/>
        </w:rPr>
        <w:t xml:space="preserve">Supplementary figure </w:t>
      </w:r>
      <w:r w:rsidR="00F83189">
        <w:rPr>
          <w:lang w:val="en-US"/>
        </w:rPr>
        <w:t>6</w:t>
      </w:r>
      <w:r>
        <w:rPr>
          <w:lang w:val="en-US"/>
        </w:rPr>
        <w:t>. Comparison: Hydroxychloroquine vs. Standard of care; Outcome: Fatigue</w:t>
      </w:r>
    </w:p>
    <w:p w14:paraId="4B5F4C3F" w14:textId="3822F3BC" w:rsidR="00E77AC0" w:rsidRPr="00E77AC0" w:rsidRDefault="00E77AC0" w:rsidP="006A7EDD">
      <w:pPr>
        <w:rPr>
          <w:lang w:val="en-GB"/>
        </w:rPr>
      </w:pPr>
      <w:r w:rsidRPr="00E77AC0">
        <w:rPr>
          <w:noProof/>
          <w:lang w:val="en-GB"/>
        </w:rPr>
        <w:lastRenderedPageBreak/>
        <w:drawing>
          <wp:inline distT="0" distB="0" distL="0" distR="0" wp14:anchorId="2FED43FF" wp14:editId="1052BA42">
            <wp:extent cx="5943600" cy="1330325"/>
            <wp:effectExtent l="0" t="0" r="0" b="3175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6648B" w14:textId="77777777" w:rsidR="00E77AC0" w:rsidRDefault="00E77AC0" w:rsidP="006A7EDD">
      <w:pPr>
        <w:rPr>
          <w:lang w:val="en-US"/>
        </w:rPr>
      </w:pPr>
    </w:p>
    <w:p w14:paraId="0421C49F" w14:textId="18759EE4" w:rsidR="006A7EDD" w:rsidRDefault="006C2E78" w:rsidP="006A7EDD">
      <w:pPr>
        <w:rPr>
          <w:lang w:val="en-US"/>
        </w:rPr>
      </w:pPr>
      <w:r>
        <w:rPr>
          <w:lang w:val="en-US"/>
        </w:rPr>
        <w:t xml:space="preserve">Supplementary figure </w:t>
      </w:r>
      <w:r w:rsidR="00F83189">
        <w:rPr>
          <w:lang w:val="en-US"/>
        </w:rPr>
        <w:t>7</w:t>
      </w:r>
      <w:r>
        <w:rPr>
          <w:lang w:val="en-US"/>
        </w:rPr>
        <w:t>. Comparison: Lopinavir/ritonavir vs. Standard of care; Outcome: Acute Kidney Injury</w:t>
      </w:r>
    </w:p>
    <w:p w14:paraId="190075CF" w14:textId="06BCC295" w:rsidR="006A7EDD" w:rsidRDefault="006C2E78">
      <w:pPr>
        <w:rPr>
          <w:lang w:val="en-US"/>
        </w:rPr>
      </w:pPr>
      <w:r w:rsidRPr="008D32A7">
        <w:rPr>
          <w:noProof/>
        </w:rPr>
        <w:drawing>
          <wp:inline distT="0" distB="0" distL="0" distR="0" wp14:anchorId="7B1A77DC" wp14:editId="614A36F5">
            <wp:extent cx="5943600" cy="1223645"/>
            <wp:effectExtent l="0" t="0" r="0" b="0"/>
            <wp:docPr id="42" name="Picture 4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876F" w14:textId="77777777" w:rsidR="00A1372A" w:rsidRDefault="00A1372A">
      <w:pPr>
        <w:rPr>
          <w:lang w:val="en-US"/>
        </w:rPr>
      </w:pPr>
    </w:p>
    <w:p w14:paraId="12817804" w14:textId="5D48A80A" w:rsidR="00A1372A" w:rsidRDefault="00A1372A">
      <w:pPr>
        <w:rPr>
          <w:lang w:val="en-US"/>
        </w:rPr>
      </w:pPr>
      <w:r>
        <w:rPr>
          <w:lang w:val="en-US"/>
        </w:rPr>
        <w:t xml:space="preserve">Supplementary figure </w:t>
      </w:r>
      <w:r w:rsidR="00F83189">
        <w:rPr>
          <w:lang w:val="en-US"/>
        </w:rPr>
        <w:t>8</w:t>
      </w:r>
      <w:r>
        <w:rPr>
          <w:lang w:val="en-US"/>
        </w:rPr>
        <w:t xml:space="preserve">. Comparison: Lopinavir/ritonavir vs. Standard of care; Outcome: </w:t>
      </w:r>
      <w:proofErr w:type="spellStart"/>
      <w:r>
        <w:rPr>
          <w:lang w:val="en-US"/>
        </w:rPr>
        <w:t>Diarrhoea</w:t>
      </w:r>
      <w:proofErr w:type="spellEnd"/>
    </w:p>
    <w:p w14:paraId="10A2CC92" w14:textId="508EC1AC" w:rsidR="00A1372A" w:rsidRDefault="00A1372A">
      <w:pPr>
        <w:rPr>
          <w:lang w:val="en-US"/>
        </w:rPr>
      </w:pPr>
    </w:p>
    <w:p w14:paraId="0FA8CC03" w14:textId="62D325DA" w:rsidR="00A1372A" w:rsidRDefault="00A1372A">
      <w:pPr>
        <w:rPr>
          <w:lang w:val="en-US"/>
        </w:rPr>
      </w:pPr>
      <w:r w:rsidRPr="009E43B1">
        <w:rPr>
          <w:noProof/>
        </w:rPr>
        <w:drawing>
          <wp:inline distT="0" distB="0" distL="0" distR="0" wp14:anchorId="02ED8C9E" wp14:editId="60289385">
            <wp:extent cx="5943600" cy="1360257"/>
            <wp:effectExtent l="0" t="0" r="0" b="0"/>
            <wp:docPr id="14" name="Picture 1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ox and whiske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0077E" w14:textId="59ADD018" w:rsidR="00A1372A" w:rsidRDefault="00A1372A">
      <w:pPr>
        <w:rPr>
          <w:lang w:val="en-US"/>
        </w:rPr>
      </w:pPr>
    </w:p>
    <w:p w14:paraId="7C151C68" w14:textId="50EFAD01" w:rsidR="00A1372A" w:rsidRDefault="00A1372A">
      <w:pPr>
        <w:rPr>
          <w:lang w:val="en-US"/>
        </w:rPr>
      </w:pPr>
    </w:p>
    <w:p w14:paraId="53FE4A3E" w14:textId="4CDE16C3" w:rsidR="00A1372A" w:rsidRDefault="00A1372A" w:rsidP="00A1372A">
      <w:pPr>
        <w:rPr>
          <w:lang w:val="en-US"/>
        </w:rPr>
      </w:pPr>
      <w:r>
        <w:rPr>
          <w:lang w:val="en-US"/>
        </w:rPr>
        <w:t xml:space="preserve">Supplementary figure </w:t>
      </w:r>
      <w:r w:rsidR="00F83189">
        <w:rPr>
          <w:lang w:val="en-US"/>
        </w:rPr>
        <w:t>9</w:t>
      </w:r>
      <w:r>
        <w:rPr>
          <w:lang w:val="en-US"/>
        </w:rPr>
        <w:t>. Comparison: Lopinavir/ritonavir vs. Standard of care; Outcome: Nausea/Vomiting</w:t>
      </w:r>
    </w:p>
    <w:p w14:paraId="15CCD682" w14:textId="6E4DF637" w:rsidR="00A1372A" w:rsidRDefault="00A1372A">
      <w:pPr>
        <w:rPr>
          <w:lang w:val="en-US"/>
        </w:rPr>
      </w:pPr>
    </w:p>
    <w:p w14:paraId="3FEB96A3" w14:textId="22769F61" w:rsidR="00A1372A" w:rsidRDefault="00A1372A">
      <w:pPr>
        <w:rPr>
          <w:lang w:val="en-US"/>
        </w:rPr>
      </w:pPr>
      <w:r w:rsidRPr="00EB5C6D">
        <w:rPr>
          <w:noProof/>
        </w:rPr>
        <w:drawing>
          <wp:inline distT="0" distB="0" distL="0" distR="0" wp14:anchorId="09DA24BE" wp14:editId="258D3050">
            <wp:extent cx="5943600" cy="1517015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ell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1A50" w14:textId="4677533E" w:rsidR="00A274E6" w:rsidRDefault="00A274E6">
      <w:pPr>
        <w:rPr>
          <w:lang w:val="en-US"/>
        </w:rPr>
      </w:pPr>
    </w:p>
    <w:p w14:paraId="6AC145BE" w14:textId="55F6D348" w:rsidR="00A274E6" w:rsidRDefault="00A274E6">
      <w:pPr>
        <w:rPr>
          <w:lang w:val="en-US"/>
        </w:rPr>
      </w:pPr>
      <w:r>
        <w:rPr>
          <w:lang w:val="en-US"/>
        </w:rPr>
        <w:t xml:space="preserve">Supplementary figure </w:t>
      </w:r>
      <w:r w:rsidR="00F83189">
        <w:rPr>
          <w:lang w:val="en-US"/>
        </w:rPr>
        <w:t>10</w:t>
      </w:r>
      <w:r>
        <w:rPr>
          <w:lang w:val="en-US"/>
        </w:rPr>
        <w:t>. Comparison: Lopinavir/ritonavir vs. Standard of care; Outcome: Fatigue</w:t>
      </w:r>
    </w:p>
    <w:p w14:paraId="18FE5C19" w14:textId="7DB599EA" w:rsidR="00A274E6" w:rsidRDefault="00A274E6">
      <w:pPr>
        <w:rPr>
          <w:lang w:val="en-US"/>
        </w:rPr>
      </w:pPr>
      <w:r w:rsidRPr="000C1A58">
        <w:rPr>
          <w:noProof/>
        </w:rPr>
        <w:lastRenderedPageBreak/>
        <w:drawing>
          <wp:inline distT="0" distB="0" distL="0" distR="0" wp14:anchorId="6E7627F2" wp14:editId="6A95B8F7">
            <wp:extent cx="5943600" cy="1306195"/>
            <wp:effectExtent l="0" t="0" r="0" b="1905"/>
            <wp:docPr id="34" name="Picture 34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EA670" w14:textId="5134E14C" w:rsidR="00A274E6" w:rsidRDefault="00A274E6">
      <w:pPr>
        <w:rPr>
          <w:lang w:val="en-US"/>
        </w:rPr>
      </w:pPr>
    </w:p>
    <w:p w14:paraId="36B5E9CC" w14:textId="012D9BC7" w:rsidR="00A274E6" w:rsidRDefault="00A274E6" w:rsidP="00A274E6">
      <w:pPr>
        <w:rPr>
          <w:sz w:val="32"/>
          <w:szCs w:val="32"/>
          <w:lang w:val="en-US"/>
        </w:rPr>
      </w:pPr>
      <w:r w:rsidRPr="00A274E6">
        <w:rPr>
          <w:sz w:val="32"/>
          <w:szCs w:val="32"/>
          <w:lang w:val="en-US"/>
        </w:rPr>
        <w:t xml:space="preserve">Forest plots: </w:t>
      </w:r>
      <w:r>
        <w:rPr>
          <w:sz w:val="32"/>
          <w:szCs w:val="32"/>
          <w:lang w:val="en-US"/>
        </w:rPr>
        <w:t>Sensitivity</w:t>
      </w:r>
      <w:r w:rsidRPr="00A274E6">
        <w:rPr>
          <w:sz w:val="32"/>
          <w:szCs w:val="32"/>
          <w:lang w:val="en-US"/>
        </w:rPr>
        <w:t xml:space="preserve"> analysis</w:t>
      </w:r>
    </w:p>
    <w:p w14:paraId="4DBDCD46" w14:textId="0578E82D" w:rsidR="00A274E6" w:rsidRDefault="00A274E6" w:rsidP="00A274E6">
      <w:pPr>
        <w:rPr>
          <w:sz w:val="32"/>
          <w:szCs w:val="32"/>
          <w:lang w:val="en-US"/>
        </w:rPr>
      </w:pPr>
    </w:p>
    <w:p w14:paraId="6C4549B4" w14:textId="1BCFDBD4" w:rsidR="00A274E6" w:rsidRDefault="00A274E6" w:rsidP="00A274E6">
      <w:pPr>
        <w:rPr>
          <w:lang w:val="en-US"/>
        </w:rPr>
      </w:pPr>
      <w:r>
        <w:rPr>
          <w:lang w:val="en-US"/>
        </w:rPr>
        <w:t xml:space="preserve">Supplementary figure </w:t>
      </w:r>
      <w:r w:rsidR="00DA1BFB">
        <w:rPr>
          <w:lang w:val="en-US"/>
        </w:rPr>
        <w:t>1</w:t>
      </w:r>
      <w:r w:rsidR="00F83189">
        <w:rPr>
          <w:lang w:val="en-US"/>
        </w:rPr>
        <w:t>1</w:t>
      </w:r>
      <w:r>
        <w:rPr>
          <w:lang w:val="en-US"/>
        </w:rPr>
        <w:t>. Comparison: Lopinavir/ritonavir vs. Standard of care; Outcome: Acute Kidney Injury; Effect estimate: Odds ratio; Analysis: Bayesian meta-analysis</w:t>
      </w:r>
    </w:p>
    <w:p w14:paraId="0A6FBAF3" w14:textId="689B877E" w:rsidR="00A274E6" w:rsidRDefault="00A274E6" w:rsidP="00A274E6">
      <w:pPr>
        <w:rPr>
          <w:sz w:val="32"/>
          <w:szCs w:val="32"/>
          <w:lang w:val="en-US"/>
        </w:rPr>
      </w:pPr>
    </w:p>
    <w:p w14:paraId="31A9DCF1" w14:textId="0C3353D6" w:rsidR="00A274E6" w:rsidRDefault="00A274E6" w:rsidP="00A274E6">
      <w:pPr>
        <w:rPr>
          <w:sz w:val="32"/>
          <w:szCs w:val="32"/>
          <w:lang w:val="en-US"/>
        </w:rPr>
      </w:pPr>
      <w:r w:rsidRPr="006720E9">
        <w:rPr>
          <w:noProof/>
        </w:rPr>
        <w:drawing>
          <wp:inline distT="0" distB="0" distL="0" distR="0" wp14:anchorId="49DDAA90" wp14:editId="15DC4454">
            <wp:extent cx="5295265" cy="1633855"/>
            <wp:effectExtent l="0" t="0" r="635" b="444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 rotWithShape="1">
                    <a:blip r:embed="rId14"/>
                    <a:srcRect t="27988" r="-13"/>
                    <a:stretch/>
                  </pic:blipFill>
                  <pic:spPr bwMode="auto">
                    <a:xfrm>
                      <a:off x="0" y="0"/>
                      <a:ext cx="5305235" cy="163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40279" w14:textId="6D4C8D01" w:rsidR="00A274E6" w:rsidRDefault="00A274E6" w:rsidP="00A274E6">
      <w:pPr>
        <w:rPr>
          <w:sz w:val="32"/>
          <w:szCs w:val="32"/>
          <w:lang w:val="en-US"/>
        </w:rPr>
      </w:pPr>
    </w:p>
    <w:p w14:paraId="6CBF5734" w14:textId="43BFC108" w:rsidR="00A274E6" w:rsidRDefault="00A274E6" w:rsidP="00A274E6">
      <w:pPr>
        <w:rPr>
          <w:lang w:val="en-US"/>
        </w:rPr>
      </w:pPr>
      <w:r>
        <w:rPr>
          <w:lang w:val="en-US"/>
        </w:rPr>
        <w:t xml:space="preserve">Supplementary figure </w:t>
      </w:r>
      <w:r w:rsidR="00DA1BFB">
        <w:rPr>
          <w:lang w:val="en-US"/>
        </w:rPr>
        <w:t>1</w:t>
      </w:r>
      <w:r w:rsidR="00F83189">
        <w:rPr>
          <w:lang w:val="en-US"/>
        </w:rPr>
        <w:t>2</w:t>
      </w:r>
      <w:r>
        <w:rPr>
          <w:lang w:val="en-US"/>
        </w:rPr>
        <w:t>. Comparison: Lopinavir/ritonavir vs. Standard of care; Outcome: Acute Kidney Injury; Effect estimate: Odds ratio, Analysis: Frequentist meta-analysis</w:t>
      </w:r>
    </w:p>
    <w:p w14:paraId="2CCA6410" w14:textId="6B6D87A9" w:rsidR="00A274E6" w:rsidRDefault="00A274E6" w:rsidP="00A274E6">
      <w:pPr>
        <w:rPr>
          <w:sz w:val="32"/>
          <w:szCs w:val="32"/>
          <w:lang w:val="en-US"/>
        </w:rPr>
      </w:pPr>
    </w:p>
    <w:p w14:paraId="63FA5408" w14:textId="1B8AC515" w:rsidR="00A274E6" w:rsidRPr="00A274E6" w:rsidRDefault="00A274E6" w:rsidP="00A274E6">
      <w:pPr>
        <w:rPr>
          <w:sz w:val="32"/>
          <w:szCs w:val="32"/>
          <w:lang w:val="en-US"/>
        </w:rPr>
      </w:pPr>
      <w:r w:rsidRPr="006720E9">
        <w:rPr>
          <w:noProof/>
        </w:rPr>
        <w:drawing>
          <wp:inline distT="0" distB="0" distL="0" distR="0" wp14:anchorId="35B78169" wp14:editId="2D086F80">
            <wp:extent cx="5943600" cy="1468120"/>
            <wp:effectExtent l="0" t="0" r="0" b="508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F474" w14:textId="47E08D01" w:rsidR="00A274E6" w:rsidRDefault="00DB7EFD">
      <w:pPr>
        <w:rPr>
          <w:lang w:val="en-US"/>
        </w:rPr>
      </w:pPr>
      <w:r>
        <w:rPr>
          <w:lang w:val="en-US"/>
        </w:rPr>
        <w:t>Supplementary figure 1</w:t>
      </w:r>
      <w:r w:rsidR="00F83189">
        <w:rPr>
          <w:lang w:val="en-US"/>
        </w:rPr>
        <w:t>3</w:t>
      </w:r>
      <w:r>
        <w:rPr>
          <w:lang w:val="en-US"/>
        </w:rPr>
        <w:t xml:space="preserve">. Comparison: </w:t>
      </w:r>
      <w:proofErr w:type="spellStart"/>
      <w:r>
        <w:rPr>
          <w:lang w:val="en-US"/>
        </w:rPr>
        <w:t>Remdesivir</w:t>
      </w:r>
      <w:proofErr w:type="spellEnd"/>
      <w:r>
        <w:rPr>
          <w:lang w:val="en-US"/>
        </w:rPr>
        <w:t xml:space="preserve"> vs. Standard of care; Outcome: Acute Kidney Injury; Effect estimate: Odds ratio, Analysis: Bayesian meta-analysis</w:t>
      </w:r>
    </w:p>
    <w:p w14:paraId="0F055BC5" w14:textId="5B9E4352" w:rsidR="00DB7EFD" w:rsidRDefault="00DB7EFD">
      <w:pPr>
        <w:rPr>
          <w:lang w:val="en-US"/>
        </w:rPr>
      </w:pPr>
    </w:p>
    <w:p w14:paraId="618987D0" w14:textId="6B130660" w:rsidR="00DB7EFD" w:rsidRDefault="00DB7EFD">
      <w:pPr>
        <w:rPr>
          <w:lang w:val="en-US"/>
        </w:rPr>
      </w:pPr>
      <w:r w:rsidRPr="006720E9">
        <w:rPr>
          <w:noProof/>
        </w:rPr>
        <w:lastRenderedPageBreak/>
        <w:drawing>
          <wp:inline distT="0" distB="0" distL="0" distR="0" wp14:anchorId="5DD67F0A" wp14:editId="0EB3217C">
            <wp:extent cx="4787900" cy="1415415"/>
            <wp:effectExtent l="0" t="0" r="0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 rotWithShape="1">
                    <a:blip r:embed="rId16"/>
                    <a:srcRect t="30970" r="1408"/>
                    <a:stretch/>
                  </pic:blipFill>
                  <pic:spPr bwMode="auto">
                    <a:xfrm>
                      <a:off x="0" y="0"/>
                      <a:ext cx="4832014" cy="142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88C6E" w14:textId="2869F35A" w:rsidR="00DB7EFD" w:rsidRDefault="00DB7EFD">
      <w:pPr>
        <w:rPr>
          <w:lang w:val="en-US"/>
        </w:rPr>
      </w:pPr>
    </w:p>
    <w:p w14:paraId="0C121EF9" w14:textId="49E73286" w:rsidR="00DB7EFD" w:rsidRDefault="00DB7EFD" w:rsidP="00DB7EFD">
      <w:pPr>
        <w:rPr>
          <w:lang w:val="en-US"/>
        </w:rPr>
      </w:pPr>
      <w:r>
        <w:rPr>
          <w:lang w:val="en-US"/>
        </w:rPr>
        <w:t>Supplementary figure 1</w:t>
      </w:r>
      <w:r w:rsidR="00F83189">
        <w:rPr>
          <w:lang w:val="en-US"/>
        </w:rPr>
        <w:t>4</w:t>
      </w:r>
      <w:r>
        <w:rPr>
          <w:lang w:val="en-US"/>
        </w:rPr>
        <w:t xml:space="preserve">. Comparison: </w:t>
      </w:r>
      <w:proofErr w:type="spellStart"/>
      <w:r>
        <w:rPr>
          <w:lang w:val="en-US"/>
        </w:rPr>
        <w:t>Hydroxicholoroquine</w:t>
      </w:r>
      <w:proofErr w:type="spellEnd"/>
      <w:r>
        <w:rPr>
          <w:lang w:val="en-US"/>
        </w:rPr>
        <w:t xml:space="preserve"> vs. Standard of care; Outcome: Cardiac toxicity; Effect estimate: Odds ratio, Analysis: Bayesian meta-analysis</w:t>
      </w:r>
    </w:p>
    <w:p w14:paraId="07A00DFC" w14:textId="224531E6" w:rsidR="00DB7EFD" w:rsidRDefault="00DB7EFD" w:rsidP="00DB7EFD">
      <w:pPr>
        <w:rPr>
          <w:lang w:val="en-US"/>
        </w:rPr>
      </w:pPr>
    </w:p>
    <w:p w14:paraId="5398049E" w14:textId="22BE5B39" w:rsidR="00DB7EFD" w:rsidRDefault="00DB7EFD" w:rsidP="00DB7EFD">
      <w:pPr>
        <w:rPr>
          <w:lang w:val="en-US"/>
        </w:rPr>
      </w:pPr>
      <w:r w:rsidRPr="00976221">
        <w:rPr>
          <w:noProof/>
        </w:rPr>
        <w:drawing>
          <wp:inline distT="0" distB="0" distL="0" distR="0" wp14:anchorId="3E71B0C9" wp14:editId="2A97F5D3">
            <wp:extent cx="4686300" cy="2298590"/>
            <wp:effectExtent l="0" t="0" r="0" b="635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6892" cy="23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D757" w14:textId="77777777" w:rsidR="00DB7EFD" w:rsidRDefault="00DB7EFD" w:rsidP="00DB7EFD">
      <w:pPr>
        <w:rPr>
          <w:lang w:val="en-US"/>
        </w:rPr>
      </w:pPr>
    </w:p>
    <w:p w14:paraId="47274E91" w14:textId="5F0C2A47" w:rsidR="00DB7EFD" w:rsidRDefault="00DB7EFD" w:rsidP="00DB7EFD">
      <w:pPr>
        <w:rPr>
          <w:lang w:val="en-US"/>
        </w:rPr>
      </w:pPr>
      <w:r>
        <w:rPr>
          <w:lang w:val="en-US"/>
        </w:rPr>
        <w:t>Supplementary figure 1</w:t>
      </w:r>
      <w:r w:rsidR="00F83189">
        <w:rPr>
          <w:lang w:val="en-US"/>
        </w:rPr>
        <w:t>5</w:t>
      </w:r>
      <w:r>
        <w:rPr>
          <w:lang w:val="en-US"/>
        </w:rPr>
        <w:t xml:space="preserve">. Comparison: </w:t>
      </w:r>
      <w:proofErr w:type="spellStart"/>
      <w:r>
        <w:rPr>
          <w:lang w:val="en-US"/>
        </w:rPr>
        <w:t>Hydroxicholoroquine</w:t>
      </w:r>
      <w:proofErr w:type="spellEnd"/>
      <w:r>
        <w:rPr>
          <w:lang w:val="en-US"/>
        </w:rPr>
        <w:t xml:space="preserve"> vs. Standard of care; Outcome: Cardiac toxicity; Effect estimate: Odds ratio, Analysis: </w:t>
      </w:r>
      <w:proofErr w:type="spellStart"/>
      <w:r>
        <w:rPr>
          <w:lang w:val="en-US"/>
        </w:rPr>
        <w:t>Frecuentist</w:t>
      </w:r>
      <w:proofErr w:type="spellEnd"/>
      <w:r>
        <w:rPr>
          <w:lang w:val="en-US"/>
        </w:rPr>
        <w:t xml:space="preserve"> meta-analysis</w:t>
      </w:r>
    </w:p>
    <w:p w14:paraId="7BBE5CB1" w14:textId="2773CA58" w:rsidR="00DB7EFD" w:rsidRDefault="00DB7EFD" w:rsidP="00DB7EFD">
      <w:pPr>
        <w:rPr>
          <w:lang w:val="en-US"/>
        </w:rPr>
      </w:pPr>
    </w:p>
    <w:p w14:paraId="2026575B" w14:textId="78BE6E2E" w:rsidR="00DB7EFD" w:rsidRDefault="00DB7EFD" w:rsidP="00DB7EFD">
      <w:pPr>
        <w:rPr>
          <w:lang w:val="en-US"/>
        </w:rPr>
      </w:pPr>
      <w:r w:rsidRPr="00976221">
        <w:rPr>
          <w:noProof/>
        </w:rPr>
        <w:drawing>
          <wp:inline distT="0" distB="0" distL="0" distR="0" wp14:anchorId="3C95D54B" wp14:editId="7FF1DDA7">
            <wp:extent cx="5943600" cy="1750630"/>
            <wp:effectExtent l="0" t="0" r="0" b="2540"/>
            <wp:docPr id="7" name="Picture 7" descr="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box and whisker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97B2" w14:textId="77777777" w:rsidR="00DB7EFD" w:rsidRDefault="00DB7EFD">
      <w:pPr>
        <w:rPr>
          <w:lang w:val="en-US"/>
        </w:rPr>
      </w:pPr>
    </w:p>
    <w:p w14:paraId="29A47CC9" w14:textId="643FD3B0" w:rsidR="00DB7EFD" w:rsidRDefault="00DB7EFD" w:rsidP="00DB7EFD">
      <w:pPr>
        <w:rPr>
          <w:lang w:val="en-US"/>
        </w:rPr>
      </w:pPr>
      <w:r>
        <w:rPr>
          <w:lang w:val="en-US"/>
        </w:rPr>
        <w:t>Supplementary figure 1</w:t>
      </w:r>
      <w:r w:rsidR="00F83189">
        <w:rPr>
          <w:lang w:val="en-US"/>
        </w:rPr>
        <w:t>6</w:t>
      </w:r>
      <w:r>
        <w:rPr>
          <w:lang w:val="en-US"/>
        </w:rPr>
        <w:t xml:space="preserve">. Comparison: Lopinavir/ritonavir vs. Standard of care; Outcome: </w:t>
      </w:r>
      <w:proofErr w:type="spellStart"/>
      <w:r>
        <w:rPr>
          <w:lang w:val="en-US"/>
        </w:rPr>
        <w:t>Diarrhoea</w:t>
      </w:r>
      <w:proofErr w:type="spellEnd"/>
      <w:r>
        <w:rPr>
          <w:lang w:val="en-US"/>
        </w:rPr>
        <w:t>; Effect estimate: Odds ratio; Analysis: Bayesian meta-analysis</w:t>
      </w:r>
    </w:p>
    <w:p w14:paraId="1CCEBDED" w14:textId="3B1F61D8" w:rsidR="00DB7EFD" w:rsidRDefault="00DB7EFD">
      <w:pPr>
        <w:rPr>
          <w:lang w:val="en-US"/>
        </w:rPr>
      </w:pPr>
    </w:p>
    <w:p w14:paraId="3DF968CC" w14:textId="24361EF8" w:rsidR="00DB7EFD" w:rsidRDefault="00DB7EFD">
      <w:pPr>
        <w:rPr>
          <w:lang w:val="en-US"/>
        </w:rPr>
      </w:pPr>
    </w:p>
    <w:p w14:paraId="4B4EE729" w14:textId="513B702F" w:rsidR="00DB7EFD" w:rsidRDefault="00DB7EFD">
      <w:pPr>
        <w:rPr>
          <w:lang w:val="en-US"/>
        </w:rPr>
      </w:pPr>
      <w:r w:rsidRPr="009E43B1">
        <w:rPr>
          <w:noProof/>
        </w:rPr>
        <w:lastRenderedPageBreak/>
        <w:drawing>
          <wp:inline distT="0" distB="0" distL="0" distR="0" wp14:anchorId="7DA35E91" wp14:editId="41E33FAD">
            <wp:extent cx="3937000" cy="1839595"/>
            <wp:effectExtent l="0" t="0" r="0" b="1905"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 rotWithShape="1">
                    <a:blip r:embed="rId19"/>
                    <a:srcRect t="27156" r="2199"/>
                    <a:stretch/>
                  </pic:blipFill>
                  <pic:spPr bwMode="auto">
                    <a:xfrm>
                      <a:off x="0" y="0"/>
                      <a:ext cx="3965699" cy="185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B88EC" w14:textId="7139407A" w:rsidR="00DB7EFD" w:rsidRDefault="00DB7EFD">
      <w:pPr>
        <w:rPr>
          <w:lang w:val="en-US"/>
        </w:rPr>
      </w:pPr>
    </w:p>
    <w:p w14:paraId="020E4920" w14:textId="11F9C7F6" w:rsidR="00DB7EFD" w:rsidRDefault="00DB7EFD" w:rsidP="00DB7EFD">
      <w:pPr>
        <w:rPr>
          <w:lang w:val="en-US"/>
        </w:rPr>
      </w:pPr>
      <w:r>
        <w:rPr>
          <w:lang w:val="en-US"/>
        </w:rPr>
        <w:t>Supplementary figure 1</w:t>
      </w:r>
      <w:r w:rsidR="00F83189">
        <w:rPr>
          <w:lang w:val="en-US"/>
        </w:rPr>
        <w:t>7</w:t>
      </w:r>
      <w:r>
        <w:rPr>
          <w:lang w:val="en-US"/>
        </w:rPr>
        <w:t xml:space="preserve">. Comparison: Hydroxychloroquine vs. Standard of care; Outcome: </w:t>
      </w:r>
      <w:proofErr w:type="spellStart"/>
      <w:r>
        <w:rPr>
          <w:lang w:val="en-US"/>
        </w:rPr>
        <w:t>Diarrhoea</w:t>
      </w:r>
      <w:proofErr w:type="spellEnd"/>
      <w:r>
        <w:rPr>
          <w:lang w:val="en-US"/>
        </w:rPr>
        <w:t>; Effect estimate: Odds ratio; Analysis: Bayesian meta-analysis</w:t>
      </w:r>
    </w:p>
    <w:p w14:paraId="7845D2D0" w14:textId="29B5697A" w:rsidR="00DB7EFD" w:rsidRDefault="00DB7EFD" w:rsidP="00DB7EFD">
      <w:pPr>
        <w:rPr>
          <w:lang w:val="en-US"/>
        </w:rPr>
      </w:pPr>
    </w:p>
    <w:p w14:paraId="2F9C4729" w14:textId="1FB5EC36" w:rsidR="00DB7EFD" w:rsidRDefault="00DB7EFD" w:rsidP="00DB7EFD">
      <w:pPr>
        <w:rPr>
          <w:lang w:val="en-US"/>
        </w:rPr>
      </w:pPr>
      <w:r w:rsidRPr="009E43B1">
        <w:rPr>
          <w:noProof/>
        </w:rPr>
        <w:drawing>
          <wp:inline distT="0" distB="0" distL="0" distR="0" wp14:anchorId="7CA8B110" wp14:editId="7C29F209">
            <wp:extent cx="4394200" cy="2388235"/>
            <wp:effectExtent l="0" t="0" r="0" b="0"/>
            <wp:docPr id="19" name="Picture 1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box and whisker chart&#10;&#10;Description automatically generated"/>
                    <pic:cNvPicPr/>
                  </pic:nvPicPr>
                  <pic:blipFill rotWithShape="1">
                    <a:blip r:embed="rId20"/>
                    <a:srcRect t="19309" r="2260"/>
                    <a:stretch/>
                  </pic:blipFill>
                  <pic:spPr bwMode="auto">
                    <a:xfrm>
                      <a:off x="0" y="0"/>
                      <a:ext cx="4397803" cy="239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38CA4" w14:textId="103E829A" w:rsidR="00DB7EFD" w:rsidRDefault="00DB7EFD" w:rsidP="00DB7EFD">
      <w:pPr>
        <w:rPr>
          <w:lang w:val="en-US"/>
        </w:rPr>
      </w:pPr>
    </w:p>
    <w:p w14:paraId="2B164505" w14:textId="56713550" w:rsidR="00DB7EFD" w:rsidRDefault="00DB7EFD" w:rsidP="00DB7EFD">
      <w:pPr>
        <w:rPr>
          <w:lang w:val="en-US"/>
        </w:rPr>
      </w:pPr>
      <w:r>
        <w:rPr>
          <w:lang w:val="en-US"/>
        </w:rPr>
        <w:t>Supplementary figure 1</w:t>
      </w:r>
      <w:r w:rsidR="00F83189">
        <w:rPr>
          <w:lang w:val="en-US"/>
        </w:rPr>
        <w:t>8</w:t>
      </w:r>
      <w:r>
        <w:rPr>
          <w:lang w:val="en-US"/>
        </w:rPr>
        <w:t>. Comparison: Lopinavir/ritonavir vs. Standard of care; Outcome: Nausea/vomiting; Effect estimate: Odds ratio; Analysis: Bayesian meta-analysis</w:t>
      </w:r>
    </w:p>
    <w:p w14:paraId="4924FD4D" w14:textId="77777777" w:rsidR="00DB7EFD" w:rsidRDefault="00DB7EFD" w:rsidP="00DB7EFD">
      <w:pPr>
        <w:rPr>
          <w:lang w:val="en-US"/>
        </w:rPr>
      </w:pPr>
    </w:p>
    <w:p w14:paraId="3C6B7903" w14:textId="42E9FD1F" w:rsidR="00DB7EFD" w:rsidRDefault="00DB7EFD">
      <w:pPr>
        <w:rPr>
          <w:lang w:val="en-US"/>
        </w:rPr>
      </w:pPr>
      <w:r w:rsidRPr="00EB5C6D">
        <w:rPr>
          <w:noProof/>
        </w:rPr>
        <w:lastRenderedPageBreak/>
        <w:drawing>
          <wp:inline distT="0" distB="0" distL="0" distR="0" wp14:anchorId="7E1A6A76" wp14:editId="290BAA56">
            <wp:extent cx="5803900" cy="2527300"/>
            <wp:effectExtent l="0" t="0" r="0" b="0"/>
            <wp:docPr id="26" name="Picture 2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hart&#10;&#10;Description automatically generated"/>
                    <pic:cNvPicPr/>
                  </pic:nvPicPr>
                  <pic:blipFill rotWithShape="1">
                    <a:blip r:embed="rId21"/>
                    <a:srcRect t="25451" r="2351" b="7023"/>
                    <a:stretch/>
                  </pic:blipFill>
                  <pic:spPr bwMode="auto">
                    <a:xfrm>
                      <a:off x="0" y="0"/>
                      <a:ext cx="58039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072E4" w14:textId="1CE4E711" w:rsidR="00DB7EFD" w:rsidRDefault="00DB7EFD">
      <w:pPr>
        <w:rPr>
          <w:lang w:val="en-US"/>
        </w:rPr>
      </w:pPr>
    </w:p>
    <w:p w14:paraId="1481269C" w14:textId="39B2E153" w:rsidR="00DB7EFD" w:rsidRDefault="00DB7EFD">
      <w:pPr>
        <w:rPr>
          <w:lang w:val="en-US"/>
        </w:rPr>
      </w:pPr>
    </w:p>
    <w:p w14:paraId="6F919DE9" w14:textId="1FFA163B" w:rsidR="00DB7EFD" w:rsidRDefault="00DB7EFD" w:rsidP="00DB7EFD">
      <w:pPr>
        <w:rPr>
          <w:lang w:val="en-US"/>
        </w:rPr>
      </w:pPr>
      <w:r>
        <w:rPr>
          <w:lang w:val="en-US"/>
        </w:rPr>
        <w:t>Supplementary figure 1</w:t>
      </w:r>
      <w:r w:rsidR="00F83189">
        <w:rPr>
          <w:lang w:val="en-US"/>
        </w:rPr>
        <w:t>9</w:t>
      </w:r>
      <w:r>
        <w:rPr>
          <w:lang w:val="en-US"/>
        </w:rPr>
        <w:t>. Comparison: Lopinavir/ritonavir vs. Standard of care; Outcome: Nausea/vomiting; Effect estimate: Odds ratio; Analysis: Frequentist meta-analysis</w:t>
      </w:r>
    </w:p>
    <w:p w14:paraId="129800CE" w14:textId="6C63A39E" w:rsidR="00DB7EFD" w:rsidRDefault="00DB7EFD" w:rsidP="00DB7EFD">
      <w:pPr>
        <w:rPr>
          <w:lang w:val="en-US"/>
        </w:rPr>
      </w:pPr>
    </w:p>
    <w:p w14:paraId="4588DADC" w14:textId="13581360" w:rsidR="00DB7EFD" w:rsidRDefault="00DB7EFD" w:rsidP="00DB7EFD">
      <w:pPr>
        <w:rPr>
          <w:lang w:val="en-US"/>
        </w:rPr>
      </w:pPr>
      <w:r w:rsidRPr="00EB5C6D">
        <w:rPr>
          <w:noProof/>
        </w:rPr>
        <w:drawing>
          <wp:inline distT="0" distB="0" distL="0" distR="0" wp14:anchorId="02578D1C" wp14:editId="63501C3C">
            <wp:extent cx="5943600" cy="1437640"/>
            <wp:effectExtent l="0" t="0" r="0" b="0"/>
            <wp:docPr id="27" name="Picture 2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box and whisker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FABB" w14:textId="282FE943" w:rsidR="00DB7EFD" w:rsidRDefault="00DB7EFD" w:rsidP="00DB7EFD">
      <w:pPr>
        <w:rPr>
          <w:lang w:val="en-US"/>
        </w:rPr>
      </w:pPr>
    </w:p>
    <w:p w14:paraId="278C8A99" w14:textId="6A593447" w:rsidR="00CE2D17" w:rsidRDefault="00CE2D17" w:rsidP="00CE2D17">
      <w:pPr>
        <w:rPr>
          <w:lang w:val="en-US"/>
        </w:rPr>
      </w:pPr>
      <w:r>
        <w:rPr>
          <w:lang w:val="en-US"/>
        </w:rPr>
        <w:t xml:space="preserve">Supplementary figure </w:t>
      </w:r>
      <w:r w:rsidR="00F83189">
        <w:rPr>
          <w:lang w:val="en-US"/>
        </w:rPr>
        <w:t>20</w:t>
      </w:r>
      <w:r>
        <w:rPr>
          <w:lang w:val="en-US"/>
        </w:rPr>
        <w:t>. Comparison: Hydroxychloroquine vs. Standard of care; Outcome: Nausea/vomiting; Effect estimate: Odds ratio; Analysis: Bayesian meta-analysis</w:t>
      </w:r>
    </w:p>
    <w:p w14:paraId="51147399" w14:textId="07FA425F" w:rsidR="00DB7EFD" w:rsidRDefault="00DB7EFD" w:rsidP="00DB7EFD">
      <w:pPr>
        <w:rPr>
          <w:lang w:val="en-US"/>
        </w:rPr>
      </w:pPr>
    </w:p>
    <w:p w14:paraId="26D0FA40" w14:textId="3A1D2485" w:rsidR="00CE2D17" w:rsidRDefault="00CE2D17" w:rsidP="00DB7EFD">
      <w:pPr>
        <w:rPr>
          <w:lang w:val="en-US"/>
        </w:rPr>
      </w:pPr>
    </w:p>
    <w:p w14:paraId="0B0ECFCC" w14:textId="5246718B" w:rsidR="00CE2D17" w:rsidRDefault="00CE2D17" w:rsidP="00DB7EFD">
      <w:pPr>
        <w:rPr>
          <w:lang w:val="en-US"/>
        </w:rPr>
      </w:pPr>
      <w:r w:rsidRPr="000C1A58">
        <w:rPr>
          <w:noProof/>
        </w:rPr>
        <w:lastRenderedPageBreak/>
        <w:drawing>
          <wp:inline distT="0" distB="0" distL="0" distR="0" wp14:anchorId="737EB051" wp14:editId="20CDB44F">
            <wp:extent cx="4826000" cy="2514600"/>
            <wp:effectExtent l="0" t="0" r="0" b="0"/>
            <wp:docPr id="29" name="Picture 2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box and whisker chart&#10;&#10;Description automatically generated"/>
                    <pic:cNvPicPr/>
                  </pic:nvPicPr>
                  <pic:blipFill rotWithShape="1">
                    <a:blip r:embed="rId23"/>
                    <a:srcRect t="15402" r="3546" b="8356"/>
                    <a:stretch/>
                  </pic:blipFill>
                  <pic:spPr bwMode="auto">
                    <a:xfrm>
                      <a:off x="0" y="0"/>
                      <a:ext cx="4833330" cy="251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AFEE7" w14:textId="619ABE1A" w:rsidR="00DB7EFD" w:rsidRDefault="00DB7EFD">
      <w:pPr>
        <w:rPr>
          <w:lang w:val="en-US"/>
        </w:rPr>
      </w:pPr>
    </w:p>
    <w:p w14:paraId="389BF574" w14:textId="1B32A147" w:rsidR="00CE2D17" w:rsidRDefault="00CE2D17" w:rsidP="00CE2D17">
      <w:pPr>
        <w:rPr>
          <w:lang w:val="en-US"/>
        </w:rPr>
      </w:pPr>
      <w:r>
        <w:rPr>
          <w:lang w:val="en-US"/>
        </w:rPr>
        <w:t xml:space="preserve">Supplementary figure </w:t>
      </w:r>
      <w:r w:rsidR="00DA1BFB">
        <w:rPr>
          <w:lang w:val="en-US"/>
        </w:rPr>
        <w:t>2</w:t>
      </w:r>
      <w:r w:rsidR="00F83189">
        <w:rPr>
          <w:lang w:val="en-US"/>
        </w:rPr>
        <w:t>1</w:t>
      </w:r>
      <w:r>
        <w:rPr>
          <w:lang w:val="en-US"/>
        </w:rPr>
        <w:t>. Comparison: Hydroxychloroquine vs. Standard of care; Outcome: Nausea/vomiting; Effect estimate: Odds ratio; Analysis: Frequentist meta-analysis</w:t>
      </w:r>
    </w:p>
    <w:p w14:paraId="087BD9E5" w14:textId="0C8D4CA4" w:rsidR="00CE2D17" w:rsidRDefault="00CE2D17">
      <w:pPr>
        <w:rPr>
          <w:lang w:val="en-US"/>
        </w:rPr>
      </w:pPr>
    </w:p>
    <w:p w14:paraId="23C1D9FD" w14:textId="79D0DCFC" w:rsidR="00CE2D17" w:rsidRDefault="00CE2D17">
      <w:pPr>
        <w:rPr>
          <w:lang w:val="en-US"/>
        </w:rPr>
      </w:pPr>
      <w:r w:rsidRPr="009358E8">
        <w:rPr>
          <w:noProof/>
        </w:rPr>
        <w:drawing>
          <wp:inline distT="0" distB="0" distL="0" distR="0" wp14:anchorId="1BDB1C19" wp14:editId="23B4C1ED">
            <wp:extent cx="5943600" cy="1764030"/>
            <wp:effectExtent l="0" t="0" r="0" b="1270"/>
            <wp:docPr id="9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box and whisker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A3D6" w14:textId="2B940685" w:rsidR="00CE2D17" w:rsidRDefault="00CE2D17">
      <w:pPr>
        <w:rPr>
          <w:lang w:val="en-US"/>
        </w:rPr>
      </w:pPr>
    </w:p>
    <w:p w14:paraId="4C4F79D8" w14:textId="4783056C" w:rsidR="00CE2D17" w:rsidRDefault="00CE2D17" w:rsidP="00CE2D17">
      <w:pPr>
        <w:rPr>
          <w:lang w:val="en-US"/>
        </w:rPr>
      </w:pPr>
      <w:r>
        <w:rPr>
          <w:lang w:val="en-US"/>
        </w:rPr>
        <w:t xml:space="preserve">Supplementary figure </w:t>
      </w:r>
      <w:r w:rsidR="00DA1BFB">
        <w:rPr>
          <w:lang w:val="en-US"/>
        </w:rPr>
        <w:t>2</w:t>
      </w:r>
      <w:r w:rsidR="00F83189">
        <w:rPr>
          <w:lang w:val="en-US"/>
        </w:rPr>
        <w:t>2</w:t>
      </w:r>
      <w:r>
        <w:rPr>
          <w:lang w:val="en-US"/>
        </w:rPr>
        <w:t>. Comparison: Lopinavir/ritonavir vs. Standard of care; Outcome: Fatigue; Effect estimate: Odds ratio; Analysis: Bayesian meta-analysis</w:t>
      </w:r>
    </w:p>
    <w:p w14:paraId="68CAEF69" w14:textId="2D09EBAF" w:rsidR="00CE2D17" w:rsidRDefault="00CE2D17">
      <w:pPr>
        <w:rPr>
          <w:lang w:val="en-US"/>
        </w:rPr>
      </w:pPr>
    </w:p>
    <w:p w14:paraId="70A369A5" w14:textId="4818CD50" w:rsidR="00CE2D17" w:rsidRPr="00EF690B" w:rsidRDefault="00CE2D17">
      <w:pPr>
        <w:rPr>
          <w:lang w:val="en-US"/>
        </w:rPr>
      </w:pPr>
      <w:r w:rsidRPr="000C1A58">
        <w:rPr>
          <w:noProof/>
        </w:rPr>
        <w:drawing>
          <wp:inline distT="0" distB="0" distL="0" distR="0" wp14:anchorId="7A893EF7" wp14:editId="7E417FD0">
            <wp:extent cx="4088557" cy="1330325"/>
            <wp:effectExtent l="0" t="0" r="1270" b="3175"/>
            <wp:docPr id="33" name="Picture 3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able&#10;&#10;Description automatically generated"/>
                    <pic:cNvPicPr/>
                  </pic:nvPicPr>
                  <pic:blipFill rotWithShape="1">
                    <a:blip r:embed="rId25"/>
                    <a:srcRect t="45372"/>
                    <a:stretch/>
                  </pic:blipFill>
                  <pic:spPr bwMode="auto">
                    <a:xfrm>
                      <a:off x="0" y="0"/>
                      <a:ext cx="4105029" cy="13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2D17" w:rsidRPr="00EF69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90B"/>
    <w:rsid w:val="00080881"/>
    <w:rsid w:val="002563BD"/>
    <w:rsid w:val="00265628"/>
    <w:rsid w:val="003377E9"/>
    <w:rsid w:val="0069564B"/>
    <w:rsid w:val="006A7EDD"/>
    <w:rsid w:val="006C2E78"/>
    <w:rsid w:val="00863497"/>
    <w:rsid w:val="008D119A"/>
    <w:rsid w:val="00A1372A"/>
    <w:rsid w:val="00A274E6"/>
    <w:rsid w:val="00BB3217"/>
    <w:rsid w:val="00BC6DDF"/>
    <w:rsid w:val="00CE2D17"/>
    <w:rsid w:val="00DA1BFB"/>
    <w:rsid w:val="00DB7EFD"/>
    <w:rsid w:val="00E77AC0"/>
    <w:rsid w:val="00EF690B"/>
    <w:rsid w:val="00F8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20F71"/>
  <w15:chartTrackingRefBased/>
  <w15:docId w15:val="{4368C10D-53CB-E945-97E7-6E9C1D72F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90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90B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Izcovich</dc:creator>
  <cp:keywords/>
  <dc:description/>
  <cp:lastModifiedBy>Ariel Izcovich</cp:lastModifiedBy>
  <cp:revision>9</cp:revision>
  <dcterms:created xsi:type="dcterms:W3CDTF">2020-11-03T14:58:00Z</dcterms:created>
  <dcterms:modified xsi:type="dcterms:W3CDTF">2020-11-13T18:06:00Z</dcterms:modified>
</cp:coreProperties>
</file>