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CA" w:rsidRPr="004C13B8" w:rsidRDefault="003525CA" w:rsidP="003525CA">
      <w:pPr>
        <w:spacing w:line="48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SUPPLEMENTAL</w:t>
      </w:r>
      <w:r w:rsidRPr="004C13B8">
        <w:rPr>
          <w:b/>
          <w:sz w:val="22"/>
          <w:szCs w:val="22"/>
          <w:lang w:val="en-US"/>
        </w:rPr>
        <w:t xml:space="preserve"> MATERIAL</w:t>
      </w:r>
    </w:p>
    <w:p w:rsidR="003525CA" w:rsidRPr="004C13B8" w:rsidRDefault="003525CA" w:rsidP="003525CA">
      <w:pPr>
        <w:spacing w:line="48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Supplementary figure </w:t>
      </w:r>
      <w:r w:rsidRPr="004C13B8">
        <w:rPr>
          <w:b/>
          <w:sz w:val="22"/>
          <w:szCs w:val="22"/>
          <w:lang w:val="en-US"/>
        </w:rPr>
        <w:t>1.</w:t>
      </w:r>
      <w:r w:rsidRPr="004C13B8">
        <w:rPr>
          <w:sz w:val="22"/>
          <w:szCs w:val="22"/>
          <w:lang w:val="en-US"/>
        </w:rPr>
        <w:t xml:space="preserve"> Types of acute arterial and venous events occurred in the cohort of EGPA patients after diagnosis. In bold are events with frequency of 5 or more.  </w:t>
      </w:r>
    </w:p>
    <w:p w:rsidR="003525CA" w:rsidRPr="004C13B8" w:rsidRDefault="003525CA" w:rsidP="003525CA">
      <w:pPr>
        <w:spacing w:line="480" w:lineRule="auto"/>
        <w:rPr>
          <w:sz w:val="22"/>
          <w:szCs w:val="22"/>
          <w:lang w:val="en-US"/>
        </w:rPr>
      </w:pPr>
    </w:p>
    <w:p w:rsidR="003525CA" w:rsidRPr="004C13B8" w:rsidRDefault="003525CA" w:rsidP="003525CA">
      <w:pPr>
        <w:spacing w:line="480" w:lineRule="auto"/>
        <w:rPr>
          <w:sz w:val="22"/>
          <w:szCs w:val="22"/>
          <w:lang w:val="en-US"/>
        </w:rPr>
      </w:pPr>
      <w:r w:rsidRPr="004C13B8">
        <w:rPr>
          <w:sz w:val="22"/>
          <w:szCs w:val="22"/>
          <w:lang w:val="en-US"/>
        </w:rPr>
        <w:t>EGPA: Eosinophilic Granulomatosis with Polyangiitis</w:t>
      </w:r>
    </w:p>
    <w:p w:rsidR="003525CA" w:rsidRPr="004C13B8" w:rsidRDefault="003525CA" w:rsidP="003525CA">
      <w:pPr>
        <w:spacing w:line="480" w:lineRule="auto"/>
        <w:rPr>
          <w:sz w:val="22"/>
          <w:szCs w:val="22"/>
          <w:lang w:val="en-US"/>
        </w:rPr>
      </w:pPr>
    </w:p>
    <w:p w:rsidR="003525CA" w:rsidRPr="004C13B8" w:rsidRDefault="003525CA" w:rsidP="003525CA">
      <w:pPr>
        <w:spacing w:line="480" w:lineRule="auto"/>
        <w:rPr>
          <w:b/>
          <w:sz w:val="22"/>
          <w:szCs w:val="22"/>
          <w:lang w:val="en-US"/>
        </w:rPr>
      </w:pPr>
      <w:r w:rsidRPr="004C13B8">
        <w:rPr>
          <w:b/>
          <w:noProof/>
          <w:sz w:val="22"/>
          <w:szCs w:val="22"/>
          <w:lang w:val="en-US"/>
        </w:rPr>
        <w:drawing>
          <wp:inline distT="0" distB="0" distL="0" distR="0" wp14:anchorId="698771BD" wp14:editId="0C233F0C">
            <wp:extent cx="6116320" cy="4515485"/>
            <wp:effectExtent l="0" t="0" r="508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13B8">
        <w:rPr>
          <w:b/>
          <w:sz w:val="22"/>
          <w:szCs w:val="22"/>
          <w:lang w:val="en-US"/>
        </w:rPr>
        <w:br w:type="page"/>
      </w:r>
    </w:p>
    <w:p w:rsidR="003525CA" w:rsidRPr="004C13B8" w:rsidRDefault="003525CA" w:rsidP="003525CA">
      <w:pPr>
        <w:spacing w:line="48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 xml:space="preserve">Supplementary </w:t>
      </w:r>
      <w:r w:rsidR="004762FF" w:rsidRPr="004C13B8">
        <w:rPr>
          <w:b/>
          <w:sz w:val="22"/>
          <w:szCs w:val="22"/>
          <w:lang w:val="en-GB"/>
        </w:rPr>
        <w:t xml:space="preserve">table </w:t>
      </w:r>
      <w:bookmarkStart w:id="0" w:name="_GoBack"/>
      <w:bookmarkEnd w:id="0"/>
      <w:r w:rsidRPr="004C13B8">
        <w:rPr>
          <w:b/>
          <w:sz w:val="22"/>
          <w:szCs w:val="22"/>
          <w:lang w:val="en-US"/>
        </w:rPr>
        <w:t>1.</w:t>
      </w:r>
      <w:r w:rsidRPr="004C13B8">
        <w:rPr>
          <w:sz w:val="22"/>
          <w:szCs w:val="22"/>
          <w:lang w:val="en-US"/>
        </w:rPr>
        <w:t xml:space="preserve"> Descriptive summary of the Bruneck cohort (n=933). </w:t>
      </w:r>
    </w:p>
    <w:tbl>
      <w:tblPr>
        <w:tblStyle w:val="Grigliatabel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</w:tblGrid>
      <w:tr w:rsidR="003525CA" w:rsidRPr="007C206D" w:rsidTr="003E6F84">
        <w:trPr>
          <w:trHeight w:val="390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 xml:space="preserve">N (% out of 933) 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  <w:tcBorders>
              <w:top w:val="single" w:sz="4" w:space="0" w:color="auto"/>
            </w:tcBorders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Year of recruitment of the cohort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1990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b/>
                <w:lang w:val="en-GB"/>
              </w:rPr>
            </w:pPr>
            <w:r w:rsidRPr="007C206D">
              <w:rPr>
                <w:b/>
                <w:lang w:val="en-GB"/>
              </w:rPr>
              <w:t>Demographic features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Female sex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459 (49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2%)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Median age at entry (IQR), years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59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2 (49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1-68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8)</w:t>
            </w:r>
          </w:p>
        </w:tc>
      </w:tr>
      <w:tr w:rsidR="003525CA" w:rsidRPr="004762FF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b/>
                <w:lang w:val="en-GB"/>
              </w:rPr>
              <w:t>Cardiovascular risk factors and comorbidities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Smoking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228 (24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44)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 xml:space="preserve">Others 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ind w:left="284"/>
              <w:rPr>
                <w:lang w:val="en-GB"/>
              </w:rPr>
            </w:pPr>
            <w:r w:rsidRPr="007C206D">
              <w:rPr>
                <w:lang w:val="en-GB"/>
              </w:rPr>
              <w:t>Hypercholesterolemia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658 (70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53)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ind w:left="284"/>
              <w:rPr>
                <w:lang w:val="en-GB"/>
              </w:rPr>
            </w:pPr>
            <w:r w:rsidRPr="007C206D">
              <w:rPr>
                <w:lang w:val="en-GB"/>
              </w:rPr>
              <w:t>Hypertension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597 (63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99)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ind w:left="284"/>
              <w:rPr>
                <w:lang w:val="en-GB"/>
              </w:rPr>
            </w:pPr>
            <w:r w:rsidRPr="007C206D">
              <w:rPr>
                <w:lang w:val="en-GB"/>
              </w:rPr>
              <w:t>Diabetes mellitus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77 (8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25)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ind w:left="284"/>
              <w:rPr>
                <w:lang w:val="en-GB"/>
              </w:rPr>
            </w:pPr>
            <w:r w:rsidRPr="007C206D">
              <w:rPr>
                <w:lang w:val="en-GB"/>
              </w:rPr>
              <w:t>Cancer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33 (3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54)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b/>
                <w:lang w:val="en-GB"/>
              </w:rPr>
              <w:t>Cardiovascular therapy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Antiplatelets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31 (3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32)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Anticoagulants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3 (0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32)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Antihypertensive agents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172 (18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44)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Statins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16 (1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71)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b/>
                <w:lang w:val="en-GB"/>
              </w:rPr>
            </w:pPr>
            <w:r w:rsidRPr="007C206D">
              <w:rPr>
                <w:b/>
                <w:lang w:val="en-GB"/>
              </w:rPr>
              <w:t>Occurrence of AVTE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Median age at censoring (IQR), years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77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2 (70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3-83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9)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Median duration of follow-up (IQR), years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20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9 (10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3-25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6)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Thromboembolic event rate (95% CI), per 1000 person-years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16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8 (15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0-18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9)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Venous thromboembolic event rate (95% CI), per 1000 person-years</w:t>
            </w:r>
          </w:p>
        </w:tc>
        <w:tc>
          <w:tcPr>
            <w:tcW w:w="1985" w:type="dxa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3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2 (2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5-4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2)</w:t>
            </w:r>
          </w:p>
        </w:tc>
      </w:tr>
      <w:tr w:rsidR="003525CA" w:rsidRPr="007C206D" w:rsidTr="003E6F84">
        <w:trPr>
          <w:trHeight w:val="170"/>
        </w:trPr>
        <w:tc>
          <w:tcPr>
            <w:tcW w:w="6374" w:type="dxa"/>
            <w:tcBorders>
              <w:bottom w:val="single" w:sz="4" w:space="0" w:color="auto"/>
            </w:tcBorders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Arterial thromboembolic event rate (95% CI), per 1000 person-years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13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6 (11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9-15</w:t>
            </w:r>
            <w:r w:rsidRPr="007C206D">
              <w:rPr>
                <w:color w:val="000000"/>
                <w:lang w:val="en-GB"/>
              </w:rPr>
              <w:sym w:font="Symbol" w:char="F0D7"/>
            </w:r>
            <w:r w:rsidRPr="007C206D">
              <w:rPr>
                <w:lang w:val="en-GB"/>
              </w:rPr>
              <w:t>5)</w:t>
            </w:r>
          </w:p>
        </w:tc>
      </w:tr>
    </w:tbl>
    <w:p w:rsidR="003525CA" w:rsidRPr="004C13B8" w:rsidRDefault="003525CA" w:rsidP="003525CA">
      <w:pPr>
        <w:spacing w:line="480" w:lineRule="auto"/>
        <w:rPr>
          <w:i/>
          <w:sz w:val="22"/>
          <w:szCs w:val="22"/>
          <w:lang w:val="en-GB"/>
        </w:rPr>
      </w:pPr>
      <w:r w:rsidRPr="004C13B8">
        <w:rPr>
          <w:sz w:val="22"/>
          <w:szCs w:val="22"/>
          <w:lang w:val="en-GB"/>
        </w:rPr>
        <w:t xml:space="preserve">AVTE: arterial and venous </w:t>
      </w:r>
      <w:r>
        <w:rPr>
          <w:sz w:val="22"/>
          <w:szCs w:val="22"/>
          <w:lang w:val="en-GB"/>
        </w:rPr>
        <w:t>thromboembolic</w:t>
      </w:r>
      <w:r w:rsidRPr="004C13B8">
        <w:rPr>
          <w:sz w:val="22"/>
          <w:szCs w:val="22"/>
          <w:lang w:val="en-GB"/>
        </w:rPr>
        <w:t xml:space="preserve"> events; CI: confidence interval; IQR: interquartile range</w:t>
      </w:r>
      <w:r w:rsidRPr="004C13B8">
        <w:rPr>
          <w:i/>
          <w:sz w:val="22"/>
          <w:szCs w:val="22"/>
          <w:lang w:val="en-GB"/>
        </w:rPr>
        <w:t>.</w:t>
      </w:r>
    </w:p>
    <w:p w:rsidR="003525CA" w:rsidRPr="004C13B8" w:rsidRDefault="003525CA" w:rsidP="003525CA">
      <w:pPr>
        <w:spacing w:line="480" w:lineRule="auto"/>
        <w:rPr>
          <w:b/>
          <w:sz w:val="22"/>
          <w:szCs w:val="22"/>
          <w:lang w:val="en-GB"/>
        </w:rPr>
      </w:pPr>
      <w:r w:rsidRPr="004C13B8">
        <w:rPr>
          <w:b/>
          <w:sz w:val="22"/>
          <w:szCs w:val="22"/>
          <w:lang w:val="en-GB"/>
        </w:rPr>
        <w:br w:type="page"/>
      </w:r>
    </w:p>
    <w:p w:rsidR="003525CA" w:rsidRPr="004C13B8" w:rsidRDefault="003525CA" w:rsidP="003525CA">
      <w:pPr>
        <w:spacing w:line="480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US"/>
        </w:rPr>
        <w:lastRenderedPageBreak/>
        <w:t xml:space="preserve">Supplementary </w:t>
      </w:r>
      <w:r w:rsidR="004762FF" w:rsidRPr="004C13B8">
        <w:rPr>
          <w:b/>
          <w:sz w:val="22"/>
          <w:szCs w:val="22"/>
          <w:lang w:val="en-GB"/>
        </w:rPr>
        <w:t xml:space="preserve">table </w:t>
      </w:r>
      <w:r w:rsidRPr="004C13B8">
        <w:rPr>
          <w:b/>
          <w:sz w:val="22"/>
          <w:szCs w:val="22"/>
          <w:lang w:val="en-GB"/>
        </w:rPr>
        <w:t>2</w:t>
      </w:r>
      <w:r w:rsidR="004762FF">
        <w:rPr>
          <w:b/>
          <w:sz w:val="22"/>
          <w:szCs w:val="22"/>
          <w:lang w:val="en-GB"/>
        </w:rPr>
        <w:t>.</w:t>
      </w:r>
      <w:r w:rsidRPr="004C13B8">
        <w:rPr>
          <w:b/>
          <w:sz w:val="22"/>
          <w:szCs w:val="22"/>
          <w:lang w:val="en-GB"/>
        </w:rPr>
        <w:t xml:space="preserve"> </w:t>
      </w:r>
      <w:r w:rsidRPr="004C13B8">
        <w:rPr>
          <w:sz w:val="22"/>
          <w:szCs w:val="22"/>
          <w:lang w:val="en-GB"/>
        </w:rPr>
        <w:t xml:space="preserve">Number of </w:t>
      </w:r>
      <w:r>
        <w:rPr>
          <w:sz w:val="22"/>
          <w:szCs w:val="22"/>
          <w:lang w:val="en-GB"/>
        </w:rPr>
        <w:t xml:space="preserve">acute </w:t>
      </w:r>
      <w:r w:rsidRPr="004C13B8">
        <w:rPr>
          <w:sz w:val="22"/>
          <w:szCs w:val="22"/>
          <w:lang w:val="en-GB"/>
        </w:rPr>
        <w:t xml:space="preserve">venous and arterial </w:t>
      </w:r>
      <w:r>
        <w:rPr>
          <w:sz w:val="22"/>
          <w:szCs w:val="22"/>
          <w:lang w:val="en-GB"/>
        </w:rPr>
        <w:t>thromboembolic</w:t>
      </w:r>
      <w:r w:rsidRPr="004C13B8">
        <w:rPr>
          <w:sz w:val="22"/>
          <w:szCs w:val="22"/>
          <w:lang w:val="en-GB"/>
        </w:rPr>
        <w:t xml:space="preserve"> events in the Bruneck cohort. </w:t>
      </w:r>
    </w:p>
    <w:tbl>
      <w:tblPr>
        <w:tblStyle w:val="Grigliatabella"/>
        <w:tblW w:w="548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03"/>
      </w:tblGrid>
      <w:tr w:rsidR="003525CA" w:rsidRPr="007C206D" w:rsidTr="003E6F84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Bruneck cohort (n=933)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b/>
                <w:lang w:val="en-GB"/>
              </w:rPr>
            </w:pPr>
            <w:r w:rsidRPr="007C206D">
              <w:rPr>
                <w:b/>
                <w:lang w:val="en-GB"/>
              </w:rPr>
              <w:t>Venous thromboembolic events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No. of events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54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Deep vein thrombosis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33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Pulmonary embolism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13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Superficial vein thrombosis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1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Budd-Chiari syndrome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0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Retinal vein occlusion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7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Intracardiac thrombosis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0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b/>
                <w:lang w:val="en-GB"/>
              </w:rPr>
            </w:pPr>
            <w:r w:rsidRPr="007C206D">
              <w:rPr>
                <w:b/>
                <w:lang w:val="en-GB"/>
              </w:rPr>
              <w:t>Arterial thromboembolic events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No. of events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226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Acute myocardial infarction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73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Stroke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105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Transient ischaemic attacks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45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Retinal artery occlusion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0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Acute upper limb ischaemia</w:t>
            </w:r>
          </w:p>
        </w:tc>
        <w:tc>
          <w:tcPr>
            <w:tcW w:w="1803" w:type="dxa"/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0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Acute lower limb ischaemia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3</w:t>
            </w: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b/>
                <w:lang w:val="en-GB"/>
              </w:rPr>
            </w:pPr>
            <w:r w:rsidRPr="007C206D">
              <w:rPr>
                <w:b/>
                <w:lang w:val="en-GB"/>
              </w:rPr>
              <w:t>All thromboembolic events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</w:tr>
      <w:tr w:rsidR="003525CA" w:rsidRPr="007C206D" w:rsidTr="003E6F84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rPr>
                <w:lang w:val="en-GB"/>
              </w:rPr>
            </w:pPr>
            <w:r w:rsidRPr="007C206D">
              <w:rPr>
                <w:lang w:val="en-GB"/>
              </w:rPr>
              <w:t>No. of events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auto"/>
          </w:tcPr>
          <w:p w:rsidR="003525CA" w:rsidRPr="007C206D" w:rsidRDefault="003525CA" w:rsidP="003E6F84">
            <w:pPr>
              <w:spacing w:line="276" w:lineRule="auto"/>
              <w:jc w:val="center"/>
              <w:rPr>
                <w:lang w:val="en-GB"/>
              </w:rPr>
            </w:pPr>
            <w:r w:rsidRPr="007C206D">
              <w:rPr>
                <w:lang w:val="en-GB"/>
              </w:rPr>
              <w:t>280</w:t>
            </w:r>
          </w:p>
        </w:tc>
      </w:tr>
    </w:tbl>
    <w:p w:rsidR="003525CA" w:rsidRPr="004C13B8" w:rsidRDefault="003525CA" w:rsidP="003525CA">
      <w:pPr>
        <w:spacing w:line="480" w:lineRule="auto"/>
        <w:rPr>
          <w:sz w:val="22"/>
          <w:szCs w:val="22"/>
          <w:lang w:val="en-GB"/>
        </w:rPr>
      </w:pPr>
      <w:r w:rsidRPr="004C13B8">
        <w:rPr>
          <w:sz w:val="22"/>
          <w:szCs w:val="22"/>
          <w:lang w:val="en-GB"/>
        </w:rPr>
        <w:br w:type="page"/>
      </w:r>
    </w:p>
    <w:p w:rsidR="003525CA" w:rsidRPr="00323059" w:rsidRDefault="003525CA" w:rsidP="003525CA">
      <w:pPr>
        <w:spacing w:line="480" w:lineRule="auto"/>
        <w:rPr>
          <w:sz w:val="22"/>
          <w:szCs w:val="22"/>
          <w:lang w:val="en-GB"/>
        </w:rPr>
      </w:pPr>
      <w:r>
        <w:rPr>
          <w:b/>
          <w:sz w:val="22"/>
          <w:szCs w:val="22"/>
          <w:lang w:val="en-US"/>
        </w:rPr>
        <w:lastRenderedPageBreak/>
        <w:t xml:space="preserve">Supplementary </w:t>
      </w:r>
      <w:r w:rsidRPr="004C13B8">
        <w:rPr>
          <w:b/>
          <w:sz w:val="22"/>
          <w:szCs w:val="22"/>
          <w:lang w:val="en-GB"/>
        </w:rPr>
        <w:t>table 3</w:t>
      </w:r>
      <w:r w:rsidR="004762FF">
        <w:rPr>
          <w:b/>
          <w:sz w:val="22"/>
          <w:szCs w:val="22"/>
          <w:lang w:val="en-GB"/>
        </w:rPr>
        <w:t>.</w:t>
      </w:r>
      <w:r w:rsidRPr="004C13B8">
        <w:rPr>
          <w:b/>
          <w:sz w:val="22"/>
          <w:szCs w:val="22"/>
          <w:lang w:val="en-GB"/>
        </w:rPr>
        <w:t xml:space="preserve"> </w:t>
      </w:r>
      <w:r w:rsidRPr="00323059">
        <w:rPr>
          <w:color w:val="000000"/>
          <w:sz w:val="22"/>
          <w:szCs w:val="22"/>
          <w:lang w:val="en-GB"/>
        </w:rPr>
        <w:t xml:space="preserve">Adjusted Hazard Ratio [95% Confidence Intervals] of arterial and venous </w:t>
      </w:r>
      <w:r w:rsidRPr="00323059">
        <w:rPr>
          <w:sz w:val="22"/>
          <w:szCs w:val="22"/>
          <w:lang w:val="en-GB"/>
        </w:rPr>
        <w:t xml:space="preserve">thromboembolic </w:t>
      </w:r>
      <w:r w:rsidRPr="00323059">
        <w:rPr>
          <w:color w:val="000000"/>
          <w:sz w:val="22"/>
          <w:szCs w:val="22"/>
          <w:lang w:val="en-GB"/>
        </w:rPr>
        <w:t>events (AVTE) among patients with no history of previous AVTE.</w:t>
      </w:r>
    </w:p>
    <w:p w:rsidR="003525CA" w:rsidRPr="00323059" w:rsidRDefault="003525CA" w:rsidP="003525CA">
      <w:pPr>
        <w:spacing w:line="480" w:lineRule="auto"/>
        <w:rPr>
          <w:sz w:val="22"/>
          <w:szCs w:val="22"/>
          <w:lang w:val="en-GB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40"/>
        <w:gridCol w:w="2563"/>
        <w:gridCol w:w="913"/>
      </w:tblGrid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b/>
                <w:color w:val="000000"/>
                <w:sz w:val="22"/>
                <w:szCs w:val="22"/>
                <w:lang w:val="en-GB"/>
              </w:rPr>
              <w:t xml:space="preserve">Adjusted HR [95% CI] #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13B8">
              <w:rPr>
                <w:b/>
                <w:color w:val="000000"/>
                <w:sz w:val="22"/>
                <w:szCs w:val="22"/>
                <w:lang w:val="en-GB"/>
              </w:rPr>
              <w:t>p-value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Sex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49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Male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75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44 – 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281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53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&lt;35 years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53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35-65 years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44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56 – 3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71]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451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53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≥65 years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2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67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93 – 7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67]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069</w:t>
            </w:r>
          </w:p>
        </w:tc>
      </w:tr>
      <w:tr w:rsidR="003525CA" w:rsidRPr="004762FF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Presence of CV risk factors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53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53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78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45 – 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32]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352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ANCA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Negative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Positive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94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51 – 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74]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846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i/>
                <w:color w:val="000000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29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62 – 2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70]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497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 xml:space="preserve">BVAS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0-9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 xml:space="preserve">        10-19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29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67 – 2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44]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2440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20+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2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22 [1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04 – 4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70]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038*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Five-Factor Score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≥1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76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38 – 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52]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438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 xml:space="preserve">Eosinophils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firstLine="453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&lt;500 cells/UL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firstLine="453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&gt;=500 cells/UL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52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21 – 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29]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159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firstLine="453"/>
              <w:rPr>
                <w:sz w:val="22"/>
                <w:szCs w:val="22"/>
                <w:lang w:val="en-GB"/>
              </w:rPr>
            </w:pPr>
            <w:r w:rsidRPr="004C13B8">
              <w:rPr>
                <w:i/>
                <w:color w:val="000000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71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26 – 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92]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505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CRP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&lt;0.9 mg/dL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≥0.9 mg/dL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06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33 – 3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33]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927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i/>
                <w:color w:val="000000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2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00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61 – 6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57]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251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ESR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≤25 mm/h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&gt;25 mm/h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56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25 – 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28]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171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426"/>
              <w:rPr>
                <w:sz w:val="22"/>
                <w:szCs w:val="22"/>
                <w:lang w:val="en-GB"/>
              </w:rPr>
            </w:pPr>
            <w:r w:rsidRPr="004C13B8">
              <w:rPr>
                <w:i/>
                <w:color w:val="000000"/>
                <w:sz w:val="22"/>
                <w:szCs w:val="22"/>
                <w:lang w:val="en-GB"/>
              </w:rPr>
              <w:t>Missing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4C13B8">
              <w:rPr>
                <w:sz w:val="22"/>
                <w:szCs w:val="22"/>
                <w:lang w:val="en-GB"/>
              </w:rPr>
              <w:t>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15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51 – 2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59]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sz w:val="22"/>
                <w:szCs w:val="22"/>
              </w:rPr>
            </w:pPr>
            <w:r w:rsidRPr="004C13B8">
              <w:rPr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sz w:val="22"/>
                <w:szCs w:val="22"/>
                <w:lang w:val="en-GB"/>
              </w:rPr>
              <w:t>729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Immunosuppressive therapy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279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 xml:space="preserve">Only systemic steroids 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Ref.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279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No systemic therapy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3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08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98 – 9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71]</w:t>
            </w:r>
          </w:p>
        </w:tc>
        <w:tc>
          <w:tcPr>
            <w:tcW w:w="0" w:type="auto"/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4C13B8">
              <w:rPr>
                <w:color w:val="000000"/>
                <w:sz w:val="22"/>
                <w:szCs w:val="22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</w:rPr>
              <w:t>054</w:t>
            </w:r>
          </w:p>
        </w:tc>
      </w:tr>
      <w:tr w:rsidR="003525CA" w:rsidRPr="004C13B8" w:rsidTr="003E6F84">
        <w:trPr>
          <w:trHeight w:val="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ind w:left="279"/>
              <w:rPr>
                <w:color w:val="000000"/>
                <w:sz w:val="22"/>
                <w:szCs w:val="22"/>
                <w:lang w:val="en-US"/>
              </w:rPr>
            </w:pPr>
            <w:r w:rsidRPr="004C13B8">
              <w:rPr>
                <w:color w:val="000000"/>
                <w:sz w:val="22"/>
                <w:szCs w:val="22"/>
                <w:lang w:val="en-US"/>
              </w:rPr>
              <w:t xml:space="preserve">Traditional and/or biologic </w:t>
            </w:r>
          </w:p>
          <w:p w:rsidR="003525CA" w:rsidRPr="004C13B8" w:rsidRDefault="003525CA" w:rsidP="003E6F84">
            <w:pPr>
              <w:spacing w:line="276" w:lineRule="auto"/>
              <w:ind w:left="279"/>
              <w:rPr>
                <w:color w:val="000000"/>
                <w:sz w:val="22"/>
                <w:szCs w:val="22"/>
                <w:lang w:val="en-US"/>
              </w:rPr>
            </w:pPr>
            <w:r w:rsidRPr="004C13B8">
              <w:rPr>
                <w:color w:val="000000"/>
                <w:sz w:val="22"/>
                <w:szCs w:val="22"/>
                <w:lang w:val="en-US"/>
              </w:rPr>
              <w:t>immunosuppressants (+/- steroids)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GB"/>
              </w:rPr>
            </w:pPr>
            <w:r w:rsidRPr="004C13B8">
              <w:rPr>
                <w:color w:val="000000"/>
                <w:sz w:val="22"/>
                <w:szCs w:val="22"/>
                <w:lang w:val="en-GB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89 [0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51 – 1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GB"/>
              </w:rPr>
              <w:t>55]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3525CA" w:rsidRPr="004C13B8" w:rsidRDefault="003525CA" w:rsidP="003E6F84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4C13B8">
              <w:rPr>
                <w:color w:val="000000"/>
                <w:sz w:val="22"/>
                <w:szCs w:val="22"/>
                <w:lang w:val="en-US"/>
              </w:rPr>
              <w:t>0</w:t>
            </w:r>
            <w:r w:rsidRPr="004C13B8">
              <w:rPr>
                <w:color w:val="000000"/>
                <w:sz w:val="22"/>
                <w:szCs w:val="22"/>
                <w:lang w:val="en-GB"/>
              </w:rPr>
              <w:sym w:font="Symbol" w:char="F0D7"/>
            </w:r>
            <w:r w:rsidRPr="004C13B8">
              <w:rPr>
                <w:color w:val="000000"/>
                <w:sz w:val="22"/>
                <w:szCs w:val="22"/>
                <w:lang w:val="en-US"/>
              </w:rPr>
              <w:t>671</w:t>
            </w:r>
          </w:p>
        </w:tc>
      </w:tr>
    </w:tbl>
    <w:p w:rsidR="003525CA" w:rsidRPr="004C13B8" w:rsidRDefault="003525CA" w:rsidP="003525CA">
      <w:pPr>
        <w:spacing w:line="480" w:lineRule="auto"/>
        <w:rPr>
          <w:color w:val="000000"/>
          <w:sz w:val="22"/>
          <w:szCs w:val="22"/>
          <w:lang w:val="en-GB"/>
        </w:rPr>
      </w:pPr>
    </w:p>
    <w:p w:rsidR="003525CA" w:rsidRPr="004C13B8" w:rsidRDefault="003525CA" w:rsidP="003525CA">
      <w:pPr>
        <w:spacing w:line="480" w:lineRule="auto"/>
        <w:rPr>
          <w:color w:val="000000"/>
          <w:sz w:val="22"/>
          <w:szCs w:val="22"/>
          <w:lang w:val="en-GB"/>
        </w:rPr>
      </w:pPr>
      <w:r w:rsidRPr="004C13B8">
        <w:rPr>
          <w:color w:val="000000"/>
          <w:sz w:val="22"/>
          <w:szCs w:val="22"/>
          <w:lang w:val="en-GB"/>
        </w:rPr>
        <w:t xml:space="preserve"># adjusted for age, sex, ANCA, BVAS, eosinophils, and presence of CV risk factors. </w:t>
      </w:r>
    </w:p>
    <w:p w:rsidR="003525CA" w:rsidRPr="004C13B8" w:rsidRDefault="003525CA" w:rsidP="003525CA">
      <w:pPr>
        <w:spacing w:line="480" w:lineRule="auto"/>
        <w:rPr>
          <w:i/>
          <w:color w:val="000000"/>
          <w:sz w:val="22"/>
          <w:szCs w:val="22"/>
          <w:lang w:val="en-US"/>
        </w:rPr>
      </w:pPr>
      <w:r w:rsidRPr="004C13B8">
        <w:rPr>
          <w:i/>
          <w:color w:val="000000"/>
          <w:sz w:val="22"/>
          <w:szCs w:val="22"/>
          <w:lang w:val="en-US"/>
        </w:rPr>
        <w:lastRenderedPageBreak/>
        <w:t xml:space="preserve">ANCA: Anti-Neutrophil Cytoplasmic Antibody; </w:t>
      </w:r>
      <w:r w:rsidRPr="004C13B8">
        <w:rPr>
          <w:i/>
          <w:color w:val="000000"/>
          <w:sz w:val="22"/>
          <w:szCs w:val="22"/>
          <w:lang w:val="en-GB"/>
        </w:rPr>
        <w:t xml:space="preserve">BVAS: </w:t>
      </w:r>
      <w:r w:rsidRPr="004C13B8">
        <w:rPr>
          <w:i/>
          <w:color w:val="000000"/>
          <w:sz w:val="22"/>
          <w:szCs w:val="22"/>
          <w:lang w:val="en-US"/>
        </w:rPr>
        <w:t xml:space="preserve">Birmingham Vasculitis Activity Score; CV: Cardiovascular; CRP: C-Reactive Protein; ESR: Erythrocyte Sedimentation Rate </w:t>
      </w:r>
    </w:p>
    <w:p w:rsidR="003525CA" w:rsidRPr="004C13B8" w:rsidRDefault="003525CA" w:rsidP="003525CA">
      <w:pPr>
        <w:spacing w:line="480" w:lineRule="auto"/>
        <w:rPr>
          <w:i/>
          <w:color w:val="000000"/>
          <w:sz w:val="22"/>
          <w:szCs w:val="22"/>
          <w:lang w:val="en-US"/>
        </w:rPr>
      </w:pPr>
      <w:r w:rsidRPr="004C13B8">
        <w:rPr>
          <w:i/>
          <w:color w:val="000000"/>
          <w:sz w:val="22"/>
          <w:szCs w:val="22"/>
          <w:lang w:val="en-US"/>
        </w:rPr>
        <w:t>*statistically significant for p-value&lt;0</w:t>
      </w:r>
      <w:r w:rsidRPr="004C13B8">
        <w:rPr>
          <w:color w:val="000000"/>
          <w:sz w:val="22"/>
          <w:szCs w:val="22"/>
          <w:lang w:val="en-GB"/>
        </w:rPr>
        <w:sym w:font="Symbol" w:char="F0D7"/>
      </w:r>
      <w:r w:rsidRPr="004C13B8">
        <w:rPr>
          <w:i/>
          <w:color w:val="000000"/>
          <w:sz w:val="22"/>
          <w:szCs w:val="22"/>
          <w:lang w:val="en-US"/>
        </w:rPr>
        <w:t>05</w:t>
      </w:r>
    </w:p>
    <w:p w:rsidR="00D63892" w:rsidRPr="003525CA" w:rsidRDefault="00D63892">
      <w:pPr>
        <w:rPr>
          <w:lang w:val="en-US"/>
        </w:rPr>
      </w:pPr>
    </w:p>
    <w:sectPr w:rsidR="00D63892" w:rsidRPr="003525CA" w:rsidSect="003F6E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CA"/>
    <w:rsid w:val="003525CA"/>
    <w:rsid w:val="003F6E9C"/>
    <w:rsid w:val="004762FF"/>
    <w:rsid w:val="005C4E20"/>
    <w:rsid w:val="00806D7A"/>
    <w:rsid w:val="00B23F26"/>
    <w:rsid w:val="00BC4FCD"/>
    <w:rsid w:val="00CA5A2D"/>
    <w:rsid w:val="00D63892"/>
    <w:rsid w:val="00D7201A"/>
    <w:rsid w:val="00E1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2FDB"/>
  <w15:chartTrackingRefBased/>
  <w15:docId w15:val="{974F4770-6554-064D-BACA-1683DFB1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25C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25CA"/>
    <w:rPr>
      <w:rFonts w:ascii="Calibri" w:eastAsia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Bettiol</dc:creator>
  <cp:keywords/>
  <dc:description/>
  <cp:lastModifiedBy>Alessandra Bettiol</cp:lastModifiedBy>
  <cp:revision>2</cp:revision>
  <dcterms:created xsi:type="dcterms:W3CDTF">2020-11-09T09:49:00Z</dcterms:created>
  <dcterms:modified xsi:type="dcterms:W3CDTF">2020-11-09T09:53:00Z</dcterms:modified>
</cp:coreProperties>
</file>