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BF" w:rsidRDefault="006C1107">
      <w:pPr>
        <w:pStyle w:val="Ttulo"/>
        <w:ind w:left="2" w:right="1080" w:hanging="4"/>
        <w:jc w:val="center"/>
      </w:pPr>
      <w:bookmarkStart w:id="0" w:name="_heading=h.bloi3q4hxa8t" w:colFirst="0" w:colLast="0"/>
      <w:bookmarkEnd w:id="0"/>
      <w:r>
        <w:rPr>
          <w:sz w:val="40"/>
          <w:szCs w:val="40"/>
        </w:rPr>
        <w:t>Population-based prevalence surveys during the COVID-19 pandemic: a systematic review</w:t>
      </w:r>
    </w:p>
    <w:p w:rsidR="00606BBF" w:rsidRDefault="005F0253" w:rsidP="005F0253">
      <w:pPr>
        <w:pStyle w:val="Ttulo1"/>
        <w:widowControl w:val="0"/>
        <w:spacing w:after="373"/>
        <w:ind w:left="-2" w:right="796" w:firstLineChars="0" w:firstLine="0"/>
        <w:rPr>
          <w:b w:val="0"/>
          <w:sz w:val="36"/>
          <w:szCs w:val="36"/>
        </w:rPr>
      </w:pPr>
      <w:bookmarkStart w:id="1" w:name="_heading=h.v8cxddvyr3sy" w:colFirst="0" w:colLast="0"/>
      <w:bookmarkEnd w:id="1"/>
      <w:r>
        <w:rPr>
          <w:b w:val="0"/>
          <w:sz w:val="36"/>
          <w:szCs w:val="36"/>
        </w:rPr>
        <w:t xml:space="preserve">          </w:t>
      </w:r>
      <w:r w:rsidR="006C1107">
        <w:rPr>
          <w:b w:val="0"/>
          <w:sz w:val="36"/>
          <w:szCs w:val="36"/>
        </w:rPr>
        <w:t>Appendix 2</w:t>
      </w:r>
    </w:p>
    <w:p w:rsidR="00606BBF" w:rsidRDefault="005F0253">
      <w:pPr>
        <w:pStyle w:val="Ttulo2"/>
        <w:widowControl w:val="0"/>
        <w:spacing w:after="373"/>
        <w:ind w:left="1" w:right="796" w:hanging="3"/>
        <w:rPr>
          <w:sz w:val="28"/>
          <w:szCs w:val="28"/>
        </w:rPr>
      </w:pPr>
      <w:bookmarkStart w:id="2" w:name="_heading=h.bkcxxc18j48n" w:colFirst="0" w:colLast="0"/>
      <w:bookmarkEnd w:id="2"/>
      <w:r>
        <w:rPr>
          <w:sz w:val="28"/>
          <w:szCs w:val="28"/>
        </w:rPr>
        <w:t xml:space="preserve">             </w:t>
      </w:r>
      <w:r w:rsidR="006C1107">
        <w:rPr>
          <w:sz w:val="28"/>
          <w:szCs w:val="28"/>
        </w:rPr>
        <w:t>Checklist. PRISMA Checklist</w:t>
      </w:r>
    </w:p>
    <w:tbl>
      <w:tblPr>
        <w:tblStyle w:val="a"/>
        <w:tblW w:w="130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60"/>
        <w:gridCol w:w="7800"/>
        <w:gridCol w:w="2055"/>
      </w:tblGrid>
      <w:tr w:rsidR="00606BBF">
        <w:trPr>
          <w:trHeight w:val="300"/>
          <w:jc w:val="center"/>
        </w:trPr>
        <w:tc>
          <w:tcPr>
            <w:tcW w:w="2535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Section/topic 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6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800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6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 item </w:t>
            </w:r>
          </w:p>
        </w:tc>
        <w:tc>
          <w:tcPr>
            <w:tcW w:w="2055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Reported on </w:t>
            </w:r>
            <w:r>
              <w:rPr>
                <w:b/>
                <w:sz w:val="20"/>
                <w:szCs w:val="20"/>
              </w:rPr>
              <w:t>section or paragraph</w:t>
            </w:r>
          </w:p>
        </w:tc>
      </w:tr>
      <w:tr w:rsidR="00606BBF">
        <w:trPr>
          <w:trHeight w:val="3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BBF">
        <w:trPr>
          <w:trHeight w:val="323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the report as a systematic review, meta-analysis, or both.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606BBF">
        <w:trPr>
          <w:trHeight w:val="3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ABSTRACT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BBF">
        <w:trPr>
          <w:trHeight w:val="810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Structured summary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7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 structured summary including, as applicable: background; objectives;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data sources; study eligibility criteria, participants, and interventions; study appraisal and synthesis methods; results; limitations; conclusions and implications of key findi</w:t>
            </w:r>
            <w:r>
              <w:rPr>
                <w:color w:val="000000"/>
                <w:sz w:val="20"/>
                <w:szCs w:val="20"/>
              </w:rPr>
              <w:t xml:space="preserve">ngs; systematic review registration number.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(as possible within journal word limits)</w:t>
            </w:r>
          </w:p>
        </w:tc>
      </w:tr>
      <w:tr w:rsidR="00606BBF">
        <w:trPr>
          <w:trHeight w:val="3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INTRODUCTION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BBF">
        <w:trPr>
          <w:trHeight w:val="333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Rationale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5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the rationale for the review in the context of what is already known.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(par. 1-4)</w:t>
            </w:r>
          </w:p>
        </w:tc>
      </w:tr>
      <w:tr w:rsidR="00606BBF">
        <w:trPr>
          <w:trHeight w:val="56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Objectives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5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(par. 5)</w:t>
            </w:r>
          </w:p>
        </w:tc>
      </w:tr>
      <w:tr w:rsidR="00606BBF">
        <w:trPr>
          <w:trHeight w:val="3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METHODS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Protocol and registration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5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Indicate if a review protocol exists, if and where it can be accessed (e.g., Web address), and, if available, provide registration information including registration number.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2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2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(Registration and Reporting)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Eligibility criteria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5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Specify study characteristics (e.g., PICOS, length of follow-up) and report characteristics (e.g., years considered, language, publication status) used as criteria for eligibility, giving rationale.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(Inclusion and Exclusion Criteria)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Information sources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45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(Search Strategy)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Search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2, Table 1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Study selection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6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State the process for selecting studies (i.e., screening, eligibility, included in systematic review, and, if applicable, included in the meta-analysis).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(Article Screening and Data Extraction)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collection process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Describe method of data extraction from reports (e.g., piloted forms, independently, in duplicate) and any processes for obtaining and confirming data from investigators.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(Article Screening and Data Extraction)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items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List and define all variables for which data were sought (e.g., PICOS, funding sources) and any assumptions and simplifications made.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(Article Screening and Data Extraction; </w:t>
            </w:r>
          </w:p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Definitions; Data analysis)</w:t>
            </w:r>
          </w:p>
        </w:tc>
      </w:tr>
      <w:tr w:rsidR="00606BBF">
        <w:trPr>
          <w:trHeight w:val="578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Risk of bias in individual studies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methods used for assessing risk of bias of individual studies (including specification of whether this was done at the study or outcome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level), and how this information is to be used in any data synthesis.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(Survey Quality)</w:t>
            </w:r>
          </w:p>
        </w:tc>
      </w:tr>
      <w:tr w:rsidR="00606BBF">
        <w:trPr>
          <w:trHeight w:val="333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Summary measures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State the principal summary measures (e.g., risk ratio, difference in means).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(par 1-3)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77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Synthesis of results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165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63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Describe the methods of handling data and combining results of studies, if done, including measures of consistency (e.g., I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 for each meta-analysis.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right="-194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5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analyses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5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methods of additional analyses (e.g., sensitivity or subgroup analyses, meta</w:t>
            </w:r>
            <w:r>
              <w:rPr>
                <w:sz w:val="20"/>
                <w:szCs w:val="20"/>
              </w:rPr>
              <w:t xml:space="preserve">-regression), if done, indicating which were pre-specified.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(Data analysis)</w:t>
            </w:r>
          </w:p>
        </w:tc>
      </w:tr>
      <w:tr w:rsidR="00606BBF">
        <w:trPr>
          <w:trHeight w:val="4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RESULTS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selection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(par. 1)</w:t>
            </w:r>
          </w:p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2, Table 2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characteristics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120" w:after="40"/>
              <w:ind w:left="0" w:right="-194" w:hanging="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Table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bias within studies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data on risk of bias of each study and, if available, any outcome level assessment (see item 12).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(par. 3)</w:t>
            </w:r>
          </w:p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2, Figure 1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Results of individual studies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all outcomes considered (benefits or harms), present, for each study: (a) simple summary data for each intervention group (b) effect estimates and confidence intervals, ideally with a </w:t>
            </w:r>
            <w:r>
              <w:rPr>
                <w:sz w:val="20"/>
                <w:szCs w:val="20"/>
              </w:rPr>
              <w:lastRenderedPageBreak/>
              <w:t xml:space="preserve">forest plot.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Synthesis of results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results of each </w:t>
            </w:r>
            <w:r>
              <w:rPr>
                <w:sz w:val="20"/>
                <w:szCs w:val="20"/>
              </w:rPr>
              <w:t xml:space="preserve">meta-analysis done, including confidence intervals and measures of consistency.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of bias across studies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results of any assessment of risk of bias across studies (see Item 15).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606BBF">
        <w:trPr>
          <w:trHeight w:val="57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analysis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results of additional analyses, if done (e.g., sensitivity or subgroup analyses, meta-regression [see Item 16]).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(par. 4-5)</w:t>
            </w:r>
          </w:p>
        </w:tc>
      </w:tr>
      <w:tr w:rsidR="00606BBF">
        <w:trPr>
          <w:trHeight w:val="435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of evidence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(par. 1-10)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Limitations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</w:p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(par. 11-12)</w:t>
            </w: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Conclusions </w:t>
            </w:r>
          </w:p>
        </w:tc>
        <w:tc>
          <w:tcPr>
            <w:tcW w:w="66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00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 general interpretation of the results in the </w:t>
            </w:r>
            <w:r>
              <w:rPr>
                <w:sz w:val="20"/>
                <w:szCs w:val="20"/>
              </w:rPr>
              <w:t xml:space="preserve">context of other evidence, and implications for future research. </w:t>
            </w:r>
          </w:p>
        </w:tc>
        <w:tc>
          <w:tcPr>
            <w:tcW w:w="2055" w:type="dxa"/>
            <w:tcBorders>
              <w:top w:val="single" w:sz="5" w:space="0" w:color="FFFFFF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(par. 13)</w:t>
            </w:r>
          </w:p>
        </w:tc>
      </w:tr>
      <w:tr w:rsidR="00606BBF">
        <w:trPr>
          <w:trHeight w:val="420"/>
          <w:jc w:val="center"/>
        </w:trPr>
        <w:tc>
          <w:tcPr>
            <w:tcW w:w="10995" w:type="dxa"/>
            <w:gridSpan w:val="3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</w:tcPr>
          <w:p w:rsidR="00606BBF" w:rsidRDefault="00606BBF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</w:p>
        </w:tc>
      </w:tr>
      <w:tr w:rsidR="00606BBF">
        <w:trPr>
          <w:trHeight w:val="580"/>
          <w:jc w:val="center"/>
        </w:trPr>
        <w:tc>
          <w:tcPr>
            <w:tcW w:w="2535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79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Funding 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166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00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63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sources of funding for the systematic review and other support (e.g., supply of data); role of funders for the systematic review. 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</w:tcPr>
          <w:p w:rsidR="00606BBF" w:rsidRDefault="006C1107">
            <w:pPr>
              <w:widowControl w:val="0"/>
              <w:spacing w:before="40" w:after="40"/>
              <w:ind w:left="0" w:right="-194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statement</w:t>
            </w:r>
          </w:p>
        </w:tc>
      </w:tr>
    </w:tbl>
    <w:p w:rsidR="00606BBF" w:rsidRDefault="00606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796" w:hanging="2"/>
        <w:rPr>
          <w:color w:val="000000"/>
          <w:sz w:val="16"/>
          <w:szCs w:val="16"/>
        </w:rPr>
      </w:pPr>
    </w:p>
    <w:p w:rsidR="00606BBF" w:rsidRDefault="00606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0" w:hanging="2"/>
        <w:jc w:val="both"/>
        <w:rPr>
          <w:color w:val="000000"/>
          <w:sz w:val="22"/>
          <w:szCs w:val="22"/>
        </w:rPr>
      </w:pPr>
    </w:p>
    <w:p w:rsidR="00606BBF" w:rsidRDefault="00606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0" w:hanging="2"/>
      </w:pPr>
    </w:p>
    <w:p w:rsidR="00606BBF" w:rsidRDefault="006C1107">
      <w:pPr>
        <w:pStyle w:val="Ttulo2"/>
        <w:widowControl w:val="0"/>
        <w:spacing w:after="373"/>
        <w:ind w:left="2" w:right="796" w:hanging="4"/>
        <w:rPr>
          <w:sz w:val="28"/>
          <w:szCs w:val="28"/>
        </w:rPr>
      </w:pPr>
      <w:bookmarkStart w:id="3" w:name="_heading=h.u8qswol2ny7t" w:colFirst="0" w:colLast="0"/>
      <w:bookmarkEnd w:id="3"/>
      <w:r>
        <w:br w:type="page"/>
      </w:r>
    </w:p>
    <w:p w:rsidR="00606BBF" w:rsidRDefault="005F0253" w:rsidP="005F0253">
      <w:pPr>
        <w:pStyle w:val="Ttulo2"/>
        <w:widowControl w:val="0"/>
        <w:spacing w:after="360"/>
        <w:ind w:left="-2" w:right="796" w:firstLineChars="0" w:firstLine="0"/>
        <w:rPr>
          <w:sz w:val="28"/>
          <w:szCs w:val="28"/>
        </w:rPr>
      </w:pPr>
      <w:bookmarkStart w:id="4" w:name="_heading=h.nbcvl2rxz6o" w:colFirst="0" w:colLast="0"/>
      <w:bookmarkEnd w:id="4"/>
      <w:r>
        <w:rPr>
          <w:sz w:val="28"/>
          <w:szCs w:val="28"/>
        </w:rPr>
        <w:lastRenderedPageBreak/>
        <w:t xml:space="preserve">                </w:t>
      </w:r>
      <w:r w:rsidR="006C1107">
        <w:rPr>
          <w:sz w:val="28"/>
          <w:szCs w:val="28"/>
        </w:rPr>
        <w:t>Table 1. Search strategies for different databases</w:t>
      </w:r>
    </w:p>
    <w:tbl>
      <w:tblPr>
        <w:tblStyle w:val="a0"/>
        <w:tblW w:w="12750" w:type="dxa"/>
        <w:tblInd w:w="1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155"/>
        <w:gridCol w:w="3570"/>
        <w:gridCol w:w="1935"/>
        <w:gridCol w:w="2100"/>
      </w:tblGrid>
      <w:tr w:rsidR="00606BBF">
        <w:trPr>
          <w:trHeight w:val="300"/>
        </w:trPr>
        <w:tc>
          <w:tcPr>
            <w:tcW w:w="990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</w:t>
            </w:r>
          </w:p>
        </w:tc>
        <w:tc>
          <w:tcPr>
            <w:tcW w:w="4155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ind w:left="0" w:right="-274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3570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ind w:left="0" w:right="796" w:hanging="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ind w:left="0" w:right="-117" w:hanging="2"/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BioRxiv</w:t>
            </w:r>
            <w:proofErr w:type="spellEnd"/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ind w:left="0" w:right="-94" w:hanging="2"/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MedRxiv</w:t>
            </w:r>
            <w:proofErr w:type="spellEnd"/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606BBF">
        <w:trPr>
          <w:trHeight w:val="323"/>
        </w:trPr>
        <w:tc>
          <w:tcPr>
            <w:tcW w:w="99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(“Serologic Tests”[Mesh] OR “Serology”[Mesh] OR “Immunoassay”[Mesh] OR “Enzyme-Linked Immunosorbent Assay”[Mesh] OR antibody* OR “ELISA” OR “Lateral Flow Immunoassay” OR LFIA OR “Chemiluminescent Immunoassay” OR CLIA OR IgG OR IgM OR “Real-Time Polymerase </w:t>
            </w:r>
            <w:r>
              <w:rPr>
                <w:sz w:val="20"/>
                <w:szCs w:val="20"/>
              </w:rPr>
              <w:t>Chain Reaction”[Mesh] OR “Reverse Transcriptase Polymerase Chain Reaction”[Mesh] OR “viral PCR” OR “RT-PCR” OR “</w:t>
            </w:r>
            <w:proofErr w:type="spellStart"/>
            <w:r>
              <w:rPr>
                <w:sz w:val="20"/>
                <w:szCs w:val="20"/>
              </w:rPr>
              <w:t>qRT</w:t>
            </w:r>
            <w:proofErr w:type="spellEnd"/>
            <w:r>
              <w:rPr>
                <w:sz w:val="20"/>
                <w:szCs w:val="20"/>
              </w:rPr>
              <w:t>-PCR” OR “multiplex PCR” OR “targeted testing” OR swab*)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('serology'/exp OR 'immunoassay'/exp OR 'enzyme linked immunosorbent assay'/exp OR a</w:t>
            </w:r>
            <w:r>
              <w:rPr>
                <w:sz w:val="20"/>
                <w:szCs w:val="20"/>
              </w:rPr>
              <w:t>ntibody* OR 'lateral flow immunoassay'/exp OR 'chemiluminescent immunoassay'/exp OR 'immunoglobulin g'/exp OR 'immunoglobulin m'/exp OR 'real time polymerase chain reaction'/exp OR 'reverse transcription polymerase chain reaction'/exp OR 'real time reverse</w:t>
            </w:r>
            <w:r>
              <w:rPr>
                <w:sz w:val="20"/>
                <w:szCs w:val="20"/>
              </w:rPr>
              <w:t xml:space="preserve"> transcription polymerase chain reaction'/exp OR 'viral </w:t>
            </w:r>
            <w:proofErr w:type="spellStart"/>
            <w:r>
              <w:rPr>
                <w:sz w:val="20"/>
                <w:szCs w:val="20"/>
              </w:rPr>
              <w:t>pcr</w:t>
            </w:r>
            <w:proofErr w:type="spellEnd"/>
            <w:r>
              <w:rPr>
                <w:sz w:val="20"/>
                <w:szCs w:val="20"/>
              </w:rPr>
              <w:t>' OR 'rt-</w:t>
            </w:r>
            <w:proofErr w:type="spellStart"/>
            <w:r>
              <w:rPr>
                <w:sz w:val="20"/>
                <w:szCs w:val="20"/>
              </w:rPr>
              <w:t>pcr</w:t>
            </w:r>
            <w:proofErr w:type="spellEnd"/>
            <w:r>
              <w:rPr>
                <w:sz w:val="20"/>
                <w:szCs w:val="20"/>
              </w:rPr>
              <w:t>' OR '</w:t>
            </w:r>
            <w:proofErr w:type="spellStart"/>
            <w:r>
              <w:rPr>
                <w:sz w:val="20"/>
                <w:szCs w:val="20"/>
              </w:rPr>
              <w:t>qrt-pcr</w:t>
            </w:r>
            <w:proofErr w:type="spellEnd"/>
            <w:r>
              <w:rPr>
                <w:sz w:val="20"/>
                <w:szCs w:val="20"/>
              </w:rPr>
              <w:t xml:space="preserve">' OR 'multiplex polymerase chain reaction'/exp OR 'targeted testing' OR swab*) 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(“cross-sectional” OR “population-based” OR seroprevalence OR prevalence)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(“cross-sectional”</w:t>
            </w:r>
            <w:r>
              <w:rPr>
                <w:sz w:val="20"/>
                <w:szCs w:val="20"/>
              </w:rPr>
              <w:t xml:space="preserve"> OR “population-based” OR seroprevalence OR prevalence) </w:t>
            </w:r>
          </w:p>
        </w:tc>
      </w:tr>
      <w:tr w:rsidR="00606BBF">
        <w:trPr>
          <w:trHeight w:val="323"/>
        </w:trPr>
        <w:tc>
          <w:tcPr>
            <w:tcW w:w="99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(“Cross-Sectional </w:t>
            </w:r>
            <w:proofErr w:type="gramStart"/>
            <w:r>
              <w:rPr>
                <w:sz w:val="20"/>
                <w:szCs w:val="20"/>
              </w:rPr>
              <w:t>Studies”[</w:t>
            </w:r>
            <w:proofErr w:type="gramEnd"/>
            <w:r>
              <w:rPr>
                <w:sz w:val="20"/>
                <w:szCs w:val="20"/>
              </w:rPr>
              <w:t xml:space="preserve">Mesh] OR “population-based” OR “population screening” OR seroprevalence OR “prevalence” OR “survey” OR </w:t>
            </w:r>
            <w:proofErr w:type="spellStart"/>
            <w:r>
              <w:rPr>
                <w:sz w:val="20"/>
                <w:szCs w:val="20"/>
              </w:rPr>
              <w:t>serosurvey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serosurveys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('cross-sectional study'/exp OR 'population-based' OR 'population screening'/exp OR 'seroprevalence</w:t>
            </w:r>
            <w:r>
              <w:rPr>
                <w:sz w:val="20"/>
                <w:szCs w:val="20"/>
              </w:rPr>
              <w:t xml:space="preserve">'/exp OR 'prevalence'/exp OR 'survey'/exp OR </w:t>
            </w:r>
            <w:proofErr w:type="spellStart"/>
            <w:r>
              <w:rPr>
                <w:sz w:val="20"/>
                <w:szCs w:val="20"/>
              </w:rPr>
              <w:t>serosurvey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serosurveys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(“SARS-CoV-2” OR “COVID-19”)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(“SARS-CoV-2” OR “COVID-19”)</w:t>
            </w:r>
          </w:p>
        </w:tc>
      </w:tr>
      <w:tr w:rsidR="00606BBF">
        <w:trPr>
          <w:trHeight w:val="323"/>
        </w:trPr>
        <w:tc>
          <w:tcPr>
            <w:tcW w:w="99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(“severe acute respiratory syndrome coronavirus 2” OR “2019-nCoV” OR “SARS-CoV-2” OR “COVID-19”)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('severe acute respiratory</w:t>
            </w:r>
            <w:r>
              <w:rPr>
                <w:sz w:val="20"/>
                <w:szCs w:val="20"/>
              </w:rPr>
              <w:t xml:space="preserve"> syndrome coronavirus 2'/exp ' OR '2019-ncov'/exp OR 'sars-cov-2'/exp OR 'covid-19'/exp)</w:t>
            </w:r>
          </w:p>
          <w:p w:rsidR="00606BBF" w:rsidRDefault="00606BBF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13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Filter</w:t>
            </w:r>
            <w:r>
              <w:rPr>
                <w:sz w:val="20"/>
                <w:szCs w:val="20"/>
              </w:rPr>
              <w:t>: 01 Dec, 2019 and 31 Oct, 2020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13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Filter</w:t>
            </w:r>
            <w:r>
              <w:rPr>
                <w:sz w:val="20"/>
                <w:szCs w:val="20"/>
              </w:rPr>
              <w:t>: 01 Dec, 2019 and 31 Oct, 2020</w:t>
            </w:r>
          </w:p>
        </w:tc>
      </w:tr>
      <w:tr w:rsidR="00606BBF">
        <w:trPr>
          <w:trHeight w:val="323"/>
        </w:trPr>
        <w:tc>
          <w:tcPr>
            <w:tcW w:w="99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Filters</w:t>
            </w:r>
            <w:r>
              <w:rPr>
                <w:sz w:val="20"/>
                <w:szCs w:val="20"/>
              </w:rPr>
              <w:t>: “English” + “1 year”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]/</w:t>
            </w:r>
            <w:proofErr w:type="spellStart"/>
            <w:r>
              <w:rPr>
                <w:sz w:val="20"/>
                <w:szCs w:val="20"/>
              </w:rPr>
              <w:t>lim</w:t>
            </w:r>
            <w:proofErr w:type="spellEnd"/>
            <w:r>
              <w:rPr>
                <w:sz w:val="20"/>
                <w:szCs w:val="20"/>
              </w:rPr>
              <w:t xml:space="preserve"> AND [</w:t>
            </w:r>
            <w:proofErr w:type="spellStart"/>
            <w:r>
              <w:rPr>
                <w:sz w:val="20"/>
                <w:szCs w:val="20"/>
              </w:rPr>
              <w:t>embase</w:t>
            </w:r>
            <w:proofErr w:type="spellEnd"/>
            <w:r>
              <w:rPr>
                <w:sz w:val="20"/>
                <w:szCs w:val="20"/>
              </w:rPr>
              <w:t>]/</w:t>
            </w:r>
            <w:proofErr w:type="spellStart"/>
            <w:r>
              <w:rPr>
                <w:sz w:val="20"/>
                <w:szCs w:val="20"/>
              </w:rPr>
              <w:t>lim</w:t>
            </w:r>
            <w:proofErr w:type="spellEnd"/>
            <w:r>
              <w:rPr>
                <w:sz w:val="20"/>
                <w:szCs w:val="20"/>
              </w:rPr>
              <w:t>) AND 2020:py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132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2 AND 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FFFFFF"/>
              <w:bottom w:val="single" w:sz="5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2 AND 3</w:t>
            </w:r>
          </w:p>
        </w:tc>
      </w:tr>
      <w:tr w:rsidR="00606BBF">
        <w:trPr>
          <w:trHeight w:val="323"/>
        </w:trPr>
        <w:tc>
          <w:tcPr>
            <w:tcW w:w="990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7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2 AND 3 AND 4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  <w:vAlign w:val="center"/>
          </w:tcPr>
          <w:p w:rsidR="00606BBF" w:rsidRDefault="006C1107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AND 2 AND 3 AND 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  <w:vAlign w:val="center"/>
          </w:tcPr>
          <w:p w:rsidR="00606BBF" w:rsidRDefault="00606BBF">
            <w:pPr>
              <w:widowControl w:val="0"/>
              <w:spacing w:before="40" w:after="40"/>
              <w:ind w:left="0" w:right="-13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FFFFFF"/>
              <w:bottom w:val="single" w:sz="12" w:space="0" w:color="000000"/>
              <w:right w:val="single" w:sz="5" w:space="0" w:color="FFFFFF"/>
            </w:tcBorders>
            <w:vAlign w:val="center"/>
          </w:tcPr>
          <w:p w:rsidR="00606BBF" w:rsidRDefault="00606BBF">
            <w:pPr>
              <w:widowControl w:val="0"/>
              <w:spacing w:before="40" w:after="40"/>
              <w:ind w:left="0" w:right="-47" w:hanging="2"/>
              <w:jc w:val="center"/>
              <w:rPr>
                <w:sz w:val="20"/>
                <w:szCs w:val="20"/>
              </w:rPr>
            </w:pPr>
          </w:p>
        </w:tc>
      </w:tr>
    </w:tbl>
    <w:p w:rsidR="00606BBF" w:rsidRDefault="00606BBF">
      <w:pPr>
        <w:widowControl w:val="0"/>
        <w:ind w:left="0" w:right="796" w:hanging="2"/>
      </w:pPr>
    </w:p>
    <w:p w:rsidR="00606BBF" w:rsidRDefault="005F0253" w:rsidP="005F0253">
      <w:pPr>
        <w:widowControl w:val="0"/>
        <w:ind w:leftChars="0" w:left="0" w:right="796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6C1107">
        <w:rPr>
          <w:sz w:val="20"/>
          <w:szCs w:val="20"/>
        </w:rPr>
        <w:t>* Databases with character limits in the search and without controlled vocabulary</w:t>
      </w: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606BBF">
      <w:pPr>
        <w:widowControl w:val="0"/>
        <w:ind w:left="0" w:right="796" w:hanging="2"/>
        <w:rPr>
          <w:b/>
          <w:sz w:val="20"/>
          <w:szCs w:val="20"/>
        </w:rPr>
      </w:pPr>
    </w:p>
    <w:p w:rsidR="00606BBF" w:rsidRDefault="005F0253">
      <w:pPr>
        <w:pStyle w:val="Ttulo2"/>
        <w:widowControl w:val="0"/>
        <w:spacing w:after="360"/>
        <w:ind w:left="1" w:right="796" w:hanging="3"/>
      </w:pPr>
      <w:bookmarkStart w:id="5" w:name="_heading=h.bqvajk7y6esp" w:colFirst="0" w:colLast="0"/>
      <w:bookmarkEnd w:id="5"/>
      <w:r>
        <w:rPr>
          <w:sz w:val="28"/>
          <w:szCs w:val="28"/>
        </w:rPr>
        <w:lastRenderedPageBreak/>
        <w:t xml:space="preserve">               </w:t>
      </w:r>
      <w:r w:rsidR="006C1107">
        <w:rPr>
          <w:sz w:val="28"/>
          <w:szCs w:val="28"/>
        </w:rPr>
        <w:t>Table 2. Articles and reasons for exclusion after full-text review</w:t>
      </w:r>
    </w:p>
    <w:sdt>
      <w:sdtPr>
        <w:tag w:val="goog_rdk_65"/>
        <w:id w:val="-712421144"/>
        <w:lock w:val="contentLocked"/>
      </w:sdtPr>
      <w:sdtEndPr/>
      <w:sdtContent>
        <w:tbl>
          <w:tblPr>
            <w:tblStyle w:val="a1"/>
            <w:tblW w:w="13020" w:type="dxa"/>
            <w:tblInd w:w="1120" w:type="dxa"/>
            <w:tblLayout w:type="fixed"/>
            <w:tblLook w:val="0600" w:firstRow="0" w:lastRow="0" w:firstColumn="0" w:lastColumn="0" w:noHBand="1" w:noVBand="1"/>
          </w:tblPr>
          <w:tblGrid>
            <w:gridCol w:w="4515"/>
            <w:gridCol w:w="1830"/>
            <w:gridCol w:w="3060"/>
            <w:gridCol w:w="1380"/>
            <w:gridCol w:w="2235"/>
          </w:tblGrid>
          <w:tr w:rsidR="00606BBF">
            <w:trPr>
              <w:trHeight w:val="420"/>
            </w:trPr>
            <w:sdt>
              <w:sdtPr>
                <w:tag w:val="goog_rdk_0"/>
                <w:id w:val="801659438"/>
                <w:lock w:val="contentLocked"/>
              </w:sdtPr>
              <w:sdtEndPr/>
              <w:sdtContent>
                <w:tc>
                  <w:tcPr>
                    <w:tcW w:w="4515" w:type="dxa"/>
                    <w:tcBorders>
                      <w:top w:val="single" w:sz="12" w:space="0" w:color="000000"/>
                      <w:bottom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Title</w:t>
                    </w:r>
                  </w:p>
                </w:tc>
              </w:sdtContent>
            </w:sdt>
            <w:sdt>
              <w:sdtPr>
                <w:tag w:val="goog_rdk_1"/>
                <w:id w:val="-501347287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top w:val="single" w:sz="12" w:space="0" w:color="000000"/>
                      <w:bottom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Authors</w:t>
                    </w:r>
                  </w:p>
                </w:tc>
              </w:sdtContent>
            </w:sdt>
            <w:sdt>
              <w:sdtPr>
                <w:tag w:val="goog_rdk_2"/>
                <w:id w:val="-970208557"/>
                <w:lock w:val="contentLocked"/>
              </w:sdtPr>
              <w:sdtEndPr/>
              <w:sdtContent>
                <w:tc>
                  <w:tcPr>
                    <w:tcW w:w="3060" w:type="dxa"/>
                    <w:tcBorders>
                      <w:top w:val="single" w:sz="12" w:space="0" w:color="000000"/>
                      <w:bottom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DOI</w:t>
                    </w:r>
                  </w:p>
                </w:tc>
              </w:sdtContent>
            </w:sdt>
            <w:sdt>
              <w:sdtPr>
                <w:tag w:val="goog_rdk_3"/>
                <w:id w:val="1607765831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12" w:space="0" w:color="000000"/>
                      <w:bottom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Database</w:t>
                    </w:r>
                  </w:p>
                </w:tc>
              </w:sdtContent>
            </w:sdt>
            <w:sdt>
              <w:sdtPr>
                <w:tag w:val="goog_rdk_4"/>
                <w:id w:val="-141270453"/>
                <w:lock w:val="contentLocked"/>
              </w:sdtPr>
              <w:sdtEndPr/>
              <w:sdtContent>
                <w:tc>
                  <w:tcPr>
                    <w:tcW w:w="2235" w:type="dxa"/>
                    <w:tcBorders>
                      <w:top w:val="single" w:sz="12" w:space="0" w:color="000000"/>
                      <w:bottom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Exclusion criteria (EC)</w:t>
                    </w:r>
                  </w:p>
                </w:tc>
              </w:sdtContent>
            </w:sdt>
          </w:tr>
          <w:tr w:rsidR="00606BBF">
            <w:trPr>
              <w:trHeight w:val="570"/>
            </w:trPr>
            <w:sdt>
              <w:sdtPr>
                <w:tag w:val="goog_rdk_5"/>
                <w:id w:val="1022755616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Seroprevalence of immunoglobulin M and G antibodies against SARS-CoV-2 in China</w:t>
                    </w:r>
                  </w:p>
                </w:tc>
              </w:sdtContent>
            </w:sdt>
            <w:sdt>
              <w:sdtPr>
                <w:tag w:val="goog_rdk_6"/>
                <w:id w:val="713855286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Xu et al.</w:t>
                    </w:r>
                  </w:p>
                </w:tc>
              </w:sdtContent>
            </w:sdt>
            <w:sdt>
              <w:sdtPr>
                <w:tag w:val="goog_rdk_7"/>
                <w:id w:val="795718962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7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10.1038/s41591-020-0949-6</w:t>
                      </w:r>
                    </w:hyperlink>
                  </w:p>
                </w:tc>
              </w:sdtContent>
            </w:sdt>
            <w:sdt>
              <w:sdtPr>
                <w:tag w:val="goog_rdk_8"/>
                <w:id w:val="-1694296641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Pubmed</w:t>
                    </w:r>
                  </w:p>
                </w:tc>
              </w:sdtContent>
            </w:sdt>
            <w:sdt>
              <w:sdtPr>
                <w:tag w:val="goog_rdk_9"/>
                <w:id w:val="2054416140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EC1, EC3, EC5</w:t>
                    </w:r>
                  </w:p>
                </w:tc>
              </w:sdtContent>
            </w:sdt>
          </w:tr>
          <w:tr w:rsidR="00606BBF">
            <w:trPr>
              <w:trHeight w:val="840"/>
            </w:trPr>
            <w:sdt>
              <w:sdtPr>
                <w:tag w:val="goog_rdk_10"/>
                <w:id w:val="644095563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SARS-CoV-2 in rural Latin America. A population-based study in coastal Ecuador</w:t>
                    </w:r>
                  </w:p>
                </w:tc>
              </w:sdtContent>
            </w:sdt>
            <w:sdt>
              <w:sdtPr>
                <w:tag w:val="goog_rdk_11"/>
                <w:id w:val="1966849531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Del Brutto et al.</w:t>
                    </w:r>
                  </w:p>
                </w:tc>
              </w:sdtContent>
            </w:sdt>
            <w:sdt>
              <w:sdtPr>
                <w:tag w:val="goog_rdk_12"/>
                <w:id w:val="-1124530343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8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10.1093/cid/ciaa1055</w:t>
                      </w:r>
                    </w:hyperlink>
                  </w:p>
                </w:tc>
              </w:sdtContent>
            </w:sdt>
            <w:sdt>
              <w:sdtPr>
                <w:tag w:val="goog_rdk_13"/>
                <w:id w:val="791023696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Pubmed</w:t>
                    </w:r>
                  </w:p>
                </w:tc>
              </w:sdtContent>
            </w:sdt>
            <w:sdt>
              <w:sdtPr>
                <w:tag w:val="goog_rdk_14"/>
                <w:id w:val="371666802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EC5</w:t>
                    </w:r>
                  </w:p>
                </w:tc>
              </w:sdtContent>
            </w:sdt>
          </w:tr>
          <w:tr w:rsidR="00606BBF">
            <w:trPr>
              <w:trHeight w:val="823"/>
            </w:trPr>
            <w:sdt>
              <w:sdtPr>
                <w:tag w:val="goog_rdk_15"/>
                <w:id w:val="2119789953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Detection, prevalence, and duration of humoral responses to S</w:t>
                    </w:r>
                    <w:r>
                      <w:rPr>
                        <w:sz w:val="20"/>
                        <w:szCs w:val="20"/>
                      </w:rPr>
                      <w:t>ARS-CoV-2 under conditions of limited population exposure</w:t>
                    </w:r>
                  </w:p>
                </w:tc>
              </w:sdtContent>
            </w:sdt>
            <w:sdt>
              <w:sdtPr>
                <w:tag w:val="goog_rdk_16"/>
                <w:id w:val="1003635695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Ripperger et al.</w:t>
                    </w:r>
                  </w:p>
                </w:tc>
              </w:sdtContent>
            </w:sdt>
            <w:sdt>
              <w:sdtPr>
                <w:tag w:val="goog_rdk_17"/>
                <w:id w:val="-2018839922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9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10.1101/2020.08.14.20174490</w:t>
                      </w:r>
                    </w:hyperlink>
                  </w:p>
                </w:tc>
              </w:sdtContent>
            </w:sdt>
            <w:sdt>
              <w:sdtPr>
                <w:tag w:val="goog_rdk_18"/>
                <w:id w:val="-1776708207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Pubmed</w:t>
                    </w:r>
                  </w:p>
                </w:tc>
              </w:sdtContent>
            </w:sdt>
            <w:sdt>
              <w:sdtPr>
                <w:tag w:val="goog_rdk_19"/>
                <w:id w:val="1186097430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750"/>
            </w:trPr>
            <w:sdt>
              <w:sdtPr>
                <w:tag w:val="goog_rdk_20"/>
                <w:id w:val="-640265629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Prevalence of Antibodies to SARS-CoV-2 in Italian Adults and Associated Risk Factors</w:t>
                    </w:r>
                  </w:p>
                </w:tc>
              </w:sdtContent>
            </w:sdt>
            <w:sdt>
              <w:sdtPr>
                <w:tag w:val="goog_rdk_21"/>
                <w:id w:val="-132335381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Vena et al.</w:t>
                    </w:r>
                  </w:p>
                </w:tc>
              </w:sdtContent>
            </w:sdt>
            <w:sdt>
              <w:sdtPr>
                <w:tag w:val="goog_rdk_22"/>
                <w:id w:val="-2081739984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0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10.1093/cid/ciaa1234</w:t>
                      </w:r>
                    </w:hyperlink>
                  </w:p>
                </w:tc>
              </w:sdtContent>
            </w:sdt>
            <w:sdt>
              <w:sdtPr>
                <w:tag w:val="goog_rdk_23"/>
                <w:id w:val="574864521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Pubmed</w:t>
                    </w:r>
                  </w:p>
                </w:tc>
              </w:sdtContent>
            </w:sdt>
            <w:sdt>
              <w:sdtPr>
                <w:tag w:val="goog_rdk_24"/>
                <w:id w:val="682405603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1005"/>
            </w:trPr>
            <w:sdt>
              <w:sdtPr>
                <w:tag w:val="goog_rdk_25"/>
                <w:id w:val="-1859730641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Estimation of seroprevalence of novel coronavirus disease (CO</w:t>
                    </w:r>
                    <w:r>
                      <w:rPr>
                        <w:sz w:val="20"/>
                        <w:szCs w:val="20"/>
                      </w:rPr>
                      <w:t>VID-19) using preserved serum at an outpatient setting in Kobe, Japan: A cross-sectional study.</w:t>
                    </w:r>
                  </w:p>
                </w:tc>
              </w:sdtContent>
            </w:sdt>
            <w:sdt>
              <w:sdtPr>
                <w:tag w:val="goog_rdk_26"/>
                <w:id w:val="1124206380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Doi et al.</w:t>
                    </w:r>
                  </w:p>
                </w:tc>
              </w:sdtContent>
            </w:sdt>
            <w:sdt>
              <w:sdtPr>
                <w:tag w:val="goog_rdk_27"/>
                <w:id w:val="1910966167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1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10.1101/2020.04.26.20079822</w:t>
                      </w:r>
                    </w:hyperlink>
                  </w:p>
                </w:tc>
              </w:sdtContent>
            </w:sdt>
            <w:sdt>
              <w:sdtPr>
                <w:tag w:val="goog_rdk_28"/>
                <w:id w:val="2121030151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29"/>
                <w:id w:val="322548344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1020"/>
            </w:trPr>
            <w:sdt>
              <w:sdtPr>
                <w:tag w:val="goog_rdk_30"/>
                <w:id w:val="134072182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Seroprevalence of antibodies against SARS-CoV-2 among public community and health-care workers in Alzintan City of Libya</w:t>
                    </w:r>
                  </w:p>
                </w:tc>
              </w:sdtContent>
            </w:sdt>
            <w:sdt>
              <w:sdtPr>
                <w:tag w:val="goog_rdk_31"/>
                <w:id w:val="1374265824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Kammon et al.</w:t>
                    </w:r>
                  </w:p>
                </w:tc>
              </w:sdtContent>
            </w:sdt>
            <w:sdt>
              <w:sdtPr>
                <w:tag w:val="goog_rdk_32"/>
                <w:id w:val="1565068934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2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10.1101/2020.05.25.20109470</w:t>
                      </w:r>
                    </w:hyperlink>
                  </w:p>
                </w:tc>
              </w:sdtContent>
            </w:sdt>
            <w:sdt>
              <w:sdtPr>
                <w:tag w:val="goog_rdk_33"/>
                <w:id w:val="-2002567560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34"/>
                <w:id w:val="-508988488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615"/>
            </w:trPr>
            <w:sdt>
              <w:sdtPr>
                <w:tag w:val="goog_rdk_35"/>
                <w:id w:val="-1350094211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SARS-CoV</w:t>
                    </w:r>
                    <w:r>
                      <w:rPr>
                        <w:sz w:val="20"/>
                        <w:szCs w:val="20"/>
                      </w:rPr>
                      <w:t>-2 IgG Antibody Responses in New York City</w:t>
                    </w:r>
                  </w:p>
                </w:tc>
              </w:sdtContent>
            </w:sdt>
            <w:sdt>
              <w:sdtPr>
                <w:tag w:val="goog_rdk_36"/>
                <w:id w:val="763114942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Reifer et al.</w:t>
                    </w:r>
                  </w:p>
                </w:tc>
              </w:sdtContent>
            </w:sdt>
            <w:sdt>
              <w:sdtPr>
                <w:tag w:val="goog_rdk_37"/>
                <w:id w:val="138930300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3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10.1101/2020.05.23.20111427</w:t>
                      </w:r>
                    </w:hyperlink>
                  </w:p>
                </w:tc>
              </w:sdtContent>
            </w:sdt>
            <w:sdt>
              <w:sdtPr>
                <w:tag w:val="goog_rdk_38"/>
                <w:id w:val="1389841275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39"/>
                <w:id w:val="-148058665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EC3, EC5</w:t>
                    </w:r>
                  </w:p>
                </w:tc>
              </w:sdtContent>
            </w:sdt>
          </w:tr>
          <w:tr w:rsidR="00606BBF">
            <w:trPr>
              <w:trHeight w:val="630"/>
            </w:trPr>
            <w:sdt>
              <w:sdtPr>
                <w:tag w:val="goog_rdk_40"/>
                <w:id w:val="721569175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SARS-CoV-2 Community Transmission During Shelter-in-Place in San Francisco</w:t>
                    </w:r>
                  </w:p>
                </w:tc>
              </w:sdtContent>
            </w:sdt>
            <w:sdt>
              <w:sdtPr>
                <w:tag w:val="goog_rdk_41"/>
                <w:id w:val="-71281416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Chamie et al.</w:t>
                    </w:r>
                  </w:p>
                </w:tc>
              </w:sdtContent>
            </w:sdt>
            <w:sdt>
              <w:sdtPr>
                <w:tag w:val="goog_rdk_42"/>
                <w:id w:val="313911190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4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10.1101/2020.05.25.20109470</w:t>
                      </w:r>
                    </w:hyperlink>
                  </w:p>
                </w:tc>
              </w:sdtContent>
            </w:sdt>
            <w:sdt>
              <w:sdtPr>
                <w:tag w:val="goog_rdk_43"/>
                <w:id w:val="-750351987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44"/>
                <w:id w:val="1294797095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1005"/>
            </w:trPr>
            <w:sdt>
              <w:sdtPr>
                <w:tag w:val="goog_rdk_45"/>
                <w:id w:val="1674992261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Community prevalence of SARS-CoV-2 in England: Results</w:t>
                    </w:r>
                    <w:r>
                      <w:rPr>
                        <w:sz w:val="20"/>
                        <w:szCs w:val="20"/>
                      </w:rPr>
                      <w:t xml:space="preserve"> from the ONS Coronavirus Infection Survey Pilot</w:t>
                    </w:r>
                  </w:p>
                </w:tc>
              </w:sdtContent>
            </w:sdt>
            <w:sdt>
              <w:sdtPr>
                <w:tag w:val="goog_rdk_46"/>
                <w:id w:val="128916123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Pouwels et al.</w:t>
                    </w:r>
                  </w:p>
                </w:tc>
              </w:sdtContent>
            </w:sdt>
            <w:sdt>
              <w:sdtPr>
                <w:tag w:val="goog_rdk_47"/>
                <w:id w:val="-312255351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5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10.1101/2020.05.23.20111427</w:t>
                      </w:r>
                    </w:hyperlink>
                  </w:p>
                </w:tc>
              </w:sdtContent>
            </w:sdt>
            <w:sdt>
              <w:sdtPr>
                <w:tag w:val="goog_rdk_48"/>
                <w:id w:val="1303114982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49"/>
                <w:id w:val="2019655176"/>
                <w:lock w:val="contentLocked"/>
              </w:sdtPr>
              <w:sdtEndPr/>
              <w:sdtContent>
                <w:tc>
                  <w:tcPr>
                    <w:tcW w:w="2235" w:type="dxa"/>
                    <w:tcBorders>
                      <w:right w:val="single" w:sz="6" w:space="0" w:color="FFFFFF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EC6</w:t>
                    </w:r>
                  </w:p>
                </w:tc>
              </w:sdtContent>
            </w:sdt>
          </w:tr>
          <w:tr w:rsidR="00606BBF">
            <w:trPr>
              <w:trHeight w:val="1200"/>
            </w:trPr>
            <w:sdt>
              <w:sdtPr>
                <w:tag w:val="goog_rdk_50"/>
                <w:id w:val="1235279178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Sero-prevalence findings from metropoles in Pakistan: implications for assessing COVID-19 prevalence and case-fatality within a dense, urban working population</w:t>
                    </w:r>
                  </w:p>
                </w:tc>
              </w:sdtContent>
            </w:sdt>
            <w:sdt>
              <w:sdtPr>
                <w:tag w:val="goog_rdk_51"/>
                <w:id w:val="-658155856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Javed et al.</w:t>
                    </w:r>
                  </w:p>
                </w:tc>
              </w:sdtContent>
            </w:sdt>
            <w:sdt>
              <w:sdtPr>
                <w:tag w:val="goog_rdk_52"/>
                <w:id w:val="-56622266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6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10.1101/2020.08.13.20173914</w:t>
                      </w:r>
                    </w:hyperlink>
                  </w:p>
                </w:tc>
              </w:sdtContent>
            </w:sdt>
            <w:sdt>
              <w:sdtPr>
                <w:tag w:val="goog_rdk_53"/>
                <w:id w:val="-293521204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54"/>
                <w:id w:val="1198670493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EC3, EC5</w:t>
                    </w:r>
                  </w:p>
                </w:tc>
              </w:sdtContent>
            </w:sdt>
          </w:tr>
          <w:tr w:rsidR="00606BBF">
            <w:trPr>
              <w:trHeight w:val="960"/>
            </w:trPr>
            <w:sdt>
              <w:sdtPr>
                <w:tag w:val="goog_rdk_55"/>
                <w:id w:val="-1000579464"/>
                <w:lock w:val="contentLocked"/>
              </w:sdtPr>
              <w:sdtEndPr/>
              <w:sdtContent>
                <w:tc>
                  <w:tcPr>
                    <w:tcW w:w="451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Universal PCR and antibody testing demonstrate little to no transmission of SARS-CoV-2 in a rural community</w:t>
                    </w:r>
                  </w:p>
                </w:tc>
              </w:sdtContent>
            </w:sdt>
            <w:sdt>
              <w:sdtPr>
                <w:tag w:val="goog_rdk_56"/>
                <w:id w:val="-1987465567"/>
                <w:lock w:val="contentLocked"/>
              </w:sdtPr>
              <w:sdtEndPr/>
              <w:sdtContent>
                <w:tc>
                  <w:tcPr>
                    <w:tcW w:w="183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Appa et al.</w:t>
                    </w:r>
                  </w:p>
                </w:tc>
              </w:sdtContent>
            </w:sdt>
            <w:sdt>
              <w:sdtPr>
                <w:tag w:val="goog_rdk_57"/>
                <w:id w:val="-1110809534"/>
                <w:lock w:val="contentLocked"/>
              </w:sdtPr>
              <w:sdtEndPr/>
              <w:sdtContent>
                <w:tc>
                  <w:tcPr>
                    <w:tcW w:w="306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7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10.1101/2020.08.15.20175786</w:t>
                      </w:r>
                    </w:hyperlink>
                  </w:p>
                </w:tc>
              </w:sdtContent>
            </w:sdt>
            <w:sdt>
              <w:sdtPr>
                <w:tag w:val="goog_rdk_58"/>
                <w:id w:val="-1839690591"/>
                <w:lock w:val="contentLocked"/>
              </w:sdtPr>
              <w:sdtEndPr/>
              <w:sdtContent>
                <w:tc>
                  <w:tcPr>
                    <w:tcW w:w="1380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59"/>
                <w:id w:val="1363855137"/>
                <w:lock w:val="contentLocked"/>
              </w:sdtPr>
              <w:sdtEndPr/>
              <w:sdtContent>
                <w:tc>
                  <w:tcPr>
                    <w:tcW w:w="2235" w:type="dxa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  <w:tr w:rsidR="00606BBF">
            <w:trPr>
              <w:trHeight w:val="945"/>
            </w:trPr>
            <w:sdt>
              <w:sdtPr>
                <w:tag w:val="goog_rdk_60"/>
                <w:id w:val="-1374917580"/>
                <w:lock w:val="contentLocked"/>
              </w:sdtPr>
              <w:sdtEndPr/>
              <w:sdtContent>
                <w:tc>
                  <w:tcPr>
                    <w:tcW w:w="4515" w:type="dxa"/>
                    <w:tcBorders>
                      <w:bottom w:val="single" w:sz="12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Serial population based serosurvey of antibodies to SARS-CoV-2 in a low and high transmission area of Karachi, Pakistan</w:t>
                    </w:r>
                  </w:p>
                </w:tc>
              </w:sdtContent>
            </w:sdt>
            <w:sdt>
              <w:sdtPr>
                <w:tag w:val="goog_rdk_61"/>
                <w:id w:val="1313148885"/>
                <w:lock w:val="contentLocked"/>
              </w:sdtPr>
              <w:sdtEndPr/>
              <w:sdtContent>
                <w:tc>
                  <w:tcPr>
                    <w:tcW w:w="1830" w:type="dxa"/>
                    <w:tcBorders>
                      <w:bottom w:val="single" w:sz="12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Nisar et al.</w:t>
                    </w:r>
                  </w:p>
                </w:tc>
              </w:sdtContent>
            </w:sdt>
            <w:sdt>
              <w:sdtPr>
                <w:tag w:val="goog_rdk_62"/>
                <w:id w:val="-1392657323"/>
                <w:lock w:val="contentLocked"/>
              </w:sdtPr>
              <w:sdtEndPr/>
              <w:sdtContent>
                <w:tc>
                  <w:tcPr>
                    <w:tcW w:w="3060" w:type="dxa"/>
                    <w:tcBorders>
                      <w:bottom w:val="single" w:sz="12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hyperlink r:id="rId18">
                      <w:r>
                        <w:rPr>
                          <w:color w:val="1155CC"/>
                          <w:sz w:val="20"/>
                          <w:szCs w:val="20"/>
                          <w:u w:val="single"/>
                        </w:rPr>
                        <w:t>10.1101/2020.07.28.20163451</w:t>
                      </w:r>
                    </w:hyperlink>
                  </w:p>
                </w:tc>
              </w:sdtContent>
            </w:sdt>
            <w:sdt>
              <w:sdtPr>
                <w:tag w:val="goog_rdk_63"/>
                <w:id w:val="162102804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bottom w:val="single" w:sz="12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medRxiv</w:t>
                    </w:r>
                  </w:p>
                </w:tc>
              </w:sdtContent>
            </w:sdt>
            <w:sdt>
              <w:sdtPr>
                <w:tag w:val="goog_rdk_64"/>
                <w:id w:val="1348055617"/>
                <w:lock w:val="contentLocked"/>
              </w:sdtPr>
              <w:sdtEndPr/>
              <w:sdtContent>
                <w:tc>
                  <w:tcPr>
                    <w:tcW w:w="2235" w:type="dxa"/>
                    <w:tcBorders>
                      <w:bottom w:val="single" w:sz="12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606BBF" w:rsidRDefault="006C1107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EC3</w:t>
                    </w:r>
                  </w:p>
                </w:tc>
              </w:sdtContent>
            </w:sdt>
          </w:tr>
        </w:tbl>
      </w:sdtContent>
    </w:sdt>
    <w:p w:rsidR="00606BBF" w:rsidRDefault="00606BBF">
      <w:pPr>
        <w:ind w:left="0" w:hanging="2"/>
      </w:pPr>
    </w:p>
    <w:p w:rsidR="00606BBF" w:rsidRDefault="005F0253">
      <w:pPr>
        <w:spacing w:after="120"/>
        <w:ind w:left="0" w:right="796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C1107">
        <w:rPr>
          <w:b/>
          <w:sz w:val="20"/>
          <w:szCs w:val="20"/>
        </w:rPr>
        <w:t>Exclusion criteria:</w:t>
      </w:r>
    </w:p>
    <w:p w:rsidR="00606BBF" w:rsidRDefault="005F0253">
      <w:pPr>
        <w:spacing w:after="60"/>
        <w:ind w:left="0" w:right="796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C1107">
        <w:rPr>
          <w:b/>
          <w:sz w:val="20"/>
          <w:szCs w:val="20"/>
        </w:rPr>
        <w:t xml:space="preserve">EC1. </w:t>
      </w:r>
      <w:r w:rsidR="006C1107">
        <w:rPr>
          <w:sz w:val="20"/>
          <w:szCs w:val="20"/>
        </w:rPr>
        <w:t xml:space="preserve">Non-transversal studies (e. g., case reports, case-control, cohort, evaluation and / or design of diagnostic tests only, literature reviews, </w:t>
      </w:r>
      <w:proofErr w:type="spellStart"/>
      <w:r w:rsidR="006C1107">
        <w:rPr>
          <w:sz w:val="20"/>
          <w:szCs w:val="20"/>
        </w:rPr>
        <w:t>etc</w:t>
      </w:r>
      <w:proofErr w:type="spellEnd"/>
      <w:r w:rsidR="006C1107">
        <w:rPr>
          <w:sz w:val="20"/>
          <w:szCs w:val="20"/>
        </w:rPr>
        <w:t>);</w:t>
      </w:r>
    </w:p>
    <w:p w:rsidR="00606BBF" w:rsidRDefault="005F0253">
      <w:pPr>
        <w:spacing w:after="60"/>
        <w:ind w:left="0" w:right="796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C1107">
        <w:rPr>
          <w:b/>
          <w:sz w:val="20"/>
          <w:szCs w:val="20"/>
        </w:rPr>
        <w:t xml:space="preserve">EC3. </w:t>
      </w:r>
      <w:r w:rsidR="006C1107">
        <w:rPr>
          <w:sz w:val="20"/>
          <w:szCs w:val="20"/>
        </w:rPr>
        <w:t>Non-random selection of participants (e. g., people attending a specific place,</w:t>
      </w:r>
      <w:r w:rsidR="006C1107">
        <w:rPr>
          <w:sz w:val="20"/>
          <w:szCs w:val="20"/>
        </w:rPr>
        <w:t xml:space="preserve"> convenience sample);</w:t>
      </w:r>
    </w:p>
    <w:p w:rsidR="00606BBF" w:rsidRDefault="005F0253">
      <w:pPr>
        <w:spacing w:after="60"/>
        <w:ind w:left="0" w:right="796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C1107">
        <w:rPr>
          <w:b/>
          <w:sz w:val="20"/>
          <w:szCs w:val="20"/>
        </w:rPr>
        <w:t xml:space="preserve">EC5. </w:t>
      </w:r>
      <w:r w:rsidR="006C1107">
        <w:rPr>
          <w:sz w:val="20"/>
          <w:szCs w:val="20"/>
        </w:rPr>
        <w:t>Inclusion of a specific group of participants only (e. g., people with comorbidities, pregnant women, more susceptible patients, women, pediatric patients);</w:t>
      </w:r>
    </w:p>
    <w:p w:rsidR="00606BBF" w:rsidRDefault="005F0253">
      <w:pPr>
        <w:spacing w:after="60"/>
        <w:ind w:left="0" w:right="796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C1107">
        <w:rPr>
          <w:b/>
          <w:sz w:val="20"/>
          <w:szCs w:val="20"/>
        </w:rPr>
        <w:t xml:space="preserve">EC6. </w:t>
      </w:r>
      <w:r w:rsidR="006C1107">
        <w:rPr>
          <w:sz w:val="20"/>
          <w:szCs w:val="20"/>
        </w:rPr>
        <w:t>Inconsistencies in the data presented regarding sample size.</w:t>
      </w:r>
    </w:p>
    <w:p w:rsidR="00606BBF" w:rsidRDefault="00606BBF">
      <w:pPr>
        <w:ind w:left="0" w:hanging="2"/>
      </w:pPr>
    </w:p>
    <w:p w:rsidR="00606BBF" w:rsidRDefault="00606BBF">
      <w:pPr>
        <w:ind w:left="0" w:hanging="2"/>
      </w:pPr>
    </w:p>
    <w:p w:rsidR="00606BBF" w:rsidRDefault="006C1107">
      <w:pPr>
        <w:ind w:left="0" w:hanging="2"/>
      </w:pPr>
      <w:r>
        <w:br w:type="page"/>
      </w:r>
    </w:p>
    <w:p w:rsidR="00606BBF" w:rsidRDefault="00E31BFD">
      <w:pPr>
        <w:pStyle w:val="Ttulo2"/>
        <w:widowControl w:val="0"/>
        <w:spacing w:after="373"/>
        <w:ind w:left="1" w:right="796" w:hanging="3"/>
        <w:rPr>
          <w:sz w:val="28"/>
          <w:szCs w:val="28"/>
        </w:rPr>
      </w:pPr>
      <w:bookmarkStart w:id="6" w:name="_heading=h.2xjvntp3kz7r" w:colFirst="0" w:colLast="0"/>
      <w:bookmarkEnd w:id="6"/>
      <w:r>
        <w:rPr>
          <w:sz w:val="28"/>
          <w:szCs w:val="28"/>
        </w:rPr>
        <w:lastRenderedPageBreak/>
        <w:t xml:space="preserve">             </w:t>
      </w:r>
      <w:r w:rsidR="006C1107">
        <w:rPr>
          <w:sz w:val="28"/>
          <w:szCs w:val="28"/>
        </w:rPr>
        <w:t>Fi</w:t>
      </w:r>
      <w:r w:rsidR="006C1107">
        <w:rPr>
          <w:sz w:val="28"/>
          <w:szCs w:val="28"/>
        </w:rPr>
        <w:t>gure. Traffic light plot of the domain-level judgements for each individual study</w:t>
      </w:r>
    </w:p>
    <w:p w:rsidR="00606BBF" w:rsidRDefault="006C1107">
      <w:pPr>
        <w:ind w:left="0" w:right="796" w:hanging="2"/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114300" distB="114300" distL="114300" distR="114300">
            <wp:extent cx="2071886" cy="559869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886" cy="5598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6BBF" w:rsidRDefault="00E31BFD" w:rsidP="00E31BFD">
      <w:pPr>
        <w:ind w:leftChars="0" w:left="720" w:right="796" w:firstLineChars="0" w:firstLine="0"/>
        <w:jc w:val="both"/>
      </w:pPr>
      <w:bookmarkStart w:id="7" w:name="_GoBack"/>
      <w:bookmarkEnd w:id="7"/>
      <w:r>
        <w:rPr>
          <w:vertAlign w:val="superscript"/>
        </w:rPr>
        <w:lastRenderedPageBreak/>
        <w:t xml:space="preserve"> </w:t>
      </w:r>
      <w:proofErr w:type="gramStart"/>
      <w:r w:rsidR="006C1107">
        <w:rPr>
          <w:vertAlign w:val="superscript"/>
        </w:rPr>
        <w:t>a</w:t>
      </w:r>
      <w:proofErr w:type="gramEnd"/>
      <w:r w:rsidR="006C1107">
        <w:rPr>
          <w:vertAlign w:val="superscript"/>
        </w:rPr>
        <w:t xml:space="preserve"> </w:t>
      </w:r>
      <w:r w:rsidR="006C1107">
        <w:t xml:space="preserve">Overall risk of bias was counted so that the category with the most representativeness (low, unclear or high) in the studies was selected. In </w:t>
      </w:r>
      <w:r>
        <w:t xml:space="preserve">  </w:t>
      </w:r>
      <w:r w:rsidR="006C1107">
        <w:t>the event of a tie, if the sum of unclear and high was greater than low risk of bias, the category with the highes</w:t>
      </w:r>
      <w:r w:rsidR="006C1107">
        <w:t>t representation between unclear and high was selected.</w:t>
      </w:r>
    </w:p>
    <w:sectPr w:rsidR="00606BBF">
      <w:headerReference w:type="default" r:id="rId20"/>
      <w:footerReference w:type="default" r:id="rId21"/>
      <w:headerReference w:type="first" r:id="rId22"/>
      <w:footerReference w:type="first" r:id="rId23"/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07" w:rsidRDefault="006C1107">
      <w:pPr>
        <w:spacing w:line="240" w:lineRule="auto"/>
        <w:ind w:left="0" w:hanging="2"/>
      </w:pPr>
      <w:r>
        <w:separator/>
      </w:r>
    </w:p>
  </w:endnote>
  <w:endnote w:type="continuationSeparator" w:id="0">
    <w:p w:rsidR="006C1107" w:rsidRDefault="006C11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BF" w:rsidRDefault="006C1107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5F0253">
      <w:rPr>
        <w:sz w:val="20"/>
        <w:szCs w:val="20"/>
      </w:rPr>
      <w:fldChar w:fldCharType="separate"/>
    </w:r>
    <w:r w:rsidR="005F02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BF" w:rsidRDefault="00606BB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07" w:rsidRDefault="006C1107">
      <w:pPr>
        <w:spacing w:line="240" w:lineRule="auto"/>
        <w:ind w:left="0" w:hanging="2"/>
      </w:pPr>
      <w:r>
        <w:separator/>
      </w:r>
    </w:p>
  </w:footnote>
  <w:footnote w:type="continuationSeparator" w:id="0">
    <w:p w:rsidR="006C1107" w:rsidRDefault="006C11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BF" w:rsidRDefault="00606BBF">
    <w:pPr>
      <w:widowControl w:val="0"/>
      <w:pBdr>
        <w:top w:val="nil"/>
        <w:left w:val="nil"/>
        <w:bottom w:val="nil"/>
        <w:right w:val="nil"/>
        <w:between w:val="nil"/>
      </w:pBdr>
      <w:spacing w:after="373" w:line="240" w:lineRule="auto"/>
      <w:ind w:left="0" w:hanging="2"/>
      <w:rPr>
        <w:rFonts w:ascii="Lucida Sans" w:eastAsia="Lucida Sans" w:hAnsi="Lucida Sans" w:cs="Lucida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BF" w:rsidRDefault="00606BB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BF"/>
    <w:rsid w:val="005F0253"/>
    <w:rsid w:val="00606BBF"/>
    <w:rsid w:val="006C1107"/>
    <w:rsid w:val="00E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72E"/>
  <w15:docId w15:val="{5EFBAC28-ABA3-4189-9218-2936395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C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93/cid/ciaa1055" TargetMode="External"/><Relationship Id="rId13" Type="http://schemas.openxmlformats.org/officeDocument/2006/relationships/hyperlink" Target="http://doi.org/10.1101/2020.05.23.20111427" TargetMode="External"/><Relationship Id="rId18" Type="http://schemas.openxmlformats.org/officeDocument/2006/relationships/hyperlink" Target="https://doi.org/10.1101/2020.07.28.2016345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i.org/10.1038/s41591-020-0949-6" TargetMode="External"/><Relationship Id="rId12" Type="http://schemas.openxmlformats.org/officeDocument/2006/relationships/hyperlink" Target="http://doi.org/10.1101/2020.05.25.20109470" TargetMode="External"/><Relationship Id="rId17" Type="http://schemas.openxmlformats.org/officeDocument/2006/relationships/hyperlink" Target="https://doi.org/10.1101/2020.08.15.201757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i.org/10.1101/2020.08.13.201739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i.org/10.1101/2020.04.26.200798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i.org/10.1101/2020.05.23.2011142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oi.org/10.1093/cid/ciaa1234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doi.org/10.1101/2020.08.14.20174490" TargetMode="External"/><Relationship Id="rId14" Type="http://schemas.openxmlformats.org/officeDocument/2006/relationships/hyperlink" Target="http://doi.org/10.1101/2020.05.25.20109470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J2aw+XAt/M0d2roBNIdOIhfHA==">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1826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mocampo</dc:creator>
  <cp:lastModifiedBy>andressa glaeser</cp:lastModifiedBy>
  <cp:revision>2</cp:revision>
  <dcterms:created xsi:type="dcterms:W3CDTF">2011-07-26T19:22:00Z</dcterms:created>
  <dcterms:modified xsi:type="dcterms:W3CDTF">2020-10-18T15:55:00Z</dcterms:modified>
</cp:coreProperties>
</file>