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9852" w14:textId="77777777" w:rsidR="00762424" w:rsidRPr="004531DE" w:rsidRDefault="00762424" w:rsidP="00762424">
      <w:pPr>
        <w:spacing w:line="480" w:lineRule="auto"/>
        <w:rPr>
          <w:rFonts w:ascii="Calibri" w:hAnsi="Calibri" w:cs="Calibri"/>
          <w:b/>
          <w:lang w:val="en-GB"/>
        </w:rPr>
      </w:pPr>
      <w:r>
        <w:rPr>
          <w:rFonts w:ascii="Calibri" w:hAnsi="Calibri" w:cs="Calibri"/>
          <w:b/>
          <w:lang w:val="en-GB"/>
        </w:rPr>
        <w:t>Online m</w:t>
      </w:r>
      <w:r w:rsidRPr="004531DE">
        <w:rPr>
          <w:rFonts w:ascii="Calibri" w:hAnsi="Calibri" w:cs="Calibri"/>
          <w:b/>
          <w:lang w:val="en-GB"/>
        </w:rPr>
        <w:t>ethods</w:t>
      </w:r>
    </w:p>
    <w:p w14:paraId="2DCF7E8C" w14:textId="77777777" w:rsidR="00762424" w:rsidRPr="008969B0" w:rsidRDefault="00762424" w:rsidP="00762424">
      <w:pPr>
        <w:spacing w:line="480" w:lineRule="auto"/>
        <w:rPr>
          <w:rFonts w:ascii="Calibri" w:hAnsi="Calibri" w:cs="Calibri"/>
          <w:b/>
          <w:lang w:val="en-GB"/>
        </w:rPr>
      </w:pPr>
      <w:bookmarkStart w:id="0" w:name="_GoBack"/>
      <w:bookmarkEnd w:id="0"/>
    </w:p>
    <w:p w14:paraId="0C3684F9" w14:textId="77777777" w:rsidR="00762424" w:rsidRPr="004531DE" w:rsidRDefault="00762424" w:rsidP="00762424">
      <w:pPr>
        <w:spacing w:line="480" w:lineRule="auto"/>
        <w:rPr>
          <w:rFonts w:ascii="Calibri" w:hAnsi="Calibri" w:cs="Calibri"/>
          <w:i/>
          <w:lang w:val="en-GB"/>
        </w:rPr>
      </w:pPr>
      <w:r w:rsidRPr="004531DE">
        <w:rPr>
          <w:rFonts w:ascii="Calibri" w:hAnsi="Calibri" w:cs="Calibri"/>
          <w:i/>
          <w:lang w:val="en-GB"/>
        </w:rPr>
        <w:t>Patients and metadata</w:t>
      </w:r>
    </w:p>
    <w:p w14:paraId="2297FC35" w14:textId="77777777" w:rsidR="00762424" w:rsidRPr="008969B0" w:rsidRDefault="00762424" w:rsidP="00762424">
      <w:pPr>
        <w:spacing w:line="480" w:lineRule="auto"/>
        <w:rPr>
          <w:rFonts w:ascii="Calibri" w:hAnsi="Calibri" w:cs="Calibri"/>
          <w:b/>
          <w:lang w:val="en-GB"/>
        </w:rPr>
      </w:pPr>
      <w:r w:rsidRPr="008969B0">
        <w:rPr>
          <w:rFonts w:ascii="Calibri" w:hAnsi="Calibri" w:cs="Calibri"/>
          <w:lang w:val="en-GB"/>
        </w:rPr>
        <w:t>A database of the municipal health service Rotterdam-</w:t>
      </w:r>
      <w:proofErr w:type="spellStart"/>
      <w:r w:rsidRPr="008969B0">
        <w:rPr>
          <w:rFonts w:ascii="Calibri" w:hAnsi="Calibri" w:cs="Calibri"/>
          <w:lang w:val="en-GB"/>
        </w:rPr>
        <w:t>Rijnmond</w:t>
      </w:r>
      <w:proofErr w:type="spellEnd"/>
      <w:r w:rsidRPr="008969B0">
        <w:rPr>
          <w:rFonts w:ascii="Calibri" w:hAnsi="Calibri" w:cs="Calibri"/>
          <w:lang w:val="en-GB"/>
        </w:rPr>
        <w:t xml:space="preserve"> with confirmed cases with known onset of disease date detected in June and July 2020 was linked with the laboratory database with viral load data of the Erasmus MC to assess the relationship between viral load and days post </w:t>
      </w:r>
      <w:r>
        <w:rPr>
          <w:rFonts w:ascii="Calibri" w:hAnsi="Calibri" w:cs="Calibri"/>
          <w:lang w:val="en-GB"/>
        </w:rPr>
        <w:t xml:space="preserve">disease </w:t>
      </w:r>
      <w:r w:rsidRPr="008969B0">
        <w:rPr>
          <w:rFonts w:ascii="Calibri" w:hAnsi="Calibri" w:cs="Calibri"/>
          <w:lang w:val="en-GB"/>
        </w:rPr>
        <w:t>onset. The distribution of viral load among positive samples collected by the municipal health service Rotterdam-</w:t>
      </w:r>
      <w:proofErr w:type="spellStart"/>
      <w:r w:rsidRPr="008969B0">
        <w:rPr>
          <w:rFonts w:ascii="Calibri" w:hAnsi="Calibri" w:cs="Calibri"/>
          <w:lang w:val="en-GB"/>
        </w:rPr>
        <w:t>Rijnmond</w:t>
      </w:r>
      <w:proofErr w:type="spellEnd"/>
      <w:r w:rsidRPr="008969B0">
        <w:rPr>
          <w:rFonts w:ascii="Calibri" w:hAnsi="Calibri" w:cs="Calibri"/>
          <w:lang w:val="en-GB"/>
        </w:rPr>
        <w:t xml:space="preserve"> was retrieved from the Erasmus MC laboratory database. </w:t>
      </w:r>
    </w:p>
    <w:p w14:paraId="3BB33620" w14:textId="77777777" w:rsidR="00762424" w:rsidRPr="008969B0" w:rsidRDefault="00762424" w:rsidP="00762424">
      <w:pPr>
        <w:spacing w:line="480" w:lineRule="auto"/>
        <w:rPr>
          <w:rFonts w:ascii="Calibri" w:hAnsi="Calibri" w:cs="Calibri"/>
          <w:b/>
          <w:lang w:val="en-GB"/>
        </w:rPr>
      </w:pPr>
    </w:p>
    <w:p w14:paraId="65303E4B" w14:textId="77777777" w:rsidR="00762424" w:rsidRPr="004531DE" w:rsidRDefault="00762424" w:rsidP="00762424">
      <w:pPr>
        <w:spacing w:line="480" w:lineRule="auto"/>
        <w:rPr>
          <w:rFonts w:ascii="Calibri" w:hAnsi="Calibri" w:cs="Calibri"/>
          <w:i/>
          <w:lang w:val="en-GB"/>
        </w:rPr>
      </w:pPr>
      <w:r w:rsidRPr="004531DE">
        <w:rPr>
          <w:rFonts w:ascii="Calibri" w:hAnsi="Calibri" w:cs="Calibri"/>
          <w:i/>
          <w:lang w:val="en-GB"/>
        </w:rPr>
        <w:t xml:space="preserve">Diagnostic testing </w:t>
      </w:r>
    </w:p>
    <w:p w14:paraId="06D2A6D4" w14:textId="77777777" w:rsidR="00762424" w:rsidRPr="008969B0" w:rsidRDefault="00762424" w:rsidP="00762424">
      <w:pPr>
        <w:spacing w:line="480" w:lineRule="auto"/>
        <w:rPr>
          <w:rFonts w:ascii="Calibri" w:hAnsi="Calibri" w:cs="Calibri"/>
          <w:lang w:val="en-GB"/>
        </w:rPr>
      </w:pPr>
      <w:r w:rsidRPr="008969B0">
        <w:rPr>
          <w:rFonts w:ascii="Calibri" w:hAnsi="Calibri" w:cs="Calibri"/>
          <w:lang w:val="en-GB"/>
        </w:rPr>
        <w:t>Routine RT-PCR testing was performed on combined nasopharyngeal and throat swabs in virus transport medium</w:t>
      </w:r>
      <w:r>
        <w:rPr>
          <w:rFonts w:ascii="Calibri" w:hAnsi="Calibri" w:cs="Calibri"/>
          <w:lang w:val="en-GB"/>
        </w:rPr>
        <w:t xml:space="preserve"> using the </w:t>
      </w:r>
      <w:proofErr w:type="spellStart"/>
      <w:r>
        <w:rPr>
          <w:rFonts w:ascii="Calibri" w:hAnsi="Calibri" w:cs="Calibri"/>
          <w:lang w:val="en-GB"/>
        </w:rPr>
        <w:t>Cobas</w:t>
      </w:r>
      <w:proofErr w:type="spellEnd"/>
      <w:r w:rsidRPr="008969B0">
        <w:rPr>
          <w:rFonts w:ascii="Calibri" w:hAnsi="Calibri" w:cs="Calibri"/>
          <w:lang w:val="en-GB"/>
        </w:rPr>
        <w:t>® SARS-CoV-2 test on the COBAS6800 (Roche diagnostics) or by a</w:t>
      </w:r>
      <w:r>
        <w:rPr>
          <w:rFonts w:ascii="Calibri" w:hAnsi="Calibri" w:cs="Calibri"/>
          <w:lang w:val="en-GB"/>
        </w:rPr>
        <w:t>n</w:t>
      </w:r>
      <w:r w:rsidRPr="008969B0">
        <w:rPr>
          <w:rFonts w:ascii="Calibri" w:hAnsi="Calibri" w:cs="Calibri"/>
          <w:lang w:val="en-GB"/>
        </w:rPr>
        <w:t xml:space="preserve"> in-house developed method (Corman </w:t>
      </w:r>
      <w:r>
        <w:rPr>
          <w:rFonts w:ascii="Calibri" w:hAnsi="Calibri" w:cs="Calibri"/>
          <w:i/>
          <w:lang w:val="en-GB"/>
        </w:rPr>
        <w:t xml:space="preserve"> et al.</w:t>
      </w:r>
      <w:r w:rsidRPr="008969B0">
        <w:rPr>
          <w:rFonts w:ascii="Calibri" w:hAnsi="Calibri" w:cs="Calibri"/>
          <w:lang w:val="en-GB"/>
        </w:rPr>
        <w:t>, 2020)) using the MagNApure96 system and LightCycler480 (Roche diagnostics)</w:t>
      </w:r>
      <w:r>
        <w:rPr>
          <w:rFonts w:ascii="Calibri" w:hAnsi="Calibri" w:cs="Calibri"/>
          <w:lang w:val="en-GB"/>
        </w:rPr>
        <w:t>.</w:t>
      </w:r>
    </w:p>
    <w:p w14:paraId="5A56D5DA" w14:textId="77777777" w:rsidR="00762424" w:rsidRPr="008969B0" w:rsidRDefault="00762424" w:rsidP="00762424">
      <w:pPr>
        <w:spacing w:line="480" w:lineRule="auto"/>
        <w:rPr>
          <w:rFonts w:ascii="Calibri" w:hAnsi="Calibri" w:cs="Calibri"/>
          <w:b/>
          <w:lang w:val="en-GB"/>
        </w:rPr>
      </w:pPr>
    </w:p>
    <w:p w14:paraId="5056E6EF" w14:textId="77777777" w:rsidR="00762424" w:rsidRPr="008969B0" w:rsidRDefault="00762424" w:rsidP="00762424">
      <w:pPr>
        <w:spacing w:line="480" w:lineRule="auto"/>
        <w:rPr>
          <w:rFonts w:ascii="Calibri" w:hAnsi="Calibri" w:cs="Calibri"/>
          <w:i/>
          <w:lang w:val="en-GB"/>
        </w:rPr>
      </w:pPr>
      <w:r w:rsidRPr="008969B0">
        <w:rPr>
          <w:rFonts w:ascii="Calibri" w:hAnsi="Calibri" w:cs="Calibri"/>
          <w:i/>
          <w:lang w:val="en-GB"/>
        </w:rPr>
        <w:t xml:space="preserve">Virus isolation </w:t>
      </w:r>
    </w:p>
    <w:p w14:paraId="30E63764" w14:textId="77777777" w:rsidR="00762424" w:rsidRPr="008969B0" w:rsidRDefault="00762424" w:rsidP="00762424">
      <w:pPr>
        <w:spacing w:line="480" w:lineRule="auto"/>
        <w:rPr>
          <w:rFonts w:ascii="Calibri" w:hAnsi="Calibri" w:cs="Calibri"/>
          <w:lang w:val="en-GB"/>
        </w:rPr>
      </w:pPr>
      <w:r w:rsidRPr="008969B0">
        <w:rPr>
          <w:rFonts w:ascii="Calibri" w:hAnsi="Calibri" w:cs="Calibri"/>
          <w:lang w:val="en-GB"/>
        </w:rPr>
        <w:t>For the technical validation of RDTs, SARS-CoV-2/NL/2020 isolate (https://www.european-virus-archive.com/virus/sars-cov-2-strain-nl2020) was propagated by inoculation on Vero E6 cells and harvested after 48 hours. The preparation was not further purified to mimic clinical samples, which contain a combination of released virus particles and cell lysates. Virus stock was titrated</w:t>
      </w:r>
      <w:r>
        <w:rPr>
          <w:rFonts w:ascii="Calibri" w:hAnsi="Calibri" w:cs="Calibri"/>
          <w:lang w:val="en-GB"/>
        </w:rPr>
        <w:t xml:space="preserve"> in</w:t>
      </w:r>
      <w:r w:rsidRPr="008969B0">
        <w:rPr>
          <w:rFonts w:ascii="Calibri" w:hAnsi="Calibri" w:cs="Calibri"/>
          <w:lang w:val="en-GB"/>
        </w:rPr>
        <w:t xml:space="preserve"> </w:t>
      </w:r>
      <w:r>
        <w:rPr>
          <w:rFonts w:ascii="Calibri" w:hAnsi="Calibri" w:cs="Calibri"/>
          <w:lang w:val="en-GB"/>
        </w:rPr>
        <w:t xml:space="preserve">a </w:t>
      </w:r>
      <w:r w:rsidRPr="008969B0">
        <w:rPr>
          <w:rFonts w:ascii="Calibri" w:hAnsi="Calibri" w:cs="Calibri"/>
          <w:lang w:val="en-GB"/>
        </w:rPr>
        <w:t>10fold serial dilution a</w:t>
      </w:r>
      <w:r>
        <w:rPr>
          <w:rFonts w:ascii="Calibri" w:hAnsi="Calibri" w:cs="Calibri"/>
          <w:lang w:val="en-GB"/>
        </w:rPr>
        <w:t>nd inoculated</w:t>
      </w:r>
      <w:r w:rsidRPr="008969B0">
        <w:rPr>
          <w:rFonts w:ascii="Calibri" w:hAnsi="Calibri" w:cs="Calibri"/>
          <w:lang w:val="en-GB"/>
        </w:rPr>
        <w:t xml:space="preserve"> on Vero E6 cells </w:t>
      </w:r>
      <w:r>
        <w:rPr>
          <w:rFonts w:ascii="Calibri" w:hAnsi="Calibri" w:cs="Calibri"/>
          <w:lang w:val="en-GB"/>
        </w:rPr>
        <w:t>with</w:t>
      </w:r>
      <w:r w:rsidRPr="008969B0">
        <w:rPr>
          <w:rFonts w:ascii="Calibri" w:hAnsi="Calibri" w:cs="Calibri"/>
          <w:lang w:val="en-GB"/>
        </w:rPr>
        <w:t xml:space="preserve"> visual inspection</w:t>
      </w:r>
      <w:r>
        <w:rPr>
          <w:rFonts w:ascii="Calibri" w:hAnsi="Calibri" w:cs="Calibri"/>
          <w:lang w:val="en-GB"/>
        </w:rPr>
        <w:t xml:space="preserve"> </w:t>
      </w:r>
      <w:r w:rsidRPr="008969B0">
        <w:rPr>
          <w:rFonts w:ascii="Calibri" w:hAnsi="Calibri" w:cs="Calibri"/>
          <w:lang w:val="en-GB"/>
        </w:rPr>
        <w:t>for cytopathic effect (CPE) following 48 - 72 hours (expressed as TCID50). Samples were tested by RT-PCR to determine RNA loads in relation to TCID50 titres of infectious virus</w:t>
      </w:r>
      <w:r w:rsidRPr="004531DE">
        <w:rPr>
          <w:rFonts w:ascii="Calibri" w:hAnsi="Calibri" w:cs="Calibri"/>
          <w:noProof/>
          <w:vertAlign w:val="superscript"/>
          <w:lang w:val="en-GB"/>
        </w:rPr>
        <w:t>5</w:t>
      </w:r>
      <w:r w:rsidRPr="008969B0">
        <w:rPr>
          <w:rFonts w:ascii="Calibri" w:hAnsi="Calibri" w:cs="Calibri"/>
          <w:lang w:val="en-GB"/>
        </w:rPr>
        <w:t xml:space="preserve">. For </w:t>
      </w:r>
      <w:r w:rsidRPr="008969B0">
        <w:rPr>
          <w:rFonts w:ascii="Calibri" w:hAnsi="Calibri" w:cs="Calibri"/>
          <w:lang w:val="en-GB"/>
        </w:rPr>
        <w:lastRenderedPageBreak/>
        <w:t xml:space="preserve">isolation of infectious SARS-CoV-2 from respiratory tract samples, Vero cells clone 118 </w:t>
      </w:r>
      <w:r>
        <w:rPr>
          <w:rFonts w:ascii="Calibri" w:hAnsi="Calibri" w:cs="Calibri"/>
          <w:lang w:val="en-GB"/>
        </w:rPr>
        <w:t>was</w:t>
      </w:r>
      <w:r w:rsidRPr="008969B0">
        <w:rPr>
          <w:rFonts w:ascii="Calibri" w:hAnsi="Calibri" w:cs="Calibri"/>
          <w:lang w:val="en-GB"/>
        </w:rPr>
        <w:t xml:space="preserve"> used. Samples were cultured for seven days, and, once cytopathic effect (CPE) was visible, the presence of SARS-CoV-2 was confirmed with immunofluorescent detection of nucleocapsid proteins. </w:t>
      </w:r>
    </w:p>
    <w:p w14:paraId="0AE7C5A2" w14:textId="77777777" w:rsidR="00762424" w:rsidRPr="008969B0" w:rsidRDefault="00762424" w:rsidP="00762424">
      <w:pPr>
        <w:spacing w:line="480" w:lineRule="auto"/>
        <w:rPr>
          <w:rFonts w:ascii="Calibri" w:hAnsi="Calibri" w:cs="Calibri"/>
          <w:lang w:val="en-GB"/>
        </w:rPr>
      </w:pPr>
    </w:p>
    <w:p w14:paraId="78958435" w14:textId="77777777" w:rsidR="00762424" w:rsidRPr="004531DE" w:rsidRDefault="00762424" w:rsidP="00762424">
      <w:pPr>
        <w:spacing w:line="480" w:lineRule="auto"/>
        <w:rPr>
          <w:rFonts w:ascii="Calibri" w:hAnsi="Calibri" w:cs="Calibri"/>
          <w:i/>
          <w:lang w:val="en-GB"/>
        </w:rPr>
      </w:pPr>
      <w:r>
        <w:rPr>
          <w:rFonts w:ascii="Calibri" w:hAnsi="Calibri" w:cs="Calibri"/>
          <w:i/>
          <w:lang w:val="en-GB"/>
        </w:rPr>
        <w:t>G</w:t>
      </w:r>
      <w:r w:rsidRPr="008969B0">
        <w:rPr>
          <w:rFonts w:ascii="Calibri" w:hAnsi="Calibri" w:cs="Calibri"/>
          <w:i/>
          <w:lang w:val="en-GB"/>
        </w:rPr>
        <w:t>enomic copy number calculation</w:t>
      </w:r>
      <w:r>
        <w:rPr>
          <w:rFonts w:ascii="Calibri" w:hAnsi="Calibri" w:cs="Calibri"/>
          <w:i/>
          <w:lang w:val="en-GB"/>
        </w:rPr>
        <w:br/>
      </w:r>
      <w:r>
        <w:rPr>
          <w:rFonts w:ascii="Calibri" w:hAnsi="Calibri" w:cs="Calibri"/>
          <w:lang w:val="en-GB"/>
        </w:rPr>
        <w:t xml:space="preserve">RT-PCR </w:t>
      </w:r>
      <w:r w:rsidRPr="008969B0">
        <w:rPr>
          <w:rFonts w:ascii="Calibri" w:hAnsi="Calibri" w:cs="Calibri"/>
          <w:lang w:val="en-GB"/>
        </w:rPr>
        <w:t xml:space="preserve">Ct values were translated into copy numbers by determining the amount of RNA copies based on the E-gene RT-PCR and quantified E-gene in vitro RNA transcripts as described by Corman </w:t>
      </w:r>
      <w:r>
        <w:rPr>
          <w:rFonts w:ascii="Calibri" w:hAnsi="Calibri" w:cs="Calibri"/>
          <w:i/>
          <w:lang w:val="en-GB"/>
        </w:rPr>
        <w:t xml:space="preserve"> et al.</w:t>
      </w:r>
      <w:r w:rsidRPr="008969B0">
        <w:rPr>
          <w:rFonts w:ascii="Calibri" w:hAnsi="Calibri" w:cs="Calibri"/>
          <w:lang w:val="en-GB"/>
        </w:rPr>
        <w:t xml:space="preserve"> 2020</w:t>
      </w:r>
      <w:r>
        <w:rPr>
          <w:rFonts w:ascii="Calibri" w:hAnsi="Calibri" w:cs="Calibri"/>
          <w:lang w:val="en-GB"/>
        </w:rPr>
        <w:t>.</w:t>
      </w:r>
    </w:p>
    <w:p w14:paraId="1AFDD37A" w14:textId="77777777" w:rsidR="00762424" w:rsidRPr="008969B0" w:rsidRDefault="00762424" w:rsidP="00762424">
      <w:pPr>
        <w:spacing w:line="480" w:lineRule="auto"/>
        <w:rPr>
          <w:rFonts w:ascii="Calibri" w:hAnsi="Calibri" w:cs="Calibri"/>
          <w:lang w:val="en-GB"/>
        </w:rPr>
      </w:pPr>
    </w:p>
    <w:p w14:paraId="16A6AA4B" w14:textId="77777777" w:rsidR="00762424" w:rsidRPr="008969B0" w:rsidRDefault="00762424" w:rsidP="00762424">
      <w:pPr>
        <w:spacing w:line="480" w:lineRule="auto"/>
        <w:rPr>
          <w:rFonts w:ascii="Calibri" w:hAnsi="Calibri" w:cs="Calibri"/>
          <w:i/>
          <w:lang w:val="en-GB"/>
        </w:rPr>
      </w:pPr>
      <w:r w:rsidRPr="008969B0">
        <w:rPr>
          <w:rFonts w:ascii="Calibri" w:hAnsi="Calibri" w:cs="Calibri"/>
          <w:i/>
          <w:lang w:val="en-GB"/>
        </w:rPr>
        <w:t>Antigen rapid tests</w:t>
      </w:r>
    </w:p>
    <w:p w14:paraId="12DFB0DA" w14:textId="77777777" w:rsidR="00762424" w:rsidRPr="008969B0" w:rsidRDefault="00762424" w:rsidP="00762424">
      <w:pPr>
        <w:spacing w:line="480" w:lineRule="auto"/>
        <w:rPr>
          <w:rFonts w:ascii="Calibri" w:hAnsi="Calibri" w:cs="Calibri"/>
          <w:lang w:val="en-GB"/>
        </w:rPr>
      </w:pPr>
      <w:r w:rsidRPr="008969B0">
        <w:rPr>
          <w:rFonts w:ascii="Calibri" w:hAnsi="Calibri" w:cs="Calibri"/>
          <w:lang w:val="en-GB"/>
        </w:rPr>
        <w:t>The analytical limit of detection (</w:t>
      </w:r>
      <w:proofErr w:type="spellStart"/>
      <w:r w:rsidRPr="008969B0">
        <w:rPr>
          <w:rFonts w:ascii="Calibri" w:hAnsi="Calibri" w:cs="Calibri"/>
          <w:lang w:val="en-GB"/>
        </w:rPr>
        <w:t>LoD</w:t>
      </w:r>
      <w:proofErr w:type="spellEnd"/>
      <w:r w:rsidRPr="008969B0">
        <w:rPr>
          <w:rFonts w:ascii="Calibri" w:hAnsi="Calibri" w:cs="Calibri"/>
          <w:lang w:val="en-GB"/>
        </w:rPr>
        <w:t xml:space="preserve">) </w:t>
      </w:r>
      <w:r>
        <w:rPr>
          <w:rFonts w:ascii="Calibri" w:hAnsi="Calibri" w:cs="Calibri"/>
          <w:lang w:val="en-GB"/>
        </w:rPr>
        <w:t xml:space="preserve">of RDT’s </w:t>
      </w:r>
      <w:r w:rsidRPr="008969B0">
        <w:rPr>
          <w:rFonts w:ascii="Calibri" w:hAnsi="Calibri" w:cs="Calibri"/>
          <w:lang w:val="en-GB"/>
        </w:rPr>
        <w:t>was assessed by testing a 10fold serial dilution of cultivated SARS-CoV-2 (both fresh and frozen) in triplicates. samples were 1:1</w:t>
      </w:r>
      <w:r>
        <w:rPr>
          <w:rFonts w:ascii="Calibri" w:hAnsi="Calibri" w:cs="Calibri"/>
          <w:lang w:val="en-GB"/>
        </w:rPr>
        <w:t xml:space="preserve"> </w:t>
      </w:r>
      <w:r w:rsidRPr="008969B0">
        <w:rPr>
          <w:rFonts w:ascii="Calibri" w:hAnsi="Calibri" w:cs="Calibri"/>
          <w:lang w:val="en-GB"/>
        </w:rPr>
        <w:t>diluted in the relevant reaction buffer and the recommended amount (i</w:t>
      </w:r>
      <w:r>
        <w:rPr>
          <w:rFonts w:ascii="Calibri" w:hAnsi="Calibri" w:cs="Calibri"/>
          <w:lang w:val="en-GB"/>
        </w:rPr>
        <w:t>.</w:t>
      </w:r>
      <w:r w:rsidRPr="008969B0">
        <w:rPr>
          <w:rFonts w:ascii="Calibri" w:hAnsi="Calibri" w:cs="Calibri"/>
          <w:lang w:val="en-GB"/>
        </w:rPr>
        <w:t>e</w:t>
      </w:r>
      <w:r>
        <w:rPr>
          <w:rFonts w:ascii="Calibri" w:hAnsi="Calibri" w:cs="Calibri"/>
          <w:lang w:val="en-GB"/>
        </w:rPr>
        <w:t>.</w:t>
      </w:r>
      <w:r w:rsidRPr="008969B0">
        <w:rPr>
          <w:rFonts w:ascii="Calibri" w:hAnsi="Calibri" w:cs="Calibri"/>
          <w:lang w:val="en-GB"/>
        </w:rPr>
        <w:t xml:space="preserve"> 100 or 130ul)</w:t>
      </w:r>
      <w:r>
        <w:rPr>
          <w:rFonts w:ascii="Calibri" w:hAnsi="Calibri" w:cs="Calibri"/>
          <w:lang w:val="en-GB"/>
        </w:rPr>
        <w:t>, and</w:t>
      </w:r>
      <w:r w:rsidRPr="008969B0">
        <w:rPr>
          <w:rFonts w:ascii="Calibri" w:hAnsi="Calibri" w:cs="Calibri"/>
          <w:lang w:val="en-GB"/>
        </w:rPr>
        <w:t xml:space="preserve"> added to the tests</w:t>
      </w:r>
      <w:r>
        <w:rPr>
          <w:rFonts w:ascii="Calibri" w:hAnsi="Calibri" w:cs="Calibri"/>
          <w:lang w:val="en-GB"/>
        </w:rPr>
        <w:t xml:space="preserve"> according to </w:t>
      </w:r>
      <w:proofErr w:type="spellStart"/>
      <w:r>
        <w:rPr>
          <w:rFonts w:ascii="Calibri" w:hAnsi="Calibri" w:cs="Calibri"/>
          <w:lang w:val="en-GB"/>
        </w:rPr>
        <w:t>manufacture’s</w:t>
      </w:r>
      <w:proofErr w:type="spellEnd"/>
      <w:r>
        <w:rPr>
          <w:rFonts w:ascii="Calibri" w:hAnsi="Calibri" w:cs="Calibri"/>
          <w:lang w:val="en-GB"/>
        </w:rPr>
        <w:t xml:space="preserve"> instructions</w:t>
      </w:r>
      <w:r w:rsidRPr="008969B0">
        <w:rPr>
          <w:rFonts w:ascii="Calibri" w:hAnsi="Calibri" w:cs="Calibri"/>
          <w:lang w:val="en-GB"/>
        </w:rPr>
        <w:t xml:space="preserve">. Results were read out after the recommended time. In parallel </w:t>
      </w:r>
      <w:proofErr w:type="spellStart"/>
      <w:r w:rsidRPr="008969B0">
        <w:rPr>
          <w:rFonts w:ascii="Calibri" w:hAnsi="Calibri" w:cs="Calibri"/>
          <w:lang w:val="en-GB"/>
        </w:rPr>
        <w:t>LoD</w:t>
      </w:r>
      <w:proofErr w:type="spellEnd"/>
      <w:r w:rsidRPr="008969B0">
        <w:rPr>
          <w:rFonts w:ascii="Calibri" w:hAnsi="Calibri" w:cs="Calibri"/>
          <w:lang w:val="en-GB"/>
        </w:rPr>
        <w:t xml:space="preserve"> was also assessed using recombinant purified nucleocapsid from SARS-1 (</w:t>
      </w:r>
      <w:r w:rsidRPr="008969B0">
        <w:rPr>
          <w:rFonts w:ascii="Calibri" w:eastAsia="Times New Roman" w:hAnsi="Calibri" w:cs="Calibri"/>
          <w:highlight w:val="white"/>
          <w:lang w:val="en-GB"/>
        </w:rPr>
        <w:t>SARS-</w:t>
      </w:r>
      <w:proofErr w:type="spellStart"/>
      <w:r w:rsidRPr="008969B0">
        <w:rPr>
          <w:rFonts w:ascii="Calibri" w:eastAsia="Times New Roman" w:hAnsi="Calibri" w:cs="Calibri"/>
          <w:highlight w:val="white"/>
          <w:lang w:val="en-GB"/>
        </w:rPr>
        <w:t>CoV</w:t>
      </w:r>
      <w:proofErr w:type="spellEnd"/>
      <w:r w:rsidRPr="008969B0">
        <w:rPr>
          <w:rFonts w:ascii="Calibri" w:eastAsia="Times New Roman" w:hAnsi="Calibri" w:cs="Calibri"/>
          <w:highlight w:val="white"/>
          <w:lang w:val="en-GB"/>
        </w:rPr>
        <w:t xml:space="preserve"> N prote</w:t>
      </w:r>
      <w:r w:rsidRPr="008969B0">
        <w:rPr>
          <w:rFonts w:ascii="Calibri" w:eastAsia="Times New Roman" w:hAnsi="Calibri" w:cs="Calibri"/>
          <w:lang w:val="en-GB"/>
        </w:rPr>
        <w:t>in, Sino Biological</w:t>
      </w:r>
      <w:r w:rsidRPr="008969B0">
        <w:rPr>
          <w:rFonts w:ascii="Calibri" w:hAnsi="Calibri" w:cs="Calibri"/>
          <w:lang w:val="en-GB"/>
        </w:rPr>
        <w:t>) as it was validated to be very similar to SARS-2</w:t>
      </w:r>
      <w:r w:rsidRPr="00410449">
        <w:rPr>
          <w:rFonts w:ascii="Calibri" w:hAnsi="Calibri" w:cs="Calibri"/>
          <w:noProof/>
          <w:vertAlign w:val="superscript"/>
          <w:lang w:val="en-GB"/>
        </w:rPr>
        <w:t>8</w:t>
      </w:r>
      <w:r w:rsidRPr="008969B0">
        <w:rPr>
          <w:rFonts w:ascii="Calibri" w:hAnsi="Calibri" w:cs="Calibri"/>
          <w:lang w:val="en-GB"/>
        </w:rPr>
        <w:t>. A small set (n=31) of nasopharyngeal swabs in transport media</w:t>
      </w:r>
      <w:r>
        <w:rPr>
          <w:rFonts w:ascii="Calibri" w:hAnsi="Calibri" w:cs="Calibri"/>
          <w:lang w:val="en-GB"/>
        </w:rPr>
        <w:t xml:space="preserve"> </w:t>
      </w:r>
      <w:r w:rsidRPr="008969B0">
        <w:rPr>
          <w:rFonts w:ascii="Calibri" w:hAnsi="Calibri" w:cs="Calibri"/>
          <w:lang w:val="en-GB"/>
        </w:rPr>
        <w:t>(</w:t>
      </w:r>
      <w:proofErr w:type="spellStart"/>
      <w:r>
        <w:fldChar w:fldCharType="begin"/>
      </w:r>
      <w:r>
        <w:instrText xml:space="preserve"> HYPERLINK "http://www.himedialabs.com/TD/MS2760.pdf" \h </w:instrText>
      </w:r>
      <w:r>
        <w:fldChar w:fldCharType="separate"/>
      </w:r>
      <w:r w:rsidRPr="008969B0">
        <w:rPr>
          <w:rFonts w:ascii="Calibri" w:hAnsi="Calibri" w:cs="Calibri"/>
          <w:highlight w:val="white"/>
          <w:u w:val="single"/>
          <w:lang w:val="en-GB"/>
        </w:rPr>
        <w:t>HiViral</w:t>
      </w:r>
      <w:proofErr w:type="spellEnd"/>
      <w:r w:rsidRPr="008969B0">
        <w:rPr>
          <w:rFonts w:ascii="Calibri" w:hAnsi="Calibri" w:cs="Calibri"/>
          <w:highlight w:val="white"/>
          <w:u w:val="single"/>
          <w:lang w:val="en-GB"/>
        </w:rPr>
        <w:t>™</w:t>
      </w:r>
      <w:r>
        <w:rPr>
          <w:rFonts w:ascii="Calibri" w:hAnsi="Calibri" w:cs="Calibri"/>
          <w:highlight w:val="white"/>
          <w:u w:val="single"/>
          <w:lang w:val="en-GB"/>
        </w:rPr>
        <w:fldChar w:fldCharType="end"/>
      </w:r>
      <w:r w:rsidRPr="008969B0">
        <w:rPr>
          <w:rFonts w:ascii="Calibri" w:hAnsi="Calibri" w:cs="Calibri"/>
          <w:lang w:val="en-GB"/>
        </w:rPr>
        <w:t xml:space="preserve">) collected from symptomatic people was also tested on the </w:t>
      </w:r>
      <w:proofErr w:type="spellStart"/>
      <w:r w:rsidRPr="008969B0">
        <w:rPr>
          <w:rFonts w:ascii="Calibri" w:hAnsi="Calibri" w:cs="Calibri"/>
          <w:lang w:val="en-GB"/>
        </w:rPr>
        <w:t>Panbio</w:t>
      </w:r>
      <w:proofErr w:type="spellEnd"/>
      <w:r w:rsidRPr="008969B0">
        <w:rPr>
          <w:rFonts w:ascii="Calibri" w:hAnsi="Calibri" w:cs="Calibri"/>
          <w:lang w:val="en-GB"/>
        </w:rPr>
        <w:t>™ COVID-19 Ag rapid test (Abbott) in parallel with RT-PCR and virus culture.</w:t>
      </w:r>
      <w:r>
        <w:rPr>
          <w:rFonts w:ascii="Calibri" w:hAnsi="Calibri" w:cs="Calibri"/>
          <w:lang w:val="en-GB"/>
        </w:rPr>
        <w:t xml:space="preserve"> </w:t>
      </w:r>
    </w:p>
    <w:p w14:paraId="2A90581D" w14:textId="77777777" w:rsidR="00762424" w:rsidRPr="008969B0" w:rsidRDefault="00762424" w:rsidP="00762424">
      <w:pPr>
        <w:spacing w:line="480" w:lineRule="auto"/>
        <w:rPr>
          <w:rFonts w:ascii="Calibri" w:hAnsi="Calibri" w:cs="Calibri"/>
          <w:lang w:val="en-GB"/>
        </w:rPr>
      </w:pPr>
    </w:p>
    <w:p w14:paraId="7E911DDC" w14:textId="77777777" w:rsidR="00762424" w:rsidRPr="00410449" w:rsidRDefault="00762424" w:rsidP="00762424">
      <w:pPr>
        <w:spacing w:line="480" w:lineRule="auto"/>
        <w:rPr>
          <w:rFonts w:ascii="Calibri" w:hAnsi="Calibri" w:cs="Calibri"/>
          <w:i/>
          <w:lang w:val="en-GB"/>
        </w:rPr>
      </w:pPr>
      <w:r w:rsidRPr="00410449">
        <w:rPr>
          <w:rFonts w:ascii="Calibri" w:hAnsi="Calibri" w:cs="Calibri"/>
          <w:i/>
          <w:lang w:val="en-GB"/>
        </w:rPr>
        <w:t>Data analyses</w:t>
      </w:r>
    </w:p>
    <w:p w14:paraId="20D766D1" w14:textId="20336C26" w:rsidR="00E3363E" w:rsidRDefault="00762424" w:rsidP="00762424">
      <w:pPr>
        <w:spacing w:line="480" w:lineRule="auto"/>
      </w:pPr>
      <w:r w:rsidRPr="008969B0">
        <w:rPr>
          <w:rFonts w:ascii="Calibri" w:hAnsi="Calibri" w:cs="Calibri"/>
          <w:lang w:val="en-GB"/>
        </w:rPr>
        <w:t xml:space="preserve">Logistic regression analysis using R version 4.0.0 was used to determine the association between virus positive culture success and 10log transformed viral RNA load. The projected </w:t>
      </w:r>
      <w:r w:rsidRPr="008969B0">
        <w:rPr>
          <w:rFonts w:ascii="Calibri" w:hAnsi="Calibri" w:cs="Calibri"/>
          <w:lang w:val="en-GB"/>
        </w:rPr>
        <w:lastRenderedPageBreak/>
        <w:t>probability for viral infectivity based on viral load was calculated by converting the log odds as calculated in the logistic regression analysis to a probability for viral culture success.</w:t>
      </w:r>
      <w:r>
        <w:rPr>
          <w:rFonts w:ascii="Calibri" w:hAnsi="Calibri" w:cs="Calibri"/>
          <w:lang w:val="en-GB"/>
        </w:rPr>
        <w:t xml:space="preserve"> </w:t>
      </w:r>
      <w:r w:rsidRPr="008969B0">
        <w:rPr>
          <w:rFonts w:ascii="Calibri" w:hAnsi="Calibri" w:cs="Calibri"/>
          <w:lang w:val="en-GB"/>
        </w:rPr>
        <w:t xml:space="preserve">We calculated the projected viral isolation success for every viral RNA load found at the time of diagnosis in 1754 </w:t>
      </w:r>
      <w:r>
        <w:rPr>
          <w:rFonts w:ascii="Calibri" w:hAnsi="Calibri" w:cs="Calibri"/>
          <w:lang w:val="en-GB"/>
        </w:rPr>
        <w:t>confirmed cases</w:t>
      </w:r>
      <w:r w:rsidRPr="008969B0">
        <w:rPr>
          <w:rFonts w:ascii="Calibri" w:hAnsi="Calibri" w:cs="Calibri"/>
          <w:lang w:val="en-GB"/>
        </w:rPr>
        <w:t xml:space="preserve"> diagnosed with SARS-CoV-2 infection presenting at a drive through test station. The number of individuals with a projected viral isolation success was calculated as the sum of the probabilities of viral isolation success times the number of people presenting within a particular viral load range as represented by the bars in Figure 1 and Figure S1.</w:t>
      </w:r>
    </w:p>
    <w:sectPr w:rsidR="00E3363E" w:rsidSect="00DB30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24"/>
    <w:rsid w:val="002542AF"/>
    <w:rsid w:val="00762424"/>
    <w:rsid w:val="007925E7"/>
    <w:rsid w:val="00DB3026"/>
    <w:rsid w:val="00E3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8C4A7"/>
  <w15:chartTrackingRefBased/>
  <w15:docId w15:val="{52E47EEC-1537-1948-84AF-0FCCF98A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 van Beek</dc:creator>
  <cp:keywords/>
  <dc:description/>
  <cp:lastModifiedBy>Janko van Beek</cp:lastModifiedBy>
  <cp:revision>1</cp:revision>
  <dcterms:created xsi:type="dcterms:W3CDTF">2020-10-12T15:43:00Z</dcterms:created>
  <dcterms:modified xsi:type="dcterms:W3CDTF">2020-10-12T15:44:00Z</dcterms:modified>
</cp:coreProperties>
</file>