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2E381E" w14:textId="38ADF604" w:rsidR="0099159F" w:rsidRPr="009A553A" w:rsidRDefault="000126FF" w:rsidP="006005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A553A">
        <w:rPr>
          <w:rFonts w:ascii="Times New Roman" w:hAnsi="Times New Roman" w:cs="Times New Roman"/>
          <w:b/>
          <w:bCs/>
          <w:sz w:val="24"/>
          <w:szCs w:val="24"/>
          <w:lang w:val="en-US"/>
        </w:rPr>
        <w:t>SUPPLEMENTARY MATERIAL (SM)</w:t>
      </w:r>
    </w:p>
    <w:p w14:paraId="04C3B6B3" w14:textId="77777777" w:rsidR="006005C5" w:rsidRPr="009A553A" w:rsidRDefault="006005C5" w:rsidP="006005C5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0C488BBD" w14:textId="44950C6C" w:rsidR="00A66D31" w:rsidRPr="009A553A" w:rsidRDefault="00A66D31" w:rsidP="006005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1A3659B1" w14:textId="1C5FA39B" w:rsidR="009B2933" w:rsidRPr="009A553A" w:rsidRDefault="009B2933" w:rsidP="006005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9A553A">
        <w:rPr>
          <w:rFonts w:ascii="Times New Roman" w:hAnsi="Times New Roman" w:cs="Times New Roman"/>
          <w:sz w:val="20"/>
          <w:szCs w:val="20"/>
          <w:lang w:val="en-US"/>
        </w:rPr>
        <w:t>SM Figure 1. Common support assessment of propensity scores in the treatment groups against standard care (control group) (n = 5683)</w:t>
      </w:r>
    </w:p>
    <w:p w14:paraId="1C143A84" w14:textId="77777777" w:rsidR="006005C5" w:rsidRPr="009A553A" w:rsidRDefault="006005C5" w:rsidP="006005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1C280A43" w14:textId="3FA74788" w:rsidR="0099159F" w:rsidRPr="009A553A" w:rsidRDefault="006005C5" w:rsidP="006005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9A553A">
        <w:rPr>
          <w:rFonts w:ascii="Times New Roman" w:hAnsi="Times New Roman" w:cs="Times New Roman"/>
          <w:b/>
          <w:bCs/>
          <w:noProof/>
          <w:sz w:val="20"/>
          <w:szCs w:val="20"/>
          <w:lang w:val="en-US"/>
        </w:rPr>
        <w:drawing>
          <wp:inline distT="0" distB="0" distL="0" distR="0" wp14:anchorId="0F700773" wp14:editId="24C5ED01">
            <wp:extent cx="5600700" cy="3998064"/>
            <wp:effectExtent l="0" t="0" r="0" b="2540"/>
            <wp:docPr id="1" name="Gráfic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áfico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8161" cy="4003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D2B523" w14:textId="527BEC36" w:rsidR="0099159F" w:rsidRPr="009A553A" w:rsidRDefault="0099159F" w:rsidP="006005C5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7721AE0D" w14:textId="621F3224" w:rsidR="0099159F" w:rsidRPr="009A553A" w:rsidRDefault="0099159F" w:rsidP="006005C5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61D36E03" w14:textId="07304841" w:rsidR="0099159F" w:rsidRPr="009A553A" w:rsidRDefault="0099159F" w:rsidP="006005C5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62508CF3" w14:textId="473C2DFA" w:rsidR="0099159F" w:rsidRPr="009A553A" w:rsidRDefault="0099159F" w:rsidP="006005C5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9A553A">
        <w:rPr>
          <w:rFonts w:ascii="Times New Roman" w:hAnsi="Times New Roman" w:cs="Times New Roman"/>
          <w:b/>
          <w:bCs/>
          <w:sz w:val="20"/>
          <w:szCs w:val="20"/>
          <w:lang w:val="en-US"/>
        </w:rPr>
        <w:br w:type="page"/>
      </w:r>
    </w:p>
    <w:p w14:paraId="2FBB1226" w14:textId="07E047FB" w:rsidR="007100BC" w:rsidRPr="009A553A" w:rsidRDefault="00A66D31" w:rsidP="006005C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A553A">
        <w:rPr>
          <w:rFonts w:ascii="Times New Roman" w:hAnsi="Times New Roman" w:cs="Times New Roman"/>
          <w:sz w:val="20"/>
          <w:szCs w:val="20"/>
          <w:lang w:val="en-US"/>
        </w:rPr>
        <w:lastRenderedPageBreak/>
        <w:t>S</w:t>
      </w:r>
      <w:r w:rsidR="00FB7D7B" w:rsidRPr="009A553A">
        <w:rPr>
          <w:rFonts w:ascii="Times New Roman" w:hAnsi="Times New Roman" w:cs="Times New Roman"/>
          <w:sz w:val="20"/>
          <w:szCs w:val="20"/>
          <w:lang w:val="en-US"/>
        </w:rPr>
        <w:t xml:space="preserve">M </w:t>
      </w:r>
      <w:r w:rsidRPr="009A553A">
        <w:rPr>
          <w:rFonts w:ascii="Times New Roman" w:hAnsi="Times New Roman" w:cs="Times New Roman"/>
          <w:sz w:val="20"/>
          <w:szCs w:val="20"/>
          <w:lang w:val="en-US"/>
        </w:rPr>
        <w:t xml:space="preserve">Figure </w:t>
      </w:r>
      <w:r w:rsidR="000D6C5F">
        <w:rPr>
          <w:rFonts w:ascii="Times New Roman" w:hAnsi="Times New Roman" w:cs="Times New Roman"/>
          <w:sz w:val="20"/>
          <w:szCs w:val="20"/>
          <w:lang w:val="en-US"/>
        </w:rPr>
        <w:t>2</w:t>
      </w:r>
      <w:r w:rsidRPr="009A553A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="007629FA" w:rsidRPr="009A553A">
        <w:rPr>
          <w:rFonts w:ascii="Times New Roman" w:hAnsi="Times New Roman" w:cs="Times New Roman"/>
          <w:sz w:val="20"/>
          <w:szCs w:val="20"/>
          <w:lang w:val="en-US"/>
        </w:rPr>
        <w:t xml:space="preserve">Weighted Kaplan-Meier curves for </w:t>
      </w:r>
      <w:r w:rsidR="00FB7D7B" w:rsidRPr="009A553A">
        <w:rPr>
          <w:rFonts w:ascii="Times New Roman" w:hAnsi="Times New Roman" w:cs="Times New Roman"/>
          <w:sz w:val="20"/>
          <w:szCs w:val="20"/>
          <w:lang w:val="en-US"/>
        </w:rPr>
        <w:t>survival without ICU transfer</w:t>
      </w:r>
      <w:r w:rsidR="007629FA" w:rsidRPr="009A553A">
        <w:rPr>
          <w:rFonts w:ascii="Times New Roman" w:hAnsi="Times New Roman" w:cs="Times New Roman"/>
          <w:sz w:val="20"/>
          <w:szCs w:val="20"/>
          <w:lang w:val="en-US"/>
        </w:rPr>
        <w:t xml:space="preserve"> between each group of treatment versus standard care (control group)</w:t>
      </w:r>
    </w:p>
    <w:p w14:paraId="2E111E5E" w14:textId="227B5C5D" w:rsidR="006005C5" w:rsidRPr="009A553A" w:rsidRDefault="006005C5" w:rsidP="006005C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159EDDF8" w14:textId="78BC0CBC" w:rsidR="00A66D31" w:rsidRPr="009A553A" w:rsidRDefault="000D6C5F" w:rsidP="006005C5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  <w:lang w:val="en-US"/>
        </w:rPr>
        <w:drawing>
          <wp:inline distT="0" distB="0" distL="0" distR="0" wp14:anchorId="614184C0" wp14:editId="39F7A5DA">
            <wp:extent cx="5759450" cy="719010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7190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66D31" w:rsidRPr="009A553A">
        <w:rPr>
          <w:rFonts w:ascii="Times New Roman" w:hAnsi="Times New Roman" w:cs="Times New Roman"/>
          <w:b/>
          <w:bCs/>
          <w:sz w:val="20"/>
          <w:szCs w:val="20"/>
          <w:lang w:val="en-US"/>
        </w:rPr>
        <w:br w:type="page"/>
      </w:r>
    </w:p>
    <w:p w14:paraId="701A55C0" w14:textId="2E2C7276" w:rsidR="007100BC" w:rsidRPr="007100BC" w:rsidRDefault="00FB7D7B" w:rsidP="006005C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A553A">
        <w:rPr>
          <w:rFonts w:ascii="Times New Roman" w:hAnsi="Times New Roman" w:cs="Times New Roman"/>
          <w:sz w:val="20"/>
          <w:szCs w:val="20"/>
          <w:lang w:val="en-US"/>
        </w:rPr>
        <w:lastRenderedPageBreak/>
        <w:t xml:space="preserve">SM Figure </w:t>
      </w:r>
      <w:r w:rsidR="000D6C5F">
        <w:rPr>
          <w:rFonts w:ascii="Times New Roman" w:hAnsi="Times New Roman" w:cs="Times New Roman"/>
          <w:sz w:val="20"/>
          <w:szCs w:val="20"/>
          <w:lang w:val="en-US"/>
        </w:rPr>
        <w:t>3</w:t>
      </w:r>
      <w:r w:rsidRPr="009A553A">
        <w:rPr>
          <w:rFonts w:ascii="Times New Roman" w:hAnsi="Times New Roman" w:cs="Times New Roman"/>
          <w:sz w:val="20"/>
          <w:szCs w:val="20"/>
          <w:lang w:val="en-US"/>
        </w:rPr>
        <w:t>. Weighted Kaplan-Meier curves for survival without oxygen prescription between each group of treatment versus standard care (control group)</w:t>
      </w:r>
    </w:p>
    <w:p w14:paraId="55E42DED" w14:textId="30ED198E" w:rsidR="00FB7D7B" w:rsidRPr="009A553A" w:rsidRDefault="000D6C5F" w:rsidP="006005C5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  <w:lang w:val="en-US"/>
        </w:rPr>
        <w:drawing>
          <wp:inline distT="0" distB="0" distL="0" distR="0" wp14:anchorId="12FA1802" wp14:editId="6C654167">
            <wp:extent cx="5759450" cy="719010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7190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B7D7B" w:rsidRPr="009A553A">
        <w:rPr>
          <w:rFonts w:ascii="Times New Roman" w:hAnsi="Times New Roman" w:cs="Times New Roman"/>
          <w:b/>
          <w:bCs/>
          <w:sz w:val="20"/>
          <w:szCs w:val="20"/>
          <w:lang w:val="en-US"/>
        </w:rPr>
        <w:br w:type="page"/>
      </w:r>
    </w:p>
    <w:p w14:paraId="388079D7" w14:textId="4912A147" w:rsidR="00FB7D7B" w:rsidRPr="009A553A" w:rsidRDefault="00FB7D7B" w:rsidP="006005C5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US"/>
        </w:rPr>
        <w:sectPr w:rsidR="00FB7D7B" w:rsidRPr="009A553A" w:rsidSect="006005C5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5DBD74C1" w14:textId="77777777" w:rsidR="00093C5B" w:rsidRPr="009A553A" w:rsidRDefault="00093C5B" w:rsidP="006005C5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33672BA3" w14:textId="77777777" w:rsidR="00093C5B" w:rsidRPr="009A553A" w:rsidRDefault="00093C5B" w:rsidP="006005C5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1BE378C3" w14:textId="77777777" w:rsidR="00093C5B" w:rsidRPr="009A553A" w:rsidRDefault="00093C5B" w:rsidP="006005C5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0D1A10DD" w14:textId="141E3772" w:rsidR="00A66D31" w:rsidRDefault="00FB7D7B" w:rsidP="006005C5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9A553A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SM </w:t>
      </w:r>
      <w:r w:rsidR="00A66D31" w:rsidRPr="009A553A">
        <w:rPr>
          <w:rFonts w:ascii="Times New Roman" w:hAnsi="Times New Roman" w:cs="Times New Roman"/>
          <w:b/>
          <w:bCs/>
          <w:sz w:val="20"/>
          <w:szCs w:val="20"/>
          <w:lang w:val="en-US"/>
        </w:rPr>
        <w:t>Table 1. Sensitivity analysis</w:t>
      </w:r>
      <w:r w:rsidRPr="009A553A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with </w:t>
      </w:r>
      <w:r w:rsidR="00A66D31" w:rsidRPr="009A553A">
        <w:rPr>
          <w:rFonts w:ascii="Times New Roman" w:hAnsi="Times New Roman" w:cs="Times New Roman"/>
          <w:b/>
          <w:bCs/>
          <w:sz w:val="20"/>
          <w:szCs w:val="20"/>
          <w:lang w:val="en-US"/>
        </w:rPr>
        <w:t>double robust adjusting</w:t>
      </w:r>
    </w:p>
    <w:p w14:paraId="6641D2B9" w14:textId="77777777" w:rsidR="005B246E" w:rsidRPr="009A553A" w:rsidRDefault="005B246E" w:rsidP="006005C5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tbl>
      <w:tblPr>
        <w:tblW w:w="13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0"/>
        <w:gridCol w:w="1840"/>
        <w:gridCol w:w="1720"/>
        <w:gridCol w:w="1840"/>
        <w:gridCol w:w="1720"/>
        <w:gridCol w:w="1840"/>
        <w:gridCol w:w="1720"/>
      </w:tblGrid>
      <w:tr w:rsidR="00FB7D7B" w:rsidRPr="009A553A" w14:paraId="2EF4F380" w14:textId="77777777" w:rsidTr="00502523">
        <w:trPr>
          <w:trHeight w:val="300"/>
        </w:trPr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0C5BCA" w14:textId="77777777" w:rsidR="00FB7D7B" w:rsidRPr="009A553A" w:rsidRDefault="00FB7D7B" w:rsidP="00600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9A5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Outcome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2A1AAB" w14:textId="3E106EFD" w:rsidR="00FB7D7B" w:rsidRPr="009A553A" w:rsidRDefault="00FB7D7B" w:rsidP="0060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A5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Standard </w:t>
            </w:r>
            <w:proofErr w:type="spellStart"/>
            <w:r w:rsidRPr="009A5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care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4DD423" w14:textId="77777777" w:rsidR="00FB7D7B" w:rsidRPr="009A553A" w:rsidRDefault="00FB7D7B" w:rsidP="0060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A5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HCQ </w:t>
            </w:r>
            <w:proofErr w:type="spellStart"/>
            <w:r w:rsidRPr="009A5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group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CFF72B" w14:textId="77777777" w:rsidR="00FB7D7B" w:rsidRPr="009A553A" w:rsidRDefault="00FB7D7B" w:rsidP="0060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A5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IVM </w:t>
            </w:r>
            <w:proofErr w:type="spellStart"/>
            <w:r w:rsidRPr="009A5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group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49E5CB" w14:textId="77777777" w:rsidR="00FB7D7B" w:rsidRPr="009A553A" w:rsidRDefault="00FB7D7B" w:rsidP="0060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A5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AZIT </w:t>
            </w:r>
            <w:proofErr w:type="spellStart"/>
            <w:r w:rsidRPr="009A5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group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0166ED" w14:textId="681B537A" w:rsidR="00FB7D7B" w:rsidRPr="009A553A" w:rsidRDefault="00FB7D7B" w:rsidP="0060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A5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HCQ</w:t>
            </w:r>
            <w:r w:rsidR="005025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+AZIT</w:t>
            </w:r>
            <w:r w:rsidRPr="009A5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9A5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group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D66532" w14:textId="1DE26D65" w:rsidR="00FB7D7B" w:rsidRPr="009A553A" w:rsidRDefault="00FB7D7B" w:rsidP="0060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A5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IVM</w:t>
            </w:r>
            <w:r w:rsidR="005025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+AZIT</w:t>
            </w:r>
            <w:r w:rsidRPr="009A5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9A5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group</w:t>
            </w:r>
            <w:proofErr w:type="spellEnd"/>
          </w:p>
        </w:tc>
      </w:tr>
      <w:tr w:rsidR="00FB7D7B" w:rsidRPr="009A553A" w14:paraId="25F765D2" w14:textId="77777777" w:rsidTr="00502523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62E4228" w14:textId="1C35B767" w:rsidR="00FB7D7B" w:rsidRPr="009A553A" w:rsidRDefault="00502523" w:rsidP="00600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80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s-ES"/>
              </w:rPr>
              <w:t xml:space="preserve">All-cause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s-ES"/>
              </w:rPr>
              <w:t>deaths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7ACA50A" w14:textId="77777777" w:rsidR="00FB7D7B" w:rsidRPr="009A553A" w:rsidRDefault="00FB7D7B" w:rsidP="0060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9A5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544466C" w14:textId="77777777" w:rsidR="00FB7D7B" w:rsidRPr="009A553A" w:rsidRDefault="00FB7D7B" w:rsidP="0060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9A5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74E9C9D" w14:textId="77777777" w:rsidR="00FB7D7B" w:rsidRPr="009A553A" w:rsidRDefault="00FB7D7B" w:rsidP="0060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9A5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DDB04C7" w14:textId="77777777" w:rsidR="00FB7D7B" w:rsidRPr="009A553A" w:rsidRDefault="00FB7D7B" w:rsidP="0060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9A5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6534D03" w14:textId="77777777" w:rsidR="00FB7D7B" w:rsidRPr="009A553A" w:rsidRDefault="00FB7D7B" w:rsidP="0060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9A5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4BE5CB5" w14:textId="77777777" w:rsidR="00FB7D7B" w:rsidRPr="009A553A" w:rsidRDefault="00FB7D7B" w:rsidP="0060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9A5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FB7D7B" w:rsidRPr="009A553A" w14:paraId="7D8F044C" w14:textId="77777777" w:rsidTr="00502523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9E981" w14:textId="77777777" w:rsidR="00FB7D7B" w:rsidRPr="009A553A" w:rsidRDefault="00FB7D7B" w:rsidP="0060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9A5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Nº</w:t>
            </w:r>
            <w:proofErr w:type="spellEnd"/>
            <w:r w:rsidRPr="009A5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9A5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of</w:t>
            </w:r>
            <w:proofErr w:type="spellEnd"/>
            <w:r w:rsidRPr="009A5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9A5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events</w:t>
            </w:r>
            <w:proofErr w:type="spellEnd"/>
            <w:r w:rsidRPr="009A5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/ Total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FC6E3" w14:textId="77777777" w:rsidR="00FB7D7B" w:rsidRPr="009A553A" w:rsidRDefault="00FB7D7B" w:rsidP="0060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9A5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401/2630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DE82D" w14:textId="77777777" w:rsidR="00FB7D7B" w:rsidRPr="009A553A" w:rsidRDefault="00FB7D7B" w:rsidP="0060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9A5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49/200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0EDE5" w14:textId="77777777" w:rsidR="00FB7D7B" w:rsidRPr="009A553A" w:rsidRDefault="00FB7D7B" w:rsidP="0060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9A5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47/203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36B72" w14:textId="77777777" w:rsidR="00FB7D7B" w:rsidRPr="009A553A" w:rsidRDefault="00FB7D7B" w:rsidP="0060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9A5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325/1600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DB4A1" w14:textId="77777777" w:rsidR="00FB7D7B" w:rsidRPr="009A553A" w:rsidRDefault="00FB7D7B" w:rsidP="0060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9A5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165/692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75183" w14:textId="77777777" w:rsidR="00FB7D7B" w:rsidRPr="009A553A" w:rsidRDefault="00FB7D7B" w:rsidP="0060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9A5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85/358</w:t>
            </w:r>
          </w:p>
        </w:tc>
      </w:tr>
      <w:tr w:rsidR="00502523" w:rsidRPr="009A553A" w14:paraId="456C1204" w14:textId="77777777" w:rsidTr="00502523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2A4E585" w14:textId="3458EB52" w:rsidR="00502523" w:rsidRPr="009A553A" w:rsidRDefault="00502523" w:rsidP="0050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bookmarkStart w:id="0" w:name="_Hlk53359621"/>
            <w:r w:rsidRPr="00280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 xml:space="preserve">30-days Cumulative Incidence </w:t>
            </w:r>
            <w:bookmarkEnd w:id="0"/>
            <w:r w:rsidRPr="00280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(%)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 xml:space="preserve"> </w:t>
            </w:r>
            <w:r w:rsidRPr="00280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*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B0620B8" w14:textId="77777777" w:rsidR="00502523" w:rsidRPr="009A553A" w:rsidRDefault="00502523" w:rsidP="0050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9A5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42.6 (37.5-48.2)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52200FE" w14:textId="77777777" w:rsidR="00502523" w:rsidRPr="009A553A" w:rsidRDefault="00502523" w:rsidP="0050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9A5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49.7 (33.1-69.1)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48CFB6C" w14:textId="77777777" w:rsidR="00502523" w:rsidRPr="009A553A" w:rsidRDefault="00502523" w:rsidP="0050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9A5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51.4 (35.2-69.9)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F962E7C" w14:textId="77777777" w:rsidR="00502523" w:rsidRPr="009A553A" w:rsidRDefault="00502523" w:rsidP="0050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9A5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50.3 (43.5-57.6)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F821320" w14:textId="77777777" w:rsidR="00502523" w:rsidRPr="009A553A" w:rsidRDefault="00502523" w:rsidP="0050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9A5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48.7 (40.1-58.2)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C24A8CA" w14:textId="77777777" w:rsidR="00502523" w:rsidRPr="009A553A" w:rsidRDefault="00502523" w:rsidP="0050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9A5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47.2 (37.0-58.6)</w:t>
            </w:r>
          </w:p>
        </w:tc>
      </w:tr>
      <w:tr w:rsidR="00502523" w:rsidRPr="009A553A" w14:paraId="73467E7C" w14:textId="77777777" w:rsidTr="00502523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C0BFA" w14:textId="1B9808EE" w:rsidR="00502523" w:rsidRPr="009A553A" w:rsidRDefault="00502523" w:rsidP="0050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280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uHR</w:t>
            </w:r>
            <w:proofErr w:type="spellEnd"/>
            <w:r w:rsidRPr="00280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 xml:space="preserve"> (95% CI)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 xml:space="preserve"> **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45E92" w14:textId="77777777" w:rsidR="00502523" w:rsidRPr="009A553A" w:rsidRDefault="00502523" w:rsidP="0050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9A5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1.00 (</w:t>
            </w:r>
            <w:proofErr w:type="spellStart"/>
            <w:r w:rsidRPr="009A5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Ref</w:t>
            </w:r>
            <w:proofErr w:type="spellEnd"/>
            <w:r w:rsidRPr="009A5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CDE56" w14:textId="77777777" w:rsidR="00502523" w:rsidRPr="009A553A" w:rsidRDefault="00502523" w:rsidP="0050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9A5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1.39 (0.94-2.05)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A2DCE" w14:textId="77777777" w:rsidR="00502523" w:rsidRPr="009A553A" w:rsidRDefault="00502523" w:rsidP="0050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9A5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1.40 (0.94-2.08)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C2A41" w14:textId="77777777" w:rsidR="00502523" w:rsidRPr="009A553A" w:rsidRDefault="00502523" w:rsidP="0050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9A5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1.13 (0.94-1.37)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DC11B" w14:textId="77777777" w:rsidR="00502523" w:rsidRPr="009A553A" w:rsidRDefault="00502523" w:rsidP="0050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9A5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1.20 (0.95-1.53)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5D2D8" w14:textId="77777777" w:rsidR="00502523" w:rsidRPr="009A553A" w:rsidRDefault="00502523" w:rsidP="0050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A5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1.40 (1.03-1.90)</w:t>
            </w:r>
          </w:p>
        </w:tc>
      </w:tr>
      <w:tr w:rsidR="00502523" w:rsidRPr="009A553A" w14:paraId="32C5B27C" w14:textId="77777777" w:rsidTr="00390F38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14:paraId="726F48F7" w14:textId="0C43BDEE" w:rsidR="00502523" w:rsidRPr="009A553A" w:rsidRDefault="00502523" w:rsidP="0050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280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wHR</w:t>
            </w:r>
            <w:proofErr w:type="spellEnd"/>
            <w:r w:rsidRPr="00280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 xml:space="preserve"> (95% CI)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 xml:space="preserve"> </w:t>
            </w:r>
            <w:r w:rsidRPr="00280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**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*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14:paraId="324F178E" w14:textId="77777777" w:rsidR="00502523" w:rsidRPr="009A553A" w:rsidRDefault="00502523" w:rsidP="0050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9A5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1.00 (</w:t>
            </w:r>
            <w:proofErr w:type="spellStart"/>
            <w:r w:rsidRPr="009A5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Ref</w:t>
            </w:r>
            <w:proofErr w:type="spellEnd"/>
            <w:r w:rsidRPr="009A5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14:paraId="1F4764C0" w14:textId="77777777" w:rsidR="00502523" w:rsidRPr="009A553A" w:rsidRDefault="00502523" w:rsidP="0050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A5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2.08 (1.12-3.86)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14:paraId="10F0DC24" w14:textId="77777777" w:rsidR="00502523" w:rsidRPr="009A553A" w:rsidRDefault="00502523" w:rsidP="0050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9A5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1.48 (0.93-2.34)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14:paraId="033A0203" w14:textId="77777777" w:rsidR="00502523" w:rsidRPr="009A553A" w:rsidRDefault="00502523" w:rsidP="0050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9A5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1.19 (0.97-1.46)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14:paraId="636BD1A7" w14:textId="77777777" w:rsidR="00502523" w:rsidRPr="009A553A" w:rsidRDefault="00502523" w:rsidP="0050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A5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1.83 (1.12-2.99)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14:paraId="3A56E616" w14:textId="77777777" w:rsidR="00502523" w:rsidRPr="009A553A" w:rsidRDefault="00502523" w:rsidP="0050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9A5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1.54 (1.00-2.34)</w:t>
            </w:r>
          </w:p>
        </w:tc>
      </w:tr>
      <w:tr w:rsidR="00FB7D7B" w:rsidRPr="00390F38" w14:paraId="45722544" w14:textId="77777777" w:rsidTr="00502523">
        <w:trPr>
          <w:trHeight w:val="300"/>
        </w:trPr>
        <w:tc>
          <w:tcPr>
            <w:tcW w:w="6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D0660" w14:textId="3E5D2EBC" w:rsidR="00FB7D7B" w:rsidRPr="009A553A" w:rsidRDefault="00502523" w:rsidP="00600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s-ES"/>
              </w:rPr>
            </w:pPr>
            <w:r w:rsidRPr="00280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s-ES"/>
              </w:rPr>
              <w:t xml:space="preserve">All-cause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s-ES"/>
              </w:rPr>
              <w:t>deaths and/or ICU transfer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A8E15" w14:textId="77777777" w:rsidR="00FB7D7B" w:rsidRPr="009A553A" w:rsidRDefault="00FB7D7B" w:rsidP="00600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9831C" w14:textId="77777777" w:rsidR="00FB7D7B" w:rsidRPr="009A553A" w:rsidRDefault="00FB7D7B" w:rsidP="0060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7ADF4" w14:textId="77777777" w:rsidR="00FB7D7B" w:rsidRPr="009A553A" w:rsidRDefault="00FB7D7B" w:rsidP="0060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928E1" w14:textId="77777777" w:rsidR="00FB7D7B" w:rsidRPr="009A553A" w:rsidRDefault="00FB7D7B" w:rsidP="0060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</w:p>
        </w:tc>
      </w:tr>
      <w:tr w:rsidR="00FB7D7B" w:rsidRPr="009A553A" w14:paraId="0971C2F8" w14:textId="77777777" w:rsidTr="00502523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70C8043" w14:textId="77777777" w:rsidR="00FB7D7B" w:rsidRPr="009A553A" w:rsidRDefault="00FB7D7B" w:rsidP="0060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9A5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Nº</w:t>
            </w:r>
            <w:proofErr w:type="spellEnd"/>
            <w:r w:rsidRPr="009A5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9A5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of</w:t>
            </w:r>
            <w:proofErr w:type="spellEnd"/>
            <w:r w:rsidRPr="009A5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9A5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events</w:t>
            </w:r>
            <w:proofErr w:type="spellEnd"/>
            <w:r w:rsidRPr="009A5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/ Total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5A16D05" w14:textId="77777777" w:rsidR="00FB7D7B" w:rsidRPr="009A553A" w:rsidRDefault="00FB7D7B" w:rsidP="0060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9A5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652/2630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CE03B1F" w14:textId="77777777" w:rsidR="00FB7D7B" w:rsidRPr="009A553A" w:rsidRDefault="00FB7D7B" w:rsidP="0060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9A5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71/200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148FA17" w14:textId="77777777" w:rsidR="00FB7D7B" w:rsidRPr="009A553A" w:rsidRDefault="00FB7D7B" w:rsidP="0060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9A5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79/203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7AF186E" w14:textId="77777777" w:rsidR="00FB7D7B" w:rsidRPr="009A553A" w:rsidRDefault="00FB7D7B" w:rsidP="0060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9A5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481/1600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348DFCB" w14:textId="77777777" w:rsidR="00FB7D7B" w:rsidRPr="009A553A" w:rsidRDefault="00FB7D7B" w:rsidP="0060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9A5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237/692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DBE528C" w14:textId="77777777" w:rsidR="00FB7D7B" w:rsidRPr="009A553A" w:rsidRDefault="00FB7D7B" w:rsidP="0060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9A5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122/358</w:t>
            </w:r>
          </w:p>
        </w:tc>
      </w:tr>
      <w:tr w:rsidR="00502523" w:rsidRPr="009A553A" w14:paraId="012043E4" w14:textId="77777777" w:rsidTr="00502523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14C2E" w14:textId="5E924285" w:rsidR="00502523" w:rsidRPr="009A553A" w:rsidRDefault="00502523" w:rsidP="0050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280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30-days Cumulative Incidence (%)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 xml:space="preserve"> </w:t>
            </w:r>
            <w:r w:rsidRPr="00280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*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4615F" w14:textId="77777777" w:rsidR="00502523" w:rsidRPr="009A553A" w:rsidRDefault="00502523" w:rsidP="0050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9A5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51.3 (45.1-57.9)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83947" w14:textId="77777777" w:rsidR="00502523" w:rsidRPr="009A553A" w:rsidRDefault="00502523" w:rsidP="0050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9A5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65.6 (43.8-86.1)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A2260" w14:textId="77777777" w:rsidR="00502523" w:rsidRPr="009A553A" w:rsidRDefault="00502523" w:rsidP="0050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9A5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58.7 (42.5-75.5)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57E97" w14:textId="77777777" w:rsidR="00502523" w:rsidRPr="009A553A" w:rsidRDefault="00502523" w:rsidP="0050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9A5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54.3 (47.2-61.8)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625CD" w14:textId="77777777" w:rsidR="00502523" w:rsidRPr="009A553A" w:rsidRDefault="00502523" w:rsidP="0050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9A5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54.4 (47-62.2)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4CCC4" w14:textId="77777777" w:rsidR="00502523" w:rsidRPr="009A553A" w:rsidRDefault="00502523" w:rsidP="0050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9A5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55.7 (45.9-66.0)</w:t>
            </w:r>
          </w:p>
        </w:tc>
      </w:tr>
      <w:tr w:rsidR="00502523" w:rsidRPr="009A553A" w14:paraId="4EC554B8" w14:textId="77777777" w:rsidTr="00502523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DD92D49" w14:textId="4F912F4D" w:rsidR="00502523" w:rsidRPr="009A553A" w:rsidRDefault="00502523" w:rsidP="0050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280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uHR</w:t>
            </w:r>
            <w:proofErr w:type="spellEnd"/>
            <w:r w:rsidRPr="00280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 xml:space="preserve"> (95% CI)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 xml:space="preserve"> **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FAB30D9" w14:textId="77777777" w:rsidR="00502523" w:rsidRPr="009A553A" w:rsidRDefault="00502523" w:rsidP="0050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9A5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1.00 (</w:t>
            </w:r>
            <w:proofErr w:type="spellStart"/>
            <w:r w:rsidRPr="009A5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Ref</w:t>
            </w:r>
            <w:proofErr w:type="spellEnd"/>
            <w:r w:rsidRPr="009A5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57DC648" w14:textId="77777777" w:rsidR="00502523" w:rsidRPr="009A553A" w:rsidRDefault="00502523" w:rsidP="0050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9A5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1.29 (0.93-1.78)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52C7CA4" w14:textId="77777777" w:rsidR="00502523" w:rsidRPr="009A553A" w:rsidRDefault="00502523" w:rsidP="0050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A5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1.57 (1.16-2.14)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6B67A2A" w14:textId="77777777" w:rsidR="00502523" w:rsidRPr="009A553A" w:rsidRDefault="00502523" w:rsidP="0050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9A5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1.06 (0.91-1.23)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1798E40" w14:textId="77777777" w:rsidR="00502523" w:rsidRPr="009A553A" w:rsidRDefault="00502523" w:rsidP="0050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9A5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1.13 (0.93-1.37)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F5303CB" w14:textId="77777777" w:rsidR="00502523" w:rsidRPr="009A553A" w:rsidRDefault="00502523" w:rsidP="0050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9A5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1.24 (0.96-1.59)</w:t>
            </w:r>
          </w:p>
        </w:tc>
      </w:tr>
      <w:tr w:rsidR="00502523" w:rsidRPr="009A553A" w14:paraId="4D369445" w14:textId="77777777" w:rsidTr="00390F38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14:paraId="034FE5BF" w14:textId="4F1F708E" w:rsidR="00502523" w:rsidRPr="009A553A" w:rsidRDefault="00502523" w:rsidP="0050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280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wHR</w:t>
            </w:r>
            <w:proofErr w:type="spellEnd"/>
            <w:r w:rsidRPr="00280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 xml:space="preserve"> (95% CI)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 xml:space="preserve"> </w:t>
            </w:r>
            <w:r w:rsidRPr="00280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**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*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14:paraId="2B2D8E21" w14:textId="77777777" w:rsidR="00502523" w:rsidRPr="009A553A" w:rsidRDefault="00502523" w:rsidP="0050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9A5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1.00 (</w:t>
            </w:r>
            <w:proofErr w:type="spellStart"/>
            <w:r w:rsidRPr="009A5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Ref</w:t>
            </w:r>
            <w:proofErr w:type="spellEnd"/>
            <w:r w:rsidRPr="009A5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14:paraId="0DB2553F" w14:textId="77777777" w:rsidR="00502523" w:rsidRPr="009A553A" w:rsidRDefault="00502523" w:rsidP="0050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A5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1.69 (1.04-2.76)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14:paraId="0D7D006C" w14:textId="77777777" w:rsidR="00502523" w:rsidRPr="009A553A" w:rsidRDefault="00502523" w:rsidP="0050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A5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1.60 (1.12-2.27)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14:paraId="0F85DAFF" w14:textId="77777777" w:rsidR="00502523" w:rsidRPr="009A553A" w:rsidRDefault="00502523" w:rsidP="0050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9A5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1.08 (0.92-1.27)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14:paraId="1D2F1F1D" w14:textId="77777777" w:rsidR="00502523" w:rsidRPr="009A553A" w:rsidRDefault="00502523" w:rsidP="0050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9A5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1.37 (0.93-2.01)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14:paraId="33C95109" w14:textId="77777777" w:rsidR="00502523" w:rsidRPr="009A553A" w:rsidRDefault="00502523" w:rsidP="0050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9A5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1.34 (0.97-1.85)</w:t>
            </w:r>
          </w:p>
        </w:tc>
      </w:tr>
      <w:tr w:rsidR="00FB7D7B" w:rsidRPr="00390F38" w14:paraId="1FFCD294" w14:textId="77777777" w:rsidTr="00502523">
        <w:trPr>
          <w:trHeight w:val="300"/>
        </w:trPr>
        <w:tc>
          <w:tcPr>
            <w:tcW w:w="6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1E2F847" w14:textId="5F95C1E7" w:rsidR="00FB7D7B" w:rsidRPr="009A553A" w:rsidRDefault="00502523" w:rsidP="00600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s-ES"/>
              </w:rPr>
            </w:pPr>
            <w:r w:rsidRPr="00280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s-ES"/>
              </w:rPr>
              <w:t xml:space="preserve">All-cause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s-ES"/>
              </w:rPr>
              <w:t>deaths and/or oxygen prescription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B5B9422" w14:textId="77777777" w:rsidR="00FB7D7B" w:rsidRPr="009A553A" w:rsidRDefault="00FB7D7B" w:rsidP="0060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</w:pPr>
            <w:r w:rsidRPr="009A5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34EBC1C" w14:textId="77777777" w:rsidR="00FB7D7B" w:rsidRPr="009A553A" w:rsidRDefault="00FB7D7B" w:rsidP="0060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</w:pPr>
            <w:r w:rsidRPr="009A5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E935D42" w14:textId="77777777" w:rsidR="00FB7D7B" w:rsidRPr="009A553A" w:rsidRDefault="00FB7D7B" w:rsidP="0060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</w:pPr>
            <w:r w:rsidRPr="009A5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66D73B6" w14:textId="77777777" w:rsidR="00FB7D7B" w:rsidRPr="009A553A" w:rsidRDefault="00FB7D7B" w:rsidP="0060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</w:pPr>
            <w:r w:rsidRPr="009A5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> </w:t>
            </w:r>
          </w:p>
        </w:tc>
      </w:tr>
      <w:tr w:rsidR="00502523" w:rsidRPr="009A553A" w14:paraId="0272735F" w14:textId="77777777" w:rsidTr="00502523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739DA" w14:textId="36B5BB24" w:rsidR="00502523" w:rsidRPr="009A553A" w:rsidRDefault="00A81F02" w:rsidP="0050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9A5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Nº</w:t>
            </w:r>
            <w:proofErr w:type="spellEnd"/>
            <w:r w:rsidRPr="009A5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9A5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of</w:t>
            </w:r>
            <w:proofErr w:type="spellEnd"/>
            <w:r w:rsidRPr="009A5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9A5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events</w:t>
            </w:r>
            <w:proofErr w:type="spellEnd"/>
            <w:r w:rsidRPr="009A5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/ Total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341FB" w14:textId="77777777" w:rsidR="00502523" w:rsidRPr="009A553A" w:rsidRDefault="00502523" w:rsidP="0050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9A5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494/2630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6EF3B" w14:textId="77777777" w:rsidR="00502523" w:rsidRPr="009A553A" w:rsidRDefault="00502523" w:rsidP="0050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9A5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59/200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49B5A" w14:textId="77777777" w:rsidR="00502523" w:rsidRPr="009A553A" w:rsidRDefault="00502523" w:rsidP="0050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9A5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52/203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89B44" w14:textId="77777777" w:rsidR="00502523" w:rsidRPr="009A553A" w:rsidRDefault="00502523" w:rsidP="0050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9A5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414/1600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97C29" w14:textId="77777777" w:rsidR="00502523" w:rsidRPr="009A553A" w:rsidRDefault="00502523" w:rsidP="0050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9A5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198/692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CFF7E" w14:textId="77777777" w:rsidR="00502523" w:rsidRPr="009A553A" w:rsidRDefault="00502523" w:rsidP="0050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9A5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101/358</w:t>
            </w:r>
          </w:p>
        </w:tc>
      </w:tr>
      <w:tr w:rsidR="00502523" w:rsidRPr="009A553A" w14:paraId="56EEE258" w14:textId="77777777" w:rsidTr="00A81F02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7BC0BAE1" w14:textId="5B5E23E8" w:rsidR="00502523" w:rsidRPr="009A553A" w:rsidRDefault="00A81F02" w:rsidP="0050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280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30-days Cumulative Incidence (%)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 xml:space="preserve"> </w:t>
            </w:r>
            <w:r w:rsidRPr="00280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*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BCE52DC" w14:textId="77777777" w:rsidR="00502523" w:rsidRPr="009A553A" w:rsidRDefault="00502523" w:rsidP="0050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9A5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48.5 (43.1-54.2)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54D9BEA" w14:textId="77777777" w:rsidR="00502523" w:rsidRPr="009A553A" w:rsidRDefault="00502523" w:rsidP="0050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9A5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55.2 (37.8-74.3)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D631941" w14:textId="77777777" w:rsidR="00502523" w:rsidRPr="009A553A" w:rsidRDefault="00502523" w:rsidP="0050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9A5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58.7 (42-76.1)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DCCA3C3" w14:textId="77777777" w:rsidR="00502523" w:rsidRPr="009A553A" w:rsidRDefault="00502523" w:rsidP="0050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9A5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57.8 (50.8-65)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EB33ED1" w14:textId="77777777" w:rsidR="00502523" w:rsidRPr="009A553A" w:rsidRDefault="00502523" w:rsidP="0050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9A5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54.3 (45.4-63.6)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D7D9CA2" w14:textId="77777777" w:rsidR="00502523" w:rsidRPr="009A553A" w:rsidRDefault="00502523" w:rsidP="0050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9A5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51.7 (41.5-62.8)</w:t>
            </w:r>
          </w:p>
        </w:tc>
      </w:tr>
      <w:tr w:rsidR="00A81F02" w:rsidRPr="009A553A" w14:paraId="30574351" w14:textId="77777777" w:rsidTr="00A81F02">
        <w:trPr>
          <w:trHeight w:val="300"/>
        </w:trPr>
        <w:tc>
          <w:tcPr>
            <w:tcW w:w="3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56E2E99" w14:textId="6B8D8266" w:rsidR="00A81F02" w:rsidRPr="009A553A" w:rsidRDefault="00A81F02" w:rsidP="00A81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280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uHR</w:t>
            </w:r>
            <w:proofErr w:type="spellEnd"/>
            <w:r w:rsidRPr="00280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 xml:space="preserve"> (95% CI)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 xml:space="preserve"> **</w:t>
            </w:r>
          </w:p>
        </w:tc>
        <w:tc>
          <w:tcPr>
            <w:tcW w:w="18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E7B40" w14:textId="77777777" w:rsidR="00A81F02" w:rsidRPr="009A553A" w:rsidRDefault="00A81F02" w:rsidP="00A8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9A5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1.00 (</w:t>
            </w:r>
            <w:proofErr w:type="spellStart"/>
            <w:r w:rsidRPr="009A5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Ref</w:t>
            </w:r>
            <w:proofErr w:type="spellEnd"/>
            <w:r w:rsidRPr="009A5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)</w:t>
            </w:r>
          </w:p>
        </w:tc>
        <w:tc>
          <w:tcPr>
            <w:tcW w:w="1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B0DA8" w14:textId="77777777" w:rsidR="00A81F02" w:rsidRPr="00A81F02" w:rsidRDefault="00A81F02" w:rsidP="00A8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81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1.47 (1.03-2.10)</w:t>
            </w:r>
          </w:p>
        </w:tc>
        <w:tc>
          <w:tcPr>
            <w:tcW w:w="18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7C3D8" w14:textId="77777777" w:rsidR="00A81F02" w:rsidRPr="009A553A" w:rsidRDefault="00A81F02" w:rsidP="00A8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9A5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1.29 (0.88-1.88)</w:t>
            </w:r>
          </w:p>
        </w:tc>
        <w:tc>
          <w:tcPr>
            <w:tcW w:w="1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0F8D5" w14:textId="77777777" w:rsidR="00A81F02" w:rsidRPr="009A553A" w:rsidRDefault="00A81F02" w:rsidP="00A8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9A5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1.17 (0.98-1.40)</w:t>
            </w:r>
          </w:p>
        </w:tc>
        <w:tc>
          <w:tcPr>
            <w:tcW w:w="18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6C22C" w14:textId="77777777" w:rsidR="00A81F02" w:rsidRPr="009A553A" w:rsidRDefault="00A81F02" w:rsidP="00A8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9A5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1.23 (0.98-1.53)</w:t>
            </w:r>
          </w:p>
        </w:tc>
        <w:tc>
          <w:tcPr>
            <w:tcW w:w="1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3CDB4" w14:textId="77777777" w:rsidR="00A81F02" w:rsidRPr="009A553A" w:rsidRDefault="00A81F02" w:rsidP="00A8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A5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1.39 (1.04-1.85)</w:t>
            </w:r>
          </w:p>
        </w:tc>
      </w:tr>
      <w:tr w:rsidR="00A81F02" w:rsidRPr="009A553A" w14:paraId="4A57E81A" w14:textId="77777777" w:rsidTr="00390F38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14:paraId="1EBE347F" w14:textId="0C4BDA90" w:rsidR="00A81F02" w:rsidRPr="009A553A" w:rsidRDefault="00A81F02" w:rsidP="00A81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280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wHR</w:t>
            </w:r>
            <w:proofErr w:type="spellEnd"/>
            <w:r w:rsidRPr="00280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 xml:space="preserve"> (95% CI)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 xml:space="preserve"> </w:t>
            </w:r>
            <w:r w:rsidRPr="00280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**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*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14:paraId="01F0BD37" w14:textId="77777777" w:rsidR="00A81F02" w:rsidRPr="009A553A" w:rsidRDefault="00A81F02" w:rsidP="00A8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9A5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1.00 (</w:t>
            </w:r>
            <w:proofErr w:type="spellStart"/>
            <w:r w:rsidRPr="009A5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Ref</w:t>
            </w:r>
            <w:proofErr w:type="spellEnd"/>
            <w:r w:rsidRPr="009A5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14:paraId="0B9788A0" w14:textId="77777777" w:rsidR="00A81F02" w:rsidRPr="009A553A" w:rsidRDefault="00A81F02" w:rsidP="00A8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A5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2.13 (1.20-3.77)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14:paraId="4F612AF5" w14:textId="77777777" w:rsidR="00A81F02" w:rsidRPr="009A553A" w:rsidRDefault="00A81F02" w:rsidP="00A8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9A5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1.26 (0.81-1.96)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14:paraId="5DB9D8C0" w14:textId="77777777" w:rsidR="00A81F02" w:rsidRPr="009A553A" w:rsidRDefault="00A81F02" w:rsidP="00A8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9A5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1.20 (0.99-1.45)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14:paraId="3DBD33EA" w14:textId="77777777" w:rsidR="00A81F02" w:rsidRPr="009A553A" w:rsidRDefault="00A81F02" w:rsidP="00A8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A5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1.69 (1.06-2.72)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14:paraId="1E7D5CA5" w14:textId="77777777" w:rsidR="00A81F02" w:rsidRPr="009A553A" w:rsidRDefault="00A81F02" w:rsidP="00A8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9A5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1.34 (0.89-2.01)</w:t>
            </w:r>
          </w:p>
        </w:tc>
      </w:tr>
      <w:tr w:rsidR="00A81F02" w:rsidRPr="00390F38" w14:paraId="295E7A6F" w14:textId="77777777" w:rsidTr="00502523">
        <w:trPr>
          <w:trHeight w:val="300"/>
        </w:trPr>
        <w:tc>
          <w:tcPr>
            <w:tcW w:w="1224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01632" w14:textId="5260DDD4" w:rsidR="00A81F02" w:rsidRPr="009A553A" w:rsidRDefault="00A81F02" w:rsidP="00A81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</w:pPr>
            <w:proofErr w:type="spellStart"/>
            <w:r w:rsidRPr="00280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uHR</w:t>
            </w:r>
            <w:proofErr w:type="spellEnd"/>
            <w:r w:rsidRPr="00280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 xml:space="preserve"> = unweighted hazard ratio; </w:t>
            </w:r>
            <w:proofErr w:type="spellStart"/>
            <w:r w:rsidRPr="00280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wHR</w:t>
            </w:r>
            <w:proofErr w:type="spellEnd"/>
            <w:r w:rsidRPr="00280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 xml:space="preserve"> = weighted hazard ratio; 95% CI = 95% confidence interval.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05375" w14:textId="77777777" w:rsidR="00A81F02" w:rsidRPr="009A553A" w:rsidRDefault="00A81F02" w:rsidP="00A81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</w:pPr>
          </w:p>
        </w:tc>
      </w:tr>
      <w:tr w:rsidR="00A81F02" w:rsidRPr="00390F38" w14:paraId="438851F8" w14:textId="77777777" w:rsidTr="00502523">
        <w:trPr>
          <w:trHeight w:val="300"/>
        </w:trPr>
        <w:tc>
          <w:tcPr>
            <w:tcW w:w="13960" w:type="dxa"/>
            <w:gridSpan w:val="7"/>
            <w:shd w:val="clear" w:color="auto" w:fill="auto"/>
            <w:noWrap/>
            <w:vAlign w:val="center"/>
            <w:hideMark/>
          </w:tcPr>
          <w:p w14:paraId="4B408C45" w14:textId="77777777" w:rsidR="00A81F02" w:rsidRDefault="00A81F02" w:rsidP="00A81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280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* Cumulative incidence and 95% confidence intervals were obtained by Kaplan Meier life table method to account by censors.</w:t>
            </w:r>
          </w:p>
          <w:p w14:paraId="14600ABB" w14:textId="06521E4B" w:rsidR="00A81F02" w:rsidRPr="009A553A" w:rsidRDefault="00A81F02" w:rsidP="00A81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</w:pPr>
            <w:r w:rsidRPr="00280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 xml:space="preserve">**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Unw</w:t>
            </w:r>
            <w:r w:rsidRPr="00280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eighted hazard ratios and 95% confidence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 xml:space="preserve"> intervals</w:t>
            </w:r>
          </w:p>
        </w:tc>
      </w:tr>
      <w:tr w:rsidR="00A81F02" w:rsidRPr="00390F38" w14:paraId="010FB919" w14:textId="77777777" w:rsidTr="00502523">
        <w:trPr>
          <w:trHeight w:val="1173"/>
        </w:trPr>
        <w:tc>
          <w:tcPr>
            <w:tcW w:w="13960" w:type="dxa"/>
            <w:gridSpan w:val="7"/>
            <w:shd w:val="clear" w:color="auto" w:fill="auto"/>
            <w:vAlign w:val="center"/>
            <w:hideMark/>
          </w:tcPr>
          <w:p w14:paraId="5FBD6D1C" w14:textId="4A974791" w:rsidR="00A81F02" w:rsidRPr="009A553A" w:rsidRDefault="00A81F02" w:rsidP="00A81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</w:pPr>
            <w:r w:rsidRPr="00280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**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*</w:t>
            </w:r>
            <w:r w:rsidRPr="00280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 xml:space="preserve"> Weighted hazard ratios and 95% confidence intervals were obtained by inverse probability treatment weighting. A gradient boosting machine was trained to estimate each patient's probability of receiving treatments given their baseline probabilities. Baselines covariates used to train the GBM were age, sex, healthcare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centre location</w:t>
            </w:r>
            <w:r w:rsidRPr="00280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 xml:space="preserve">, month, </w:t>
            </w:r>
            <w:proofErr w:type="spellStart"/>
            <w:r w:rsidRPr="00280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Charlson's</w:t>
            </w:r>
            <w:proofErr w:type="spellEnd"/>
            <w:r w:rsidRPr="00280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 xml:space="preserve"> index at hospital admission, comorbidities registered in the first 48 hours (myocardial infarct/chronic heart failure/peripheral vascular disease, stroke, chronic lung disease, mild/severe liver disease, uncomplicated/complicated diabetes mellitus, cancer, stroke/dementia/paralysis, chronic kidney disease, metabolic disease, peptic ulcer disease, HIV, uncomplicated/complicated hypertension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)</w:t>
            </w:r>
            <w:r w:rsidRPr="00280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 xml:space="preserve">, emergency care before admission, antibiotics (other than azithromycin)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 xml:space="preserve">used </w:t>
            </w:r>
            <w:r w:rsidRPr="00280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in the first 48 hours,  angiotensin-converting enzyme inhibitors/angiotensin-II receptor antagonists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 xml:space="preserve"> use</w:t>
            </w:r>
            <w:r w:rsidRPr="00280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, and pneumonia diagnosis in the first 48 hours.</w:t>
            </w:r>
          </w:p>
        </w:tc>
      </w:tr>
    </w:tbl>
    <w:p w14:paraId="4AE0A359" w14:textId="411643C0" w:rsidR="004E7B00" w:rsidRPr="009A553A" w:rsidRDefault="004E7B00" w:rsidP="006005C5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sectPr w:rsidR="004E7B00" w:rsidRPr="009A553A" w:rsidSect="005B246E">
      <w:pgSz w:w="16838" w:h="11906" w:orient="landscape"/>
      <w:pgMar w:top="284" w:right="1418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MxNzE1NDA2MTG0MDZV0lEKTi0uzszPAykwrQUAJfaFDSwAAAA="/>
  </w:docVars>
  <w:rsids>
    <w:rsidRoot w:val="004E7B00"/>
    <w:rsid w:val="000126FF"/>
    <w:rsid w:val="00053011"/>
    <w:rsid w:val="00093C5B"/>
    <w:rsid w:val="000D6C5F"/>
    <w:rsid w:val="0029793D"/>
    <w:rsid w:val="00390F38"/>
    <w:rsid w:val="004E7B00"/>
    <w:rsid w:val="00502523"/>
    <w:rsid w:val="005B246E"/>
    <w:rsid w:val="006005C5"/>
    <w:rsid w:val="007100BC"/>
    <w:rsid w:val="007629FA"/>
    <w:rsid w:val="008C2AD7"/>
    <w:rsid w:val="008C7CA8"/>
    <w:rsid w:val="00956F5F"/>
    <w:rsid w:val="0099159F"/>
    <w:rsid w:val="009A553A"/>
    <w:rsid w:val="009B2933"/>
    <w:rsid w:val="00A66D31"/>
    <w:rsid w:val="00A81F02"/>
    <w:rsid w:val="00B244D8"/>
    <w:rsid w:val="00B8470C"/>
    <w:rsid w:val="00BF5A80"/>
    <w:rsid w:val="00E774A6"/>
    <w:rsid w:val="00F25E27"/>
    <w:rsid w:val="00FB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|"/>
  <w14:docId w14:val="225D7311"/>
  <w15:chartTrackingRefBased/>
  <w15:docId w15:val="{5F6BAC04-3AC7-4161-B78E-47D055691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E7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7B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12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87895-D7D3-4840-ACD4-875C2656F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4</Pages>
  <Words>509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Percy Soto Becerra</dc:creator>
  <cp:keywords/>
  <dc:description/>
  <cp:lastModifiedBy>Percy Soto Becerra</cp:lastModifiedBy>
  <cp:revision>11</cp:revision>
  <dcterms:created xsi:type="dcterms:W3CDTF">2020-10-06T20:00:00Z</dcterms:created>
  <dcterms:modified xsi:type="dcterms:W3CDTF">2020-10-14T16:31:00Z</dcterms:modified>
</cp:coreProperties>
</file>