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9BB54" w14:textId="037139CA" w:rsidR="00940DE8" w:rsidRPr="00940DE8" w:rsidRDefault="00940DE8" w:rsidP="00940DE8">
      <w:pPr>
        <w:rPr>
          <w:rFonts w:asciiTheme="majorBidi" w:hAnsiTheme="majorBidi" w:cstheme="majorBidi"/>
          <w:b/>
          <w:sz w:val="20"/>
          <w:szCs w:val="20"/>
        </w:rPr>
      </w:pPr>
      <w:r w:rsidRPr="00940DE8">
        <w:rPr>
          <w:rFonts w:asciiTheme="majorBidi" w:hAnsiTheme="majorBidi" w:cstheme="majorBidi"/>
          <w:sz w:val="20"/>
          <w:szCs w:val="20"/>
        </w:rPr>
        <w:t xml:space="preserve">Article Title: </w:t>
      </w:r>
      <w:r w:rsidRPr="00940DE8">
        <w:rPr>
          <w:rFonts w:asciiTheme="majorBidi" w:hAnsiTheme="majorBidi" w:cstheme="majorBidi"/>
          <w:b/>
          <w:sz w:val="20"/>
          <w:szCs w:val="20"/>
        </w:rPr>
        <w:t>Pre-school childcare and inequalities in child development</w:t>
      </w:r>
    </w:p>
    <w:p w14:paraId="3DB832D1" w14:textId="06D31016" w:rsidR="00940DE8" w:rsidRPr="00940DE8" w:rsidRDefault="00940DE8">
      <w:pPr>
        <w:rPr>
          <w:rFonts w:asciiTheme="majorBidi" w:hAnsiTheme="majorBidi" w:cstheme="majorBidi"/>
          <w:sz w:val="20"/>
          <w:szCs w:val="20"/>
        </w:rPr>
      </w:pPr>
      <w:r>
        <w:rPr>
          <w:rFonts w:asciiTheme="majorBidi" w:hAnsiTheme="majorBidi" w:cstheme="majorBidi"/>
          <w:sz w:val="20"/>
          <w:szCs w:val="20"/>
        </w:rPr>
        <w:t>J</w:t>
      </w:r>
      <w:r w:rsidRPr="00940DE8">
        <w:rPr>
          <w:rFonts w:asciiTheme="majorBidi" w:hAnsiTheme="majorBidi" w:cstheme="majorBidi"/>
          <w:sz w:val="20"/>
          <w:szCs w:val="20"/>
        </w:rPr>
        <w:t>ournal name</w:t>
      </w:r>
      <w:r>
        <w:rPr>
          <w:rFonts w:asciiTheme="majorBidi" w:hAnsiTheme="majorBidi" w:cstheme="majorBidi"/>
          <w:sz w:val="20"/>
          <w:szCs w:val="20"/>
        </w:rPr>
        <w:t xml:space="preserve">: </w:t>
      </w:r>
      <w:r>
        <w:rPr>
          <w:rFonts w:asciiTheme="majorBidi" w:hAnsiTheme="majorBidi" w:cstheme="majorBidi"/>
          <w:b/>
          <w:bCs/>
          <w:sz w:val="20"/>
          <w:szCs w:val="20"/>
        </w:rPr>
        <w:t>European Journal of Epidemiology</w:t>
      </w:r>
      <w:r w:rsidRPr="00940DE8">
        <w:rPr>
          <w:rFonts w:asciiTheme="majorBidi" w:hAnsiTheme="majorBidi" w:cstheme="majorBidi"/>
          <w:sz w:val="20"/>
          <w:szCs w:val="20"/>
        </w:rPr>
        <w:t xml:space="preserve"> </w:t>
      </w:r>
    </w:p>
    <w:p w14:paraId="7EB5F1F1" w14:textId="77777777" w:rsidR="00610A50" w:rsidRPr="00CD7353" w:rsidRDefault="00610A50" w:rsidP="00610A50">
      <w:pPr>
        <w:rPr>
          <w:rFonts w:asciiTheme="majorBidi" w:hAnsiTheme="majorBidi" w:cstheme="majorBidi"/>
          <w:bCs/>
          <w:sz w:val="20"/>
          <w:szCs w:val="20"/>
        </w:rPr>
      </w:pPr>
      <w:r>
        <w:rPr>
          <w:rFonts w:asciiTheme="majorBidi" w:hAnsiTheme="majorBidi" w:cstheme="majorBidi"/>
          <w:bCs/>
          <w:sz w:val="20"/>
          <w:szCs w:val="20"/>
        </w:rPr>
        <w:t xml:space="preserve">Authors: </w:t>
      </w:r>
      <w:r w:rsidRPr="00837E5B">
        <w:rPr>
          <w:rFonts w:asciiTheme="majorBidi" w:hAnsiTheme="majorBidi" w:cstheme="majorBidi"/>
          <w:b/>
          <w:sz w:val="20"/>
          <w:szCs w:val="20"/>
        </w:rPr>
        <w:t>Michael J Green</w:t>
      </w:r>
      <w:r w:rsidRPr="00837E5B">
        <w:rPr>
          <w:rFonts w:asciiTheme="majorBidi" w:hAnsiTheme="majorBidi" w:cstheme="majorBidi"/>
          <w:b/>
          <w:sz w:val="20"/>
          <w:szCs w:val="20"/>
          <w:vertAlign w:val="superscript"/>
        </w:rPr>
        <w:t>1</w:t>
      </w:r>
      <w:r w:rsidRPr="00837E5B">
        <w:rPr>
          <w:rFonts w:asciiTheme="majorBidi" w:hAnsiTheme="majorBidi" w:cstheme="majorBidi"/>
          <w:b/>
          <w:sz w:val="20"/>
          <w:szCs w:val="20"/>
        </w:rPr>
        <w:t>, Anna Pearce</w:t>
      </w:r>
      <w:r w:rsidRPr="00837E5B">
        <w:rPr>
          <w:rFonts w:asciiTheme="majorBidi" w:hAnsiTheme="majorBidi" w:cstheme="majorBidi"/>
          <w:b/>
          <w:sz w:val="20"/>
          <w:szCs w:val="20"/>
          <w:vertAlign w:val="superscript"/>
        </w:rPr>
        <w:t>1</w:t>
      </w:r>
      <w:r w:rsidRPr="00837E5B">
        <w:rPr>
          <w:rFonts w:asciiTheme="majorBidi" w:hAnsiTheme="majorBidi" w:cstheme="majorBidi"/>
          <w:b/>
          <w:sz w:val="20"/>
          <w:szCs w:val="20"/>
        </w:rPr>
        <w:t>, Alison Parkes</w:t>
      </w:r>
      <w:r w:rsidRPr="00837E5B">
        <w:rPr>
          <w:rFonts w:asciiTheme="majorBidi" w:hAnsiTheme="majorBidi" w:cstheme="majorBidi"/>
          <w:b/>
          <w:sz w:val="20"/>
          <w:szCs w:val="20"/>
          <w:vertAlign w:val="superscript"/>
        </w:rPr>
        <w:t>1</w:t>
      </w:r>
      <w:r w:rsidRPr="00837E5B">
        <w:rPr>
          <w:rFonts w:asciiTheme="majorBidi" w:hAnsiTheme="majorBidi" w:cstheme="majorBidi"/>
          <w:b/>
          <w:sz w:val="20"/>
          <w:szCs w:val="20"/>
        </w:rPr>
        <w:t>, Elaine Robertson</w:t>
      </w:r>
      <w:r w:rsidRPr="00837E5B">
        <w:rPr>
          <w:rFonts w:asciiTheme="majorBidi" w:hAnsiTheme="majorBidi" w:cstheme="majorBidi"/>
          <w:b/>
          <w:sz w:val="20"/>
          <w:szCs w:val="20"/>
          <w:vertAlign w:val="superscript"/>
        </w:rPr>
        <w:t>1</w:t>
      </w:r>
      <w:r w:rsidRPr="00837E5B">
        <w:rPr>
          <w:rFonts w:asciiTheme="majorBidi" w:hAnsiTheme="majorBidi" w:cstheme="majorBidi"/>
          <w:b/>
          <w:sz w:val="20"/>
          <w:szCs w:val="20"/>
        </w:rPr>
        <w:t>, S Vittal Katikireddi</w:t>
      </w:r>
      <w:r w:rsidRPr="00837E5B">
        <w:rPr>
          <w:rFonts w:asciiTheme="majorBidi" w:hAnsiTheme="majorBidi" w:cstheme="majorBidi"/>
          <w:b/>
          <w:sz w:val="20"/>
          <w:szCs w:val="20"/>
          <w:vertAlign w:val="superscript"/>
        </w:rPr>
        <w:t>1,2</w:t>
      </w:r>
    </w:p>
    <w:p w14:paraId="250F9FBE" w14:textId="77777777" w:rsidR="00610A50" w:rsidRDefault="00610A50" w:rsidP="00610A50">
      <w:pPr>
        <w:rPr>
          <w:rFonts w:asciiTheme="majorBidi" w:hAnsiTheme="majorBidi" w:cstheme="majorBidi"/>
          <w:bCs/>
          <w:sz w:val="20"/>
          <w:szCs w:val="20"/>
        </w:rPr>
      </w:pPr>
      <w:r>
        <w:rPr>
          <w:rFonts w:asciiTheme="majorBidi" w:hAnsiTheme="majorBidi" w:cstheme="majorBidi"/>
          <w:bCs/>
          <w:sz w:val="20"/>
          <w:szCs w:val="20"/>
        </w:rPr>
        <w:t>Affiliations:</w:t>
      </w:r>
    </w:p>
    <w:p w14:paraId="636FF2CB" w14:textId="77777777" w:rsidR="00610A50" w:rsidRDefault="00610A50" w:rsidP="00610A50">
      <w:pPr>
        <w:pStyle w:val="ListParagraph"/>
        <w:numPr>
          <w:ilvl w:val="0"/>
          <w:numId w:val="1"/>
        </w:numPr>
        <w:rPr>
          <w:rFonts w:asciiTheme="majorBidi" w:hAnsiTheme="majorBidi" w:cstheme="majorBidi"/>
          <w:bCs/>
          <w:sz w:val="20"/>
          <w:szCs w:val="20"/>
        </w:rPr>
      </w:pPr>
      <w:r>
        <w:rPr>
          <w:rFonts w:asciiTheme="majorBidi" w:hAnsiTheme="majorBidi" w:cstheme="majorBidi"/>
          <w:bCs/>
          <w:sz w:val="20"/>
          <w:szCs w:val="20"/>
        </w:rPr>
        <w:t>MRC/CSO Social &amp; Public Health Sciences Unit, University of Glasgow.</w:t>
      </w:r>
    </w:p>
    <w:p w14:paraId="58C24D7B" w14:textId="77777777" w:rsidR="00610A50" w:rsidRPr="00837E5B" w:rsidRDefault="00610A50" w:rsidP="00610A50">
      <w:pPr>
        <w:pStyle w:val="ListParagraph"/>
        <w:numPr>
          <w:ilvl w:val="0"/>
          <w:numId w:val="1"/>
        </w:numPr>
        <w:rPr>
          <w:rFonts w:asciiTheme="majorBidi" w:hAnsiTheme="majorBidi" w:cstheme="majorBidi"/>
          <w:bCs/>
          <w:sz w:val="20"/>
          <w:szCs w:val="20"/>
        </w:rPr>
      </w:pPr>
      <w:r>
        <w:rPr>
          <w:rFonts w:asciiTheme="majorBidi" w:hAnsiTheme="majorBidi" w:cstheme="majorBidi"/>
          <w:bCs/>
          <w:sz w:val="20"/>
          <w:szCs w:val="20"/>
        </w:rPr>
        <w:t>Public Health Scotland.</w:t>
      </w:r>
    </w:p>
    <w:p w14:paraId="24F0F7A7" w14:textId="4AB00FA8" w:rsidR="008B70F7" w:rsidRPr="00287EDF" w:rsidRDefault="00940DE8" w:rsidP="00287EDF">
      <w:pPr>
        <w:rPr>
          <w:rFonts w:asciiTheme="majorBidi" w:hAnsiTheme="majorBidi" w:cstheme="majorBidi"/>
          <w:sz w:val="20"/>
          <w:szCs w:val="20"/>
        </w:rPr>
      </w:pPr>
      <w:r>
        <w:rPr>
          <w:rFonts w:asciiTheme="majorBidi" w:hAnsiTheme="majorBidi" w:cstheme="majorBidi"/>
          <w:sz w:val="20"/>
          <w:szCs w:val="20"/>
        </w:rPr>
        <w:t>C</w:t>
      </w:r>
      <w:r w:rsidRPr="00940DE8">
        <w:rPr>
          <w:rFonts w:asciiTheme="majorBidi" w:hAnsiTheme="majorBidi" w:cstheme="majorBidi"/>
          <w:sz w:val="20"/>
          <w:szCs w:val="20"/>
        </w:rPr>
        <w:t xml:space="preserve">orresponding </w:t>
      </w:r>
      <w:r>
        <w:rPr>
          <w:rFonts w:asciiTheme="majorBidi" w:hAnsiTheme="majorBidi" w:cstheme="majorBidi"/>
          <w:sz w:val="20"/>
          <w:szCs w:val="20"/>
        </w:rPr>
        <w:t>A</w:t>
      </w:r>
      <w:r w:rsidRPr="00940DE8">
        <w:rPr>
          <w:rFonts w:asciiTheme="majorBidi" w:hAnsiTheme="majorBidi" w:cstheme="majorBidi"/>
          <w:sz w:val="20"/>
          <w:szCs w:val="20"/>
        </w:rPr>
        <w:t>uthor</w:t>
      </w:r>
      <w:r>
        <w:rPr>
          <w:rFonts w:asciiTheme="majorBidi" w:hAnsiTheme="majorBidi" w:cstheme="majorBidi"/>
          <w:sz w:val="20"/>
          <w:szCs w:val="20"/>
        </w:rPr>
        <w:t xml:space="preserve">: </w:t>
      </w:r>
      <w:r>
        <w:rPr>
          <w:rFonts w:asciiTheme="majorBidi" w:hAnsiTheme="majorBidi" w:cstheme="majorBidi"/>
          <w:b/>
          <w:bCs/>
          <w:sz w:val="20"/>
          <w:szCs w:val="20"/>
        </w:rPr>
        <w:t>Dr Michael Green</w:t>
      </w:r>
      <w:r w:rsidR="00287EDF">
        <w:rPr>
          <w:rFonts w:asciiTheme="majorBidi" w:hAnsiTheme="majorBidi" w:cstheme="majorBidi"/>
          <w:b/>
          <w:bCs/>
          <w:sz w:val="20"/>
          <w:szCs w:val="20"/>
        </w:rPr>
        <w:t xml:space="preserve">: </w:t>
      </w:r>
      <w:r w:rsidR="00287EDF">
        <w:rPr>
          <w:rFonts w:asciiTheme="majorBidi" w:hAnsiTheme="majorBidi" w:cstheme="majorBidi"/>
          <w:sz w:val="20"/>
          <w:szCs w:val="20"/>
        </w:rPr>
        <w:t xml:space="preserve">michael.green@glasgow.ac.uk </w:t>
      </w:r>
    </w:p>
    <w:p w14:paraId="1C8E444A" w14:textId="18DE90F2" w:rsidR="00940DE8" w:rsidRDefault="00940DE8">
      <w:pPr>
        <w:rPr>
          <w:rFonts w:asciiTheme="majorBidi" w:hAnsiTheme="majorBidi" w:cstheme="majorBidi"/>
          <w:sz w:val="20"/>
          <w:szCs w:val="20"/>
        </w:rPr>
      </w:pPr>
    </w:p>
    <w:p w14:paraId="2D6B4106" w14:textId="7AD37554" w:rsidR="00940DE8" w:rsidRDefault="00940DE8">
      <w:pPr>
        <w:rPr>
          <w:rFonts w:asciiTheme="majorBidi" w:hAnsiTheme="majorBidi" w:cstheme="majorBidi"/>
          <w:b/>
          <w:bCs/>
          <w:sz w:val="20"/>
          <w:szCs w:val="20"/>
        </w:rPr>
      </w:pPr>
      <w:r>
        <w:rPr>
          <w:rFonts w:asciiTheme="majorBidi" w:hAnsiTheme="majorBidi" w:cstheme="majorBidi"/>
          <w:b/>
          <w:bCs/>
          <w:sz w:val="20"/>
          <w:szCs w:val="20"/>
        </w:rPr>
        <w:t>Supplementary File 1</w:t>
      </w:r>
    </w:p>
    <w:p w14:paraId="1D491A0B" w14:textId="503813F1" w:rsidR="00940DE8" w:rsidRDefault="00940DE8">
      <w:pPr>
        <w:rPr>
          <w:rFonts w:asciiTheme="majorBidi" w:hAnsiTheme="majorBidi" w:cstheme="majorBidi"/>
          <w:sz w:val="20"/>
          <w:szCs w:val="20"/>
        </w:rPr>
      </w:pPr>
      <w:r>
        <w:rPr>
          <w:rFonts w:asciiTheme="majorBidi" w:hAnsiTheme="majorBidi" w:cstheme="majorBidi"/>
          <w:sz w:val="20"/>
          <w:szCs w:val="20"/>
        </w:rPr>
        <w:t>This supplementary file contains details of the inverse probability weighting scheme applied within the main analyses.</w:t>
      </w:r>
    </w:p>
    <w:p w14:paraId="5077EA2C" w14:textId="777EDA51" w:rsidR="00940DE8" w:rsidRPr="00CD7353" w:rsidRDefault="00940DE8" w:rsidP="00940DE8">
      <w:pPr>
        <w:rPr>
          <w:rFonts w:asciiTheme="majorBidi" w:hAnsiTheme="majorBidi" w:cstheme="majorBidi"/>
          <w:bCs/>
          <w:i/>
          <w:iCs/>
          <w:sz w:val="20"/>
          <w:szCs w:val="20"/>
        </w:rPr>
      </w:pPr>
      <w:r w:rsidRPr="00CD7353">
        <w:rPr>
          <w:rFonts w:asciiTheme="majorBidi" w:hAnsiTheme="majorBidi" w:cstheme="majorBidi"/>
          <w:bCs/>
          <w:i/>
          <w:iCs/>
          <w:sz w:val="20"/>
          <w:szCs w:val="20"/>
        </w:rPr>
        <w:t xml:space="preserve">Estimating </w:t>
      </w:r>
      <w:r>
        <w:rPr>
          <w:rFonts w:asciiTheme="majorBidi" w:hAnsiTheme="majorBidi" w:cstheme="majorBidi"/>
          <w:bCs/>
          <w:i/>
          <w:iCs/>
          <w:sz w:val="20"/>
          <w:szCs w:val="20"/>
        </w:rPr>
        <w:t>E</w:t>
      </w:r>
      <w:r w:rsidRPr="00CD7353">
        <w:rPr>
          <w:rFonts w:asciiTheme="majorBidi" w:hAnsiTheme="majorBidi" w:cstheme="majorBidi"/>
          <w:bCs/>
          <w:i/>
          <w:iCs/>
          <w:sz w:val="20"/>
          <w:szCs w:val="20"/>
        </w:rPr>
        <w:t xml:space="preserve">ffects of </w:t>
      </w:r>
      <w:r>
        <w:rPr>
          <w:rFonts w:asciiTheme="majorBidi" w:hAnsiTheme="majorBidi" w:cstheme="majorBidi"/>
          <w:bCs/>
          <w:i/>
          <w:iCs/>
          <w:sz w:val="20"/>
          <w:szCs w:val="20"/>
        </w:rPr>
        <w:t>C</w:t>
      </w:r>
      <w:r w:rsidRPr="00CD7353">
        <w:rPr>
          <w:rFonts w:asciiTheme="majorBidi" w:hAnsiTheme="majorBidi" w:cstheme="majorBidi"/>
          <w:bCs/>
          <w:i/>
          <w:iCs/>
          <w:sz w:val="20"/>
          <w:szCs w:val="20"/>
        </w:rPr>
        <w:t>hildcare:</w:t>
      </w:r>
    </w:p>
    <w:p w14:paraId="235F6D15" w14:textId="33B71D35" w:rsidR="00940DE8" w:rsidRDefault="00940DE8" w:rsidP="00940DE8">
      <w:pPr>
        <w:rPr>
          <w:rFonts w:asciiTheme="majorBidi" w:hAnsiTheme="majorBidi" w:cstheme="majorBidi"/>
          <w:bCs/>
          <w:sz w:val="20"/>
          <w:szCs w:val="20"/>
        </w:rPr>
      </w:pPr>
      <w:r w:rsidRPr="00CD7353">
        <w:rPr>
          <w:rFonts w:asciiTheme="majorBidi" w:hAnsiTheme="majorBidi" w:cstheme="majorBidi"/>
          <w:bCs/>
          <w:sz w:val="20"/>
          <w:szCs w:val="20"/>
        </w:rPr>
        <w:t>Outcomes were regressed on childcare variables with each respondent assigned a weight equal to P(M)/P(M|</w:t>
      </w:r>
      <w:proofErr w:type="gramStart"/>
      <w:r w:rsidR="00610A50">
        <w:rPr>
          <w:rFonts w:asciiTheme="majorBidi" w:hAnsiTheme="majorBidi" w:cstheme="majorBidi"/>
          <w:bCs/>
          <w:sz w:val="20"/>
          <w:szCs w:val="20"/>
        </w:rPr>
        <w:t>X</w:t>
      </w:r>
      <w:r w:rsidRPr="00CD7353">
        <w:rPr>
          <w:rFonts w:asciiTheme="majorBidi" w:hAnsiTheme="majorBidi" w:cstheme="majorBidi"/>
          <w:bCs/>
          <w:sz w:val="20"/>
          <w:szCs w:val="20"/>
        </w:rPr>
        <w:t>,</w:t>
      </w:r>
      <w:r w:rsidR="00610A50">
        <w:rPr>
          <w:rFonts w:asciiTheme="majorBidi" w:hAnsiTheme="majorBidi" w:cstheme="majorBidi"/>
          <w:bCs/>
          <w:sz w:val="20"/>
          <w:szCs w:val="20"/>
        </w:rPr>
        <w:t>C</w:t>
      </w:r>
      <w:proofErr w:type="gramEnd"/>
      <w:r w:rsidRPr="00CD7353">
        <w:rPr>
          <w:rFonts w:asciiTheme="majorBidi" w:hAnsiTheme="majorBidi" w:cstheme="majorBidi"/>
          <w:bCs/>
          <w:sz w:val="20"/>
          <w:szCs w:val="20"/>
        </w:rPr>
        <w:t>,</w:t>
      </w:r>
      <w:r w:rsidR="00610A50">
        <w:rPr>
          <w:rFonts w:asciiTheme="majorBidi" w:hAnsiTheme="majorBidi" w:cstheme="majorBidi"/>
          <w:bCs/>
          <w:sz w:val="20"/>
          <w:szCs w:val="20"/>
        </w:rPr>
        <w:t>L</w:t>
      </w:r>
      <w:r w:rsidRPr="00CD7353">
        <w:rPr>
          <w:rFonts w:asciiTheme="majorBidi" w:hAnsiTheme="majorBidi" w:cstheme="majorBidi"/>
          <w:bCs/>
          <w:sz w:val="20"/>
          <w:szCs w:val="20"/>
        </w:rPr>
        <w:t xml:space="preserve">). M was their observed level of childcare within the period in question. </w:t>
      </w:r>
      <w:r w:rsidR="00610A50">
        <w:rPr>
          <w:rFonts w:asciiTheme="majorBidi" w:hAnsiTheme="majorBidi" w:cstheme="majorBidi"/>
          <w:bCs/>
          <w:sz w:val="20"/>
          <w:szCs w:val="20"/>
        </w:rPr>
        <w:t>X</w:t>
      </w:r>
      <w:r w:rsidRPr="00CD7353">
        <w:rPr>
          <w:rFonts w:asciiTheme="majorBidi" w:hAnsiTheme="majorBidi" w:cstheme="majorBidi"/>
          <w:bCs/>
          <w:sz w:val="20"/>
          <w:szCs w:val="20"/>
        </w:rPr>
        <w:t xml:space="preserve"> represents parental education and family structure which are confounders for the </w:t>
      </w:r>
      <w:r>
        <w:rPr>
          <w:rFonts w:asciiTheme="majorBidi" w:hAnsiTheme="majorBidi" w:cstheme="majorBidi"/>
          <w:bCs/>
          <w:sz w:val="20"/>
          <w:szCs w:val="20"/>
        </w:rPr>
        <w:t xml:space="preserve">average </w:t>
      </w:r>
      <w:r w:rsidR="00D02399">
        <w:rPr>
          <w:rFonts w:asciiTheme="majorBidi" w:hAnsiTheme="majorBidi" w:cstheme="majorBidi"/>
          <w:bCs/>
          <w:sz w:val="20"/>
          <w:szCs w:val="20"/>
        </w:rPr>
        <w:t xml:space="preserve">treatment </w:t>
      </w:r>
      <w:r w:rsidRPr="00CD7353">
        <w:rPr>
          <w:rFonts w:asciiTheme="majorBidi" w:hAnsiTheme="majorBidi" w:cstheme="majorBidi"/>
          <w:bCs/>
          <w:sz w:val="20"/>
          <w:szCs w:val="20"/>
        </w:rPr>
        <w:t xml:space="preserve">effects </w:t>
      </w:r>
      <w:r w:rsidR="00D02399">
        <w:rPr>
          <w:rFonts w:asciiTheme="majorBidi" w:hAnsiTheme="majorBidi" w:cstheme="majorBidi"/>
          <w:bCs/>
          <w:sz w:val="20"/>
          <w:szCs w:val="20"/>
        </w:rPr>
        <w:t xml:space="preserve">(ATE) </w:t>
      </w:r>
      <w:r w:rsidRPr="00CD7353">
        <w:rPr>
          <w:rFonts w:asciiTheme="majorBidi" w:hAnsiTheme="majorBidi" w:cstheme="majorBidi"/>
          <w:bCs/>
          <w:sz w:val="20"/>
          <w:szCs w:val="20"/>
        </w:rPr>
        <w:t xml:space="preserve">of childcare. </w:t>
      </w:r>
      <w:r w:rsidR="00610A50">
        <w:rPr>
          <w:rFonts w:asciiTheme="majorBidi" w:hAnsiTheme="majorBidi" w:cstheme="majorBidi"/>
          <w:bCs/>
          <w:sz w:val="20"/>
          <w:szCs w:val="20"/>
        </w:rPr>
        <w:t>C</w:t>
      </w:r>
      <w:r w:rsidRPr="00CD7353">
        <w:rPr>
          <w:rFonts w:asciiTheme="majorBidi" w:hAnsiTheme="majorBidi" w:cstheme="majorBidi"/>
          <w:bCs/>
          <w:sz w:val="20"/>
          <w:szCs w:val="20"/>
        </w:rPr>
        <w:t xml:space="preserve"> and </w:t>
      </w:r>
      <w:r w:rsidR="00610A50">
        <w:rPr>
          <w:rFonts w:asciiTheme="majorBidi" w:hAnsiTheme="majorBidi" w:cstheme="majorBidi"/>
          <w:bCs/>
          <w:sz w:val="20"/>
          <w:szCs w:val="20"/>
        </w:rPr>
        <w:t>L</w:t>
      </w:r>
      <w:r w:rsidRPr="00CD7353">
        <w:rPr>
          <w:rFonts w:asciiTheme="majorBidi" w:hAnsiTheme="majorBidi" w:cstheme="majorBidi"/>
          <w:bCs/>
          <w:sz w:val="20"/>
          <w:szCs w:val="20"/>
        </w:rPr>
        <w:t xml:space="preserve"> represent sets of </w:t>
      </w:r>
      <w:proofErr w:type="gramStart"/>
      <w:r w:rsidRPr="00CD7353">
        <w:rPr>
          <w:rFonts w:asciiTheme="majorBidi" w:hAnsiTheme="majorBidi" w:cstheme="majorBidi"/>
          <w:bCs/>
          <w:sz w:val="20"/>
          <w:szCs w:val="20"/>
        </w:rPr>
        <w:t>pre</w:t>
      </w:r>
      <w:proofErr w:type="gramEnd"/>
      <w:r w:rsidRPr="00CD7353">
        <w:rPr>
          <w:rFonts w:asciiTheme="majorBidi" w:hAnsiTheme="majorBidi" w:cstheme="majorBidi"/>
          <w:bCs/>
          <w:sz w:val="20"/>
          <w:szCs w:val="20"/>
        </w:rPr>
        <w:t xml:space="preserve"> and post-exposure confounders as listed in Table 1</w:t>
      </w:r>
      <w:r w:rsidR="00B4656E">
        <w:rPr>
          <w:rFonts w:asciiTheme="majorBidi" w:hAnsiTheme="majorBidi" w:cstheme="majorBidi"/>
          <w:bCs/>
          <w:sz w:val="20"/>
          <w:szCs w:val="20"/>
        </w:rPr>
        <w:t xml:space="preserve"> of the main paper</w:t>
      </w:r>
      <w:r w:rsidRPr="00CD7353">
        <w:rPr>
          <w:rFonts w:asciiTheme="majorBidi" w:hAnsiTheme="majorBidi" w:cstheme="majorBidi"/>
          <w:bCs/>
          <w:sz w:val="20"/>
          <w:szCs w:val="20"/>
        </w:rPr>
        <w:t xml:space="preserve"> (the pre/post distinction is not important here but is important for estimating impacts on inequalities). The purpose of this weighting is to balance observed confounders (</w:t>
      </w:r>
      <w:r w:rsidR="00610A50">
        <w:rPr>
          <w:rFonts w:asciiTheme="majorBidi" w:hAnsiTheme="majorBidi" w:cstheme="majorBidi"/>
          <w:bCs/>
          <w:sz w:val="20"/>
          <w:szCs w:val="20"/>
        </w:rPr>
        <w:t>X</w:t>
      </w:r>
      <w:r w:rsidRPr="00CD7353">
        <w:rPr>
          <w:rFonts w:asciiTheme="majorBidi" w:hAnsiTheme="majorBidi" w:cstheme="majorBidi"/>
          <w:bCs/>
          <w:sz w:val="20"/>
          <w:szCs w:val="20"/>
        </w:rPr>
        <w:t xml:space="preserve">, </w:t>
      </w:r>
      <w:r w:rsidR="00610A50">
        <w:rPr>
          <w:rFonts w:asciiTheme="majorBidi" w:hAnsiTheme="majorBidi" w:cstheme="majorBidi"/>
          <w:bCs/>
          <w:sz w:val="20"/>
          <w:szCs w:val="20"/>
        </w:rPr>
        <w:t>C</w:t>
      </w:r>
      <w:r w:rsidRPr="00CD7353">
        <w:rPr>
          <w:rFonts w:asciiTheme="majorBidi" w:hAnsiTheme="majorBidi" w:cstheme="majorBidi"/>
          <w:bCs/>
          <w:sz w:val="20"/>
          <w:szCs w:val="20"/>
        </w:rPr>
        <w:t xml:space="preserve"> and </w:t>
      </w:r>
      <w:r w:rsidR="00610A50">
        <w:rPr>
          <w:rFonts w:asciiTheme="majorBidi" w:hAnsiTheme="majorBidi" w:cstheme="majorBidi"/>
          <w:bCs/>
          <w:sz w:val="20"/>
          <w:szCs w:val="20"/>
        </w:rPr>
        <w:t>L</w:t>
      </w:r>
      <w:r w:rsidRPr="00CD7353">
        <w:rPr>
          <w:rFonts w:asciiTheme="majorBidi" w:hAnsiTheme="majorBidi" w:cstheme="majorBidi"/>
          <w:bCs/>
          <w:sz w:val="20"/>
          <w:szCs w:val="20"/>
        </w:rPr>
        <w:t xml:space="preserve">) across levels of childcare exposure (M). The probabilities required to calculate these weights were estimated via logistic regression models (with and without </w:t>
      </w:r>
      <w:r w:rsidR="00610A50">
        <w:rPr>
          <w:rFonts w:asciiTheme="majorBidi" w:hAnsiTheme="majorBidi" w:cstheme="majorBidi"/>
          <w:bCs/>
          <w:sz w:val="20"/>
          <w:szCs w:val="20"/>
        </w:rPr>
        <w:t>X</w:t>
      </w:r>
      <w:r w:rsidRPr="00CD7353">
        <w:rPr>
          <w:rFonts w:asciiTheme="majorBidi" w:hAnsiTheme="majorBidi" w:cstheme="majorBidi"/>
          <w:bCs/>
          <w:sz w:val="20"/>
          <w:szCs w:val="20"/>
        </w:rPr>
        <w:t xml:space="preserve">, </w:t>
      </w:r>
      <w:r w:rsidR="00610A50">
        <w:rPr>
          <w:rFonts w:asciiTheme="majorBidi" w:hAnsiTheme="majorBidi" w:cstheme="majorBidi"/>
          <w:bCs/>
          <w:sz w:val="20"/>
          <w:szCs w:val="20"/>
        </w:rPr>
        <w:t>C</w:t>
      </w:r>
      <w:r w:rsidRPr="00CD7353">
        <w:rPr>
          <w:rFonts w:asciiTheme="majorBidi" w:hAnsiTheme="majorBidi" w:cstheme="majorBidi"/>
          <w:bCs/>
          <w:sz w:val="20"/>
          <w:szCs w:val="20"/>
        </w:rPr>
        <w:t xml:space="preserve"> and </w:t>
      </w:r>
      <w:r w:rsidR="00610A50">
        <w:rPr>
          <w:rFonts w:asciiTheme="majorBidi" w:hAnsiTheme="majorBidi" w:cstheme="majorBidi"/>
          <w:bCs/>
          <w:sz w:val="20"/>
          <w:szCs w:val="20"/>
        </w:rPr>
        <w:t>L</w:t>
      </w:r>
      <w:r w:rsidRPr="00CD7353">
        <w:rPr>
          <w:rFonts w:asciiTheme="majorBidi" w:hAnsiTheme="majorBidi" w:cstheme="majorBidi"/>
          <w:bCs/>
          <w:sz w:val="20"/>
          <w:szCs w:val="20"/>
        </w:rPr>
        <w:t xml:space="preserve">). </w:t>
      </w:r>
      <w:r>
        <w:rPr>
          <w:rFonts w:asciiTheme="majorBidi" w:hAnsiTheme="majorBidi" w:cstheme="majorBidi"/>
          <w:bCs/>
          <w:sz w:val="20"/>
          <w:szCs w:val="20"/>
        </w:rPr>
        <w:t xml:space="preserve">Figure </w:t>
      </w:r>
      <w:r w:rsidR="00B4656E">
        <w:rPr>
          <w:rFonts w:asciiTheme="majorBidi" w:hAnsiTheme="majorBidi" w:cstheme="majorBidi"/>
          <w:bCs/>
          <w:sz w:val="20"/>
          <w:szCs w:val="20"/>
        </w:rPr>
        <w:t>S1.1</w:t>
      </w:r>
      <w:r>
        <w:rPr>
          <w:rFonts w:asciiTheme="majorBidi" w:hAnsiTheme="majorBidi" w:cstheme="majorBidi"/>
          <w:bCs/>
          <w:sz w:val="20"/>
          <w:szCs w:val="20"/>
        </w:rPr>
        <w:t xml:space="preserve"> shows standardised mean differences in all these confounding variables associated with centre and </w:t>
      </w:r>
      <w:proofErr w:type="spellStart"/>
      <w:r>
        <w:rPr>
          <w:rFonts w:asciiTheme="majorBidi" w:hAnsiTheme="majorBidi" w:cstheme="majorBidi"/>
          <w:bCs/>
          <w:sz w:val="20"/>
          <w:szCs w:val="20"/>
        </w:rPr>
        <w:t>non centre</w:t>
      </w:r>
      <w:proofErr w:type="spellEnd"/>
      <w:r>
        <w:rPr>
          <w:rFonts w:asciiTheme="majorBidi" w:hAnsiTheme="majorBidi" w:cstheme="majorBidi"/>
          <w:bCs/>
          <w:sz w:val="20"/>
          <w:szCs w:val="20"/>
        </w:rPr>
        <w:t>-based childcare, both before and after application of these inverse probability weights.</w:t>
      </w:r>
      <w:r w:rsidR="00D02399">
        <w:rPr>
          <w:rFonts w:asciiTheme="majorBidi" w:hAnsiTheme="majorBidi" w:cstheme="majorBidi"/>
          <w:bCs/>
          <w:sz w:val="20"/>
          <w:szCs w:val="20"/>
        </w:rPr>
        <w:t xml:space="preserve"> Standardised mean differences within the dashed lines are those &gt;-0.2 and &lt;0.2 and were considered negligible. While many of the differences associated with childcare use observed using only the sampling weights were above this level the weighting reduced all differences to below this level.</w:t>
      </w:r>
    </w:p>
    <w:p w14:paraId="43FF0959" w14:textId="04A670DB" w:rsidR="00B67760" w:rsidRDefault="00D02399" w:rsidP="00940DE8">
      <w:pPr>
        <w:rPr>
          <w:rFonts w:asciiTheme="majorBidi" w:hAnsiTheme="majorBidi" w:cstheme="majorBidi"/>
          <w:bCs/>
          <w:sz w:val="20"/>
          <w:szCs w:val="20"/>
        </w:rPr>
        <w:sectPr w:rsidR="00B67760">
          <w:pgSz w:w="11906" w:h="16838"/>
          <w:pgMar w:top="1440" w:right="1440" w:bottom="1440" w:left="1440" w:header="708" w:footer="708" w:gutter="0"/>
          <w:cols w:space="708"/>
          <w:docGrid w:linePitch="360"/>
        </w:sectPr>
      </w:pPr>
      <w:r>
        <w:rPr>
          <w:rFonts w:asciiTheme="majorBidi" w:hAnsiTheme="majorBidi" w:cstheme="majorBidi"/>
          <w:bCs/>
          <w:sz w:val="20"/>
          <w:szCs w:val="20"/>
        </w:rPr>
        <w:t xml:space="preserve">Supplementary File </w:t>
      </w:r>
      <w:r w:rsidR="00287EDF">
        <w:rPr>
          <w:rFonts w:asciiTheme="majorBidi" w:hAnsiTheme="majorBidi" w:cstheme="majorBidi"/>
          <w:bCs/>
          <w:sz w:val="20"/>
          <w:szCs w:val="20"/>
        </w:rPr>
        <w:t>2</w:t>
      </w:r>
      <w:r>
        <w:rPr>
          <w:rFonts w:asciiTheme="majorBidi" w:hAnsiTheme="majorBidi" w:cstheme="majorBidi"/>
          <w:bCs/>
          <w:sz w:val="20"/>
          <w:szCs w:val="20"/>
        </w:rPr>
        <w:t xml:space="preserve"> includes a re-analysis where several of the confounders (as indicated in Table 1) were assumed to be influenced by (rather than influencing) childcare use, so an alternate set of weights were used which did not include these variables. </w:t>
      </w:r>
      <w:r w:rsidR="007A1250">
        <w:rPr>
          <w:rFonts w:asciiTheme="majorBidi" w:hAnsiTheme="majorBidi" w:cstheme="majorBidi"/>
          <w:bCs/>
          <w:sz w:val="20"/>
          <w:szCs w:val="20"/>
        </w:rPr>
        <w:t xml:space="preserve">Figure </w:t>
      </w:r>
      <w:r w:rsidR="00B4656E">
        <w:rPr>
          <w:rFonts w:asciiTheme="majorBidi" w:hAnsiTheme="majorBidi" w:cstheme="majorBidi"/>
          <w:bCs/>
          <w:sz w:val="20"/>
          <w:szCs w:val="20"/>
        </w:rPr>
        <w:t>S1.2</w:t>
      </w:r>
      <w:r w:rsidR="007A1250">
        <w:rPr>
          <w:rFonts w:asciiTheme="majorBidi" w:hAnsiTheme="majorBidi" w:cstheme="majorBidi"/>
          <w:bCs/>
          <w:sz w:val="20"/>
          <w:szCs w:val="20"/>
        </w:rPr>
        <w:t xml:space="preserve"> shows standardised mean differences for all confounders using this alternate (less conservative) weighting scheme. Even without including these variables in the weighting scheme, most of the differences associated with childcare were removed when weighting on the retained variables, parental economic activity at </w:t>
      </w:r>
      <w:r w:rsidR="00B4656E">
        <w:rPr>
          <w:rFonts w:asciiTheme="majorBidi" w:hAnsiTheme="majorBidi" w:cstheme="majorBidi"/>
          <w:bCs/>
          <w:sz w:val="20"/>
          <w:szCs w:val="20"/>
        </w:rPr>
        <w:t>age 3</w:t>
      </w:r>
      <w:r w:rsidR="007A1250">
        <w:rPr>
          <w:rFonts w:asciiTheme="majorBidi" w:hAnsiTheme="majorBidi" w:cstheme="majorBidi"/>
          <w:bCs/>
          <w:sz w:val="20"/>
          <w:szCs w:val="20"/>
        </w:rPr>
        <w:t xml:space="preserve"> </w:t>
      </w:r>
      <w:r w:rsidR="00F3457C">
        <w:rPr>
          <w:rFonts w:asciiTheme="majorBidi" w:hAnsiTheme="majorBidi" w:cstheme="majorBidi"/>
          <w:bCs/>
          <w:sz w:val="20"/>
          <w:szCs w:val="20"/>
        </w:rPr>
        <w:t xml:space="preserve">was the only variable for which there </w:t>
      </w:r>
      <w:r w:rsidR="007A1250">
        <w:rPr>
          <w:rFonts w:asciiTheme="majorBidi" w:hAnsiTheme="majorBidi" w:cstheme="majorBidi"/>
          <w:bCs/>
          <w:sz w:val="20"/>
          <w:szCs w:val="20"/>
        </w:rPr>
        <w:t xml:space="preserve">remained </w:t>
      </w:r>
      <w:r w:rsidR="00F3457C">
        <w:rPr>
          <w:rFonts w:asciiTheme="majorBidi" w:hAnsiTheme="majorBidi" w:cstheme="majorBidi"/>
          <w:bCs/>
          <w:sz w:val="20"/>
          <w:szCs w:val="20"/>
        </w:rPr>
        <w:t xml:space="preserve">a large </w:t>
      </w:r>
      <w:r w:rsidR="007A1250">
        <w:rPr>
          <w:rFonts w:asciiTheme="majorBidi" w:hAnsiTheme="majorBidi" w:cstheme="majorBidi"/>
          <w:bCs/>
          <w:sz w:val="20"/>
          <w:szCs w:val="20"/>
        </w:rPr>
        <w:t>associat</w:t>
      </w:r>
      <w:r w:rsidR="00F3457C">
        <w:rPr>
          <w:rFonts w:asciiTheme="majorBidi" w:hAnsiTheme="majorBidi" w:cstheme="majorBidi"/>
          <w:bCs/>
          <w:sz w:val="20"/>
          <w:szCs w:val="20"/>
        </w:rPr>
        <w:t>ion, and that only</w:t>
      </w:r>
      <w:r w:rsidR="007A1250">
        <w:rPr>
          <w:rFonts w:asciiTheme="majorBidi" w:hAnsiTheme="majorBidi" w:cstheme="majorBidi"/>
          <w:bCs/>
          <w:sz w:val="20"/>
          <w:szCs w:val="20"/>
        </w:rPr>
        <w:t xml:space="preserve"> with </w:t>
      </w:r>
      <w:proofErr w:type="spellStart"/>
      <w:r w:rsidR="007A1250">
        <w:rPr>
          <w:rFonts w:asciiTheme="majorBidi" w:hAnsiTheme="majorBidi" w:cstheme="majorBidi"/>
          <w:bCs/>
          <w:sz w:val="20"/>
          <w:szCs w:val="20"/>
        </w:rPr>
        <w:t>non centre</w:t>
      </w:r>
      <w:proofErr w:type="spellEnd"/>
      <w:r w:rsidR="007A1250">
        <w:rPr>
          <w:rFonts w:asciiTheme="majorBidi" w:hAnsiTheme="majorBidi" w:cstheme="majorBidi"/>
          <w:bCs/>
          <w:sz w:val="20"/>
          <w:szCs w:val="20"/>
        </w:rPr>
        <w:t>-based childcare.</w:t>
      </w:r>
    </w:p>
    <w:p w14:paraId="1A7D9AB5" w14:textId="1D7C48BC" w:rsidR="00D02399" w:rsidRDefault="00D02399" w:rsidP="00940DE8">
      <w:pPr>
        <w:rPr>
          <w:rFonts w:asciiTheme="majorBidi" w:hAnsiTheme="majorBidi" w:cstheme="majorBidi"/>
          <w:bCs/>
          <w:sz w:val="20"/>
          <w:szCs w:val="20"/>
        </w:rPr>
      </w:pPr>
    </w:p>
    <w:p w14:paraId="7DA7C739" w14:textId="4CB2D7CC" w:rsidR="00CB76AD" w:rsidRDefault="002A717C" w:rsidP="00940DE8">
      <w:pPr>
        <w:rPr>
          <w:rFonts w:asciiTheme="majorBidi" w:hAnsiTheme="majorBidi" w:cstheme="majorBidi"/>
          <w:bCs/>
          <w:sz w:val="20"/>
          <w:szCs w:val="20"/>
        </w:rPr>
      </w:pPr>
      <w:r>
        <w:rPr>
          <w:rFonts w:asciiTheme="majorBidi" w:hAnsiTheme="majorBidi" w:cstheme="majorBidi"/>
          <w:bCs/>
          <w:noProof/>
          <w:sz w:val="20"/>
          <w:szCs w:val="20"/>
        </w:rPr>
        <w:drawing>
          <wp:inline distT="0" distB="0" distL="0" distR="0" wp14:anchorId="040D968A" wp14:editId="633A3CD5">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6_CCatebal_100720.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BE6D94E" w14:textId="0F1D2BE1" w:rsidR="00610A50" w:rsidRDefault="00CB76AD" w:rsidP="00940DE8">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S1.1</w:t>
      </w:r>
      <w:r>
        <w:rPr>
          <w:rFonts w:asciiTheme="majorBidi" w:hAnsiTheme="majorBidi" w:cstheme="majorBidi"/>
          <w:b/>
          <w:sz w:val="20"/>
          <w:szCs w:val="20"/>
        </w:rPr>
        <w:t xml:space="preserve">: Standardised Mean Differences in Confounders Associated with Childcare </w:t>
      </w:r>
    </w:p>
    <w:p w14:paraId="384F850A" w14:textId="0A7EB8B6" w:rsidR="00B67760" w:rsidRDefault="00610A50" w:rsidP="00940DE8">
      <w:pPr>
        <w:rPr>
          <w:rFonts w:asciiTheme="majorBidi" w:hAnsiTheme="majorBidi" w:cstheme="majorBidi"/>
          <w:b/>
          <w:sz w:val="20"/>
          <w:szCs w:val="20"/>
        </w:rPr>
        <w:sectPr w:rsidR="00B67760">
          <w:pgSz w:w="11906" w:h="16838"/>
          <w:pgMar w:top="1440" w:right="1440" w:bottom="1440" w:left="1440" w:header="708" w:footer="708" w:gutter="0"/>
          <w:cols w:space="708"/>
          <w:docGrid w:linePitch="360"/>
        </w:sectPr>
      </w:pPr>
      <w:r>
        <w:rPr>
          <w:rFonts w:asciiTheme="majorBidi" w:hAnsiTheme="majorBidi" w:cstheme="majorBidi"/>
          <w:bCs/>
          <w:sz w:val="20"/>
          <w:szCs w:val="20"/>
        </w:rPr>
        <w:t>W1 indicates measures taken at 9 months, while W2 indicates measures taken at age 3.</w:t>
      </w:r>
      <w:r w:rsidR="00CB76AD">
        <w:rPr>
          <w:rFonts w:asciiTheme="majorBidi" w:hAnsiTheme="majorBidi" w:cstheme="majorBidi"/>
          <w:b/>
          <w:sz w:val="20"/>
          <w:szCs w:val="20"/>
        </w:rPr>
        <w:t xml:space="preserve"> </w:t>
      </w:r>
    </w:p>
    <w:p w14:paraId="36261796" w14:textId="2A1665E3" w:rsidR="00CB76AD" w:rsidRDefault="00CB76AD" w:rsidP="00940DE8">
      <w:pPr>
        <w:rPr>
          <w:rFonts w:asciiTheme="majorBidi" w:hAnsiTheme="majorBidi" w:cstheme="majorBidi"/>
          <w:b/>
          <w:sz w:val="20"/>
          <w:szCs w:val="20"/>
        </w:rPr>
      </w:pPr>
    </w:p>
    <w:p w14:paraId="5887B841" w14:textId="4FE5C61A" w:rsidR="007A1250" w:rsidRPr="007A1250" w:rsidRDefault="002A717C" w:rsidP="00940DE8">
      <w:pPr>
        <w:rPr>
          <w:rFonts w:asciiTheme="majorBidi" w:hAnsiTheme="majorBidi" w:cstheme="majorBidi"/>
          <w:bCs/>
          <w:sz w:val="20"/>
          <w:szCs w:val="20"/>
        </w:rPr>
      </w:pPr>
      <w:r>
        <w:rPr>
          <w:rFonts w:asciiTheme="majorBidi" w:hAnsiTheme="majorBidi" w:cstheme="majorBidi"/>
          <w:bCs/>
          <w:noProof/>
          <w:sz w:val="20"/>
          <w:szCs w:val="20"/>
        </w:rPr>
        <w:drawing>
          <wp:inline distT="0" distB="0" distL="0" distR="0" wp14:anchorId="3CEDBC58" wp14:editId="00528D51">
            <wp:extent cx="5731510" cy="5731510"/>
            <wp:effectExtent l="0" t="0" r="2540" b="254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6_CCatebalB_10072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228B367" w14:textId="49084C6A" w:rsidR="00B67760" w:rsidRDefault="007A1250" w:rsidP="00F3457C">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S1.2</w:t>
      </w:r>
      <w:r>
        <w:rPr>
          <w:rFonts w:asciiTheme="majorBidi" w:hAnsiTheme="majorBidi" w:cstheme="majorBidi"/>
          <w:b/>
          <w:sz w:val="20"/>
          <w:szCs w:val="20"/>
        </w:rPr>
        <w:t xml:space="preserve">: Standardised Mean Differences in Confounders Associated with Childcare (alternate ATE weights) </w:t>
      </w:r>
    </w:p>
    <w:p w14:paraId="369BFC19" w14:textId="3E773E93" w:rsidR="00610A50" w:rsidRDefault="00610A50" w:rsidP="00F3457C">
      <w:pPr>
        <w:rPr>
          <w:rFonts w:asciiTheme="majorBidi" w:hAnsiTheme="majorBidi" w:cstheme="majorBidi"/>
          <w:b/>
          <w:sz w:val="20"/>
          <w:szCs w:val="20"/>
        </w:rPr>
        <w:sectPr w:rsidR="00610A50">
          <w:pgSz w:w="11906" w:h="16838"/>
          <w:pgMar w:top="1440" w:right="1440" w:bottom="1440" w:left="1440" w:header="708" w:footer="708" w:gutter="0"/>
          <w:cols w:space="708"/>
          <w:docGrid w:linePitch="360"/>
        </w:sectPr>
      </w:pPr>
      <w:r>
        <w:rPr>
          <w:rFonts w:asciiTheme="majorBidi" w:hAnsiTheme="majorBidi" w:cstheme="majorBidi"/>
          <w:bCs/>
          <w:sz w:val="20"/>
          <w:szCs w:val="20"/>
        </w:rPr>
        <w:t>W1 indicates measures taken at 9 months, while W2 indicates measures taken at age 3.</w:t>
      </w:r>
    </w:p>
    <w:p w14:paraId="1EE882F7" w14:textId="592B6E3C" w:rsidR="00940DE8" w:rsidRPr="00CD7353" w:rsidRDefault="00940DE8" w:rsidP="00940DE8">
      <w:pPr>
        <w:rPr>
          <w:rFonts w:asciiTheme="majorBidi" w:hAnsiTheme="majorBidi" w:cstheme="majorBidi"/>
          <w:bCs/>
          <w:i/>
          <w:iCs/>
          <w:sz w:val="20"/>
          <w:szCs w:val="20"/>
        </w:rPr>
      </w:pPr>
      <w:r w:rsidRPr="00CD7353">
        <w:rPr>
          <w:rFonts w:asciiTheme="majorBidi" w:hAnsiTheme="majorBidi" w:cstheme="majorBidi"/>
          <w:bCs/>
          <w:i/>
          <w:iCs/>
          <w:sz w:val="20"/>
          <w:szCs w:val="20"/>
        </w:rPr>
        <w:lastRenderedPageBreak/>
        <w:t xml:space="preserve">Estimating </w:t>
      </w:r>
      <w:r w:rsidR="00B67760">
        <w:rPr>
          <w:rFonts w:asciiTheme="majorBidi" w:hAnsiTheme="majorBidi" w:cstheme="majorBidi"/>
          <w:bCs/>
          <w:i/>
          <w:iCs/>
          <w:sz w:val="20"/>
          <w:szCs w:val="20"/>
        </w:rPr>
        <w:t>Average Treatment</w:t>
      </w:r>
      <w:r w:rsidRPr="00CD7353">
        <w:rPr>
          <w:rFonts w:asciiTheme="majorBidi" w:hAnsiTheme="majorBidi" w:cstheme="majorBidi"/>
          <w:bCs/>
          <w:i/>
          <w:iCs/>
          <w:sz w:val="20"/>
          <w:szCs w:val="20"/>
        </w:rPr>
        <w:t xml:space="preserve"> </w:t>
      </w:r>
      <w:r w:rsidR="00B67760">
        <w:rPr>
          <w:rFonts w:asciiTheme="majorBidi" w:hAnsiTheme="majorBidi" w:cstheme="majorBidi"/>
          <w:bCs/>
          <w:i/>
          <w:iCs/>
          <w:sz w:val="20"/>
          <w:szCs w:val="20"/>
        </w:rPr>
        <w:t>E</w:t>
      </w:r>
      <w:r w:rsidRPr="00CD7353">
        <w:rPr>
          <w:rFonts w:asciiTheme="majorBidi" w:hAnsiTheme="majorBidi" w:cstheme="majorBidi"/>
          <w:bCs/>
          <w:i/>
          <w:iCs/>
          <w:sz w:val="20"/>
          <w:szCs w:val="20"/>
        </w:rPr>
        <w:t xml:space="preserve">ffects </w:t>
      </w:r>
      <w:r w:rsidR="00B67760">
        <w:rPr>
          <w:rFonts w:asciiTheme="majorBidi" w:hAnsiTheme="majorBidi" w:cstheme="majorBidi"/>
          <w:bCs/>
          <w:i/>
          <w:iCs/>
          <w:sz w:val="20"/>
          <w:szCs w:val="20"/>
        </w:rPr>
        <w:t xml:space="preserve">(ATEs) </w:t>
      </w:r>
      <w:r w:rsidRPr="00CD7353">
        <w:rPr>
          <w:rFonts w:asciiTheme="majorBidi" w:hAnsiTheme="majorBidi" w:cstheme="majorBidi"/>
          <w:bCs/>
          <w:i/>
          <w:iCs/>
          <w:sz w:val="20"/>
          <w:szCs w:val="20"/>
        </w:rPr>
        <w:t xml:space="preserve">of </w:t>
      </w:r>
      <w:r w:rsidR="00B67760">
        <w:rPr>
          <w:rFonts w:asciiTheme="majorBidi" w:hAnsiTheme="majorBidi" w:cstheme="majorBidi"/>
          <w:bCs/>
          <w:i/>
          <w:iCs/>
          <w:sz w:val="20"/>
          <w:szCs w:val="20"/>
        </w:rPr>
        <w:t>P</w:t>
      </w:r>
      <w:r w:rsidRPr="00CD7353">
        <w:rPr>
          <w:rFonts w:asciiTheme="majorBidi" w:hAnsiTheme="majorBidi" w:cstheme="majorBidi"/>
          <w:bCs/>
          <w:i/>
          <w:iCs/>
          <w:sz w:val="20"/>
          <w:szCs w:val="20"/>
        </w:rPr>
        <w:t xml:space="preserve">arental </w:t>
      </w:r>
      <w:r w:rsidR="00B67760">
        <w:rPr>
          <w:rFonts w:asciiTheme="majorBidi" w:hAnsiTheme="majorBidi" w:cstheme="majorBidi"/>
          <w:bCs/>
          <w:i/>
          <w:iCs/>
          <w:sz w:val="20"/>
          <w:szCs w:val="20"/>
        </w:rPr>
        <w:t>E</w:t>
      </w:r>
      <w:r w:rsidRPr="00CD7353">
        <w:rPr>
          <w:rFonts w:asciiTheme="majorBidi" w:hAnsiTheme="majorBidi" w:cstheme="majorBidi"/>
          <w:bCs/>
          <w:i/>
          <w:iCs/>
          <w:sz w:val="20"/>
          <w:szCs w:val="20"/>
        </w:rPr>
        <w:t xml:space="preserve">ducation and </w:t>
      </w:r>
      <w:r w:rsidR="00B67760">
        <w:rPr>
          <w:rFonts w:asciiTheme="majorBidi" w:hAnsiTheme="majorBidi" w:cstheme="majorBidi"/>
          <w:bCs/>
          <w:i/>
          <w:iCs/>
          <w:sz w:val="20"/>
          <w:szCs w:val="20"/>
        </w:rPr>
        <w:t>F</w:t>
      </w:r>
      <w:r w:rsidRPr="00CD7353">
        <w:rPr>
          <w:rFonts w:asciiTheme="majorBidi" w:hAnsiTheme="majorBidi" w:cstheme="majorBidi"/>
          <w:bCs/>
          <w:i/>
          <w:iCs/>
          <w:sz w:val="20"/>
          <w:szCs w:val="20"/>
        </w:rPr>
        <w:t xml:space="preserve">amily </w:t>
      </w:r>
      <w:r w:rsidR="00B67760">
        <w:rPr>
          <w:rFonts w:asciiTheme="majorBidi" w:hAnsiTheme="majorBidi" w:cstheme="majorBidi"/>
          <w:bCs/>
          <w:i/>
          <w:iCs/>
          <w:sz w:val="20"/>
          <w:szCs w:val="20"/>
        </w:rPr>
        <w:t>S</w:t>
      </w:r>
      <w:r w:rsidRPr="00CD7353">
        <w:rPr>
          <w:rFonts w:asciiTheme="majorBidi" w:hAnsiTheme="majorBidi" w:cstheme="majorBidi"/>
          <w:bCs/>
          <w:i/>
          <w:iCs/>
          <w:sz w:val="20"/>
          <w:szCs w:val="20"/>
        </w:rPr>
        <w:t xml:space="preserve">tructure; </w:t>
      </w:r>
    </w:p>
    <w:p w14:paraId="58F50A62" w14:textId="4E3C263C" w:rsidR="00940DE8" w:rsidRDefault="00940DE8" w:rsidP="00940DE8">
      <w:pPr>
        <w:rPr>
          <w:rFonts w:asciiTheme="majorBidi" w:hAnsiTheme="majorBidi" w:cstheme="majorBidi"/>
          <w:bCs/>
          <w:sz w:val="20"/>
          <w:szCs w:val="20"/>
        </w:rPr>
      </w:pPr>
      <w:r w:rsidRPr="00CD7353">
        <w:rPr>
          <w:rFonts w:asciiTheme="majorBidi" w:hAnsiTheme="majorBidi" w:cstheme="majorBidi"/>
          <w:bCs/>
          <w:sz w:val="20"/>
          <w:szCs w:val="20"/>
        </w:rPr>
        <w:t>Outcomes were regressed on the relevant exposure with each respondent assigned a weight equal to P(</w:t>
      </w:r>
      <w:r w:rsidR="00610A50">
        <w:rPr>
          <w:rFonts w:asciiTheme="majorBidi" w:hAnsiTheme="majorBidi" w:cstheme="majorBidi"/>
          <w:bCs/>
          <w:sz w:val="20"/>
          <w:szCs w:val="20"/>
        </w:rPr>
        <w:t>X</w:t>
      </w:r>
      <w:r w:rsidRPr="00CD7353">
        <w:rPr>
          <w:rFonts w:asciiTheme="majorBidi" w:hAnsiTheme="majorBidi" w:cstheme="majorBidi"/>
          <w:bCs/>
          <w:sz w:val="20"/>
          <w:szCs w:val="20"/>
        </w:rPr>
        <w:t>)/P(</w:t>
      </w:r>
      <w:r w:rsidR="00610A50">
        <w:rPr>
          <w:rFonts w:asciiTheme="majorBidi" w:hAnsiTheme="majorBidi" w:cstheme="majorBidi"/>
          <w:bCs/>
          <w:sz w:val="20"/>
          <w:szCs w:val="20"/>
        </w:rPr>
        <w:t>X</w:t>
      </w:r>
      <w:r w:rsidRPr="00CD7353">
        <w:rPr>
          <w:rFonts w:asciiTheme="majorBidi" w:hAnsiTheme="majorBidi" w:cstheme="majorBidi"/>
          <w:bCs/>
          <w:sz w:val="20"/>
          <w:szCs w:val="20"/>
        </w:rPr>
        <w:t>|</w:t>
      </w:r>
      <w:r w:rsidR="00610A50">
        <w:rPr>
          <w:rFonts w:asciiTheme="majorBidi" w:hAnsiTheme="majorBidi" w:cstheme="majorBidi"/>
          <w:bCs/>
          <w:sz w:val="20"/>
          <w:szCs w:val="20"/>
        </w:rPr>
        <w:t>C</w:t>
      </w:r>
      <w:r w:rsidRPr="00CD7353">
        <w:rPr>
          <w:rFonts w:asciiTheme="majorBidi" w:hAnsiTheme="majorBidi" w:cstheme="majorBidi"/>
          <w:bCs/>
          <w:sz w:val="20"/>
          <w:szCs w:val="20"/>
        </w:rPr>
        <w:t xml:space="preserve">), where </w:t>
      </w:r>
      <w:r w:rsidR="00610A50">
        <w:rPr>
          <w:rFonts w:asciiTheme="majorBidi" w:hAnsiTheme="majorBidi" w:cstheme="majorBidi"/>
          <w:bCs/>
          <w:sz w:val="20"/>
          <w:szCs w:val="20"/>
        </w:rPr>
        <w:t>X</w:t>
      </w:r>
      <w:r w:rsidRPr="00CD7353">
        <w:rPr>
          <w:rFonts w:asciiTheme="majorBidi" w:hAnsiTheme="majorBidi" w:cstheme="majorBidi"/>
          <w:bCs/>
          <w:sz w:val="20"/>
          <w:szCs w:val="20"/>
        </w:rPr>
        <w:t xml:space="preserve"> represents respondents’ observed values for the exposure in question, and </w:t>
      </w:r>
      <w:r w:rsidR="00610A50">
        <w:rPr>
          <w:rFonts w:asciiTheme="majorBidi" w:hAnsiTheme="majorBidi" w:cstheme="majorBidi"/>
          <w:bCs/>
          <w:sz w:val="20"/>
          <w:szCs w:val="20"/>
        </w:rPr>
        <w:t>C</w:t>
      </w:r>
      <w:r w:rsidRPr="00CD7353">
        <w:rPr>
          <w:rFonts w:asciiTheme="majorBidi" w:hAnsiTheme="majorBidi" w:cstheme="majorBidi"/>
          <w:bCs/>
          <w:sz w:val="20"/>
          <w:szCs w:val="20"/>
        </w:rPr>
        <w:t xml:space="preserve"> represents a set of pre-exposure confounders as listed in Table 1</w:t>
      </w:r>
      <w:r w:rsidR="00B4656E">
        <w:rPr>
          <w:rFonts w:asciiTheme="majorBidi" w:hAnsiTheme="majorBidi" w:cstheme="majorBidi"/>
          <w:bCs/>
          <w:sz w:val="20"/>
          <w:szCs w:val="20"/>
        </w:rPr>
        <w:t xml:space="preserve"> in the main paper</w:t>
      </w:r>
      <w:r w:rsidRPr="00CD7353">
        <w:rPr>
          <w:rFonts w:asciiTheme="majorBidi" w:hAnsiTheme="majorBidi" w:cstheme="majorBidi"/>
          <w:bCs/>
          <w:sz w:val="20"/>
          <w:szCs w:val="20"/>
        </w:rPr>
        <w:t xml:space="preserve">. The purpose of this </w:t>
      </w:r>
      <w:r w:rsidR="00F3457C">
        <w:rPr>
          <w:rFonts w:asciiTheme="majorBidi" w:hAnsiTheme="majorBidi" w:cstheme="majorBidi"/>
          <w:bCs/>
          <w:sz w:val="20"/>
          <w:szCs w:val="20"/>
        </w:rPr>
        <w:t xml:space="preserve">ATE </w:t>
      </w:r>
      <w:r w:rsidRPr="00CD7353">
        <w:rPr>
          <w:rFonts w:asciiTheme="majorBidi" w:hAnsiTheme="majorBidi" w:cstheme="majorBidi"/>
          <w:bCs/>
          <w:sz w:val="20"/>
          <w:szCs w:val="20"/>
        </w:rPr>
        <w:t>weighting is to balance observed pre-exposure confounders (</w:t>
      </w:r>
      <w:r w:rsidR="00610A50">
        <w:rPr>
          <w:rFonts w:asciiTheme="majorBidi" w:hAnsiTheme="majorBidi" w:cstheme="majorBidi"/>
          <w:bCs/>
          <w:sz w:val="20"/>
          <w:szCs w:val="20"/>
        </w:rPr>
        <w:t>C</w:t>
      </w:r>
      <w:r w:rsidRPr="00CD7353">
        <w:rPr>
          <w:rFonts w:asciiTheme="majorBidi" w:hAnsiTheme="majorBidi" w:cstheme="majorBidi"/>
          <w:bCs/>
          <w:sz w:val="20"/>
          <w:szCs w:val="20"/>
        </w:rPr>
        <w:t>) across levels of exposure (</w:t>
      </w:r>
      <w:r w:rsidR="00610A50">
        <w:rPr>
          <w:rFonts w:asciiTheme="majorBidi" w:hAnsiTheme="majorBidi" w:cstheme="majorBidi"/>
          <w:bCs/>
          <w:sz w:val="20"/>
          <w:szCs w:val="20"/>
        </w:rPr>
        <w:t>X</w:t>
      </w:r>
      <w:r w:rsidRPr="00CD7353">
        <w:rPr>
          <w:rFonts w:asciiTheme="majorBidi" w:hAnsiTheme="majorBidi" w:cstheme="majorBidi"/>
          <w:bCs/>
          <w:sz w:val="20"/>
          <w:szCs w:val="20"/>
        </w:rPr>
        <w:t xml:space="preserve">). The probabilities required to calculate these weights were estimated via logistic regression models of </w:t>
      </w:r>
      <w:r w:rsidR="00610A50">
        <w:rPr>
          <w:rFonts w:asciiTheme="majorBidi" w:hAnsiTheme="majorBidi" w:cstheme="majorBidi"/>
          <w:bCs/>
          <w:sz w:val="20"/>
          <w:szCs w:val="20"/>
        </w:rPr>
        <w:t>X</w:t>
      </w:r>
      <w:r w:rsidRPr="00CD7353">
        <w:rPr>
          <w:rFonts w:asciiTheme="majorBidi" w:hAnsiTheme="majorBidi" w:cstheme="majorBidi"/>
          <w:bCs/>
          <w:sz w:val="20"/>
          <w:szCs w:val="20"/>
        </w:rPr>
        <w:t xml:space="preserve"> (with and without </w:t>
      </w:r>
      <w:r w:rsidR="00610A50">
        <w:rPr>
          <w:rFonts w:asciiTheme="majorBidi" w:hAnsiTheme="majorBidi" w:cstheme="majorBidi"/>
          <w:bCs/>
          <w:sz w:val="20"/>
          <w:szCs w:val="20"/>
        </w:rPr>
        <w:t>C</w:t>
      </w:r>
      <w:r w:rsidRPr="00CD7353">
        <w:rPr>
          <w:rFonts w:asciiTheme="majorBidi" w:hAnsiTheme="majorBidi" w:cstheme="majorBidi"/>
          <w:bCs/>
          <w:sz w:val="20"/>
          <w:szCs w:val="20"/>
        </w:rPr>
        <w:t xml:space="preserve">). </w:t>
      </w:r>
    </w:p>
    <w:p w14:paraId="42A10C77" w14:textId="63CE0C76" w:rsidR="00F3457C" w:rsidRDefault="00F3457C" w:rsidP="00940DE8">
      <w:pPr>
        <w:rPr>
          <w:rFonts w:asciiTheme="majorBidi" w:hAnsiTheme="majorBidi" w:cstheme="majorBidi"/>
          <w:bCs/>
          <w:sz w:val="20"/>
          <w:szCs w:val="20"/>
        </w:rPr>
      </w:pPr>
      <w:r>
        <w:rPr>
          <w:rFonts w:asciiTheme="majorBidi" w:hAnsiTheme="majorBidi" w:cstheme="majorBidi"/>
          <w:bCs/>
          <w:sz w:val="20"/>
          <w:szCs w:val="20"/>
        </w:rPr>
        <w:t xml:space="preserve">Figure </w:t>
      </w:r>
      <w:r w:rsidR="00B4656E">
        <w:rPr>
          <w:rFonts w:asciiTheme="majorBidi" w:hAnsiTheme="majorBidi" w:cstheme="majorBidi"/>
          <w:bCs/>
          <w:sz w:val="20"/>
          <w:szCs w:val="20"/>
        </w:rPr>
        <w:t>S1.3</w:t>
      </w:r>
      <w:r>
        <w:rPr>
          <w:rFonts w:asciiTheme="majorBidi" w:hAnsiTheme="majorBidi" w:cstheme="majorBidi"/>
          <w:bCs/>
          <w:sz w:val="20"/>
          <w:szCs w:val="20"/>
        </w:rPr>
        <w:t xml:space="preserve"> shows standardised mean differences in pre-exposure confounders associated with low parental education, both before and after application of these ATE weights. While there were some clear observed differences in mother’s age at first live birth associated with low parental education, the ATE weighting reduced these differences to negligible levels.</w:t>
      </w:r>
      <w:r w:rsidR="00B67760">
        <w:rPr>
          <w:rFonts w:asciiTheme="majorBidi" w:hAnsiTheme="majorBidi" w:cstheme="majorBidi"/>
          <w:bCs/>
          <w:sz w:val="20"/>
          <w:szCs w:val="20"/>
        </w:rPr>
        <w:t xml:space="preserve"> Figure </w:t>
      </w:r>
      <w:r w:rsidR="00B4656E">
        <w:rPr>
          <w:rFonts w:asciiTheme="majorBidi" w:hAnsiTheme="majorBidi" w:cstheme="majorBidi"/>
          <w:bCs/>
          <w:sz w:val="20"/>
          <w:szCs w:val="20"/>
        </w:rPr>
        <w:t>S1.4</w:t>
      </w:r>
      <w:r w:rsidR="00B67760">
        <w:rPr>
          <w:rFonts w:asciiTheme="majorBidi" w:hAnsiTheme="majorBidi" w:cstheme="majorBidi"/>
          <w:bCs/>
          <w:sz w:val="20"/>
          <w:szCs w:val="20"/>
        </w:rPr>
        <w:t xml:space="preserve"> shows the impact of ATE weights for standardised mean differences associated with baseline lone parenting. While there were clear differences in parental education and mother’s age at first live birth associated with baseline lone parenting, the ATE weights reduced these to negligible levels.</w:t>
      </w:r>
    </w:p>
    <w:p w14:paraId="7E6A3D71" w14:textId="17372624" w:rsidR="00F3457C" w:rsidRDefault="00F3457C" w:rsidP="00940DE8">
      <w:pPr>
        <w:rPr>
          <w:rFonts w:asciiTheme="majorBidi" w:hAnsiTheme="majorBidi" w:cstheme="majorBidi"/>
          <w:bCs/>
          <w:sz w:val="20"/>
          <w:szCs w:val="20"/>
        </w:rPr>
      </w:pPr>
      <w:r>
        <w:rPr>
          <w:rFonts w:asciiTheme="majorBidi" w:hAnsiTheme="majorBidi" w:cstheme="majorBidi"/>
          <w:bCs/>
          <w:noProof/>
          <w:sz w:val="20"/>
          <w:szCs w:val="20"/>
        </w:rPr>
        <w:drawing>
          <wp:inline distT="0" distB="0" distL="0" distR="0" wp14:anchorId="39BF02CD" wp14:editId="3F94947B">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6_PEDbal_10072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D998034" w14:textId="5BB46B39" w:rsidR="00B67760" w:rsidRDefault="00F3457C" w:rsidP="00F3457C">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S1.3</w:t>
      </w:r>
      <w:r>
        <w:rPr>
          <w:rFonts w:asciiTheme="majorBidi" w:hAnsiTheme="majorBidi" w:cstheme="majorBidi"/>
          <w:b/>
          <w:sz w:val="20"/>
          <w:szCs w:val="20"/>
        </w:rPr>
        <w:t>: Standardised Mean Differences in Confounders Associated with Low Parental Education</w:t>
      </w:r>
    </w:p>
    <w:p w14:paraId="31A90C36" w14:textId="3DFEDD12" w:rsidR="00F3457C" w:rsidRPr="00CB76AD" w:rsidRDefault="00B67760" w:rsidP="00F3457C">
      <w:pPr>
        <w:rPr>
          <w:rFonts w:asciiTheme="majorBidi" w:hAnsiTheme="majorBidi" w:cstheme="majorBidi"/>
          <w:b/>
          <w:sz w:val="20"/>
          <w:szCs w:val="20"/>
        </w:rPr>
      </w:pPr>
      <w:r>
        <w:rPr>
          <w:rFonts w:asciiTheme="majorBidi" w:hAnsiTheme="majorBidi" w:cstheme="majorBidi"/>
          <w:b/>
          <w:noProof/>
          <w:sz w:val="20"/>
          <w:szCs w:val="20"/>
        </w:rPr>
        <w:drawing>
          <wp:inline distT="0" distB="0" distL="0" distR="0" wp14:anchorId="7573D66D" wp14:editId="27558129">
            <wp:extent cx="5731510" cy="2865755"/>
            <wp:effectExtent l="0" t="0" r="254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6_AFSbal_03072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00F3457C">
        <w:rPr>
          <w:rFonts w:asciiTheme="majorBidi" w:hAnsiTheme="majorBidi" w:cstheme="majorBidi"/>
          <w:b/>
          <w:sz w:val="20"/>
          <w:szCs w:val="20"/>
        </w:rPr>
        <w:t xml:space="preserve"> </w:t>
      </w:r>
    </w:p>
    <w:p w14:paraId="481244EE" w14:textId="2104A894" w:rsidR="00B67760" w:rsidRPr="00CB76AD" w:rsidRDefault="00B67760" w:rsidP="00B67760">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S1.4</w:t>
      </w:r>
      <w:r>
        <w:rPr>
          <w:rFonts w:asciiTheme="majorBidi" w:hAnsiTheme="majorBidi" w:cstheme="majorBidi"/>
          <w:b/>
          <w:sz w:val="20"/>
          <w:szCs w:val="20"/>
        </w:rPr>
        <w:t xml:space="preserve">: Standardised Mean Differences in Confounders Associated with Baseline Lone Parenting </w:t>
      </w:r>
    </w:p>
    <w:p w14:paraId="4B9C2479" w14:textId="77777777" w:rsidR="00940DE8" w:rsidRPr="00CD7353" w:rsidRDefault="00940DE8" w:rsidP="00940DE8">
      <w:pPr>
        <w:rPr>
          <w:rFonts w:asciiTheme="majorBidi" w:hAnsiTheme="majorBidi" w:cstheme="majorBidi"/>
          <w:bCs/>
          <w:i/>
          <w:iCs/>
          <w:sz w:val="20"/>
          <w:szCs w:val="20"/>
        </w:rPr>
      </w:pPr>
      <w:r w:rsidRPr="00CD7353">
        <w:rPr>
          <w:rFonts w:asciiTheme="majorBidi" w:hAnsiTheme="majorBidi" w:cstheme="majorBidi"/>
          <w:bCs/>
          <w:i/>
          <w:iCs/>
          <w:sz w:val="20"/>
          <w:szCs w:val="20"/>
        </w:rPr>
        <w:lastRenderedPageBreak/>
        <w:t>Estimating controlled direct effects:</w:t>
      </w:r>
    </w:p>
    <w:p w14:paraId="1261E416" w14:textId="708BA34F" w:rsidR="00940DE8" w:rsidRDefault="00940DE8" w:rsidP="00940DE8">
      <w:pPr>
        <w:rPr>
          <w:rFonts w:asciiTheme="majorBidi" w:hAnsiTheme="majorBidi" w:cstheme="majorBidi"/>
          <w:bCs/>
          <w:sz w:val="20"/>
          <w:szCs w:val="20"/>
        </w:rPr>
      </w:pPr>
      <w:r w:rsidRPr="00CD7353">
        <w:rPr>
          <w:rFonts w:asciiTheme="majorBidi" w:hAnsiTheme="majorBidi" w:cstheme="majorBidi"/>
          <w:bCs/>
          <w:sz w:val="20"/>
          <w:szCs w:val="20"/>
        </w:rPr>
        <w:t xml:space="preserve">Outcomes were regressed on the exposure, mediator (childcare), and an interaction term for the two factors. These marginal structural models were weighted using a combination of the </w:t>
      </w:r>
      <w:r w:rsidR="00B67760">
        <w:rPr>
          <w:rFonts w:asciiTheme="majorBidi" w:hAnsiTheme="majorBidi" w:cstheme="majorBidi"/>
          <w:bCs/>
          <w:sz w:val="20"/>
          <w:szCs w:val="20"/>
        </w:rPr>
        <w:t xml:space="preserve">ATE </w:t>
      </w:r>
      <w:r w:rsidRPr="00CD7353">
        <w:rPr>
          <w:rFonts w:asciiTheme="majorBidi" w:hAnsiTheme="majorBidi" w:cstheme="majorBidi"/>
          <w:bCs/>
          <w:sz w:val="20"/>
          <w:szCs w:val="20"/>
        </w:rPr>
        <w:t>weight for the exposure (</w:t>
      </w:r>
      <w:r w:rsidR="00B67760">
        <w:rPr>
          <w:rFonts w:asciiTheme="majorBidi" w:hAnsiTheme="majorBidi" w:cstheme="majorBidi"/>
          <w:bCs/>
          <w:sz w:val="20"/>
          <w:szCs w:val="20"/>
        </w:rPr>
        <w:t xml:space="preserve">as </w:t>
      </w:r>
      <w:r w:rsidRPr="00CD7353">
        <w:rPr>
          <w:rFonts w:asciiTheme="majorBidi" w:hAnsiTheme="majorBidi" w:cstheme="majorBidi"/>
          <w:bCs/>
          <w:sz w:val="20"/>
          <w:szCs w:val="20"/>
        </w:rPr>
        <w:t>described above; P(</w:t>
      </w:r>
      <w:r w:rsidR="00610A50">
        <w:rPr>
          <w:rFonts w:asciiTheme="majorBidi" w:hAnsiTheme="majorBidi" w:cstheme="majorBidi"/>
          <w:bCs/>
          <w:sz w:val="20"/>
          <w:szCs w:val="20"/>
        </w:rPr>
        <w:t>X</w:t>
      </w:r>
      <w:r w:rsidRPr="00CD7353">
        <w:rPr>
          <w:rFonts w:asciiTheme="majorBidi" w:hAnsiTheme="majorBidi" w:cstheme="majorBidi"/>
          <w:bCs/>
          <w:sz w:val="20"/>
          <w:szCs w:val="20"/>
        </w:rPr>
        <w:t>)/P(</w:t>
      </w:r>
      <w:r w:rsidR="00610A50">
        <w:rPr>
          <w:rFonts w:asciiTheme="majorBidi" w:hAnsiTheme="majorBidi" w:cstheme="majorBidi"/>
          <w:bCs/>
          <w:sz w:val="20"/>
          <w:szCs w:val="20"/>
        </w:rPr>
        <w:t>X</w:t>
      </w:r>
      <w:r w:rsidRPr="00CD7353">
        <w:rPr>
          <w:rFonts w:asciiTheme="majorBidi" w:hAnsiTheme="majorBidi" w:cstheme="majorBidi"/>
          <w:bCs/>
          <w:sz w:val="20"/>
          <w:szCs w:val="20"/>
        </w:rPr>
        <w:t>|</w:t>
      </w:r>
      <w:r w:rsidR="00610A50">
        <w:rPr>
          <w:rFonts w:asciiTheme="majorBidi" w:hAnsiTheme="majorBidi" w:cstheme="majorBidi"/>
          <w:bCs/>
          <w:sz w:val="20"/>
          <w:szCs w:val="20"/>
        </w:rPr>
        <w:t>C</w:t>
      </w:r>
      <w:r w:rsidRPr="00CD7353">
        <w:rPr>
          <w:rFonts w:asciiTheme="majorBidi" w:hAnsiTheme="majorBidi" w:cstheme="majorBidi"/>
          <w:bCs/>
          <w:sz w:val="20"/>
          <w:szCs w:val="20"/>
        </w:rPr>
        <w:t>)) and a modified version of the child-care weight, this time calculated as P(M|</w:t>
      </w:r>
      <w:r w:rsidR="00610A50">
        <w:rPr>
          <w:rFonts w:asciiTheme="majorBidi" w:hAnsiTheme="majorBidi" w:cstheme="majorBidi"/>
          <w:bCs/>
          <w:sz w:val="20"/>
          <w:szCs w:val="20"/>
        </w:rPr>
        <w:t>X</w:t>
      </w:r>
      <w:r w:rsidRPr="00CD7353">
        <w:rPr>
          <w:rFonts w:asciiTheme="majorBidi" w:hAnsiTheme="majorBidi" w:cstheme="majorBidi"/>
          <w:bCs/>
          <w:sz w:val="20"/>
          <w:szCs w:val="20"/>
        </w:rPr>
        <w:t>)/P(M|</w:t>
      </w:r>
      <w:r w:rsidR="00610A50">
        <w:rPr>
          <w:rFonts w:asciiTheme="majorBidi" w:hAnsiTheme="majorBidi" w:cstheme="majorBidi"/>
          <w:bCs/>
          <w:sz w:val="20"/>
          <w:szCs w:val="20"/>
        </w:rPr>
        <w:t>X</w:t>
      </w:r>
      <w:r w:rsidRPr="00CD7353">
        <w:rPr>
          <w:rFonts w:asciiTheme="majorBidi" w:hAnsiTheme="majorBidi" w:cstheme="majorBidi"/>
          <w:bCs/>
          <w:sz w:val="20"/>
          <w:szCs w:val="20"/>
        </w:rPr>
        <w:t>,</w:t>
      </w:r>
      <w:r w:rsidR="00610A50">
        <w:rPr>
          <w:rFonts w:asciiTheme="majorBidi" w:hAnsiTheme="majorBidi" w:cstheme="majorBidi"/>
          <w:bCs/>
          <w:sz w:val="20"/>
          <w:szCs w:val="20"/>
        </w:rPr>
        <w:t>C</w:t>
      </w:r>
      <w:r w:rsidRPr="00CD7353">
        <w:rPr>
          <w:rFonts w:asciiTheme="majorBidi" w:hAnsiTheme="majorBidi" w:cstheme="majorBidi"/>
          <w:bCs/>
          <w:sz w:val="20"/>
          <w:szCs w:val="20"/>
        </w:rPr>
        <w:t>,</w:t>
      </w:r>
      <w:r w:rsidR="00610A50">
        <w:rPr>
          <w:rFonts w:asciiTheme="majorBidi" w:hAnsiTheme="majorBidi" w:cstheme="majorBidi"/>
          <w:bCs/>
          <w:sz w:val="20"/>
          <w:szCs w:val="20"/>
        </w:rPr>
        <w:t>L</w:t>
      </w:r>
      <w:r w:rsidRPr="00CD7353">
        <w:rPr>
          <w:rFonts w:asciiTheme="majorBidi" w:hAnsiTheme="majorBidi" w:cstheme="majorBidi"/>
          <w:bCs/>
          <w:sz w:val="20"/>
          <w:szCs w:val="20"/>
        </w:rPr>
        <w:t>). As the numerator of this second weight is conditional on the exposure in question (</w:t>
      </w:r>
      <w:r w:rsidR="00610A50">
        <w:rPr>
          <w:rFonts w:asciiTheme="majorBidi" w:hAnsiTheme="majorBidi" w:cstheme="majorBidi"/>
          <w:bCs/>
          <w:sz w:val="20"/>
          <w:szCs w:val="20"/>
        </w:rPr>
        <w:t>X</w:t>
      </w:r>
      <w:r w:rsidRPr="00CD7353">
        <w:rPr>
          <w:rFonts w:asciiTheme="majorBidi" w:hAnsiTheme="majorBidi" w:cstheme="majorBidi"/>
          <w:bCs/>
          <w:sz w:val="20"/>
          <w:szCs w:val="20"/>
        </w:rPr>
        <w:t>), it serves to balance post-exposure confounders (</w:t>
      </w:r>
      <w:r w:rsidR="00610A50">
        <w:rPr>
          <w:rFonts w:asciiTheme="majorBidi" w:hAnsiTheme="majorBidi" w:cstheme="majorBidi"/>
          <w:bCs/>
          <w:sz w:val="20"/>
          <w:szCs w:val="20"/>
        </w:rPr>
        <w:t>L</w:t>
      </w:r>
      <w:r w:rsidRPr="00CD7353">
        <w:rPr>
          <w:rFonts w:asciiTheme="majorBidi" w:hAnsiTheme="majorBidi" w:cstheme="majorBidi"/>
          <w:bCs/>
          <w:sz w:val="20"/>
          <w:szCs w:val="20"/>
        </w:rPr>
        <w:t xml:space="preserve">), but only within levels of the exposure, so differences in these variables that are </w:t>
      </w:r>
      <w:r w:rsidR="00B67760">
        <w:rPr>
          <w:rFonts w:asciiTheme="majorBidi" w:hAnsiTheme="majorBidi" w:cstheme="majorBidi"/>
          <w:bCs/>
          <w:sz w:val="20"/>
          <w:szCs w:val="20"/>
        </w:rPr>
        <w:t>associated with</w:t>
      </w:r>
      <w:r w:rsidRPr="00CD7353">
        <w:rPr>
          <w:rFonts w:asciiTheme="majorBidi" w:hAnsiTheme="majorBidi" w:cstheme="majorBidi"/>
          <w:bCs/>
          <w:sz w:val="20"/>
          <w:szCs w:val="20"/>
        </w:rPr>
        <w:t xml:space="preserve"> the exposure are retained.</w:t>
      </w:r>
      <w:r w:rsidR="00B67760">
        <w:rPr>
          <w:rFonts w:asciiTheme="majorBidi" w:hAnsiTheme="majorBidi" w:cstheme="majorBidi"/>
          <w:bCs/>
          <w:sz w:val="20"/>
          <w:szCs w:val="20"/>
        </w:rPr>
        <w:t xml:space="preserve"> Thus, performance of CDE weights can be assessed by examining standardised mean differences associated with childcare </w:t>
      </w:r>
      <w:r w:rsidR="001E793D">
        <w:rPr>
          <w:rFonts w:asciiTheme="majorBidi" w:hAnsiTheme="majorBidi" w:cstheme="majorBidi"/>
          <w:bCs/>
          <w:sz w:val="20"/>
          <w:szCs w:val="20"/>
        </w:rPr>
        <w:t>within levels of the exposure.</w:t>
      </w:r>
    </w:p>
    <w:p w14:paraId="52D826ED" w14:textId="7361765B" w:rsidR="001E793D" w:rsidRDefault="001E793D" w:rsidP="00940DE8">
      <w:pPr>
        <w:rPr>
          <w:rFonts w:asciiTheme="majorBidi" w:hAnsiTheme="majorBidi" w:cstheme="majorBidi"/>
          <w:bCs/>
          <w:sz w:val="20"/>
          <w:szCs w:val="20"/>
        </w:rPr>
      </w:pPr>
      <w:r>
        <w:rPr>
          <w:rFonts w:asciiTheme="majorBidi" w:hAnsiTheme="majorBidi" w:cstheme="majorBidi"/>
          <w:bCs/>
          <w:sz w:val="20"/>
          <w:szCs w:val="20"/>
        </w:rPr>
        <w:t xml:space="preserve">Standardised mean differences in confounders associated with childcare are shown in Figure </w:t>
      </w:r>
      <w:r w:rsidR="00B4656E">
        <w:rPr>
          <w:rFonts w:asciiTheme="majorBidi" w:hAnsiTheme="majorBidi" w:cstheme="majorBidi"/>
          <w:bCs/>
          <w:sz w:val="20"/>
          <w:szCs w:val="20"/>
        </w:rPr>
        <w:t>S1.5</w:t>
      </w:r>
      <w:r>
        <w:rPr>
          <w:rFonts w:asciiTheme="majorBidi" w:hAnsiTheme="majorBidi" w:cstheme="majorBidi"/>
          <w:bCs/>
          <w:sz w:val="20"/>
          <w:szCs w:val="20"/>
        </w:rPr>
        <w:t xml:space="preserve"> for those with high parental education and Figure </w:t>
      </w:r>
      <w:r w:rsidR="00B4656E">
        <w:rPr>
          <w:rFonts w:asciiTheme="majorBidi" w:hAnsiTheme="majorBidi" w:cstheme="majorBidi"/>
          <w:bCs/>
          <w:sz w:val="20"/>
          <w:szCs w:val="20"/>
        </w:rPr>
        <w:t>S1.6</w:t>
      </w:r>
      <w:r>
        <w:rPr>
          <w:rFonts w:asciiTheme="majorBidi" w:hAnsiTheme="majorBidi" w:cstheme="majorBidi"/>
          <w:bCs/>
          <w:sz w:val="20"/>
          <w:szCs w:val="20"/>
        </w:rPr>
        <w:t xml:space="preserve"> for those with low parental education. </w:t>
      </w:r>
      <w:r w:rsidR="00324FCC">
        <w:rPr>
          <w:rFonts w:asciiTheme="majorBidi" w:hAnsiTheme="majorBidi" w:cstheme="majorBidi"/>
          <w:bCs/>
          <w:sz w:val="20"/>
          <w:szCs w:val="20"/>
        </w:rPr>
        <w:t xml:space="preserve">CDE weighting reduced all differences associated with centre-based (compared to parental) care within levels of parental education to negligible levels. The CDE weighting was less successful for </w:t>
      </w:r>
      <w:proofErr w:type="spellStart"/>
      <w:r w:rsidR="00324FCC">
        <w:rPr>
          <w:rFonts w:asciiTheme="majorBidi" w:hAnsiTheme="majorBidi" w:cstheme="majorBidi"/>
          <w:bCs/>
          <w:sz w:val="20"/>
          <w:szCs w:val="20"/>
        </w:rPr>
        <w:t>non centre</w:t>
      </w:r>
      <w:proofErr w:type="spellEnd"/>
      <w:r w:rsidR="00324FCC">
        <w:rPr>
          <w:rFonts w:asciiTheme="majorBidi" w:hAnsiTheme="majorBidi" w:cstheme="majorBidi"/>
          <w:bCs/>
          <w:sz w:val="20"/>
          <w:szCs w:val="20"/>
        </w:rPr>
        <w:t>-based care and while it removed many of the observed differences (compared to parental care) within levels of parental education, some minor differences in confounders were still present</w:t>
      </w:r>
      <w:r w:rsidR="0051765E">
        <w:rPr>
          <w:rFonts w:asciiTheme="majorBidi" w:hAnsiTheme="majorBidi" w:cstheme="majorBidi"/>
          <w:bCs/>
          <w:sz w:val="20"/>
          <w:szCs w:val="20"/>
        </w:rPr>
        <w:t>, and may lead to some minor residual bias in the CDE estimates</w:t>
      </w:r>
      <w:r w:rsidR="00FF3347">
        <w:rPr>
          <w:rFonts w:asciiTheme="majorBidi" w:hAnsiTheme="majorBidi" w:cstheme="majorBidi"/>
          <w:bCs/>
          <w:sz w:val="20"/>
          <w:szCs w:val="20"/>
        </w:rPr>
        <w:t xml:space="preserve"> for parental education</w:t>
      </w:r>
      <w:r w:rsidR="0051765E">
        <w:rPr>
          <w:rFonts w:asciiTheme="majorBidi" w:hAnsiTheme="majorBidi" w:cstheme="majorBidi"/>
          <w:bCs/>
          <w:sz w:val="20"/>
          <w:szCs w:val="20"/>
        </w:rPr>
        <w:t>.</w:t>
      </w:r>
    </w:p>
    <w:p w14:paraId="019794D3" w14:textId="3B6EEBEA" w:rsidR="00182B86" w:rsidRDefault="00182B86" w:rsidP="00940DE8">
      <w:pPr>
        <w:rPr>
          <w:rFonts w:asciiTheme="majorBidi" w:hAnsiTheme="majorBidi" w:cstheme="majorBidi"/>
          <w:bCs/>
          <w:sz w:val="20"/>
          <w:szCs w:val="20"/>
        </w:rPr>
      </w:pPr>
      <w:r>
        <w:rPr>
          <w:rFonts w:asciiTheme="majorBidi" w:hAnsiTheme="majorBidi" w:cstheme="majorBidi"/>
          <w:bCs/>
          <w:sz w:val="20"/>
          <w:szCs w:val="20"/>
        </w:rPr>
        <w:t xml:space="preserve">Figures </w:t>
      </w:r>
      <w:r w:rsidR="00B4656E">
        <w:rPr>
          <w:rFonts w:asciiTheme="majorBidi" w:hAnsiTheme="majorBidi" w:cstheme="majorBidi"/>
          <w:bCs/>
          <w:sz w:val="20"/>
          <w:szCs w:val="20"/>
        </w:rPr>
        <w:t>S1.7</w:t>
      </w:r>
      <w:r>
        <w:rPr>
          <w:rFonts w:asciiTheme="majorBidi" w:hAnsiTheme="majorBidi" w:cstheme="majorBidi"/>
          <w:bCs/>
          <w:sz w:val="20"/>
          <w:szCs w:val="20"/>
        </w:rPr>
        <w:t xml:space="preserve"> and </w:t>
      </w:r>
      <w:r w:rsidR="00B4656E">
        <w:rPr>
          <w:rFonts w:asciiTheme="majorBidi" w:hAnsiTheme="majorBidi" w:cstheme="majorBidi"/>
          <w:bCs/>
          <w:sz w:val="20"/>
          <w:szCs w:val="20"/>
        </w:rPr>
        <w:t>S1.8</w:t>
      </w:r>
      <w:r>
        <w:rPr>
          <w:rFonts w:asciiTheme="majorBidi" w:hAnsiTheme="majorBidi" w:cstheme="majorBidi"/>
          <w:bCs/>
          <w:sz w:val="20"/>
          <w:szCs w:val="20"/>
        </w:rPr>
        <w:t xml:space="preserve"> show standardised mean differences associated with childcare use for those with couple or lone parents at baseline respectively.</w:t>
      </w:r>
      <w:r w:rsidR="00BC252C">
        <w:rPr>
          <w:rFonts w:asciiTheme="majorBidi" w:hAnsiTheme="majorBidi" w:cstheme="majorBidi"/>
          <w:bCs/>
          <w:sz w:val="20"/>
          <w:szCs w:val="20"/>
        </w:rPr>
        <w:t xml:space="preserve"> The CDE weights were successful in removing differences in confounders associated with childcare use among baseline couple parents</w:t>
      </w:r>
      <w:r w:rsidR="002B0008">
        <w:rPr>
          <w:rFonts w:asciiTheme="majorBidi" w:hAnsiTheme="majorBidi" w:cstheme="majorBidi"/>
          <w:bCs/>
          <w:sz w:val="20"/>
          <w:szCs w:val="20"/>
        </w:rPr>
        <w:t xml:space="preserve"> but were not successful in balancing these confounders among the smaller group of baseline lone parents (</w:t>
      </w:r>
      <w:r w:rsidR="003A3F4D">
        <w:rPr>
          <w:rFonts w:asciiTheme="majorBidi" w:hAnsiTheme="majorBidi" w:cstheme="majorBidi"/>
          <w:bCs/>
          <w:sz w:val="20"/>
          <w:szCs w:val="20"/>
        </w:rPr>
        <w:t xml:space="preserve">lone parents constituted </w:t>
      </w:r>
      <w:r w:rsidR="002B0008">
        <w:rPr>
          <w:rFonts w:asciiTheme="majorBidi" w:hAnsiTheme="majorBidi" w:cstheme="majorBidi"/>
          <w:bCs/>
          <w:sz w:val="20"/>
          <w:szCs w:val="20"/>
        </w:rPr>
        <w:t xml:space="preserve">14.4% </w:t>
      </w:r>
      <w:r w:rsidR="003A3F4D">
        <w:rPr>
          <w:rFonts w:asciiTheme="majorBidi" w:hAnsiTheme="majorBidi" w:cstheme="majorBidi"/>
          <w:bCs/>
          <w:sz w:val="20"/>
          <w:szCs w:val="20"/>
        </w:rPr>
        <w:t>of the sample</w:t>
      </w:r>
      <w:r w:rsidR="002B0008">
        <w:rPr>
          <w:rFonts w:asciiTheme="majorBidi" w:hAnsiTheme="majorBidi" w:cstheme="majorBidi"/>
          <w:bCs/>
          <w:sz w:val="20"/>
          <w:szCs w:val="20"/>
        </w:rPr>
        <w:t xml:space="preserve"> </w:t>
      </w:r>
      <w:r w:rsidR="003A3F4D">
        <w:rPr>
          <w:rFonts w:asciiTheme="majorBidi" w:hAnsiTheme="majorBidi" w:cstheme="majorBidi"/>
          <w:bCs/>
          <w:sz w:val="20"/>
          <w:szCs w:val="20"/>
        </w:rPr>
        <w:t xml:space="preserve">compared to </w:t>
      </w:r>
      <w:r w:rsidR="002B0008">
        <w:rPr>
          <w:rFonts w:asciiTheme="majorBidi" w:hAnsiTheme="majorBidi" w:cstheme="majorBidi"/>
          <w:bCs/>
          <w:sz w:val="20"/>
          <w:szCs w:val="20"/>
        </w:rPr>
        <w:t xml:space="preserve">85.6% </w:t>
      </w:r>
      <w:r w:rsidR="003A3F4D">
        <w:rPr>
          <w:rFonts w:asciiTheme="majorBidi" w:hAnsiTheme="majorBidi" w:cstheme="majorBidi"/>
          <w:bCs/>
          <w:sz w:val="20"/>
          <w:szCs w:val="20"/>
        </w:rPr>
        <w:t>for couple parents</w:t>
      </w:r>
      <w:r w:rsidR="002B0008">
        <w:rPr>
          <w:rFonts w:asciiTheme="majorBidi" w:hAnsiTheme="majorBidi" w:cstheme="majorBidi"/>
          <w:bCs/>
          <w:sz w:val="20"/>
          <w:szCs w:val="20"/>
        </w:rPr>
        <w:t>).</w:t>
      </w:r>
      <w:r w:rsidR="00AF7096">
        <w:rPr>
          <w:rFonts w:asciiTheme="majorBidi" w:hAnsiTheme="majorBidi" w:cstheme="majorBidi"/>
          <w:bCs/>
          <w:sz w:val="20"/>
          <w:szCs w:val="20"/>
        </w:rPr>
        <w:t xml:space="preserve"> </w:t>
      </w:r>
      <w:r w:rsidR="00FF3347">
        <w:rPr>
          <w:rFonts w:asciiTheme="majorBidi" w:hAnsiTheme="majorBidi" w:cstheme="majorBidi"/>
          <w:bCs/>
          <w:sz w:val="20"/>
          <w:szCs w:val="20"/>
        </w:rPr>
        <w:t>This may mean some residual bias is present in the CDE estimates for lone parenting, and suggest</w:t>
      </w:r>
      <w:r w:rsidR="00FA6E3D">
        <w:rPr>
          <w:rFonts w:asciiTheme="majorBidi" w:hAnsiTheme="majorBidi" w:cstheme="majorBidi"/>
          <w:bCs/>
          <w:sz w:val="20"/>
          <w:szCs w:val="20"/>
        </w:rPr>
        <w:t>s</w:t>
      </w:r>
      <w:r w:rsidR="00FF3347">
        <w:rPr>
          <w:rFonts w:asciiTheme="majorBidi" w:hAnsiTheme="majorBidi" w:cstheme="majorBidi"/>
          <w:bCs/>
          <w:sz w:val="20"/>
          <w:szCs w:val="20"/>
        </w:rPr>
        <w:t xml:space="preserve"> data were too sparse to fully disentangle differences in childcare among lone parents from differences in observed confounders.</w:t>
      </w:r>
      <w:r w:rsidR="00FA6E3D">
        <w:rPr>
          <w:rFonts w:asciiTheme="majorBidi" w:hAnsiTheme="majorBidi" w:cstheme="majorBidi"/>
          <w:bCs/>
          <w:sz w:val="20"/>
          <w:szCs w:val="20"/>
        </w:rPr>
        <w:t xml:space="preserve"> Nevertheless, despite these potential residual biases the considerable improvements in confounder balance among those with couple parents (</w:t>
      </w:r>
      <w:proofErr w:type="gramStart"/>
      <w:r w:rsidR="00FA6E3D">
        <w:rPr>
          <w:rFonts w:asciiTheme="majorBidi" w:hAnsiTheme="majorBidi" w:cstheme="majorBidi"/>
          <w:bCs/>
          <w:sz w:val="20"/>
          <w:szCs w:val="20"/>
        </w:rPr>
        <w:t>the majority of</w:t>
      </w:r>
      <w:proofErr w:type="gramEnd"/>
      <w:r w:rsidR="00FA6E3D">
        <w:rPr>
          <w:rFonts w:asciiTheme="majorBidi" w:hAnsiTheme="majorBidi" w:cstheme="majorBidi"/>
          <w:bCs/>
          <w:sz w:val="20"/>
          <w:szCs w:val="20"/>
        </w:rPr>
        <w:t xml:space="preserve"> the sample)</w:t>
      </w:r>
      <w:r w:rsidR="00087D67">
        <w:rPr>
          <w:rFonts w:asciiTheme="majorBidi" w:hAnsiTheme="majorBidi" w:cstheme="majorBidi"/>
          <w:bCs/>
          <w:sz w:val="20"/>
          <w:szCs w:val="20"/>
        </w:rPr>
        <w:t>, mean that the CDE estimates for lone parenting probably still represent a net reduction in bias.</w:t>
      </w:r>
    </w:p>
    <w:p w14:paraId="10BE3BC5" w14:textId="183AD1BE" w:rsidR="00FF3347" w:rsidRDefault="00FF3347" w:rsidP="00940DE8">
      <w:pPr>
        <w:rPr>
          <w:rFonts w:asciiTheme="majorBidi" w:hAnsiTheme="majorBidi" w:cstheme="majorBidi"/>
          <w:bCs/>
          <w:sz w:val="20"/>
          <w:szCs w:val="20"/>
        </w:rPr>
      </w:pPr>
      <w:r>
        <w:rPr>
          <w:rFonts w:asciiTheme="majorBidi" w:hAnsiTheme="majorBidi" w:cstheme="majorBidi"/>
          <w:bCs/>
          <w:sz w:val="20"/>
          <w:szCs w:val="20"/>
        </w:rPr>
        <w:t xml:space="preserve">Figures </w:t>
      </w:r>
      <w:r w:rsidR="00B4656E">
        <w:rPr>
          <w:rFonts w:asciiTheme="majorBidi" w:hAnsiTheme="majorBidi" w:cstheme="majorBidi"/>
          <w:bCs/>
          <w:sz w:val="20"/>
          <w:szCs w:val="20"/>
        </w:rPr>
        <w:t>S1.9</w:t>
      </w:r>
      <w:r w:rsidR="005F223E">
        <w:rPr>
          <w:rFonts w:asciiTheme="majorBidi" w:hAnsiTheme="majorBidi" w:cstheme="majorBidi"/>
          <w:bCs/>
          <w:sz w:val="20"/>
          <w:szCs w:val="20"/>
        </w:rPr>
        <w:t>-</w:t>
      </w:r>
      <w:r w:rsidR="00B4656E">
        <w:rPr>
          <w:rFonts w:asciiTheme="majorBidi" w:hAnsiTheme="majorBidi" w:cstheme="majorBidi"/>
          <w:bCs/>
          <w:sz w:val="20"/>
          <w:szCs w:val="20"/>
        </w:rPr>
        <w:t>S1.12</w:t>
      </w:r>
      <w:r>
        <w:rPr>
          <w:rFonts w:asciiTheme="majorBidi" w:hAnsiTheme="majorBidi" w:cstheme="majorBidi"/>
          <w:bCs/>
          <w:sz w:val="20"/>
          <w:szCs w:val="20"/>
        </w:rPr>
        <w:t xml:space="preserve"> repeat Figures </w:t>
      </w:r>
      <w:r w:rsidR="00B4656E">
        <w:rPr>
          <w:rFonts w:asciiTheme="majorBidi" w:hAnsiTheme="majorBidi" w:cstheme="majorBidi"/>
          <w:bCs/>
          <w:sz w:val="20"/>
          <w:szCs w:val="20"/>
        </w:rPr>
        <w:t>S1.5-S1.8</w:t>
      </w:r>
      <w:r>
        <w:rPr>
          <w:rFonts w:asciiTheme="majorBidi" w:hAnsiTheme="majorBidi" w:cstheme="majorBidi"/>
          <w:bCs/>
          <w:sz w:val="20"/>
          <w:szCs w:val="20"/>
        </w:rPr>
        <w:t xml:space="preserve"> </w:t>
      </w:r>
      <w:r w:rsidR="005A128B">
        <w:rPr>
          <w:rFonts w:asciiTheme="majorBidi" w:hAnsiTheme="majorBidi" w:cstheme="majorBidi"/>
          <w:bCs/>
          <w:sz w:val="20"/>
          <w:szCs w:val="20"/>
        </w:rPr>
        <w:t>for</w:t>
      </w:r>
      <w:r>
        <w:rPr>
          <w:rFonts w:asciiTheme="majorBidi" w:hAnsiTheme="majorBidi" w:cstheme="majorBidi"/>
          <w:bCs/>
          <w:sz w:val="20"/>
          <w:szCs w:val="20"/>
        </w:rPr>
        <w:t xml:space="preserve"> the alternate weight</w:t>
      </w:r>
      <w:r w:rsidR="005A128B">
        <w:rPr>
          <w:rFonts w:asciiTheme="majorBidi" w:hAnsiTheme="majorBidi" w:cstheme="majorBidi"/>
          <w:bCs/>
          <w:sz w:val="20"/>
          <w:szCs w:val="20"/>
        </w:rPr>
        <w:t>s</w:t>
      </w:r>
      <w:r>
        <w:rPr>
          <w:rFonts w:asciiTheme="majorBidi" w:hAnsiTheme="majorBidi" w:cstheme="majorBidi"/>
          <w:bCs/>
          <w:sz w:val="20"/>
          <w:szCs w:val="20"/>
        </w:rPr>
        <w:t xml:space="preserve"> </w:t>
      </w:r>
      <w:r w:rsidR="005A128B">
        <w:rPr>
          <w:rFonts w:asciiTheme="majorBidi" w:hAnsiTheme="majorBidi" w:cstheme="majorBidi"/>
          <w:bCs/>
          <w:sz w:val="20"/>
          <w:szCs w:val="20"/>
        </w:rPr>
        <w:t>that adjusted for</w:t>
      </w:r>
      <w:r>
        <w:rPr>
          <w:rFonts w:asciiTheme="majorBidi" w:hAnsiTheme="majorBidi" w:cstheme="majorBidi"/>
          <w:bCs/>
          <w:sz w:val="20"/>
          <w:szCs w:val="20"/>
        </w:rPr>
        <w:t xml:space="preserve"> a more restricted set of confounding variables.</w:t>
      </w:r>
      <w:r w:rsidR="005A128B">
        <w:rPr>
          <w:rFonts w:asciiTheme="majorBidi" w:hAnsiTheme="majorBidi" w:cstheme="majorBidi"/>
          <w:bCs/>
          <w:sz w:val="20"/>
          <w:szCs w:val="20"/>
        </w:rPr>
        <w:t xml:space="preserve"> Results were similar and suggested, if anything, slightly less residual bias than in the main analysis.</w:t>
      </w:r>
    </w:p>
    <w:p w14:paraId="01849387" w14:textId="244C7794" w:rsidR="001E793D" w:rsidRPr="0051765E" w:rsidRDefault="001E793D" w:rsidP="00940DE8">
      <w:pPr>
        <w:rPr>
          <w:rFonts w:asciiTheme="majorBidi" w:hAnsiTheme="majorBidi" w:cstheme="majorBidi"/>
          <w:bCs/>
          <w:sz w:val="20"/>
          <w:szCs w:val="20"/>
        </w:rPr>
        <w:sectPr w:rsidR="001E793D" w:rsidRPr="0051765E">
          <w:pgSz w:w="11906" w:h="16838"/>
          <w:pgMar w:top="1440" w:right="1440" w:bottom="1440" w:left="1440" w:header="708" w:footer="708" w:gutter="0"/>
          <w:cols w:space="708"/>
          <w:docGrid w:linePitch="360"/>
        </w:sectPr>
      </w:pPr>
      <w:bookmarkStart w:id="0" w:name="_GoBack"/>
      <w:bookmarkEnd w:id="0"/>
    </w:p>
    <w:p w14:paraId="02A22645" w14:textId="4FBF3F21" w:rsidR="001E793D" w:rsidRPr="001E793D" w:rsidRDefault="00324FCC" w:rsidP="001E793D">
      <w:pPr>
        <w:rPr>
          <w:rFonts w:asciiTheme="majorBidi" w:hAnsiTheme="majorBidi" w:cstheme="majorBidi"/>
          <w:bCs/>
          <w:sz w:val="20"/>
          <w:szCs w:val="20"/>
        </w:rPr>
      </w:pPr>
      <w:r>
        <w:rPr>
          <w:rFonts w:asciiTheme="majorBidi" w:hAnsiTheme="majorBidi" w:cstheme="majorBidi"/>
          <w:bCs/>
          <w:noProof/>
          <w:sz w:val="20"/>
          <w:szCs w:val="20"/>
        </w:rPr>
        <w:lastRenderedPageBreak/>
        <w:drawing>
          <wp:inline distT="0" distB="0" distL="0" distR="0" wp14:anchorId="76E5AE60" wp14:editId="17EA4991">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6_CCatebal_hiPED_10072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6A6B555" w14:textId="60295391" w:rsidR="00610A50" w:rsidRDefault="001E793D" w:rsidP="001E793D">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S1.5</w:t>
      </w:r>
      <w:r>
        <w:rPr>
          <w:rFonts w:asciiTheme="majorBidi" w:hAnsiTheme="majorBidi" w:cstheme="majorBidi"/>
          <w:b/>
          <w:sz w:val="20"/>
          <w:szCs w:val="20"/>
        </w:rPr>
        <w:t>: Standardised Mean Differences in Confounders Associated with Childcare (High Parental Education)</w:t>
      </w:r>
    </w:p>
    <w:p w14:paraId="60FDB05B" w14:textId="148735A1" w:rsidR="001E793D" w:rsidRDefault="00610A50" w:rsidP="001E793D">
      <w:pPr>
        <w:rPr>
          <w:rFonts w:asciiTheme="majorBidi" w:hAnsiTheme="majorBidi" w:cstheme="majorBidi"/>
          <w:b/>
          <w:sz w:val="20"/>
          <w:szCs w:val="20"/>
        </w:rPr>
      </w:pPr>
      <w:r>
        <w:rPr>
          <w:rFonts w:asciiTheme="majorBidi" w:hAnsiTheme="majorBidi" w:cstheme="majorBidi"/>
          <w:bCs/>
          <w:sz w:val="20"/>
          <w:szCs w:val="20"/>
        </w:rPr>
        <w:t>W1 indicates measures taken at 9 months, while W2 indicates measures taken at age 3.</w:t>
      </w:r>
      <w:r w:rsidR="001E793D">
        <w:rPr>
          <w:rFonts w:asciiTheme="majorBidi" w:hAnsiTheme="majorBidi" w:cstheme="majorBidi"/>
          <w:b/>
          <w:sz w:val="20"/>
          <w:szCs w:val="20"/>
        </w:rPr>
        <w:t xml:space="preserve"> </w:t>
      </w:r>
    </w:p>
    <w:p w14:paraId="728115D2" w14:textId="47F4DA06" w:rsidR="001E793D" w:rsidRPr="001E793D" w:rsidRDefault="00324FCC" w:rsidP="001E793D">
      <w:pPr>
        <w:rPr>
          <w:rFonts w:asciiTheme="majorBidi" w:hAnsiTheme="majorBidi" w:cstheme="majorBidi"/>
          <w:bCs/>
          <w:sz w:val="20"/>
          <w:szCs w:val="20"/>
        </w:rPr>
      </w:pPr>
      <w:r>
        <w:rPr>
          <w:rFonts w:asciiTheme="majorBidi" w:hAnsiTheme="majorBidi" w:cstheme="majorBidi"/>
          <w:bCs/>
          <w:noProof/>
          <w:sz w:val="20"/>
          <w:szCs w:val="20"/>
        </w:rPr>
        <w:lastRenderedPageBreak/>
        <w:drawing>
          <wp:inline distT="0" distB="0" distL="0" distR="0" wp14:anchorId="175CE343" wp14:editId="7A2BDC4D">
            <wp:extent cx="5731510" cy="5731510"/>
            <wp:effectExtent l="0" t="0" r="2540" b="2540"/>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6_CCatebal_loPED_10072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34CFCD5" w14:textId="377F8649" w:rsidR="005F223E" w:rsidRDefault="001E793D" w:rsidP="001E793D">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S1.6</w:t>
      </w:r>
      <w:r>
        <w:rPr>
          <w:rFonts w:asciiTheme="majorBidi" w:hAnsiTheme="majorBidi" w:cstheme="majorBidi"/>
          <w:b/>
          <w:sz w:val="20"/>
          <w:szCs w:val="20"/>
        </w:rPr>
        <w:t>: Standardised Mean Differences in Confounders Associated with Childcare (Low Parental Education)</w:t>
      </w:r>
    </w:p>
    <w:p w14:paraId="39B699B7" w14:textId="3B8C1FC4" w:rsidR="001E793D" w:rsidRPr="00940DE8" w:rsidRDefault="005F223E" w:rsidP="001E793D">
      <w:pPr>
        <w:rPr>
          <w:rFonts w:asciiTheme="majorBidi" w:hAnsiTheme="majorBidi" w:cstheme="majorBidi"/>
          <w:sz w:val="20"/>
          <w:szCs w:val="20"/>
        </w:rPr>
      </w:pPr>
      <w:r>
        <w:rPr>
          <w:rFonts w:asciiTheme="majorBidi" w:hAnsiTheme="majorBidi" w:cstheme="majorBidi"/>
          <w:bCs/>
          <w:sz w:val="20"/>
          <w:szCs w:val="20"/>
        </w:rPr>
        <w:t>W1 indicates measures taken at 9 months, while W2 indicates measures taken at age 3.</w:t>
      </w:r>
      <w:r w:rsidR="001E793D">
        <w:rPr>
          <w:rFonts w:asciiTheme="majorBidi" w:hAnsiTheme="majorBidi" w:cstheme="majorBidi"/>
          <w:b/>
          <w:sz w:val="20"/>
          <w:szCs w:val="20"/>
        </w:rPr>
        <w:t xml:space="preserve"> </w:t>
      </w:r>
    </w:p>
    <w:p w14:paraId="39241E99" w14:textId="4785D542" w:rsidR="001E793D" w:rsidRDefault="00BC252C" w:rsidP="001E793D">
      <w:pP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14:anchorId="74531BD1" wp14:editId="37A1BB59">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6_CCbalcpl_03072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4F54F18" w14:textId="2DCF8C29" w:rsidR="00182B86" w:rsidRDefault="00182B86" w:rsidP="00182B86">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S1.7</w:t>
      </w:r>
      <w:r>
        <w:rPr>
          <w:rFonts w:asciiTheme="majorBidi" w:hAnsiTheme="majorBidi" w:cstheme="majorBidi"/>
          <w:b/>
          <w:sz w:val="20"/>
          <w:szCs w:val="20"/>
        </w:rPr>
        <w:t>: Standardised Mean Differences in Confounders Associated with Childcare (Baseline Couple Parents)</w:t>
      </w:r>
    </w:p>
    <w:p w14:paraId="6BBB8A07" w14:textId="14AB1593" w:rsidR="005F223E" w:rsidRPr="005F223E" w:rsidRDefault="005F223E" w:rsidP="00182B86">
      <w:pPr>
        <w:rPr>
          <w:rFonts w:asciiTheme="majorBidi" w:hAnsiTheme="majorBidi" w:cstheme="majorBidi"/>
          <w:bCs/>
          <w:sz w:val="20"/>
          <w:szCs w:val="20"/>
        </w:rPr>
      </w:pPr>
      <w:r>
        <w:rPr>
          <w:rFonts w:asciiTheme="majorBidi" w:hAnsiTheme="majorBidi" w:cstheme="majorBidi"/>
          <w:bCs/>
          <w:sz w:val="20"/>
          <w:szCs w:val="20"/>
        </w:rPr>
        <w:t>W1 indicates measures taken at 9 months, while W2 indicates measures taken at age 3.</w:t>
      </w:r>
    </w:p>
    <w:p w14:paraId="2E532FA2" w14:textId="71938336" w:rsidR="00182B86" w:rsidRPr="00940DE8" w:rsidRDefault="00BC252C" w:rsidP="00182B86">
      <w:pP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14:anchorId="431DB470" wp14:editId="22BE8C27">
            <wp:extent cx="5731510" cy="5731510"/>
            <wp:effectExtent l="0" t="0" r="2540" b="254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6_CCballon_03072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02B0FFB" w14:textId="08A8225A" w:rsidR="00182B86" w:rsidRDefault="00182B86" w:rsidP="00182B86">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S1.8</w:t>
      </w:r>
      <w:r>
        <w:rPr>
          <w:rFonts w:asciiTheme="majorBidi" w:hAnsiTheme="majorBidi" w:cstheme="majorBidi"/>
          <w:b/>
          <w:sz w:val="20"/>
          <w:szCs w:val="20"/>
        </w:rPr>
        <w:t xml:space="preserve">: Standardised Mean Differences in Confounders Associated with Childcare (Baseline Lone Parents) </w:t>
      </w:r>
    </w:p>
    <w:p w14:paraId="40EDEC64" w14:textId="0292898E" w:rsidR="005F223E" w:rsidRPr="005F223E" w:rsidRDefault="005F223E" w:rsidP="00182B86">
      <w:pPr>
        <w:rPr>
          <w:rFonts w:asciiTheme="majorBidi" w:hAnsiTheme="majorBidi" w:cstheme="majorBidi"/>
          <w:bCs/>
          <w:sz w:val="20"/>
          <w:szCs w:val="20"/>
        </w:rPr>
      </w:pPr>
      <w:r>
        <w:rPr>
          <w:rFonts w:asciiTheme="majorBidi" w:hAnsiTheme="majorBidi" w:cstheme="majorBidi"/>
          <w:bCs/>
          <w:sz w:val="20"/>
          <w:szCs w:val="20"/>
        </w:rPr>
        <w:t>W1 indicates measures taken at 9 months, while W2 indicates measures taken at age 3.</w:t>
      </w:r>
    </w:p>
    <w:p w14:paraId="518038D3" w14:textId="68BE2AE8" w:rsidR="003F6849" w:rsidRPr="00940DE8" w:rsidRDefault="00142D74" w:rsidP="00182B86">
      <w:pP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14:anchorId="6280F267" wp14:editId="746440F5">
            <wp:extent cx="5731510" cy="5731510"/>
            <wp:effectExtent l="0" t="0" r="2540" b="254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6_CCatebalB_hiPED_10072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AE2C36D" w14:textId="04A06948" w:rsidR="00FF3347" w:rsidRDefault="00FF3347" w:rsidP="00FF3347">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S1.9</w:t>
      </w:r>
      <w:r>
        <w:rPr>
          <w:rFonts w:asciiTheme="majorBidi" w:hAnsiTheme="majorBidi" w:cstheme="majorBidi"/>
          <w:b/>
          <w:sz w:val="20"/>
          <w:szCs w:val="20"/>
        </w:rPr>
        <w:t>: Standardised Mean Differences in Confounders Associated with Childcare (</w:t>
      </w:r>
      <w:r w:rsidR="003F6849">
        <w:rPr>
          <w:rFonts w:asciiTheme="majorBidi" w:hAnsiTheme="majorBidi" w:cstheme="majorBidi"/>
          <w:b/>
          <w:sz w:val="20"/>
          <w:szCs w:val="20"/>
        </w:rPr>
        <w:t>High Parental Education; Alternate Weighting</w:t>
      </w:r>
      <w:r>
        <w:rPr>
          <w:rFonts w:asciiTheme="majorBidi" w:hAnsiTheme="majorBidi" w:cstheme="majorBidi"/>
          <w:b/>
          <w:sz w:val="20"/>
          <w:szCs w:val="20"/>
        </w:rPr>
        <w:t xml:space="preserve">) </w:t>
      </w:r>
    </w:p>
    <w:p w14:paraId="7E69080E" w14:textId="1E66FAFF" w:rsidR="005F223E" w:rsidRPr="005F223E" w:rsidRDefault="005F223E" w:rsidP="00FF3347">
      <w:pPr>
        <w:rPr>
          <w:rFonts w:asciiTheme="majorBidi" w:hAnsiTheme="majorBidi" w:cstheme="majorBidi"/>
          <w:bCs/>
          <w:sz w:val="20"/>
          <w:szCs w:val="20"/>
        </w:rPr>
      </w:pPr>
      <w:r>
        <w:rPr>
          <w:rFonts w:asciiTheme="majorBidi" w:hAnsiTheme="majorBidi" w:cstheme="majorBidi"/>
          <w:bCs/>
          <w:sz w:val="20"/>
          <w:szCs w:val="20"/>
        </w:rPr>
        <w:t>W1 indicates measures taken at 9 months, while W2 indicates measures taken at age 3.</w:t>
      </w:r>
    </w:p>
    <w:p w14:paraId="0283E698" w14:textId="30957A0E" w:rsidR="00142D74" w:rsidRPr="00142D74" w:rsidRDefault="00142D74" w:rsidP="00FF3347">
      <w:pPr>
        <w:rPr>
          <w:rFonts w:asciiTheme="majorBidi" w:hAnsiTheme="majorBidi" w:cstheme="majorBidi"/>
          <w:bCs/>
          <w:sz w:val="20"/>
          <w:szCs w:val="20"/>
        </w:rPr>
      </w:pPr>
      <w:r>
        <w:rPr>
          <w:rFonts w:asciiTheme="majorBidi" w:hAnsiTheme="majorBidi" w:cstheme="majorBidi"/>
          <w:bCs/>
          <w:noProof/>
          <w:sz w:val="20"/>
          <w:szCs w:val="20"/>
        </w:rPr>
        <w:lastRenderedPageBreak/>
        <w:drawing>
          <wp:inline distT="0" distB="0" distL="0" distR="0" wp14:anchorId="71782D3F" wp14:editId="4357D152">
            <wp:extent cx="5731510" cy="5731510"/>
            <wp:effectExtent l="0" t="0" r="2540" b="25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6_CCatebalB_loPED_10072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688812F" w14:textId="3D98CD75" w:rsidR="005F223E" w:rsidRDefault="00FF3347" w:rsidP="005F223E">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S1.10</w:t>
      </w:r>
      <w:r>
        <w:rPr>
          <w:rFonts w:asciiTheme="majorBidi" w:hAnsiTheme="majorBidi" w:cstheme="majorBidi"/>
          <w:b/>
          <w:sz w:val="20"/>
          <w:szCs w:val="20"/>
        </w:rPr>
        <w:t xml:space="preserve">: Standardised Mean Differences in Confounders Associated with Childcare </w:t>
      </w:r>
      <w:r w:rsidR="003F6849">
        <w:rPr>
          <w:rFonts w:asciiTheme="majorBidi" w:hAnsiTheme="majorBidi" w:cstheme="majorBidi"/>
          <w:b/>
          <w:sz w:val="20"/>
          <w:szCs w:val="20"/>
        </w:rPr>
        <w:t xml:space="preserve">(Low Parental Education; Alternate Weighting) </w:t>
      </w:r>
    </w:p>
    <w:p w14:paraId="3C8C611A" w14:textId="707602CD" w:rsidR="005F223E" w:rsidRDefault="005F223E" w:rsidP="005F223E">
      <w:pPr>
        <w:rPr>
          <w:rFonts w:asciiTheme="majorBidi" w:hAnsiTheme="majorBidi" w:cstheme="majorBidi"/>
          <w:b/>
          <w:sz w:val="20"/>
          <w:szCs w:val="20"/>
        </w:rPr>
      </w:pPr>
      <w:r>
        <w:rPr>
          <w:rFonts w:asciiTheme="majorBidi" w:hAnsiTheme="majorBidi" w:cstheme="majorBidi"/>
          <w:bCs/>
          <w:sz w:val="20"/>
          <w:szCs w:val="20"/>
        </w:rPr>
        <w:t>W1 indicates measures taken at 9 months, while W2 indicates measures taken at age 3.</w:t>
      </w:r>
    </w:p>
    <w:p w14:paraId="51BBCD8A" w14:textId="1F345AB4" w:rsidR="00142D74" w:rsidRDefault="00142D74" w:rsidP="005F223E">
      <w:pPr>
        <w:rPr>
          <w:rFonts w:asciiTheme="majorBidi" w:hAnsiTheme="majorBidi" w:cstheme="majorBidi"/>
          <w:b/>
          <w:sz w:val="20"/>
          <w:szCs w:val="20"/>
        </w:rPr>
      </w:pPr>
      <w:r>
        <w:rPr>
          <w:rFonts w:asciiTheme="majorBidi" w:hAnsiTheme="majorBidi" w:cstheme="majorBidi"/>
          <w:b/>
          <w:noProof/>
          <w:sz w:val="20"/>
          <w:szCs w:val="20"/>
        </w:rPr>
        <w:lastRenderedPageBreak/>
        <w:drawing>
          <wp:inline distT="0" distB="0" distL="0" distR="0" wp14:anchorId="564EA0AB" wp14:editId="30DA577B">
            <wp:extent cx="5731510" cy="5731510"/>
            <wp:effectExtent l="0" t="0" r="2540" b="254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6_CCbalcplB_03072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2178A5C" w14:textId="4182A52B" w:rsidR="00FF3347" w:rsidRDefault="00FF3347" w:rsidP="003F6849">
      <w:pPr>
        <w:rPr>
          <w:rFonts w:asciiTheme="majorBidi" w:hAnsiTheme="majorBidi" w:cstheme="majorBidi"/>
          <w:b/>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S1.11</w:t>
      </w:r>
      <w:r>
        <w:rPr>
          <w:rFonts w:asciiTheme="majorBidi" w:hAnsiTheme="majorBidi" w:cstheme="majorBidi"/>
          <w:b/>
          <w:sz w:val="20"/>
          <w:szCs w:val="20"/>
        </w:rPr>
        <w:t xml:space="preserve">: Standardised Mean Differences in Confounders Associated with Childcare (Baseline </w:t>
      </w:r>
      <w:r w:rsidR="003F6849">
        <w:rPr>
          <w:rFonts w:asciiTheme="majorBidi" w:hAnsiTheme="majorBidi" w:cstheme="majorBidi"/>
          <w:b/>
          <w:sz w:val="20"/>
          <w:szCs w:val="20"/>
        </w:rPr>
        <w:t>Couple</w:t>
      </w:r>
      <w:r>
        <w:rPr>
          <w:rFonts w:asciiTheme="majorBidi" w:hAnsiTheme="majorBidi" w:cstheme="majorBidi"/>
          <w:b/>
          <w:sz w:val="20"/>
          <w:szCs w:val="20"/>
        </w:rPr>
        <w:t xml:space="preserve"> Parents</w:t>
      </w:r>
      <w:r w:rsidR="003F6849">
        <w:rPr>
          <w:rFonts w:asciiTheme="majorBidi" w:hAnsiTheme="majorBidi" w:cstheme="majorBidi"/>
          <w:b/>
          <w:sz w:val="20"/>
          <w:szCs w:val="20"/>
        </w:rPr>
        <w:t>; Alternate Weighting</w:t>
      </w:r>
      <w:r>
        <w:rPr>
          <w:rFonts w:asciiTheme="majorBidi" w:hAnsiTheme="majorBidi" w:cstheme="majorBidi"/>
          <w:b/>
          <w:sz w:val="20"/>
          <w:szCs w:val="20"/>
        </w:rPr>
        <w:t xml:space="preserve">) </w:t>
      </w:r>
    </w:p>
    <w:p w14:paraId="4C8A21CE" w14:textId="6A3FC6C2" w:rsidR="005F223E" w:rsidRDefault="005F223E" w:rsidP="003F6849">
      <w:pPr>
        <w:rPr>
          <w:rFonts w:asciiTheme="majorBidi" w:hAnsiTheme="majorBidi" w:cstheme="majorBidi"/>
          <w:b/>
          <w:sz w:val="20"/>
          <w:szCs w:val="20"/>
        </w:rPr>
      </w:pPr>
      <w:r>
        <w:rPr>
          <w:rFonts w:asciiTheme="majorBidi" w:hAnsiTheme="majorBidi" w:cstheme="majorBidi"/>
          <w:bCs/>
          <w:sz w:val="20"/>
          <w:szCs w:val="20"/>
        </w:rPr>
        <w:t>W1 indicates measures taken at 9 months, while W2 indicates measures taken at age 3.</w:t>
      </w:r>
    </w:p>
    <w:p w14:paraId="11BA7323" w14:textId="7CB31D3C" w:rsidR="00142D74" w:rsidRPr="00142D74" w:rsidRDefault="00142D74" w:rsidP="003F6849">
      <w:pPr>
        <w:rPr>
          <w:rFonts w:asciiTheme="majorBidi" w:hAnsiTheme="majorBidi" w:cstheme="majorBidi"/>
          <w:bCs/>
          <w:sz w:val="20"/>
          <w:szCs w:val="20"/>
        </w:rPr>
      </w:pPr>
      <w:r>
        <w:rPr>
          <w:rFonts w:asciiTheme="majorBidi" w:hAnsiTheme="majorBidi" w:cstheme="majorBidi"/>
          <w:bCs/>
          <w:noProof/>
          <w:sz w:val="20"/>
          <w:szCs w:val="20"/>
        </w:rPr>
        <w:lastRenderedPageBreak/>
        <w:drawing>
          <wp:inline distT="0" distB="0" distL="0" distR="0" wp14:anchorId="7E756F3E" wp14:editId="5804F3AB">
            <wp:extent cx="5731510" cy="5731510"/>
            <wp:effectExtent l="0" t="0" r="2540" b="254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6_CCballonB_03072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B7D364F" w14:textId="2EC02573" w:rsidR="003F6849" w:rsidRPr="00940DE8" w:rsidRDefault="003F6849" w:rsidP="003F6849">
      <w:pPr>
        <w:rPr>
          <w:rFonts w:asciiTheme="majorBidi" w:hAnsiTheme="majorBidi" w:cstheme="majorBidi"/>
          <w:sz w:val="20"/>
          <w:szCs w:val="20"/>
        </w:rPr>
      </w:pPr>
      <w:r>
        <w:rPr>
          <w:rFonts w:asciiTheme="majorBidi" w:hAnsiTheme="majorBidi" w:cstheme="majorBidi"/>
          <w:b/>
          <w:sz w:val="20"/>
          <w:szCs w:val="20"/>
        </w:rPr>
        <w:t xml:space="preserve">Figure </w:t>
      </w:r>
      <w:r w:rsidR="00B4656E">
        <w:rPr>
          <w:rFonts w:asciiTheme="majorBidi" w:hAnsiTheme="majorBidi" w:cstheme="majorBidi"/>
          <w:b/>
          <w:sz w:val="20"/>
          <w:szCs w:val="20"/>
        </w:rPr>
        <w:t>S1.12</w:t>
      </w:r>
      <w:r>
        <w:rPr>
          <w:rFonts w:asciiTheme="majorBidi" w:hAnsiTheme="majorBidi" w:cstheme="majorBidi"/>
          <w:b/>
          <w:sz w:val="20"/>
          <w:szCs w:val="20"/>
        </w:rPr>
        <w:t xml:space="preserve">: Standardised Mean Differences in Confounders Associated with Childcare (Baseline Lone Parents; Alternate Weighting) </w:t>
      </w:r>
    </w:p>
    <w:p w14:paraId="3DFA4351" w14:textId="0DF6E3F5" w:rsidR="00182B86" w:rsidRPr="00940DE8" w:rsidRDefault="005F223E" w:rsidP="001E793D">
      <w:pPr>
        <w:rPr>
          <w:rFonts w:asciiTheme="majorBidi" w:hAnsiTheme="majorBidi" w:cstheme="majorBidi"/>
          <w:sz w:val="20"/>
          <w:szCs w:val="20"/>
        </w:rPr>
      </w:pPr>
      <w:r>
        <w:rPr>
          <w:rFonts w:asciiTheme="majorBidi" w:hAnsiTheme="majorBidi" w:cstheme="majorBidi"/>
          <w:bCs/>
          <w:sz w:val="20"/>
          <w:szCs w:val="20"/>
        </w:rPr>
        <w:t>W1 indicates measures taken at 9 months, while W2 indicates measures taken at age 3.</w:t>
      </w:r>
    </w:p>
    <w:sectPr w:rsidR="00182B86" w:rsidRPr="00940D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5608C2"/>
    <w:multiLevelType w:val="hybridMultilevel"/>
    <w:tmpl w:val="58C88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71"/>
    <w:rsid w:val="00087D67"/>
    <w:rsid w:val="00142D74"/>
    <w:rsid w:val="00182B86"/>
    <w:rsid w:val="001E793D"/>
    <w:rsid w:val="00287EDF"/>
    <w:rsid w:val="002A717C"/>
    <w:rsid w:val="002B0008"/>
    <w:rsid w:val="0032119C"/>
    <w:rsid w:val="00324FCC"/>
    <w:rsid w:val="003A3F4D"/>
    <w:rsid w:val="003F6849"/>
    <w:rsid w:val="004075AB"/>
    <w:rsid w:val="0051765E"/>
    <w:rsid w:val="005A128B"/>
    <w:rsid w:val="005F223E"/>
    <w:rsid w:val="00601888"/>
    <w:rsid w:val="00610A50"/>
    <w:rsid w:val="007A1250"/>
    <w:rsid w:val="007F1C3A"/>
    <w:rsid w:val="00940DE8"/>
    <w:rsid w:val="00AF7096"/>
    <w:rsid w:val="00B4656E"/>
    <w:rsid w:val="00B67760"/>
    <w:rsid w:val="00BC252C"/>
    <w:rsid w:val="00BE592D"/>
    <w:rsid w:val="00CA2EEC"/>
    <w:rsid w:val="00CB76AD"/>
    <w:rsid w:val="00CD3371"/>
    <w:rsid w:val="00D02399"/>
    <w:rsid w:val="00EB1D21"/>
    <w:rsid w:val="00ED397A"/>
    <w:rsid w:val="00F000D9"/>
    <w:rsid w:val="00F3457C"/>
    <w:rsid w:val="00FA6E3D"/>
    <w:rsid w:val="00FF334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F1B45"/>
  <w15:chartTrackingRefBased/>
  <w15:docId w15:val="{8EF3A2E2-ACA7-428E-9040-CB22F33D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D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DE8"/>
    <w:rPr>
      <w:rFonts w:ascii="Segoe UI" w:hAnsi="Segoe UI" w:cs="Segoe UI"/>
      <w:sz w:val="18"/>
      <w:szCs w:val="18"/>
    </w:rPr>
  </w:style>
  <w:style w:type="character" w:styleId="Hyperlink">
    <w:name w:val="Hyperlink"/>
    <w:basedOn w:val="DefaultParagraphFont"/>
    <w:uiPriority w:val="99"/>
    <w:unhideWhenUsed/>
    <w:rsid w:val="00940DE8"/>
    <w:rPr>
      <w:color w:val="0563C1" w:themeColor="hyperlink"/>
      <w:u w:val="single"/>
    </w:rPr>
  </w:style>
  <w:style w:type="character" w:styleId="UnresolvedMention">
    <w:name w:val="Unresolved Mention"/>
    <w:basedOn w:val="DefaultParagraphFont"/>
    <w:uiPriority w:val="99"/>
    <w:semiHidden/>
    <w:unhideWhenUsed/>
    <w:rsid w:val="00940DE8"/>
    <w:rPr>
      <w:color w:val="605E5C"/>
      <w:shd w:val="clear" w:color="auto" w:fill="E1DFDD"/>
    </w:rPr>
  </w:style>
  <w:style w:type="paragraph" w:styleId="ListParagraph">
    <w:name w:val="List Paragraph"/>
    <w:basedOn w:val="Normal"/>
    <w:uiPriority w:val="34"/>
    <w:qFormat/>
    <w:rsid w:val="00610A50"/>
    <w:pPr>
      <w:spacing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Green</dc:creator>
  <cp:keywords/>
  <dc:description/>
  <cp:lastModifiedBy>Michael Green</cp:lastModifiedBy>
  <cp:revision>3</cp:revision>
  <dcterms:created xsi:type="dcterms:W3CDTF">2020-09-07T14:25:00Z</dcterms:created>
  <dcterms:modified xsi:type="dcterms:W3CDTF">2020-09-08T09:53:00Z</dcterms:modified>
</cp:coreProperties>
</file>