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21A8" w:rsidRPr="00166C1C" w:rsidRDefault="001A21A8" w:rsidP="001A21A8">
      <w:pPr>
        <w:spacing w:line="480" w:lineRule="auto"/>
        <w:rPr>
          <w:rFonts w:ascii="Arial Narrow" w:hAnsi="Arial Narrow" w:cs="Arial"/>
          <w:b/>
          <w:lang w:val="en-GB"/>
        </w:rPr>
      </w:pPr>
      <w:r w:rsidRPr="00166C1C">
        <w:rPr>
          <w:rFonts w:ascii="Arial Narrow" w:hAnsi="Arial Narrow" w:cs="Arial"/>
          <w:b/>
          <w:lang w:val="en-GB"/>
        </w:rPr>
        <w:t>Age disparities in lung cancer survival in New Zealand: the role of patient and clinical factors</w:t>
      </w:r>
    </w:p>
    <w:p w:rsidR="001A21A8" w:rsidRPr="00166C1C" w:rsidRDefault="001A21A8" w:rsidP="001A21A8">
      <w:pPr>
        <w:spacing w:line="480" w:lineRule="auto"/>
        <w:rPr>
          <w:rFonts w:ascii="Arial Narrow" w:hAnsi="Arial Narrow" w:cs="Arial"/>
          <w:vertAlign w:val="superscript"/>
          <w:lang w:val="en-GB"/>
        </w:rPr>
      </w:pPr>
      <w:r w:rsidRPr="00166C1C">
        <w:rPr>
          <w:rFonts w:ascii="Arial Narrow" w:hAnsi="Arial Narrow" w:cs="Arial"/>
          <w:lang w:val="en-GB"/>
        </w:rPr>
        <w:t xml:space="preserve">Sophie </w:t>
      </w:r>
      <w:proofErr w:type="spellStart"/>
      <w:r w:rsidRPr="00166C1C">
        <w:rPr>
          <w:rFonts w:ascii="Arial Narrow" w:hAnsi="Arial Narrow" w:cs="Arial"/>
          <w:lang w:val="en-GB"/>
        </w:rPr>
        <w:t>Pilleron</w:t>
      </w:r>
      <w:proofErr w:type="spellEnd"/>
      <w:r w:rsidRPr="00166C1C">
        <w:rPr>
          <w:rFonts w:ascii="Arial Narrow" w:hAnsi="Arial Narrow" w:cs="Arial"/>
          <w:lang w:val="en-GB"/>
        </w:rPr>
        <w:t xml:space="preserve">, Camille </w:t>
      </w:r>
      <w:proofErr w:type="spellStart"/>
      <w:r w:rsidRPr="00166C1C">
        <w:rPr>
          <w:rFonts w:ascii="Arial Narrow" w:hAnsi="Arial Narrow" w:cs="Arial"/>
          <w:lang w:val="en-GB"/>
        </w:rPr>
        <w:t>Maringe</w:t>
      </w:r>
      <w:proofErr w:type="spellEnd"/>
      <w:r w:rsidRPr="00166C1C">
        <w:rPr>
          <w:rFonts w:ascii="Arial Narrow" w:hAnsi="Arial Narrow" w:cs="Arial"/>
          <w:lang w:val="en-GB"/>
        </w:rPr>
        <w:t xml:space="preserve">, </w:t>
      </w:r>
      <w:proofErr w:type="spellStart"/>
      <w:r w:rsidRPr="00166C1C">
        <w:rPr>
          <w:rFonts w:ascii="Arial Narrow" w:hAnsi="Arial Narrow" w:cs="Arial"/>
          <w:lang w:val="en-GB"/>
        </w:rPr>
        <w:t>Hadrien</w:t>
      </w:r>
      <w:proofErr w:type="spellEnd"/>
      <w:r w:rsidRPr="00166C1C">
        <w:rPr>
          <w:rFonts w:ascii="Arial Narrow" w:hAnsi="Arial Narrow" w:cs="Arial"/>
          <w:lang w:val="en-GB"/>
        </w:rPr>
        <w:t xml:space="preserve"> </w:t>
      </w:r>
      <w:proofErr w:type="spellStart"/>
      <w:r w:rsidRPr="00166C1C">
        <w:rPr>
          <w:rFonts w:ascii="Arial Narrow" w:hAnsi="Arial Narrow" w:cs="Arial"/>
          <w:lang w:val="en-GB"/>
        </w:rPr>
        <w:t>Charvat</w:t>
      </w:r>
      <w:proofErr w:type="spellEnd"/>
      <w:r w:rsidRPr="00166C1C">
        <w:rPr>
          <w:rFonts w:ascii="Arial Narrow" w:hAnsi="Arial Narrow" w:cs="Arial"/>
          <w:lang w:val="en-GB"/>
        </w:rPr>
        <w:t xml:space="preserve">, June Atkinson, Eva Morris, Diana </w:t>
      </w:r>
      <w:proofErr w:type="spellStart"/>
      <w:r w:rsidRPr="00166C1C">
        <w:rPr>
          <w:rFonts w:ascii="Arial Narrow" w:hAnsi="Arial Narrow" w:cs="Arial"/>
          <w:lang w:val="en-GB"/>
        </w:rPr>
        <w:t>Sarfati</w:t>
      </w:r>
      <w:proofErr w:type="spellEnd"/>
    </w:p>
    <w:p w:rsidR="001A21A8" w:rsidRPr="00166C1C" w:rsidRDefault="001A21A8" w:rsidP="001A21A8">
      <w:pPr>
        <w:spacing w:line="480" w:lineRule="auto"/>
        <w:rPr>
          <w:rFonts w:ascii="Arial Narrow" w:hAnsi="Arial Narrow" w:cs="Arial"/>
          <w:vertAlign w:val="superscript"/>
          <w:lang w:val="en-GB"/>
        </w:rPr>
      </w:pPr>
    </w:p>
    <w:p w:rsidR="001A21A8" w:rsidRPr="00166C1C" w:rsidRDefault="001A21A8" w:rsidP="001A21A8">
      <w:pPr>
        <w:spacing w:line="480" w:lineRule="auto"/>
        <w:rPr>
          <w:rFonts w:ascii="Arial Narrow" w:hAnsi="Arial Narrow" w:cs="Arial"/>
          <w:b/>
          <w:bCs/>
          <w:lang w:val="en-GB"/>
        </w:rPr>
      </w:pPr>
      <w:r w:rsidRPr="00166C1C">
        <w:rPr>
          <w:rFonts w:ascii="Arial Narrow" w:hAnsi="Arial Narrow" w:cs="Arial"/>
          <w:b/>
          <w:bCs/>
          <w:lang w:val="en-GB"/>
        </w:rPr>
        <w:t>Table of content</w:t>
      </w:r>
    </w:p>
    <w:p w:rsidR="001A21A8" w:rsidRPr="00166C1C" w:rsidRDefault="001A21A8" w:rsidP="00F24C78">
      <w:pPr>
        <w:spacing w:line="480" w:lineRule="auto"/>
        <w:jc w:val="both"/>
        <w:rPr>
          <w:rFonts w:ascii="Arial Narrow" w:hAnsi="Arial Narrow" w:cs="Arial"/>
          <w:lang w:val="en-GB"/>
        </w:rPr>
      </w:pPr>
      <w:r w:rsidRPr="00166C1C">
        <w:rPr>
          <w:rFonts w:ascii="Arial Narrow" w:hAnsi="Arial Narrow" w:cs="Arial"/>
          <w:u w:val="single"/>
          <w:lang w:val="en-GB"/>
        </w:rPr>
        <w:t>Supplementary Table 1</w:t>
      </w:r>
      <w:r w:rsidRPr="00166C1C">
        <w:rPr>
          <w:rFonts w:ascii="Arial Narrow" w:hAnsi="Arial Narrow" w:cs="Arial"/>
          <w:lang w:val="en-GB"/>
        </w:rPr>
        <w:t>. Characteristics of patients with lung cancer by age group and stage at diagnosis</w:t>
      </w:r>
    </w:p>
    <w:p w:rsidR="001A21A8" w:rsidRPr="00166C1C" w:rsidRDefault="001A21A8" w:rsidP="00F24C78">
      <w:pPr>
        <w:spacing w:line="480" w:lineRule="auto"/>
        <w:jc w:val="both"/>
        <w:rPr>
          <w:rFonts w:ascii="Arial Narrow" w:hAnsi="Arial Narrow" w:cs="Arial"/>
          <w:lang w:val="en-GB"/>
        </w:rPr>
      </w:pPr>
      <w:r w:rsidRPr="00166C1C">
        <w:rPr>
          <w:rFonts w:ascii="Arial Narrow" w:hAnsi="Arial Narrow" w:cs="Arial"/>
          <w:u w:val="single"/>
          <w:lang w:val="en-GB"/>
        </w:rPr>
        <w:t>Supplementary Table 2</w:t>
      </w:r>
      <w:r w:rsidRPr="00166C1C">
        <w:rPr>
          <w:rFonts w:ascii="Arial Narrow" w:hAnsi="Arial Narrow" w:cs="Arial"/>
          <w:lang w:val="en-GB"/>
        </w:rPr>
        <w:t>. One-year and three-year net survival for patients aged 55, 65, 75, and 85 years old at lung cancer diagnosis by stage at diagnosis</w:t>
      </w:r>
    </w:p>
    <w:p w:rsidR="001A21A8" w:rsidRPr="00166C1C" w:rsidRDefault="001A21A8" w:rsidP="00F24C78">
      <w:pPr>
        <w:spacing w:line="480" w:lineRule="auto"/>
        <w:jc w:val="both"/>
        <w:rPr>
          <w:rFonts w:ascii="Arial Narrow" w:hAnsi="Arial Narrow" w:cs="Arial"/>
          <w:lang w:val="en-GB"/>
        </w:rPr>
      </w:pPr>
      <w:r w:rsidRPr="00166C1C">
        <w:rPr>
          <w:rFonts w:ascii="Arial Narrow" w:hAnsi="Arial Narrow" w:cs="Arial"/>
          <w:u w:val="single"/>
          <w:lang w:val="en-GB"/>
        </w:rPr>
        <w:t>Supplementary Table 3</w:t>
      </w:r>
      <w:r w:rsidRPr="00166C1C">
        <w:rPr>
          <w:rFonts w:ascii="Arial Narrow" w:hAnsi="Arial Narrow" w:cs="Arial"/>
          <w:lang w:val="en-GB"/>
        </w:rPr>
        <w:t>. Final excess hazard regression models by stage at diagnosis</w:t>
      </w:r>
    </w:p>
    <w:p w:rsidR="006E5457" w:rsidRPr="006D11A3" w:rsidRDefault="006E5457" w:rsidP="006E5457">
      <w:pPr>
        <w:tabs>
          <w:tab w:val="left" w:pos="1170"/>
        </w:tabs>
        <w:spacing w:line="480" w:lineRule="auto"/>
        <w:jc w:val="both"/>
        <w:rPr>
          <w:rFonts w:ascii="Arial Narrow" w:hAnsi="Arial Narrow" w:cs="Arial"/>
          <w:i/>
          <w:lang w:val="en-GB"/>
        </w:rPr>
      </w:pPr>
      <w:r>
        <w:rPr>
          <w:rFonts w:ascii="Arial Narrow" w:hAnsi="Arial Narrow" w:cs="Arial"/>
          <w:b/>
          <w:bCs/>
          <w:lang w:val="en-GB"/>
        </w:rPr>
        <w:br w:type="column"/>
      </w:r>
      <w:r w:rsidRPr="006D11A3">
        <w:rPr>
          <w:rFonts w:ascii="Arial Narrow" w:hAnsi="Arial Narrow" w:cs="Arial"/>
          <w:i/>
          <w:lang w:val="en-GB"/>
        </w:rPr>
        <w:lastRenderedPageBreak/>
        <w:t>Model-building strategy</w:t>
      </w:r>
    </w:p>
    <w:p w:rsidR="006E5457" w:rsidRDefault="006E5457" w:rsidP="006E5457">
      <w:pPr>
        <w:tabs>
          <w:tab w:val="left" w:pos="1170"/>
        </w:tabs>
        <w:spacing w:line="480" w:lineRule="auto"/>
        <w:jc w:val="both"/>
        <w:rPr>
          <w:rFonts w:ascii="Arial Narrow" w:hAnsi="Arial Narrow" w:cs="Arial"/>
          <w:lang w:val="en-GB"/>
        </w:rPr>
      </w:pPr>
      <w:r w:rsidRPr="000F2444">
        <w:rPr>
          <w:rFonts w:ascii="Arial Narrow" w:hAnsi="Arial Narrow" w:cs="Arial"/>
          <w:lang w:val="en-GB"/>
        </w:rPr>
        <w:t xml:space="preserve">We </w:t>
      </w:r>
      <w:r>
        <w:rPr>
          <w:rFonts w:ascii="Arial Narrow" w:hAnsi="Arial Narrow" w:cs="Arial"/>
          <w:lang w:val="en-GB"/>
        </w:rPr>
        <w:t xml:space="preserve">selected the best-fitting </w:t>
      </w:r>
      <w:r w:rsidRPr="000F2444">
        <w:rPr>
          <w:rFonts w:ascii="Arial Narrow" w:hAnsi="Arial Narrow" w:cs="Arial"/>
          <w:lang w:val="en-GB"/>
        </w:rPr>
        <w:t xml:space="preserve">model </w:t>
      </w:r>
      <w:r>
        <w:rPr>
          <w:rFonts w:ascii="Arial Narrow" w:hAnsi="Arial Narrow" w:cs="Arial"/>
          <w:lang w:val="en-GB"/>
        </w:rPr>
        <w:t>for each</w:t>
      </w:r>
      <w:r w:rsidRPr="000F2444">
        <w:rPr>
          <w:rFonts w:ascii="Arial Narrow" w:hAnsi="Arial Narrow" w:cs="Arial"/>
          <w:lang w:val="en-GB"/>
        </w:rPr>
        <w:t xml:space="preserve"> stage at diagnosis</w:t>
      </w:r>
      <w:r>
        <w:rPr>
          <w:rFonts w:ascii="Arial Narrow" w:hAnsi="Arial Narrow" w:cs="Arial"/>
          <w:lang w:val="en-GB"/>
        </w:rPr>
        <w:t>. First,</w:t>
      </w:r>
      <w:r w:rsidRPr="006E5457">
        <w:rPr>
          <w:lang w:val="en-US"/>
        </w:rPr>
        <w:t xml:space="preserve"> </w:t>
      </w:r>
      <w:r>
        <w:rPr>
          <w:rFonts w:ascii="Arial Narrow" w:hAnsi="Arial Narrow" w:cs="Arial"/>
          <w:lang w:val="en-GB"/>
        </w:rPr>
        <w:t>w</w:t>
      </w:r>
      <w:r w:rsidRPr="00BD31AD">
        <w:rPr>
          <w:rFonts w:ascii="Arial Narrow" w:hAnsi="Arial Narrow" w:cs="Arial"/>
          <w:lang w:val="en-GB"/>
        </w:rPr>
        <w:t xml:space="preserve">e selected the functional form of the baseline hazard on the most complex model </w:t>
      </w:r>
      <w:r>
        <w:rPr>
          <w:rFonts w:ascii="Arial Narrow" w:hAnsi="Arial Narrow" w:cs="Arial"/>
          <w:lang w:val="en-GB"/>
        </w:rPr>
        <w:t>yielding minimal</w:t>
      </w:r>
      <w:r w:rsidRPr="00BD31AD">
        <w:rPr>
          <w:rFonts w:ascii="Arial Narrow" w:hAnsi="Arial Narrow" w:cs="Arial"/>
          <w:lang w:val="en-GB"/>
        </w:rPr>
        <w:t xml:space="preserve"> Aka</w:t>
      </w:r>
      <w:r>
        <w:rPr>
          <w:rFonts w:ascii="Arial Narrow" w:hAnsi="Arial Narrow" w:cs="Arial"/>
          <w:lang w:val="en-GB"/>
        </w:rPr>
        <w:t>i</w:t>
      </w:r>
      <w:r w:rsidRPr="00BD31AD">
        <w:rPr>
          <w:rFonts w:ascii="Arial Narrow" w:hAnsi="Arial Narrow" w:cs="Arial"/>
          <w:lang w:val="en-GB"/>
        </w:rPr>
        <w:t xml:space="preserve">ke Information Criterion (AIC). </w:t>
      </w:r>
      <w:r>
        <w:rPr>
          <w:rFonts w:ascii="Arial Narrow" w:hAnsi="Arial Narrow" w:cs="Arial"/>
          <w:lang w:val="en-GB"/>
        </w:rPr>
        <w:t>T</w:t>
      </w:r>
      <w:r w:rsidRPr="00BD31AD">
        <w:rPr>
          <w:rFonts w:ascii="Arial Narrow" w:hAnsi="Arial Narrow" w:cs="Arial"/>
          <w:lang w:val="en-GB"/>
        </w:rPr>
        <w:t>he functional form was chosen among the exponential of a restricted cubic spline and the exponential of B-spline of degree 2 or 3</w:t>
      </w:r>
      <w:r>
        <w:rPr>
          <w:rFonts w:ascii="Arial Narrow" w:hAnsi="Arial Narrow" w:cs="Arial"/>
          <w:lang w:val="en-GB"/>
        </w:rPr>
        <w:t>.</w:t>
      </w:r>
      <w:r w:rsidRPr="00BD31AD">
        <w:rPr>
          <w:rFonts w:ascii="Arial Narrow" w:hAnsi="Arial Narrow" w:cs="Arial"/>
          <w:lang w:val="en-GB"/>
        </w:rPr>
        <w:t xml:space="preserve"> </w:t>
      </w:r>
      <w:r>
        <w:rPr>
          <w:rFonts w:ascii="Arial Narrow" w:hAnsi="Arial Narrow" w:cs="Arial"/>
          <w:lang w:val="en-GB"/>
        </w:rPr>
        <w:t>F</w:t>
      </w:r>
      <w:r w:rsidRPr="00BD31AD">
        <w:rPr>
          <w:rFonts w:ascii="Arial Narrow" w:hAnsi="Arial Narrow" w:cs="Arial"/>
          <w:lang w:val="en-GB"/>
        </w:rPr>
        <w:t xml:space="preserve">or each option, we tested the number of knots (one or two) located at the median or at the tertile of the distribution of survival times in patients who died. </w:t>
      </w:r>
      <w:r>
        <w:rPr>
          <w:rFonts w:ascii="Arial Narrow" w:hAnsi="Arial Narrow" w:cs="Arial"/>
          <w:lang w:val="en-GB"/>
        </w:rPr>
        <w:t>We then selected our final models</w:t>
      </w:r>
      <w:r w:rsidRPr="000F2444">
        <w:rPr>
          <w:rFonts w:ascii="Arial Narrow" w:hAnsi="Arial Narrow" w:cs="Arial"/>
          <w:lang w:val="en-GB"/>
        </w:rPr>
        <w:t xml:space="preserve"> using the </w:t>
      </w:r>
      <w:r>
        <w:rPr>
          <w:rFonts w:ascii="Arial Narrow" w:hAnsi="Arial Narrow" w:cs="Arial"/>
          <w:lang w:val="en-GB"/>
        </w:rPr>
        <w:t xml:space="preserve">model building </w:t>
      </w:r>
      <w:r w:rsidRPr="000F2444">
        <w:rPr>
          <w:rFonts w:ascii="Arial Narrow" w:hAnsi="Arial Narrow" w:cs="Arial"/>
          <w:lang w:val="en-GB"/>
        </w:rPr>
        <w:t xml:space="preserve">strategy of Wynant and </w:t>
      </w:r>
      <w:proofErr w:type="spellStart"/>
      <w:r w:rsidRPr="000F2444">
        <w:rPr>
          <w:rFonts w:ascii="Arial Narrow" w:hAnsi="Arial Narrow" w:cs="Arial"/>
          <w:lang w:val="en-GB"/>
        </w:rPr>
        <w:t>Abrahamowicz</w:t>
      </w:r>
      <w:proofErr w:type="spellEnd"/>
      <w:r w:rsidRPr="000F2444">
        <w:rPr>
          <w:rFonts w:ascii="Arial Narrow" w:hAnsi="Arial Narrow" w:cs="Arial"/>
          <w:lang w:val="en-GB"/>
        </w:rPr>
        <w:t xml:space="preserve"> </w:t>
      </w:r>
      <w:r>
        <w:rPr>
          <w:rFonts w:ascii="Arial Narrow" w:hAnsi="Arial Narrow" w:cs="Arial"/>
          <w:lang w:val="en-GB"/>
        </w:rPr>
        <w:fldChar w:fldCharType="begin"/>
      </w:r>
      <w:r>
        <w:rPr>
          <w:rFonts w:ascii="Arial Narrow" w:hAnsi="Arial Narrow" w:cs="Arial"/>
          <w:lang w:val="en-GB"/>
        </w:rPr>
        <w:instrText xml:space="preserve"> ADDIN ZOTERO_ITEM CSL_CITATION {"citationID":"vTloE3GT","properties":{"formattedCitation":"\\super 1\\nosupersub{}","plainCitation":"1","noteIndex":0},"citationItems":[{"id":"tsAi71dM/tLFCz5ge","uris":["http://zotero.org/users/757167/items/INI7UU8Y"],"uri":["http://zotero.org/users/757167/items/INI7UU8Y"],"itemData":{"id":12685,"type":"article-journal","title":"Impact of the model-building strategy on inference about nonlinear and time-dependent covariate effects in survival analysis","container-title":"Statistics in Medicine","page":"3318-3337","volume":"33","issue":"19","source":"PubMed","abstract":"Cox's proportional hazards (PH) model assumes constant-over-time covariate effects. Furthermore, most applications assume linear effects of continuous covariates on the logarithm of the hazard. Yet, many prognostic factors have time-dependent (TD) and/or nonlinear (NL) effects, that is, violate these conventional assumptions. Detection of such complex effects could affect prognosis and clinical decisions. However, assessing the effects of each of the multiple, often correlated, covariates in flexible multivariable analyses is challenging. In simulations, we investigated the impact of the approach used to build the flexible multivariable model on inference about the TD and NL covariate effects. Results demonstrate that the conclusions regarding the statistical significance of the TD/NL effects depend heavily on the strategy used to decide which effects of the other covariates should be adjusted for. Both a failure to adjust for true TD and NL effects of relevant covariates and inclusion of spurious effects of covariates that conform to the PH and linearity assumptions increase the risk of incorrect conclusions regarding other covariates. In this context, iterative backward elimination of nonsignificant NL and TD effects from the multivariable model, which initially includes all these effects, may help discriminate between true and spurious effects. The practical importance of these issues was illustrated in an example that reassessed the predictive ability of selected biomarkers for survival in advanced non-small-cell lung cancer. In conclusion, a careful model-building strategy and flexible modeling of multivariable survival data can yield new insights about predictors' roles and improve the validity of analyses.","DOI":"10.1002/sim.6178","ISSN":"1097-0258","note":"PMID: 24757068","journalAbbreviation":"Stat Med","language":"eng","author":[{"family":"Wynant","given":"Willy"},{"family":"Abrahamowicz","given":"Michal"}],"issued":{"date-parts":[["2014",8,30]]}}}],"schema":"https://github.com/citation-style-language/schema/raw/master/csl-citation.json"} </w:instrText>
      </w:r>
      <w:r>
        <w:rPr>
          <w:rFonts w:ascii="Arial Narrow" w:hAnsi="Arial Narrow" w:cs="Arial"/>
          <w:lang w:val="en-GB"/>
        </w:rPr>
        <w:fldChar w:fldCharType="separate"/>
      </w:r>
      <w:r w:rsidRPr="006E5457">
        <w:rPr>
          <w:rFonts w:ascii="Arial Narrow" w:hAnsi="Arial Narrow"/>
          <w:vertAlign w:val="superscript"/>
          <w:lang w:val="en-US"/>
        </w:rPr>
        <w:t>1</w:t>
      </w:r>
      <w:r>
        <w:rPr>
          <w:rFonts w:ascii="Arial Narrow" w:hAnsi="Arial Narrow" w:cs="Arial"/>
          <w:lang w:val="en-GB"/>
        </w:rPr>
        <w:fldChar w:fldCharType="end"/>
      </w:r>
      <w:r>
        <w:rPr>
          <w:rFonts w:ascii="Arial Narrow" w:hAnsi="Arial Narrow" w:cs="Arial"/>
          <w:lang w:val="en-GB"/>
        </w:rPr>
        <w:t>,</w:t>
      </w:r>
      <w:r w:rsidRPr="000F2444">
        <w:rPr>
          <w:rFonts w:ascii="Arial Narrow" w:hAnsi="Arial Narrow" w:cs="Arial"/>
          <w:lang w:val="en-GB"/>
        </w:rPr>
        <w:t xml:space="preserve"> adapted </w:t>
      </w:r>
      <w:r>
        <w:rPr>
          <w:rFonts w:ascii="Arial Narrow" w:hAnsi="Arial Narrow" w:cs="Arial"/>
          <w:lang w:val="en-GB"/>
        </w:rPr>
        <w:t xml:space="preserve">for relative survival setting </w:t>
      </w:r>
      <w:r w:rsidRPr="000F2444">
        <w:rPr>
          <w:rFonts w:ascii="Arial Narrow" w:hAnsi="Arial Narrow" w:cs="Arial"/>
          <w:lang w:val="en-GB"/>
        </w:rPr>
        <w:t xml:space="preserve">by </w:t>
      </w:r>
      <w:proofErr w:type="spellStart"/>
      <w:r w:rsidRPr="000F2444">
        <w:rPr>
          <w:rFonts w:ascii="Arial Narrow" w:hAnsi="Arial Narrow" w:cs="Arial"/>
          <w:lang w:val="en-GB"/>
        </w:rPr>
        <w:t>Maringe</w:t>
      </w:r>
      <w:proofErr w:type="spellEnd"/>
      <w:r w:rsidRPr="000F2444">
        <w:rPr>
          <w:rFonts w:ascii="Arial Narrow" w:hAnsi="Arial Narrow" w:cs="Arial"/>
          <w:lang w:val="en-GB"/>
        </w:rPr>
        <w:t xml:space="preserve"> et al.</w:t>
      </w:r>
      <w:r w:rsidRPr="000F2444">
        <w:rPr>
          <w:rFonts w:ascii="Arial Narrow" w:hAnsi="Arial Narrow" w:cs="Arial"/>
          <w:lang w:val="en-GB"/>
        </w:rPr>
        <w:fldChar w:fldCharType="begin"/>
      </w:r>
      <w:r>
        <w:rPr>
          <w:rFonts w:ascii="Arial Narrow" w:hAnsi="Arial Narrow" w:cs="Arial"/>
          <w:lang w:val="en-GB"/>
        </w:rPr>
        <w:instrText xml:space="preserve"> ADDIN ZOTERO_ITEM CSL_CITATION {"citationID":"d67DDfMs","properties":{"formattedCitation":"\\super 2\\nosupersub{}","plainCitation":"2","noteIndex":0},"citationItems":[{"id":"tsAi71dM/H18d7lLF","uris":["http://zotero.org/users/757167/items/9GCW4IU6"],"uri":["http://zotero.org/users/757167/items/9GCW4IU6"],"itemData":{"id":12596,"type":"article-journal","title":"Comparison of model-building strategies for excess hazard regression models in the context of cancer epidemiology","container-title":"BMC medical research methodology","page":"210","volume":"19","issue":"1","source":"PubMed","abstract":"BACKGROUND: Large and complex population-based cancer data are becoming broadly available, thanks to purposeful linkage between cancer registry data and health electronic records. Aiming at understanding the explanatory power of factors on cancer survival, the modelling and selection of variables need to be understood and exploited properly for improving model-based estimates of cancer survival.\nMETHOD: We assess the performances of well-known model selection strategies developed by Royston and Sauerbrei and Wynant and Abrahamowicz that we adapt to the relative survival data setting and to test for interaction terms.\nRESULTS: We apply these to all male patients diagnosed with lung cancer in England in 2012 (N =</w:instrText>
      </w:r>
      <w:r>
        <w:rPr>
          <w:rFonts w:ascii="Arial" w:hAnsi="Arial" w:cs="Arial"/>
          <w:lang w:val="en-GB"/>
        </w:rPr>
        <w:instrText> </w:instrText>
      </w:r>
      <w:r>
        <w:rPr>
          <w:rFonts w:ascii="Arial Narrow" w:hAnsi="Arial Narrow" w:cs="Arial"/>
          <w:lang w:val="en-GB"/>
        </w:rPr>
        <w:instrText xml:space="preserve">15,688), and followed-up until 31/12/2015. We model the effects of age at diagnosis, tumour stage, deprivation, comorbidity and emergency presentation, as well as interactions between age and all of the above. Given the size of the dataset, all model selection strategies favoured virtually the same model, except for a non-linear effect of age at diagnosis selected by the backward-based selection strategies (versus a linear effect selected otherwise).\nCONCLUSION: The results from extensive simulations evaluating varying model complexity and sample sizes provide guidelines on a model selection strategy in the context of excess hazard modelling.","DOI":"10.1186/s12874-019-0830-9","ISSN":"1471-2288","note":"PMID: 31747928\nPMCID: PMC6869178","journalAbbreviation":"BMC Med Res Methodol","language":"eng","author":[{"family":"Maringe","given":"Camille"},{"family":"Belot","given":"Aurélien"},{"family":"Rubio","given":"Francisco Javier"},{"family":"Rachet","given":"Bernard"}],"issued":{"date-parts":[["2019"]],"season":"20"}}}],"schema":"https://github.com/citation-style-language/schema/raw/master/csl-citation.json"} </w:instrText>
      </w:r>
      <w:r w:rsidRPr="000F2444">
        <w:rPr>
          <w:rFonts w:ascii="Arial Narrow" w:hAnsi="Arial Narrow" w:cs="Arial"/>
          <w:lang w:val="en-GB"/>
        </w:rPr>
        <w:fldChar w:fldCharType="separate"/>
      </w:r>
      <w:r w:rsidRPr="006E5457">
        <w:rPr>
          <w:rFonts w:ascii="Arial Narrow" w:hAnsi="Arial Narrow"/>
          <w:vertAlign w:val="superscript"/>
          <w:lang w:val="en-US"/>
        </w:rPr>
        <w:t>2</w:t>
      </w:r>
      <w:r w:rsidRPr="000F2444">
        <w:rPr>
          <w:rFonts w:ascii="Arial Narrow" w:hAnsi="Arial Narrow" w:cs="Arial"/>
          <w:lang w:val="en-GB"/>
        </w:rPr>
        <w:fldChar w:fldCharType="end"/>
      </w:r>
      <w:r w:rsidRPr="000F2444">
        <w:rPr>
          <w:rFonts w:ascii="Arial Narrow" w:hAnsi="Arial Narrow" w:cs="Arial"/>
          <w:lang w:val="en-GB"/>
        </w:rPr>
        <w:t xml:space="preserve"> We forced the lifetable variables (</w:t>
      </w:r>
      <w:r w:rsidRPr="000F2444">
        <w:rPr>
          <w:rFonts w:ascii="Arial Narrow" w:hAnsi="Arial Narrow" w:cs="Arial"/>
          <w:i/>
          <w:lang w:val="en-GB"/>
        </w:rPr>
        <w:t>i.e.</w:t>
      </w:r>
      <w:r w:rsidRPr="000F2444">
        <w:rPr>
          <w:rFonts w:ascii="Arial Narrow" w:hAnsi="Arial Narrow" w:cs="Arial"/>
          <w:lang w:val="en-GB"/>
        </w:rPr>
        <w:t xml:space="preserve"> sex, age, ethnicity, year at diagnosis) into the models </w:t>
      </w:r>
      <w:r>
        <w:rPr>
          <w:rFonts w:ascii="Arial Narrow" w:hAnsi="Arial Narrow" w:cs="Arial"/>
          <w:lang w:val="en-GB"/>
        </w:rPr>
        <w:t xml:space="preserve">as recommended </w:t>
      </w:r>
      <w:r>
        <w:rPr>
          <w:rFonts w:ascii="Arial Narrow" w:hAnsi="Arial Narrow" w:cs="Arial"/>
          <w:lang w:val="en-GB"/>
        </w:rPr>
        <w:fldChar w:fldCharType="begin"/>
      </w:r>
      <w:r>
        <w:rPr>
          <w:rFonts w:ascii="Arial Narrow" w:hAnsi="Arial Narrow" w:cs="Arial"/>
          <w:lang w:val="en-GB"/>
        </w:rPr>
        <w:instrText xml:space="preserve"> ADDIN ZOTERO_ITEM CSL_CITATION {"citationID":"agua5v794","properties":{"formattedCitation":"\\super 3\\nosupersub{}","plainCitation":"3","noteIndex":0},"citationItems":[{"id":1671,"uris":["http://zotero.org/users/757167/items/PM7HVPSE"],"uri":["http://zotero.org/users/757167/items/PM7HVPSE"],"itemData":{"id":1671,"type":"article-journal","abstract":"The methods of calculation of survival corrected for independent cause of death are discussed, and a maximum likelihood method is proposed and illustrated by survival of colon cancer patients in Geneva. The methods which are at present favoured for doing such calculations are subject to various biases when estimating net survival if the populations are heterogeneous for life expectancy. The proposed maximum likelihood approach would eliminate these biases by enabling relevant adjustment for covariates which influence survival. The routine use of such methods would permit better comparison of survival within and between populations.","container-title":"Statistics in Medicine","ISSN":"0277-6715","issue":"5","journalAbbreviation":"Stat Med","language":"eng","note":"PMID: 2349404","page":"529-538","source":"PubMed","title":"Relative survival and the estimation of net survival: elements for further discussion","title-short":"Relative survival and the estimation of net survival","volume":"9","author":[{"family":"Estève","given":"J."},{"family":"Benhamou","given":"E."},{"family":"Croasdale","given":"M."},{"family":"Raymond","given":"L."}],"issued":{"date-parts":[["1990",5]]}},"label":"page"}],"schema":"https://github.com/citation-style-language/schema/raw/master/csl-citation.json"} </w:instrText>
      </w:r>
      <w:r>
        <w:rPr>
          <w:rFonts w:ascii="Arial Narrow" w:hAnsi="Arial Narrow" w:cs="Arial"/>
          <w:lang w:val="en-GB"/>
        </w:rPr>
        <w:fldChar w:fldCharType="separate"/>
      </w:r>
      <w:r w:rsidRPr="006E5457">
        <w:rPr>
          <w:rFonts w:ascii="Arial Narrow" w:hAnsi="Arial Narrow"/>
          <w:vertAlign w:val="superscript"/>
        </w:rPr>
        <w:t>3</w:t>
      </w:r>
      <w:r>
        <w:rPr>
          <w:rFonts w:ascii="Arial Narrow" w:hAnsi="Arial Narrow" w:cs="Arial"/>
          <w:lang w:val="en-GB"/>
        </w:rPr>
        <w:fldChar w:fldCharType="end"/>
      </w:r>
      <w:r w:rsidRPr="000F2444">
        <w:rPr>
          <w:rFonts w:ascii="Arial Narrow" w:hAnsi="Arial Narrow" w:cs="Arial"/>
          <w:lang w:val="en-GB"/>
        </w:rPr>
        <w:t>.</w:t>
      </w:r>
      <w:r>
        <w:rPr>
          <w:rFonts w:ascii="Arial Narrow" w:hAnsi="Arial Narrow" w:cs="Arial"/>
          <w:lang w:val="en-GB"/>
        </w:rPr>
        <w:t xml:space="preserve"> W</w:t>
      </w:r>
      <w:r w:rsidRPr="000F2444">
        <w:rPr>
          <w:rFonts w:ascii="Arial Narrow" w:hAnsi="Arial Narrow" w:cs="Arial"/>
          <w:lang w:val="en-GB"/>
        </w:rPr>
        <w:t xml:space="preserve">e tested the non-linear </w:t>
      </w:r>
      <w:r>
        <w:rPr>
          <w:rFonts w:ascii="Arial Narrow" w:hAnsi="Arial Narrow" w:cs="Arial"/>
          <w:lang w:val="en-GB"/>
        </w:rPr>
        <w:t>effect of age at diagnosis, year of diagnosis and comorbidity score by constructing and modelling the effects of restricted cubic splines with a knot located at the median of their distributions and boundary knots at the 10</w:t>
      </w:r>
      <w:r w:rsidRPr="000F2444">
        <w:rPr>
          <w:rFonts w:ascii="Arial Narrow" w:hAnsi="Arial Narrow" w:cs="Arial"/>
          <w:vertAlign w:val="superscript"/>
          <w:lang w:val="en-GB"/>
        </w:rPr>
        <w:t>th</w:t>
      </w:r>
      <w:r>
        <w:rPr>
          <w:rFonts w:ascii="Arial Narrow" w:hAnsi="Arial Narrow" w:cs="Arial"/>
          <w:lang w:val="en-GB"/>
        </w:rPr>
        <w:t xml:space="preserve"> and 90</w:t>
      </w:r>
      <w:r w:rsidRPr="000F2444">
        <w:rPr>
          <w:rFonts w:ascii="Arial Narrow" w:hAnsi="Arial Narrow" w:cs="Arial"/>
          <w:vertAlign w:val="superscript"/>
          <w:lang w:val="en-GB"/>
        </w:rPr>
        <w:t>th</w:t>
      </w:r>
      <w:r>
        <w:rPr>
          <w:rFonts w:ascii="Arial Narrow" w:hAnsi="Arial Narrow" w:cs="Arial"/>
          <w:lang w:val="en-GB"/>
        </w:rPr>
        <w:t xml:space="preserve"> percentiles of their distributions. For all covariates, we tested for time-</w:t>
      </w:r>
      <w:r w:rsidRPr="000F2444">
        <w:rPr>
          <w:rFonts w:ascii="Arial Narrow" w:hAnsi="Arial Narrow" w:cs="Arial"/>
          <w:lang w:val="en-GB"/>
        </w:rPr>
        <w:t xml:space="preserve">dependent effects </w:t>
      </w:r>
      <w:r>
        <w:rPr>
          <w:rFonts w:ascii="Arial Narrow" w:hAnsi="Arial Narrow" w:cs="Arial"/>
          <w:lang w:val="en-GB"/>
        </w:rPr>
        <w:t xml:space="preserve">and </w:t>
      </w:r>
      <w:r w:rsidRPr="000F2444">
        <w:rPr>
          <w:rFonts w:ascii="Arial Narrow" w:hAnsi="Arial Narrow" w:cs="Arial"/>
          <w:lang w:val="en-GB"/>
        </w:rPr>
        <w:t>the</w:t>
      </w:r>
      <w:r>
        <w:rPr>
          <w:rFonts w:ascii="Arial Narrow" w:hAnsi="Arial Narrow" w:cs="Arial"/>
          <w:lang w:val="en-GB"/>
        </w:rPr>
        <w:t>ir</w:t>
      </w:r>
      <w:r w:rsidRPr="000F2444">
        <w:rPr>
          <w:rFonts w:ascii="Arial Narrow" w:hAnsi="Arial Narrow" w:cs="Arial"/>
          <w:lang w:val="en-GB"/>
        </w:rPr>
        <w:t xml:space="preserve"> interaction </w:t>
      </w:r>
      <w:r>
        <w:rPr>
          <w:rFonts w:ascii="Arial Narrow" w:hAnsi="Arial Narrow" w:cs="Arial"/>
          <w:lang w:val="en-GB"/>
        </w:rPr>
        <w:t>with</w:t>
      </w:r>
      <w:r w:rsidRPr="000F2444">
        <w:rPr>
          <w:rFonts w:ascii="Arial Narrow" w:hAnsi="Arial Narrow" w:cs="Arial"/>
          <w:lang w:val="en-GB"/>
        </w:rPr>
        <w:t xml:space="preserve"> age at diagnosis</w:t>
      </w:r>
      <w:r>
        <w:rPr>
          <w:rFonts w:ascii="Arial Narrow" w:hAnsi="Arial Narrow" w:cs="Arial"/>
          <w:lang w:val="en-GB"/>
        </w:rPr>
        <w:t xml:space="preserve"> using the Likelihood Ratio Test. Because of the relatively low number of events in patients with localised cancer (n=548), we aimed to keep the number of estimated parameters at its minimum. We, therefore, chose a Weibull distribution to represent the baseline hazard. We allowed only age to be non-linear, and we tested for time-dependent effects for age, sex, comorbidity and emergency presentation, and interactions of age with deprivation index, sex, ethnicity, comorbidity and emergency presentation. </w:t>
      </w:r>
    </w:p>
    <w:p w:rsidR="001A21A8" w:rsidRDefault="001A21A8" w:rsidP="00F24C78">
      <w:pPr>
        <w:spacing w:line="480" w:lineRule="auto"/>
        <w:jc w:val="both"/>
        <w:rPr>
          <w:rFonts w:ascii="Arial Narrow" w:hAnsi="Arial Narrow" w:cs="Arial"/>
          <w:b/>
          <w:bCs/>
          <w:lang w:val="en-GB"/>
        </w:rPr>
      </w:pPr>
    </w:p>
    <w:p w:rsidR="006E5457" w:rsidRDefault="006E5457" w:rsidP="00F24C78">
      <w:pPr>
        <w:spacing w:line="480" w:lineRule="auto"/>
        <w:jc w:val="both"/>
        <w:rPr>
          <w:rFonts w:ascii="Arial Narrow" w:hAnsi="Arial Narrow" w:cs="Arial"/>
          <w:b/>
          <w:bCs/>
          <w:lang w:val="en-GB"/>
        </w:rPr>
      </w:pPr>
      <w:r>
        <w:rPr>
          <w:rFonts w:ascii="Arial Narrow" w:hAnsi="Arial Narrow" w:cs="Arial"/>
          <w:b/>
          <w:bCs/>
          <w:lang w:val="en-GB"/>
        </w:rPr>
        <w:t>References</w:t>
      </w:r>
    </w:p>
    <w:p w:rsidR="006E5457" w:rsidRPr="006E5457" w:rsidRDefault="006E5457" w:rsidP="006E5457">
      <w:pPr>
        <w:pStyle w:val="Bibliography"/>
        <w:rPr>
          <w:b w:val="0"/>
        </w:rPr>
      </w:pPr>
      <w:r w:rsidRPr="006E5457">
        <w:rPr>
          <w:b w:val="0"/>
        </w:rPr>
        <w:fldChar w:fldCharType="begin"/>
      </w:r>
      <w:r w:rsidRPr="006E5457">
        <w:rPr>
          <w:b w:val="0"/>
        </w:rPr>
        <w:instrText xml:space="preserve"> ADDIN ZOTERO_BIBL {"uncited":[],"omitted":[],"custom":[]} CSL_BIBLIOGRAPHY </w:instrText>
      </w:r>
      <w:r w:rsidRPr="006E5457">
        <w:rPr>
          <w:b w:val="0"/>
        </w:rPr>
        <w:fldChar w:fldCharType="separate"/>
      </w:r>
      <w:r w:rsidRPr="006E5457">
        <w:rPr>
          <w:b w:val="0"/>
        </w:rPr>
        <w:t xml:space="preserve">1. </w:t>
      </w:r>
      <w:r w:rsidRPr="006E5457">
        <w:rPr>
          <w:b w:val="0"/>
        </w:rPr>
        <w:tab/>
        <w:t xml:space="preserve">Wynant W, </w:t>
      </w:r>
      <w:proofErr w:type="spellStart"/>
      <w:r w:rsidRPr="006E5457">
        <w:rPr>
          <w:b w:val="0"/>
        </w:rPr>
        <w:t>Abrahamowicz</w:t>
      </w:r>
      <w:proofErr w:type="spellEnd"/>
      <w:r w:rsidRPr="006E5457">
        <w:rPr>
          <w:b w:val="0"/>
        </w:rPr>
        <w:t xml:space="preserve"> M. Impact of the model-building strategy on inference about nonlinear and time-dependent covariate effects in survival analysis. </w:t>
      </w:r>
      <w:r w:rsidRPr="006E5457">
        <w:rPr>
          <w:b w:val="0"/>
          <w:i/>
          <w:iCs/>
        </w:rPr>
        <w:t>Stat Med</w:t>
      </w:r>
      <w:r w:rsidRPr="006E5457">
        <w:rPr>
          <w:b w:val="0"/>
        </w:rPr>
        <w:t>. 2014;33(19):3318-3337. doi:10.1002/sim.6178</w:t>
      </w:r>
    </w:p>
    <w:p w:rsidR="006E5457" w:rsidRPr="006E5457" w:rsidRDefault="006E5457" w:rsidP="006E5457">
      <w:pPr>
        <w:pStyle w:val="Bibliography"/>
        <w:rPr>
          <w:b w:val="0"/>
        </w:rPr>
      </w:pPr>
      <w:r w:rsidRPr="006E5457">
        <w:rPr>
          <w:b w:val="0"/>
        </w:rPr>
        <w:t xml:space="preserve">2. </w:t>
      </w:r>
      <w:r w:rsidRPr="006E5457">
        <w:rPr>
          <w:b w:val="0"/>
        </w:rPr>
        <w:tab/>
      </w:r>
      <w:proofErr w:type="spellStart"/>
      <w:r w:rsidRPr="006E5457">
        <w:rPr>
          <w:b w:val="0"/>
        </w:rPr>
        <w:t>Maringe</w:t>
      </w:r>
      <w:proofErr w:type="spellEnd"/>
      <w:r w:rsidRPr="006E5457">
        <w:rPr>
          <w:b w:val="0"/>
        </w:rPr>
        <w:t xml:space="preserve"> C, </w:t>
      </w:r>
      <w:proofErr w:type="spellStart"/>
      <w:r w:rsidRPr="006E5457">
        <w:rPr>
          <w:b w:val="0"/>
        </w:rPr>
        <w:t>Belot</w:t>
      </w:r>
      <w:proofErr w:type="spellEnd"/>
      <w:r w:rsidRPr="006E5457">
        <w:rPr>
          <w:b w:val="0"/>
        </w:rPr>
        <w:t xml:space="preserve"> A, Rubio FJ, Rachet B. Comparison of model-building strategies for excess hazard regression models in the context of cancer epidemiology. </w:t>
      </w:r>
      <w:r w:rsidRPr="006E5457">
        <w:rPr>
          <w:b w:val="0"/>
          <w:i/>
          <w:iCs/>
        </w:rPr>
        <w:t xml:space="preserve">BMC Med Res </w:t>
      </w:r>
      <w:proofErr w:type="spellStart"/>
      <w:r w:rsidRPr="006E5457">
        <w:rPr>
          <w:b w:val="0"/>
          <w:i/>
          <w:iCs/>
        </w:rPr>
        <w:t>Methodol</w:t>
      </w:r>
      <w:proofErr w:type="spellEnd"/>
      <w:r w:rsidRPr="006E5457">
        <w:rPr>
          <w:b w:val="0"/>
        </w:rPr>
        <w:t>. 2019;19(1):210. doi:10.1186/s12874-019-0830-9</w:t>
      </w:r>
    </w:p>
    <w:p w:rsidR="006E5457" w:rsidRPr="006E5457" w:rsidRDefault="006E5457" w:rsidP="006E5457">
      <w:pPr>
        <w:pStyle w:val="Bibliography"/>
        <w:rPr>
          <w:b w:val="0"/>
        </w:rPr>
      </w:pPr>
      <w:r w:rsidRPr="006E5457">
        <w:rPr>
          <w:b w:val="0"/>
        </w:rPr>
        <w:t xml:space="preserve">3. </w:t>
      </w:r>
      <w:r w:rsidRPr="006E5457">
        <w:rPr>
          <w:b w:val="0"/>
        </w:rPr>
        <w:tab/>
      </w:r>
      <w:proofErr w:type="spellStart"/>
      <w:r w:rsidRPr="006E5457">
        <w:rPr>
          <w:b w:val="0"/>
        </w:rPr>
        <w:t>Estève</w:t>
      </w:r>
      <w:proofErr w:type="spellEnd"/>
      <w:r w:rsidRPr="006E5457">
        <w:rPr>
          <w:b w:val="0"/>
        </w:rPr>
        <w:t xml:space="preserve"> J, Benhamou E, </w:t>
      </w:r>
      <w:proofErr w:type="spellStart"/>
      <w:r w:rsidRPr="006E5457">
        <w:rPr>
          <w:b w:val="0"/>
        </w:rPr>
        <w:t>Croasdale</w:t>
      </w:r>
      <w:proofErr w:type="spellEnd"/>
      <w:r w:rsidRPr="006E5457">
        <w:rPr>
          <w:b w:val="0"/>
        </w:rPr>
        <w:t xml:space="preserve"> M, Raymond L. Relative survival and the estimation of net survival: elements for further discussion. </w:t>
      </w:r>
      <w:r w:rsidRPr="006E5457">
        <w:rPr>
          <w:b w:val="0"/>
          <w:i/>
          <w:iCs/>
        </w:rPr>
        <w:t>Stat Med</w:t>
      </w:r>
      <w:r w:rsidRPr="006E5457">
        <w:rPr>
          <w:b w:val="0"/>
        </w:rPr>
        <w:t>. 1990;9(5):529-538.</w:t>
      </w:r>
    </w:p>
    <w:p w:rsidR="006E5457" w:rsidRDefault="006E5457" w:rsidP="00F24C78">
      <w:pPr>
        <w:spacing w:line="480" w:lineRule="auto"/>
        <w:jc w:val="both"/>
        <w:rPr>
          <w:rFonts w:ascii="Arial Narrow" w:hAnsi="Arial Narrow" w:cs="Arial"/>
          <w:b/>
          <w:bCs/>
          <w:lang w:val="en-GB"/>
        </w:rPr>
      </w:pPr>
      <w:r w:rsidRPr="006E5457">
        <w:rPr>
          <w:rFonts w:ascii="Arial Narrow" w:hAnsi="Arial Narrow" w:cs="Arial"/>
          <w:bCs/>
          <w:lang w:val="en-GB"/>
        </w:rPr>
        <w:fldChar w:fldCharType="end"/>
      </w:r>
    </w:p>
    <w:p w:rsidR="006E5457" w:rsidRPr="00166C1C" w:rsidRDefault="006E5457" w:rsidP="00F24C78">
      <w:pPr>
        <w:spacing w:line="480" w:lineRule="auto"/>
        <w:jc w:val="both"/>
        <w:rPr>
          <w:rFonts w:ascii="Arial Narrow" w:hAnsi="Arial Narrow" w:cs="Arial"/>
          <w:b/>
          <w:bCs/>
          <w:lang w:val="en-GB"/>
        </w:rPr>
      </w:pPr>
    </w:p>
    <w:p w:rsidR="001A21A8" w:rsidRPr="00166C1C" w:rsidRDefault="001A21A8" w:rsidP="00F24C78">
      <w:pPr>
        <w:spacing w:line="480" w:lineRule="auto"/>
        <w:jc w:val="both"/>
        <w:rPr>
          <w:rFonts w:ascii="Arial Narrow" w:hAnsi="Arial Narrow" w:cs="Arial"/>
          <w:b/>
          <w:bCs/>
          <w:lang w:val="en-GB"/>
        </w:rPr>
        <w:sectPr w:rsidR="001A21A8" w:rsidRPr="00166C1C" w:rsidSect="001A21A8">
          <w:pgSz w:w="12240" w:h="15840"/>
          <w:pgMar w:top="720" w:right="720" w:bottom="720" w:left="720" w:header="708" w:footer="708" w:gutter="0"/>
          <w:cols w:space="708"/>
          <w:docGrid w:linePitch="360"/>
        </w:sectPr>
      </w:pPr>
    </w:p>
    <w:p w:rsidR="00F24C78" w:rsidRPr="00166C1C" w:rsidRDefault="00F24C78" w:rsidP="00F24C78">
      <w:pPr>
        <w:spacing w:line="480" w:lineRule="auto"/>
        <w:jc w:val="both"/>
        <w:rPr>
          <w:rFonts w:ascii="Arial Narrow" w:hAnsi="Arial Narrow" w:cs="Arial"/>
          <w:lang w:val="en-GB"/>
        </w:rPr>
      </w:pPr>
      <w:r w:rsidRPr="00166C1C">
        <w:rPr>
          <w:rFonts w:ascii="Arial Narrow" w:hAnsi="Arial Narrow" w:cs="Arial"/>
          <w:b/>
          <w:bCs/>
          <w:lang w:val="en-GB"/>
        </w:rPr>
        <w:lastRenderedPageBreak/>
        <w:t xml:space="preserve">Supplementary Table 1. </w:t>
      </w:r>
      <w:r w:rsidRPr="00166C1C">
        <w:rPr>
          <w:rFonts w:ascii="Arial Narrow" w:hAnsi="Arial Narrow" w:cs="Arial"/>
          <w:lang w:val="en-GB"/>
        </w:rPr>
        <w:t>Characteristics of patients with lung cancer by age group and stage at diagnosis</w:t>
      </w:r>
    </w:p>
    <w:tbl>
      <w:tblPr>
        <w:tblW w:w="10606" w:type="dxa"/>
        <w:jc w:val="center"/>
        <w:tblCellMar>
          <w:left w:w="70" w:type="dxa"/>
          <w:right w:w="70" w:type="dxa"/>
        </w:tblCellMar>
        <w:tblLook w:val="04A0" w:firstRow="1" w:lastRow="0" w:firstColumn="1" w:lastColumn="0" w:noHBand="0" w:noVBand="1"/>
      </w:tblPr>
      <w:tblGrid>
        <w:gridCol w:w="2836"/>
        <w:gridCol w:w="961"/>
        <w:gridCol w:w="961"/>
        <w:gridCol w:w="961"/>
        <w:gridCol w:w="961"/>
        <w:gridCol w:w="961"/>
        <w:gridCol w:w="961"/>
        <w:gridCol w:w="961"/>
        <w:gridCol w:w="1043"/>
      </w:tblGrid>
      <w:tr w:rsidR="00F24C78" w:rsidRPr="00166C1C" w:rsidTr="00F24C78">
        <w:trPr>
          <w:trHeight w:val="240"/>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Stage at diagnosis</w:t>
            </w:r>
          </w:p>
        </w:tc>
        <w:tc>
          <w:tcPr>
            <w:tcW w:w="3844" w:type="dxa"/>
            <w:gridSpan w:val="4"/>
            <w:tcBorders>
              <w:top w:val="single" w:sz="4" w:space="0" w:color="auto"/>
              <w:left w:val="nil"/>
              <w:bottom w:val="single" w:sz="4" w:space="0" w:color="auto"/>
              <w:right w:val="single" w:sz="4" w:space="0" w:color="auto"/>
            </w:tcBorders>
            <w:shd w:val="clear" w:color="auto" w:fill="auto"/>
            <w:noWrap/>
            <w:vAlign w:val="center"/>
            <w:hideMark/>
          </w:tcPr>
          <w:p w:rsidR="00F24C78" w:rsidRPr="00166C1C" w:rsidRDefault="00F24C78" w:rsidP="005660E8">
            <w:pPr>
              <w:jc w:val="cente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Localised</w:t>
            </w:r>
          </w:p>
        </w:tc>
        <w:tc>
          <w:tcPr>
            <w:tcW w:w="3926" w:type="dxa"/>
            <w:gridSpan w:val="4"/>
            <w:tcBorders>
              <w:top w:val="single" w:sz="4" w:space="0" w:color="auto"/>
              <w:left w:val="nil"/>
              <w:bottom w:val="single" w:sz="4" w:space="0" w:color="auto"/>
              <w:right w:val="single" w:sz="4" w:space="0" w:color="auto"/>
            </w:tcBorders>
            <w:shd w:val="clear" w:color="auto" w:fill="auto"/>
            <w:noWrap/>
            <w:vAlign w:val="center"/>
            <w:hideMark/>
          </w:tcPr>
          <w:p w:rsidR="00F24C78" w:rsidRPr="00166C1C" w:rsidRDefault="00F24C78" w:rsidP="005660E8">
            <w:pPr>
              <w:jc w:val="cente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Regional</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Age category (years)</w:t>
            </w:r>
          </w:p>
        </w:tc>
        <w:tc>
          <w:tcPr>
            <w:tcW w:w="961"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50-64</w:t>
            </w:r>
          </w:p>
        </w:tc>
        <w:tc>
          <w:tcPr>
            <w:tcW w:w="961"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65-74</w:t>
            </w:r>
          </w:p>
        </w:tc>
        <w:tc>
          <w:tcPr>
            <w:tcW w:w="961"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75-84</w:t>
            </w:r>
          </w:p>
        </w:tc>
        <w:tc>
          <w:tcPr>
            <w:tcW w:w="961"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85-99</w:t>
            </w:r>
          </w:p>
        </w:tc>
        <w:tc>
          <w:tcPr>
            <w:tcW w:w="961"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50-64</w:t>
            </w:r>
          </w:p>
        </w:tc>
        <w:tc>
          <w:tcPr>
            <w:tcW w:w="961"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65-74</w:t>
            </w:r>
          </w:p>
        </w:tc>
        <w:tc>
          <w:tcPr>
            <w:tcW w:w="961"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75-84</w:t>
            </w:r>
          </w:p>
        </w:tc>
        <w:tc>
          <w:tcPr>
            <w:tcW w:w="1043"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85-99</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Cases</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459</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596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288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17</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935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1089</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656</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109</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proofErr w:type="spellStart"/>
            <w:r w:rsidRPr="00166C1C">
              <w:rPr>
                <w:rFonts w:ascii="Arial Narrow" w:hAnsi="Arial Narrow" w:cs="Calibri"/>
                <w:color w:val="000000"/>
                <w:sz w:val="18"/>
                <w:szCs w:val="18"/>
                <w:lang w:val="en-GB"/>
              </w:rPr>
              <w:t>Person.year</w:t>
            </w:r>
            <w:proofErr w:type="spellEnd"/>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2693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3175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1279</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51</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2658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2594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1208</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78</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Median follow-up time</w:t>
            </w:r>
            <w:r w:rsidR="00D50864" w:rsidRPr="00166C1C">
              <w:rPr>
                <w:rFonts w:ascii="Arial Narrow" w:hAnsi="Arial Narrow" w:cs="Calibri"/>
                <w:color w:val="000000"/>
                <w:sz w:val="18"/>
                <w:szCs w:val="18"/>
                <w:lang w:val="en-GB"/>
              </w:rPr>
              <w:t xml:space="preserve"> (</w:t>
            </w:r>
            <w:r w:rsidRPr="00166C1C">
              <w:rPr>
                <w:rFonts w:ascii="Arial Narrow" w:hAnsi="Arial Narrow" w:cs="Calibri"/>
                <w:color w:val="000000"/>
                <w:sz w:val="18"/>
                <w:szCs w:val="18"/>
                <w:lang w:val="en-GB"/>
              </w:rPr>
              <w:t>years - [IQR])</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 5.50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[3.26, 8.83]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5.11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[3.20, 7.53]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4.02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[2.53, 6.11]</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2.27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5.03]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1.92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[0.66, 4.14]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1.42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[0.50, 3.55]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0.86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[0.24, 2.58]</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0.27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[0.07, 0.73]</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Deaths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146 (31.8)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239 (40.1)</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148 (51.4)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15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88.2)</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694 (74.2)</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867 (79.6)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562 (85.7)</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106 (97.2)</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Patient-related factors</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Male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194 (42.3)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295 (49.5)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148 (51.4)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58.8)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435 (46.5)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586 (53.8)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382 (58.2)</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62 (56.9)</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Ethnicity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5660E8">
            <w:pPr>
              <w:ind w:firstLineChars="200" w:firstLine="360"/>
              <w:rPr>
                <w:rFonts w:ascii="Arial Narrow" w:hAnsi="Arial Narrow" w:cs="Calibri"/>
                <w:color w:val="000000"/>
                <w:sz w:val="18"/>
                <w:szCs w:val="18"/>
                <w:lang w:val="en-GB" w:eastAsia="en-NZ"/>
              </w:rPr>
            </w:pPr>
            <w:r w:rsidRPr="00166C1C">
              <w:rPr>
                <w:rFonts w:ascii="Arial Narrow" w:hAnsi="Arial Narrow" w:cs="Calibri"/>
                <w:color w:val="000000"/>
                <w:sz w:val="18"/>
                <w:szCs w:val="18"/>
                <w:lang w:val="en-GB" w:eastAsia="en-NZ"/>
              </w:rPr>
              <w:t>Māori</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89 (19.4)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70 (11.7)</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30 (10.4)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0.0)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304 (32.5)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207 (19.0)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68 (10.4)</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8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7.3)</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5660E8">
            <w:pPr>
              <w:ind w:firstLineChars="200" w:firstLine="360"/>
              <w:rPr>
                <w:rFonts w:ascii="Arial Narrow" w:hAnsi="Arial Narrow" w:cs="Calibri"/>
                <w:color w:val="000000"/>
                <w:sz w:val="18"/>
                <w:szCs w:val="18"/>
                <w:lang w:val="en-GB" w:eastAsia="en-NZ"/>
              </w:rPr>
            </w:pPr>
            <w:r w:rsidRPr="00166C1C">
              <w:rPr>
                <w:rFonts w:ascii="Arial Narrow" w:hAnsi="Arial Narrow" w:cs="Calibri"/>
                <w:color w:val="000000"/>
                <w:sz w:val="18"/>
                <w:szCs w:val="18"/>
                <w:lang w:val="en-GB" w:eastAsia="en-NZ"/>
              </w:rPr>
              <w:t>Non-Māori</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370 (80.6)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526 (88.3)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258 (89.6)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17 (100.0)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631 (67.5)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882 (81.0)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588 (89.6)</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101 (92.7)</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Deprivation Index Quintiles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F24C78">
        <w:trPr>
          <w:trHeight w:val="240"/>
          <w:jc w:val="center"/>
        </w:trPr>
        <w:tc>
          <w:tcPr>
            <w:tcW w:w="283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1 – Less deprived</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69 (15.0)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85 (14.3)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47 (16.3)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2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11.8)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116 (12.4)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149 (13.7)</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89 (13.6)</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9.2)</w:t>
            </w:r>
          </w:p>
        </w:tc>
      </w:tr>
      <w:tr w:rsidR="00F24C78" w:rsidRPr="00166C1C" w:rsidTr="00F24C78">
        <w:trPr>
          <w:trHeight w:val="240"/>
          <w:jc w:val="center"/>
        </w:trPr>
        <w:tc>
          <w:tcPr>
            <w:tcW w:w="283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2</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56 (12.2)</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93 (15.6)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42 (14.6)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2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11.8)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140 (15.0)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157 (14.4)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103 (15.7)</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17 (15.6)</w:t>
            </w:r>
          </w:p>
        </w:tc>
      </w:tr>
      <w:tr w:rsidR="00F24C78" w:rsidRPr="00166C1C" w:rsidTr="00F24C78">
        <w:trPr>
          <w:trHeight w:val="240"/>
          <w:jc w:val="center"/>
        </w:trPr>
        <w:tc>
          <w:tcPr>
            <w:tcW w:w="283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3</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103 (22.4)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125 (21.0)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57 (19.8)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4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23.5)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164 (17.5)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244 (22.4)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132 (20.1)</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20 (18.3)</w:t>
            </w:r>
          </w:p>
        </w:tc>
      </w:tr>
      <w:tr w:rsidR="00F24C78" w:rsidRPr="00166C1C" w:rsidTr="00F24C78">
        <w:trPr>
          <w:trHeight w:val="240"/>
          <w:jc w:val="center"/>
        </w:trPr>
        <w:tc>
          <w:tcPr>
            <w:tcW w:w="283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4</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106 (23.1)</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143 (24.0)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86 (29.9)</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4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23.5)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218 (23.3)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237 (21.8)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164 (25.0)</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33 (30.3)</w:t>
            </w:r>
          </w:p>
        </w:tc>
      </w:tr>
      <w:tr w:rsidR="00F24C78" w:rsidRPr="00166C1C" w:rsidTr="00F24C78">
        <w:trPr>
          <w:trHeight w:val="260"/>
          <w:jc w:val="center"/>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5 - More deprived</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125 (27.2)</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150 (25.2)</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56 (19.4)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5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29.4)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297 (31.8)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302 (27.7)</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168 (25.6)</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29 (26.6)</w:t>
            </w:r>
          </w:p>
        </w:tc>
      </w:tr>
      <w:tr w:rsidR="00F24C78" w:rsidRPr="00166C1C" w:rsidTr="00F24C78">
        <w:trPr>
          <w:trHeight w:val="240"/>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Clinical factors</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Comorbidity score &gt;0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296 (64.5)</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433 (72.7)</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207 (71.9)</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14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82.4)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680 (72.7)</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819 (75.2)</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519 (79.1)</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72 (66.1) </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Comorbidity score (median [IQR])</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0.98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1.88]</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2.67]</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2.46]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1.35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[0.52, 1.84]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1.92]</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1.13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[0.11, 2.53]</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1.23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[0.52, 2.55]</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1.10</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 [0.00, 2.93] </w:t>
            </w:r>
          </w:p>
        </w:tc>
      </w:tr>
      <w:tr w:rsidR="00F24C78" w:rsidRPr="00166C1C" w:rsidTr="00F24C78">
        <w:trPr>
          <w:trHeight w:val="24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Emergency presentation (%)</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57 (12.4)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57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9.6)</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26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9.0)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5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29.4)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262 (28.0)</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287 (26.4)</w:t>
            </w:r>
          </w:p>
        </w:tc>
        <w:tc>
          <w:tcPr>
            <w:tcW w:w="961"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205 (31.2)</w:t>
            </w:r>
          </w:p>
        </w:tc>
        <w:tc>
          <w:tcPr>
            <w:tcW w:w="1043"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57 (52.3)</w:t>
            </w:r>
          </w:p>
        </w:tc>
      </w:tr>
    </w:tbl>
    <w:p w:rsidR="00F24C78" w:rsidRPr="00166C1C" w:rsidRDefault="00F24C78" w:rsidP="00F24C78">
      <w:pPr>
        <w:spacing w:line="480" w:lineRule="auto"/>
        <w:jc w:val="center"/>
        <w:rPr>
          <w:rFonts w:ascii="Arial Narrow" w:hAnsi="Arial Narrow" w:cs="Arial"/>
          <w:b/>
          <w:bCs/>
          <w:lang w:val="en-GB"/>
        </w:rPr>
      </w:pPr>
    </w:p>
    <w:p w:rsidR="00F24C78" w:rsidRPr="00166C1C" w:rsidRDefault="00F24C78" w:rsidP="002673C0">
      <w:pPr>
        <w:spacing w:line="480" w:lineRule="auto"/>
        <w:rPr>
          <w:rFonts w:ascii="Arial Narrow" w:hAnsi="Arial Narrow" w:cs="Arial"/>
          <w:b/>
          <w:bCs/>
          <w:lang w:val="en-GB"/>
        </w:rPr>
      </w:pPr>
      <w:r w:rsidRPr="00166C1C">
        <w:rPr>
          <w:rFonts w:ascii="Arial Narrow" w:hAnsi="Arial Narrow" w:cs="Arial"/>
          <w:b/>
          <w:bCs/>
          <w:lang w:val="en-GB"/>
        </w:rPr>
        <w:br w:type="column"/>
      </w:r>
      <w:r w:rsidRPr="00166C1C">
        <w:rPr>
          <w:rFonts w:ascii="Arial Narrow" w:hAnsi="Arial Narrow" w:cs="Arial"/>
          <w:b/>
          <w:lang w:val="en-GB"/>
        </w:rPr>
        <w:lastRenderedPageBreak/>
        <w:t>Supplementary Table 1 (continued)</w:t>
      </w:r>
      <w:r w:rsidRPr="00166C1C">
        <w:rPr>
          <w:rFonts w:ascii="Arial Narrow" w:hAnsi="Arial Narrow" w:cs="Arial"/>
          <w:lang w:val="en-GB"/>
        </w:rPr>
        <w:t>. Characteristics of patients with lung cancer by age group and stage at diagnosis</w:t>
      </w:r>
    </w:p>
    <w:tbl>
      <w:tblPr>
        <w:tblW w:w="10484" w:type="dxa"/>
        <w:jc w:val="center"/>
        <w:tblCellMar>
          <w:left w:w="70" w:type="dxa"/>
          <w:right w:w="70" w:type="dxa"/>
        </w:tblCellMar>
        <w:tblLook w:val="04A0" w:firstRow="1" w:lastRow="0" w:firstColumn="1" w:lastColumn="0" w:noHBand="0" w:noVBand="1"/>
      </w:tblPr>
      <w:tblGrid>
        <w:gridCol w:w="2716"/>
        <w:gridCol w:w="978"/>
        <w:gridCol w:w="978"/>
        <w:gridCol w:w="978"/>
        <w:gridCol w:w="920"/>
        <w:gridCol w:w="978"/>
        <w:gridCol w:w="978"/>
        <w:gridCol w:w="978"/>
        <w:gridCol w:w="980"/>
      </w:tblGrid>
      <w:tr w:rsidR="00F24C78" w:rsidRPr="00166C1C" w:rsidTr="003F4026">
        <w:trPr>
          <w:trHeight w:val="240"/>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Stage at diagnosis</w:t>
            </w:r>
          </w:p>
        </w:tc>
        <w:tc>
          <w:tcPr>
            <w:tcW w:w="3854" w:type="dxa"/>
            <w:gridSpan w:val="4"/>
            <w:tcBorders>
              <w:top w:val="single" w:sz="4" w:space="0" w:color="auto"/>
              <w:left w:val="nil"/>
              <w:bottom w:val="single" w:sz="4" w:space="0" w:color="auto"/>
              <w:right w:val="single" w:sz="4" w:space="0" w:color="auto"/>
            </w:tcBorders>
            <w:shd w:val="clear" w:color="auto" w:fill="auto"/>
            <w:noWrap/>
            <w:vAlign w:val="center"/>
            <w:hideMark/>
          </w:tcPr>
          <w:p w:rsidR="00F24C78" w:rsidRPr="00166C1C" w:rsidRDefault="00F24C78" w:rsidP="005660E8">
            <w:pPr>
              <w:jc w:val="cente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Distant</w:t>
            </w:r>
          </w:p>
        </w:tc>
        <w:tc>
          <w:tcPr>
            <w:tcW w:w="3914" w:type="dxa"/>
            <w:gridSpan w:val="4"/>
            <w:tcBorders>
              <w:top w:val="single" w:sz="4" w:space="0" w:color="auto"/>
              <w:left w:val="nil"/>
              <w:bottom w:val="single" w:sz="4" w:space="0" w:color="auto"/>
              <w:right w:val="single" w:sz="4" w:space="0" w:color="auto"/>
            </w:tcBorders>
            <w:shd w:val="clear" w:color="auto" w:fill="auto"/>
            <w:noWrap/>
            <w:vAlign w:val="center"/>
            <w:hideMark/>
          </w:tcPr>
          <w:p w:rsidR="00F24C78" w:rsidRPr="00166C1C" w:rsidRDefault="00F24C78" w:rsidP="005660E8">
            <w:pPr>
              <w:jc w:val="cente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Missing</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Age category (years)</w:t>
            </w:r>
          </w:p>
        </w:tc>
        <w:tc>
          <w:tcPr>
            <w:tcW w:w="978"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50-64</w:t>
            </w:r>
          </w:p>
        </w:tc>
        <w:tc>
          <w:tcPr>
            <w:tcW w:w="978"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65-74</w:t>
            </w:r>
          </w:p>
        </w:tc>
        <w:tc>
          <w:tcPr>
            <w:tcW w:w="978"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75-84</w:t>
            </w:r>
          </w:p>
        </w:tc>
        <w:tc>
          <w:tcPr>
            <w:tcW w:w="920"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85-99</w:t>
            </w:r>
          </w:p>
        </w:tc>
        <w:tc>
          <w:tcPr>
            <w:tcW w:w="978"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50-64</w:t>
            </w:r>
          </w:p>
        </w:tc>
        <w:tc>
          <w:tcPr>
            <w:tcW w:w="978"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65-74</w:t>
            </w:r>
          </w:p>
        </w:tc>
        <w:tc>
          <w:tcPr>
            <w:tcW w:w="978"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75-84</w:t>
            </w:r>
          </w:p>
        </w:tc>
        <w:tc>
          <w:tcPr>
            <w:tcW w:w="978" w:type="dxa"/>
            <w:tcBorders>
              <w:top w:val="nil"/>
              <w:left w:val="nil"/>
              <w:bottom w:val="single" w:sz="4" w:space="0" w:color="auto"/>
              <w:right w:val="single" w:sz="4" w:space="0" w:color="auto"/>
            </w:tcBorders>
            <w:shd w:val="clear" w:color="auto" w:fill="auto"/>
            <w:noWrap/>
            <w:vAlign w:val="center"/>
            <w:hideMark/>
          </w:tcPr>
          <w:p w:rsidR="00F24C78" w:rsidRPr="00166C1C" w:rsidRDefault="00F24C78" w:rsidP="005660E8">
            <w:pPr>
              <w:jc w:val="right"/>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85-99</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Cases</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3039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3432</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2649</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874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1629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2618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2905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1192</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proofErr w:type="spellStart"/>
            <w:r w:rsidRPr="00166C1C">
              <w:rPr>
                <w:rFonts w:ascii="Arial Narrow" w:hAnsi="Arial Narrow" w:cs="Calibri"/>
                <w:color w:val="000000"/>
                <w:sz w:val="18"/>
                <w:szCs w:val="18"/>
                <w:lang w:val="en-GB"/>
              </w:rPr>
              <w:t>Person.year</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2485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2256</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1202</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285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3042</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4161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3541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1058</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Median follow-up time</w:t>
            </w:r>
            <w:r w:rsidR="00D50864" w:rsidRPr="00166C1C">
              <w:rPr>
                <w:rFonts w:ascii="Arial Narrow" w:hAnsi="Arial Narrow" w:cs="Calibri"/>
                <w:color w:val="000000"/>
                <w:sz w:val="18"/>
                <w:szCs w:val="18"/>
                <w:lang w:val="en-GB"/>
              </w:rPr>
              <w:t xml:space="preserve"> (</w:t>
            </w:r>
            <w:r w:rsidRPr="00166C1C">
              <w:rPr>
                <w:rFonts w:ascii="Arial Narrow" w:hAnsi="Arial Narrow" w:cs="Calibri"/>
                <w:color w:val="000000"/>
                <w:sz w:val="18"/>
                <w:szCs w:val="18"/>
                <w:lang w:val="en-GB"/>
              </w:rPr>
              <w:t>years - [IQR])</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0.36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[0.14, 0.80]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 0.26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[0.10, 0.65]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0.17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[0.07, 0.39]</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0.13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[0.06,0.35]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0.98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[0.40, 2.10]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 0.84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[0.29, 1.96]</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0.61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[0.15, 1.48]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 0.31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[0.06,0.94] </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Deaths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2930 (96.4)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3343 (97.4)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2609 (98.5)</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873 (99.9)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1423 (87.4)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2386 (91.1)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2783 (95.8)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1169 (98.1)</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Patient-related factors</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Male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1513 (49.8)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1841 (53.6)</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1475 (55.7)</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482 (55.1)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783 (48.1)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1421 (54.3)</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1627 (56.0)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633 (53.1)</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Ethnicity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F24C78">
            <w:pPr>
              <w:ind w:firstLineChars="200" w:firstLine="360"/>
              <w:rPr>
                <w:rFonts w:ascii="Arial Narrow" w:hAnsi="Arial Narrow" w:cs="Calibri"/>
                <w:color w:val="000000"/>
                <w:sz w:val="18"/>
                <w:szCs w:val="18"/>
                <w:lang w:val="en-GB" w:eastAsia="en-NZ"/>
              </w:rPr>
            </w:pPr>
            <w:r w:rsidRPr="00166C1C">
              <w:rPr>
                <w:rFonts w:ascii="Arial Narrow" w:hAnsi="Arial Narrow" w:cs="Calibri"/>
                <w:color w:val="000000"/>
                <w:sz w:val="18"/>
                <w:szCs w:val="18"/>
                <w:lang w:val="en-GB" w:eastAsia="en-NZ"/>
              </w:rPr>
              <w:t>Māori</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913 (30.0)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650 (18.9)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258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9.7)</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34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3.9)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615 (37.8)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637 (24.3)</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375 (12.9)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51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4.3)</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24C78" w:rsidRPr="00166C1C" w:rsidRDefault="00F24C78" w:rsidP="00F24C78">
            <w:pPr>
              <w:ind w:firstLineChars="200" w:firstLine="360"/>
              <w:rPr>
                <w:rFonts w:ascii="Arial Narrow" w:hAnsi="Arial Narrow" w:cs="Calibri"/>
                <w:color w:val="000000"/>
                <w:sz w:val="18"/>
                <w:szCs w:val="18"/>
                <w:lang w:val="en-GB" w:eastAsia="en-NZ"/>
              </w:rPr>
            </w:pPr>
            <w:r w:rsidRPr="00166C1C">
              <w:rPr>
                <w:rFonts w:ascii="Arial Narrow" w:hAnsi="Arial Narrow" w:cs="Calibri"/>
                <w:color w:val="000000"/>
                <w:sz w:val="18"/>
                <w:szCs w:val="18"/>
                <w:lang w:val="en-GB" w:eastAsia="en-NZ"/>
              </w:rPr>
              <w:t>Non-Māori</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2126 (70.0)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2782 (81.1)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2391 (90.3)</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840 (96.1)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1014 (62.2)</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1981 (75.7)</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2530 (87.1)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F24C7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1141 (95.7)</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Deprivation Index Quintiles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3F4026">
        <w:trPr>
          <w:trHeight w:val="240"/>
          <w:jc w:val="center"/>
        </w:trPr>
        <w:tc>
          <w:tcPr>
            <w:tcW w:w="271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1 – Less deprived</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345 (11.4)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430 (12.5)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324 (12.2)</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125 (14.3)</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150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9.2)</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237 </w:t>
            </w:r>
            <w:r w:rsidR="00D50864" w:rsidRPr="00166C1C">
              <w:rPr>
                <w:rFonts w:ascii="Arial Narrow" w:hAnsi="Arial Narrow" w:cs="Calibri"/>
                <w:color w:val="000000"/>
                <w:sz w:val="18"/>
                <w:szCs w:val="18"/>
                <w:lang w:val="en-GB"/>
              </w:rPr>
              <w:t>(</w:t>
            </w:r>
            <w:r w:rsidRPr="00166C1C">
              <w:rPr>
                <w:rFonts w:ascii="Arial Narrow" w:hAnsi="Arial Narrow" w:cs="Calibri"/>
                <w:color w:val="000000"/>
                <w:sz w:val="18"/>
                <w:szCs w:val="18"/>
                <w:lang w:val="en-GB"/>
              </w:rPr>
              <w:t>9.1)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319 (11.0)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134 (11.2)</w:t>
            </w:r>
          </w:p>
        </w:tc>
      </w:tr>
      <w:tr w:rsidR="00F24C78" w:rsidRPr="00166C1C" w:rsidTr="003F4026">
        <w:trPr>
          <w:trHeight w:val="240"/>
          <w:jc w:val="center"/>
        </w:trPr>
        <w:tc>
          <w:tcPr>
            <w:tcW w:w="271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2</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428 (14.1)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485 (14.1)</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386 (14.6)</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161 (18.4)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208 (12.8)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336 (12.8)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421 (14.5)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216 (18.1)</w:t>
            </w:r>
          </w:p>
        </w:tc>
      </w:tr>
      <w:tr w:rsidR="00F24C78" w:rsidRPr="00166C1C" w:rsidTr="003F4026">
        <w:trPr>
          <w:trHeight w:val="240"/>
          <w:jc w:val="center"/>
        </w:trPr>
        <w:tc>
          <w:tcPr>
            <w:tcW w:w="271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3</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541 (17.8)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668 (19.5)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571 (21.6)</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200 (22.9)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290 (17.8)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484 (18.5)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600 (20.7)</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275 (23.1)</w:t>
            </w:r>
          </w:p>
        </w:tc>
      </w:tr>
      <w:tr w:rsidR="00F24C78" w:rsidRPr="00166C1C" w:rsidTr="003F4026">
        <w:trPr>
          <w:trHeight w:val="240"/>
          <w:jc w:val="center"/>
        </w:trPr>
        <w:tc>
          <w:tcPr>
            <w:tcW w:w="2716" w:type="dxa"/>
            <w:tcBorders>
              <w:top w:val="nil"/>
              <w:left w:val="single" w:sz="8" w:space="0" w:color="auto"/>
              <w:bottom w:val="nil"/>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730 (24.0)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876 (25.5)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723 (27.3)</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218 (24.9)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386 (23.7)</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707 (27.0)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785 (27.0)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310 (26.0)</w:t>
            </w:r>
          </w:p>
        </w:tc>
      </w:tr>
      <w:tr w:rsidR="00F24C78" w:rsidRPr="00166C1C" w:rsidTr="003F4026">
        <w:trPr>
          <w:trHeight w:val="260"/>
          <w:jc w:val="center"/>
        </w:trPr>
        <w:tc>
          <w:tcPr>
            <w:tcW w:w="2716" w:type="dxa"/>
            <w:tcBorders>
              <w:top w:val="nil"/>
              <w:left w:val="single" w:sz="8" w:space="0" w:color="auto"/>
              <w:bottom w:val="single" w:sz="8" w:space="0" w:color="auto"/>
              <w:right w:val="single" w:sz="8" w:space="0" w:color="auto"/>
            </w:tcBorders>
            <w:shd w:val="clear" w:color="auto" w:fill="auto"/>
            <w:noWrap/>
            <w:vAlign w:val="center"/>
            <w:hideMark/>
          </w:tcPr>
          <w:p w:rsidR="00F24C78" w:rsidRPr="00166C1C" w:rsidRDefault="00F24C78" w:rsidP="005660E8">
            <w:pPr>
              <w:ind w:firstLineChars="300" w:firstLine="540"/>
              <w:rPr>
                <w:rFonts w:ascii="Arial Narrow" w:hAnsi="Arial Narrow" w:cs="Calibri"/>
                <w:color w:val="000000"/>
                <w:sz w:val="18"/>
                <w:szCs w:val="18"/>
                <w:lang w:val="en-GB"/>
              </w:rPr>
            </w:pPr>
            <w:r w:rsidRPr="00166C1C">
              <w:rPr>
                <w:rFonts w:ascii="Arial Narrow" w:hAnsi="Arial Narrow" w:cs="Calibri"/>
                <w:color w:val="000000"/>
                <w:sz w:val="18"/>
                <w:szCs w:val="18"/>
                <w:lang w:val="en-GB"/>
              </w:rPr>
              <w:t>5 - More deprived</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995 (32.7)</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973 (28.4)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645 (24.3)</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170 (19.5)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595 (36.5)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854 (32.6)</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780 (26.9)</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257 (21.6)</w:t>
            </w:r>
          </w:p>
        </w:tc>
      </w:tr>
      <w:tr w:rsidR="00F24C78" w:rsidRPr="00166C1C" w:rsidTr="003F4026">
        <w:trPr>
          <w:trHeight w:val="240"/>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rPr>
                <w:rFonts w:ascii="Arial Narrow" w:hAnsi="Arial Narrow" w:cs="Calibri"/>
                <w:b/>
                <w:bCs/>
                <w:color w:val="000000"/>
                <w:sz w:val="18"/>
                <w:szCs w:val="18"/>
                <w:lang w:val="en-GB"/>
              </w:rPr>
            </w:pPr>
            <w:r w:rsidRPr="00166C1C">
              <w:rPr>
                <w:rFonts w:ascii="Arial Narrow" w:hAnsi="Arial Narrow" w:cs="Calibri"/>
                <w:b/>
                <w:bCs/>
                <w:color w:val="000000"/>
                <w:sz w:val="18"/>
                <w:szCs w:val="18"/>
                <w:lang w:val="en-GB"/>
              </w:rPr>
              <w:t>Clinical factors</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Comorbidity score &gt;0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1929 (63.5)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2382 (69.4)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1958 (73.9)</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634 (72.5)</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1072 (65.8)</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1921 (73.4)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2267 (78.0)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911 (76.4)</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Comorbidity score (median [IQR])</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0.75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1.70]</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1.08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2.12]</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2.44]</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[0.00,2.24]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2.06]</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1.09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[0.00, 2.47]</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1.39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[0.61, 2.92]</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 xml:space="preserve">1.38 </w:t>
            </w:r>
          </w:p>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[0.51,3.09]</w:t>
            </w:r>
          </w:p>
        </w:tc>
      </w:tr>
      <w:tr w:rsidR="00F24C78" w:rsidRPr="00166C1C" w:rsidTr="003F4026">
        <w:trPr>
          <w:trHeight w:val="240"/>
          <w:jc w:val="center"/>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F24C78" w:rsidRPr="00166C1C" w:rsidRDefault="00F24C78" w:rsidP="005660E8">
            <w:pPr>
              <w:ind w:firstLineChars="100" w:firstLine="180"/>
              <w:rPr>
                <w:rFonts w:ascii="Arial Narrow" w:hAnsi="Arial Narrow" w:cs="Calibri"/>
                <w:color w:val="000000"/>
                <w:sz w:val="18"/>
                <w:szCs w:val="18"/>
                <w:lang w:val="en-GB"/>
              </w:rPr>
            </w:pPr>
            <w:r w:rsidRPr="00166C1C">
              <w:rPr>
                <w:rFonts w:ascii="Arial Narrow" w:hAnsi="Arial Narrow" w:cs="Calibri"/>
                <w:color w:val="000000"/>
                <w:sz w:val="18"/>
                <w:szCs w:val="18"/>
                <w:lang w:val="en-GB"/>
              </w:rPr>
              <w:t>Emergency presentation (%)</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1622 (53.4)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1771 (51.6)</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1482 (55.9)</w:t>
            </w:r>
          </w:p>
        </w:tc>
        <w:tc>
          <w:tcPr>
            <w:tcW w:w="920"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522 (59.7)</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511 (31.4)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797 (30.4)</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1005 (34.6)</w:t>
            </w:r>
          </w:p>
        </w:tc>
        <w:tc>
          <w:tcPr>
            <w:tcW w:w="978" w:type="dxa"/>
            <w:tcBorders>
              <w:top w:val="nil"/>
              <w:left w:val="nil"/>
              <w:bottom w:val="single" w:sz="4" w:space="0" w:color="auto"/>
              <w:right w:val="single" w:sz="4" w:space="0" w:color="auto"/>
            </w:tcBorders>
            <w:shd w:val="clear" w:color="auto" w:fill="auto"/>
            <w:noWrap/>
            <w:vAlign w:val="bottom"/>
            <w:hideMark/>
          </w:tcPr>
          <w:p w:rsidR="00F24C78" w:rsidRPr="00166C1C" w:rsidRDefault="00F24C78" w:rsidP="005660E8">
            <w:pPr>
              <w:jc w:val="right"/>
              <w:rPr>
                <w:rFonts w:ascii="Arial Narrow" w:hAnsi="Arial Narrow" w:cs="Calibri"/>
                <w:color w:val="000000"/>
                <w:sz w:val="18"/>
                <w:szCs w:val="18"/>
                <w:lang w:val="en-GB"/>
              </w:rPr>
            </w:pPr>
            <w:r w:rsidRPr="00166C1C">
              <w:rPr>
                <w:rFonts w:ascii="Arial Narrow" w:hAnsi="Arial Narrow" w:cs="Calibri"/>
                <w:color w:val="000000"/>
                <w:sz w:val="18"/>
                <w:szCs w:val="18"/>
                <w:lang w:val="en-GB"/>
              </w:rPr>
              <w:t>462 (38.8)</w:t>
            </w:r>
          </w:p>
        </w:tc>
      </w:tr>
    </w:tbl>
    <w:p w:rsidR="00F24C78" w:rsidRPr="00166C1C" w:rsidRDefault="00F24C78" w:rsidP="00F24C78">
      <w:pPr>
        <w:spacing w:line="480" w:lineRule="auto"/>
        <w:rPr>
          <w:rFonts w:ascii="Arial Narrow" w:hAnsi="Arial Narrow" w:cs="Arial"/>
          <w:lang w:val="en-GB"/>
        </w:rPr>
      </w:pPr>
      <w:r w:rsidRPr="00166C1C">
        <w:rPr>
          <w:rFonts w:ascii="Arial Narrow" w:hAnsi="Arial Narrow" w:cs="Arial"/>
          <w:b/>
          <w:bCs/>
          <w:lang w:val="en-GB"/>
        </w:rPr>
        <w:br w:type="column"/>
      </w:r>
      <w:r w:rsidRPr="00166C1C">
        <w:rPr>
          <w:rFonts w:ascii="Arial Narrow" w:hAnsi="Arial Narrow" w:cs="Arial"/>
          <w:b/>
          <w:bCs/>
          <w:lang w:val="en-GB"/>
        </w:rPr>
        <w:lastRenderedPageBreak/>
        <w:t xml:space="preserve">Supplementary Table 2. </w:t>
      </w:r>
      <w:r w:rsidRPr="00166C1C">
        <w:rPr>
          <w:rFonts w:ascii="Arial Narrow" w:hAnsi="Arial Narrow" w:cs="Arial"/>
          <w:lang w:val="en-GB"/>
        </w:rPr>
        <w:t xml:space="preserve">One-year and three-year net survival for patients aged 55, 65, 75, and 85 years old </w:t>
      </w:r>
      <w:r w:rsidR="000D69FE" w:rsidRPr="00166C1C">
        <w:rPr>
          <w:rFonts w:ascii="Arial Narrow" w:hAnsi="Arial Narrow" w:cs="Arial"/>
          <w:lang w:val="en-GB"/>
        </w:rPr>
        <w:t xml:space="preserve">at lung cancer diagnosis </w:t>
      </w:r>
      <w:r w:rsidRPr="00166C1C">
        <w:rPr>
          <w:rFonts w:ascii="Arial Narrow" w:hAnsi="Arial Narrow" w:cs="Arial"/>
          <w:lang w:val="en-GB"/>
        </w:rPr>
        <w:t>by stage at diagnosis</w:t>
      </w:r>
    </w:p>
    <w:p w:rsidR="00F24C78" w:rsidRPr="00166C1C" w:rsidRDefault="00F24C78" w:rsidP="002673C0">
      <w:pPr>
        <w:spacing w:line="480" w:lineRule="auto"/>
        <w:rPr>
          <w:rFonts w:ascii="Arial Narrow" w:hAnsi="Arial Narrow" w:cs="Arial"/>
          <w:b/>
          <w:bCs/>
          <w:lang w:val="en-GB"/>
        </w:rPr>
      </w:pPr>
    </w:p>
    <w:tbl>
      <w:tblPr>
        <w:tblW w:w="14245" w:type="dxa"/>
        <w:tblCellMar>
          <w:left w:w="70" w:type="dxa"/>
          <w:right w:w="70" w:type="dxa"/>
        </w:tblCellMar>
        <w:tblLook w:val="04A0" w:firstRow="1" w:lastRow="0" w:firstColumn="1" w:lastColumn="0" w:noHBand="0" w:noVBand="1"/>
      </w:tblPr>
      <w:tblGrid>
        <w:gridCol w:w="1076"/>
        <w:gridCol w:w="1673"/>
        <w:gridCol w:w="1673"/>
        <w:gridCol w:w="1673"/>
        <w:gridCol w:w="1673"/>
        <w:gridCol w:w="1673"/>
        <w:gridCol w:w="1673"/>
        <w:gridCol w:w="1565"/>
        <w:gridCol w:w="1566"/>
      </w:tblGrid>
      <w:tr w:rsidR="00090C3D" w:rsidRPr="00166C1C" w:rsidTr="00D50864">
        <w:trPr>
          <w:trHeight w:val="308"/>
        </w:trPr>
        <w:tc>
          <w:tcPr>
            <w:tcW w:w="1076" w:type="dxa"/>
            <w:tcBorders>
              <w:top w:val="nil"/>
              <w:left w:val="nil"/>
              <w:bottom w:val="nil"/>
              <w:right w:val="nil"/>
            </w:tcBorders>
            <w:shd w:val="clear" w:color="auto" w:fill="auto"/>
            <w:noWrap/>
            <w:vAlign w:val="center"/>
            <w:hideMark/>
          </w:tcPr>
          <w:p w:rsidR="00090C3D" w:rsidRPr="00166C1C" w:rsidRDefault="00090C3D" w:rsidP="005660E8">
            <w:pPr>
              <w:rPr>
                <w:rFonts w:ascii="Arial Narrow" w:hAnsi="Arial Narrow" w:cs="Arial"/>
                <w:sz w:val="20"/>
                <w:szCs w:val="20"/>
                <w:lang w:val="en-GB"/>
              </w:rPr>
            </w:pPr>
          </w:p>
        </w:tc>
        <w:tc>
          <w:tcPr>
            <w:tcW w:w="3346" w:type="dxa"/>
            <w:gridSpan w:val="2"/>
            <w:tcBorders>
              <w:top w:val="single" w:sz="4" w:space="0" w:color="auto"/>
              <w:left w:val="nil"/>
              <w:bottom w:val="single" w:sz="4" w:space="0" w:color="auto"/>
              <w:right w:val="nil"/>
            </w:tcBorders>
            <w:shd w:val="clear" w:color="auto" w:fill="auto"/>
            <w:noWrap/>
            <w:vAlign w:val="center"/>
            <w:hideMark/>
          </w:tcPr>
          <w:p w:rsidR="00090C3D" w:rsidRPr="00166C1C" w:rsidRDefault="00090C3D" w:rsidP="005660E8">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Localised</w:t>
            </w:r>
          </w:p>
        </w:tc>
        <w:tc>
          <w:tcPr>
            <w:tcW w:w="3346" w:type="dxa"/>
            <w:gridSpan w:val="2"/>
            <w:tcBorders>
              <w:top w:val="single" w:sz="4" w:space="0" w:color="auto"/>
              <w:left w:val="nil"/>
              <w:bottom w:val="single" w:sz="4" w:space="0" w:color="auto"/>
              <w:right w:val="nil"/>
            </w:tcBorders>
            <w:shd w:val="clear" w:color="auto" w:fill="auto"/>
            <w:noWrap/>
            <w:vAlign w:val="center"/>
            <w:hideMark/>
          </w:tcPr>
          <w:p w:rsidR="00090C3D" w:rsidRPr="00166C1C" w:rsidRDefault="00090C3D" w:rsidP="005660E8">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Regional</w:t>
            </w:r>
          </w:p>
        </w:tc>
        <w:tc>
          <w:tcPr>
            <w:tcW w:w="3346" w:type="dxa"/>
            <w:gridSpan w:val="2"/>
            <w:tcBorders>
              <w:top w:val="single" w:sz="4" w:space="0" w:color="auto"/>
              <w:left w:val="nil"/>
              <w:bottom w:val="single" w:sz="4" w:space="0" w:color="auto"/>
              <w:right w:val="nil"/>
            </w:tcBorders>
            <w:shd w:val="clear" w:color="auto" w:fill="auto"/>
            <w:noWrap/>
            <w:vAlign w:val="center"/>
            <w:hideMark/>
          </w:tcPr>
          <w:p w:rsidR="00090C3D" w:rsidRPr="00166C1C" w:rsidRDefault="00090C3D" w:rsidP="005660E8">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Distant</w:t>
            </w:r>
          </w:p>
        </w:tc>
        <w:tc>
          <w:tcPr>
            <w:tcW w:w="3131" w:type="dxa"/>
            <w:gridSpan w:val="2"/>
            <w:tcBorders>
              <w:top w:val="single" w:sz="4" w:space="0" w:color="auto"/>
              <w:left w:val="nil"/>
              <w:bottom w:val="single" w:sz="4" w:space="0" w:color="auto"/>
              <w:right w:val="nil"/>
            </w:tcBorders>
            <w:shd w:val="clear" w:color="auto" w:fill="auto"/>
            <w:noWrap/>
            <w:vAlign w:val="center"/>
            <w:hideMark/>
          </w:tcPr>
          <w:p w:rsidR="00090C3D" w:rsidRPr="00166C1C" w:rsidRDefault="00090C3D" w:rsidP="005660E8">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Missing</w:t>
            </w:r>
          </w:p>
        </w:tc>
      </w:tr>
      <w:tr w:rsidR="00090C3D" w:rsidRPr="00166C1C" w:rsidTr="00D50864">
        <w:trPr>
          <w:trHeight w:val="308"/>
        </w:trPr>
        <w:tc>
          <w:tcPr>
            <w:tcW w:w="1076"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p>
        </w:tc>
        <w:tc>
          <w:tcPr>
            <w:tcW w:w="1673"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1-year NS</w:t>
            </w:r>
          </w:p>
        </w:tc>
        <w:tc>
          <w:tcPr>
            <w:tcW w:w="1673"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3-year NS</w:t>
            </w:r>
          </w:p>
        </w:tc>
        <w:tc>
          <w:tcPr>
            <w:tcW w:w="1673"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1-year NS</w:t>
            </w:r>
          </w:p>
        </w:tc>
        <w:tc>
          <w:tcPr>
            <w:tcW w:w="1673"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3-year NS</w:t>
            </w:r>
          </w:p>
        </w:tc>
        <w:tc>
          <w:tcPr>
            <w:tcW w:w="1673"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1-year NS</w:t>
            </w:r>
          </w:p>
        </w:tc>
        <w:tc>
          <w:tcPr>
            <w:tcW w:w="1673"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3-year NS</w:t>
            </w:r>
          </w:p>
        </w:tc>
        <w:tc>
          <w:tcPr>
            <w:tcW w:w="1565"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1-year NS</w:t>
            </w:r>
          </w:p>
        </w:tc>
        <w:tc>
          <w:tcPr>
            <w:tcW w:w="1566" w:type="dxa"/>
            <w:tcBorders>
              <w:top w:val="nil"/>
              <w:left w:val="nil"/>
              <w:bottom w:val="single" w:sz="4" w:space="0" w:color="auto"/>
              <w:right w:val="nil"/>
            </w:tcBorders>
            <w:shd w:val="clear" w:color="auto" w:fill="auto"/>
            <w:noWrap/>
            <w:vAlign w:val="center"/>
            <w:hideMark/>
          </w:tcPr>
          <w:p w:rsidR="00090C3D" w:rsidRPr="00166C1C" w:rsidRDefault="00090C3D"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3-year NS</w:t>
            </w:r>
          </w:p>
        </w:tc>
      </w:tr>
      <w:tr w:rsidR="00D50864" w:rsidRPr="00166C1C" w:rsidTr="00D50864">
        <w:trPr>
          <w:trHeight w:val="308"/>
        </w:trPr>
        <w:tc>
          <w:tcPr>
            <w:tcW w:w="1076"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55 years old</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93.3 (89.1 - 95.9)</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88.8 (83.0 - 92.7)</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70.3 (64.9 – 75.0)</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38.3 (31.4 - 45.1)</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26.7 (22.8 - 30.7)</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4.6 (2.8 - 6.9)</w:t>
            </w:r>
          </w:p>
        </w:tc>
        <w:tc>
          <w:tcPr>
            <w:tcW w:w="1565"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59.3 (55.2 - 63.2)</w:t>
            </w:r>
          </w:p>
        </w:tc>
        <w:tc>
          <w:tcPr>
            <w:tcW w:w="1566"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25.5 (21.5 - 29.8)</w:t>
            </w:r>
          </w:p>
        </w:tc>
      </w:tr>
      <w:tr w:rsidR="00D50864" w:rsidRPr="00166C1C" w:rsidTr="00D50864">
        <w:trPr>
          <w:trHeight w:val="308"/>
        </w:trPr>
        <w:tc>
          <w:tcPr>
            <w:tcW w:w="1076"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65 years old</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93.2 (90.4 - 95.3)</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87.2 (82.3 - 90.8)</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70.3 (66.4 - 73.9)</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42.2 (36.9 - 47.3)</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24.0 (21.3 - 26.8)</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5.0 (3.5 - 6.9)</w:t>
            </w:r>
          </w:p>
        </w:tc>
        <w:tc>
          <w:tcPr>
            <w:tcW w:w="1565"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55.3 (52.8 - 57.7)</w:t>
            </w:r>
          </w:p>
        </w:tc>
        <w:tc>
          <w:tcPr>
            <w:tcW w:w="1566"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21.3 (19.0 - 23.6)</w:t>
            </w:r>
          </w:p>
        </w:tc>
      </w:tr>
      <w:tr w:rsidR="00D50864" w:rsidRPr="00166C1C" w:rsidTr="00D50864">
        <w:trPr>
          <w:trHeight w:val="308"/>
        </w:trPr>
        <w:tc>
          <w:tcPr>
            <w:tcW w:w="1076"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75 years old</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89.3 (85.2 - 92.3)</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83.4 (77.5 - 87.9)</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63.1 (58.6 - 67.2)</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36.5 (31.4 - 41.6)</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19.0 (16.6 - 21.6)</w:t>
            </w:r>
          </w:p>
        </w:tc>
        <w:tc>
          <w:tcPr>
            <w:tcW w:w="1673"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3.6 (2.4 - 5.1)</w:t>
            </w:r>
          </w:p>
        </w:tc>
        <w:tc>
          <w:tcPr>
            <w:tcW w:w="1565"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49.6 (47.0 - 52.1)</w:t>
            </w:r>
          </w:p>
        </w:tc>
        <w:tc>
          <w:tcPr>
            <w:tcW w:w="1566" w:type="dxa"/>
            <w:tcBorders>
              <w:top w:val="nil"/>
              <w:left w:val="nil"/>
              <w:bottom w:val="nil"/>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17.3 (15.2 - 19.5)</w:t>
            </w:r>
          </w:p>
        </w:tc>
      </w:tr>
      <w:tr w:rsidR="00D50864" w:rsidRPr="00166C1C" w:rsidTr="00D50864">
        <w:trPr>
          <w:trHeight w:val="308"/>
        </w:trPr>
        <w:tc>
          <w:tcPr>
            <w:tcW w:w="1076"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color w:val="000000"/>
                <w:sz w:val="20"/>
                <w:szCs w:val="20"/>
                <w:lang w:val="en-GB"/>
              </w:rPr>
            </w:pPr>
            <w:r w:rsidRPr="00166C1C">
              <w:rPr>
                <w:rFonts w:ascii="Arial Narrow" w:hAnsi="Arial Narrow" w:cs="Arial"/>
                <w:color w:val="000000"/>
                <w:sz w:val="20"/>
                <w:szCs w:val="20"/>
                <w:lang w:val="en-GB"/>
              </w:rPr>
              <w:t>85 years old</w:t>
            </w:r>
          </w:p>
        </w:tc>
        <w:tc>
          <w:tcPr>
            <w:tcW w:w="1673"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78.7 (67.4 - 86.5)</w:t>
            </w:r>
          </w:p>
        </w:tc>
        <w:tc>
          <w:tcPr>
            <w:tcW w:w="1673"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73.9 (60.8 - 83.2)</w:t>
            </w:r>
          </w:p>
        </w:tc>
        <w:tc>
          <w:tcPr>
            <w:tcW w:w="1673"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47.2 (39.3 - 54.6)</w:t>
            </w:r>
          </w:p>
        </w:tc>
        <w:tc>
          <w:tcPr>
            <w:tcW w:w="1673"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23.6 (16.5 - 31.4)</w:t>
            </w:r>
          </w:p>
        </w:tc>
        <w:tc>
          <w:tcPr>
            <w:tcW w:w="1673"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12.5 (9.9 - 15.4)</w:t>
            </w:r>
          </w:p>
        </w:tc>
        <w:tc>
          <w:tcPr>
            <w:tcW w:w="1673"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1.5 (0.7 - 2.8)</w:t>
            </w:r>
          </w:p>
        </w:tc>
        <w:tc>
          <w:tcPr>
            <w:tcW w:w="1565"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40.2 (37.1 - 43.2)</w:t>
            </w:r>
          </w:p>
        </w:tc>
        <w:tc>
          <w:tcPr>
            <w:tcW w:w="1566" w:type="dxa"/>
            <w:tcBorders>
              <w:top w:val="nil"/>
              <w:left w:val="nil"/>
              <w:bottom w:val="single" w:sz="4" w:space="0" w:color="auto"/>
              <w:right w:val="nil"/>
            </w:tcBorders>
            <w:shd w:val="clear" w:color="auto" w:fill="auto"/>
            <w:noWrap/>
            <w:vAlign w:val="center"/>
            <w:hideMark/>
          </w:tcPr>
          <w:p w:rsidR="00D50864" w:rsidRPr="00166C1C" w:rsidRDefault="00D50864" w:rsidP="00B973D2">
            <w:pPr>
              <w:jc w:val="center"/>
              <w:rPr>
                <w:rFonts w:ascii="Arial Narrow" w:hAnsi="Arial Narrow" w:cs="Arial"/>
                <w:sz w:val="20"/>
                <w:szCs w:val="20"/>
                <w:lang w:val="en-GB"/>
              </w:rPr>
            </w:pPr>
            <w:r w:rsidRPr="00166C1C">
              <w:rPr>
                <w:rFonts w:ascii="Arial Narrow" w:hAnsi="Arial Narrow" w:cs="Arial"/>
                <w:sz w:val="20"/>
                <w:szCs w:val="20"/>
                <w:lang w:val="en-GB"/>
              </w:rPr>
              <w:t>13.3 (11.1 - 15.7)</w:t>
            </w:r>
          </w:p>
        </w:tc>
      </w:tr>
    </w:tbl>
    <w:p w:rsidR="00090C3D" w:rsidRPr="00166C1C" w:rsidRDefault="00090C3D" w:rsidP="00B973D2">
      <w:pPr>
        <w:spacing w:line="480" w:lineRule="auto"/>
        <w:jc w:val="center"/>
        <w:rPr>
          <w:rFonts w:ascii="Arial Narrow" w:hAnsi="Arial Narrow" w:cs="Arial"/>
          <w:b/>
          <w:bCs/>
          <w:lang w:val="en-GB"/>
        </w:rPr>
      </w:pPr>
    </w:p>
    <w:p w:rsidR="002673C0" w:rsidRPr="00166C1C" w:rsidRDefault="00F24C78" w:rsidP="002673C0">
      <w:pPr>
        <w:spacing w:line="480" w:lineRule="auto"/>
        <w:rPr>
          <w:rFonts w:ascii="Arial Narrow" w:hAnsi="Arial Narrow" w:cs="Arial"/>
          <w:lang w:val="en-GB"/>
        </w:rPr>
      </w:pPr>
      <w:r w:rsidRPr="00166C1C">
        <w:rPr>
          <w:rFonts w:ascii="Arial Narrow" w:hAnsi="Arial Narrow" w:cs="Arial"/>
          <w:b/>
          <w:bCs/>
          <w:lang w:val="en-GB"/>
        </w:rPr>
        <w:br w:type="column"/>
      </w:r>
      <w:r w:rsidR="002673C0" w:rsidRPr="00166C1C">
        <w:rPr>
          <w:rFonts w:ascii="Arial Narrow" w:hAnsi="Arial Narrow" w:cs="Arial"/>
          <w:b/>
          <w:bCs/>
          <w:lang w:val="en-GB"/>
        </w:rPr>
        <w:lastRenderedPageBreak/>
        <w:t>Supplementary Table 3.</w:t>
      </w:r>
      <w:r w:rsidR="002673C0" w:rsidRPr="00166C1C">
        <w:rPr>
          <w:rFonts w:ascii="Arial Narrow" w:hAnsi="Arial Narrow" w:cs="Arial"/>
          <w:lang w:val="en-GB"/>
        </w:rPr>
        <w:t xml:space="preserve"> Final excess hazard regression models </w:t>
      </w:r>
      <w:r w:rsidR="001A21A8" w:rsidRPr="00166C1C">
        <w:rPr>
          <w:rFonts w:ascii="Arial Narrow" w:hAnsi="Arial Narrow" w:cs="Arial"/>
          <w:lang w:val="en-GB"/>
        </w:rPr>
        <w:t>by stage at diagnosis</w:t>
      </w:r>
    </w:p>
    <w:p w:rsidR="002673C0" w:rsidRPr="00166C1C" w:rsidRDefault="002673C0" w:rsidP="002673C0">
      <w:pPr>
        <w:spacing w:line="480" w:lineRule="auto"/>
        <w:jc w:val="both"/>
        <w:rPr>
          <w:rFonts w:ascii="Arial Narrow" w:hAnsi="Arial Narrow" w:cs="Arial"/>
          <w:sz w:val="18"/>
          <w:szCs w:val="18"/>
          <w:lang w:val="en-GB"/>
        </w:rPr>
      </w:pPr>
    </w:p>
    <w:tbl>
      <w:tblPr>
        <w:tblStyle w:val="Grilledutableau"/>
        <w:tblW w:w="14743" w:type="dxa"/>
        <w:tblLayout w:type="fixed"/>
        <w:tblLook w:val="04A0" w:firstRow="1" w:lastRow="0" w:firstColumn="1" w:lastColumn="0" w:noHBand="0" w:noVBand="1"/>
      </w:tblPr>
      <w:tblGrid>
        <w:gridCol w:w="1599"/>
        <w:gridCol w:w="826"/>
        <w:gridCol w:w="806"/>
        <w:gridCol w:w="1042"/>
        <w:gridCol w:w="782"/>
        <w:gridCol w:w="833"/>
        <w:gridCol w:w="805"/>
        <w:gridCol w:w="805"/>
        <w:gridCol w:w="805"/>
        <w:gridCol w:w="805"/>
        <w:gridCol w:w="805"/>
        <w:gridCol w:w="805"/>
        <w:gridCol w:w="805"/>
        <w:gridCol w:w="805"/>
        <w:gridCol w:w="805"/>
        <w:gridCol w:w="805"/>
        <w:gridCol w:w="805"/>
      </w:tblGrid>
      <w:tr w:rsidR="002673C0" w:rsidRPr="00166C1C" w:rsidTr="00EA2E68">
        <w:trPr>
          <w:trHeight w:val="207"/>
        </w:trPr>
        <w:tc>
          <w:tcPr>
            <w:tcW w:w="1599" w:type="dxa"/>
            <w:vAlign w:val="center"/>
          </w:tcPr>
          <w:p w:rsidR="002673C0" w:rsidRPr="00166C1C" w:rsidRDefault="002673C0" w:rsidP="005660E8">
            <w:pPr>
              <w:contextualSpacing/>
              <w:rPr>
                <w:rFonts w:ascii="Arial Narrow" w:hAnsi="Arial Narrow" w:cs="Arial"/>
                <w:sz w:val="18"/>
                <w:szCs w:val="18"/>
                <w:lang w:val="en-GB"/>
              </w:rPr>
            </w:pPr>
            <w:r w:rsidRPr="00166C1C">
              <w:rPr>
                <w:rFonts w:ascii="Arial Narrow" w:hAnsi="Arial Narrow" w:cs="Arial"/>
                <w:sz w:val="18"/>
                <w:szCs w:val="18"/>
                <w:lang w:val="en-GB"/>
              </w:rPr>
              <w:t>Stage at diagnosis</w:t>
            </w:r>
          </w:p>
        </w:tc>
        <w:tc>
          <w:tcPr>
            <w:tcW w:w="3456" w:type="dxa"/>
            <w:gridSpan w:val="4"/>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Localised</w:t>
            </w:r>
          </w:p>
        </w:tc>
        <w:tc>
          <w:tcPr>
            <w:tcW w:w="3248" w:type="dxa"/>
            <w:gridSpan w:val="4"/>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Regional</w:t>
            </w:r>
          </w:p>
        </w:tc>
        <w:tc>
          <w:tcPr>
            <w:tcW w:w="3220" w:type="dxa"/>
            <w:gridSpan w:val="4"/>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Distant</w:t>
            </w:r>
          </w:p>
        </w:tc>
        <w:tc>
          <w:tcPr>
            <w:tcW w:w="3220" w:type="dxa"/>
            <w:gridSpan w:val="4"/>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Missing</w:t>
            </w:r>
          </w:p>
        </w:tc>
      </w:tr>
      <w:tr w:rsidR="002673C0" w:rsidRPr="006E5457" w:rsidTr="00EA2E68">
        <w:trPr>
          <w:trHeight w:val="774"/>
        </w:trPr>
        <w:tc>
          <w:tcPr>
            <w:tcW w:w="1599" w:type="dxa"/>
            <w:vAlign w:val="center"/>
          </w:tcPr>
          <w:p w:rsidR="002673C0" w:rsidRPr="00166C1C" w:rsidRDefault="002673C0" w:rsidP="005660E8">
            <w:pPr>
              <w:contextualSpacing/>
              <w:rPr>
                <w:rFonts w:ascii="Arial Narrow" w:hAnsi="Arial Narrow" w:cs="Arial"/>
                <w:sz w:val="18"/>
                <w:szCs w:val="18"/>
                <w:lang w:val="en-GB"/>
              </w:rPr>
            </w:pPr>
            <w:r w:rsidRPr="00166C1C">
              <w:rPr>
                <w:rFonts w:ascii="Arial Narrow" w:hAnsi="Arial Narrow" w:cs="Arial"/>
                <w:sz w:val="18"/>
                <w:szCs w:val="18"/>
                <w:lang w:val="en-GB"/>
              </w:rPr>
              <w:t>Baseline Hazard functional form</w:t>
            </w:r>
          </w:p>
        </w:tc>
        <w:tc>
          <w:tcPr>
            <w:tcW w:w="3456" w:type="dxa"/>
            <w:gridSpan w:val="4"/>
            <w:vAlign w:val="center"/>
          </w:tcPr>
          <w:p w:rsidR="002673C0" w:rsidRPr="00166C1C" w:rsidRDefault="005660E8" w:rsidP="005660E8">
            <w:pPr>
              <w:contextualSpacing/>
              <w:rPr>
                <w:rFonts w:ascii="Arial Narrow" w:hAnsi="Arial Narrow" w:cs="Arial"/>
                <w:sz w:val="18"/>
                <w:szCs w:val="18"/>
                <w:lang w:val="en-GB"/>
              </w:rPr>
            </w:pPr>
            <w:r w:rsidRPr="00166C1C">
              <w:rPr>
                <w:rFonts w:ascii="Arial Narrow" w:hAnsi="Arial Narrow" w:cs="Arial"/>
                <w:sz w:val="18"/>
                <w:szCs w:val="18"/>
                <w:lang w:val="en-GB"/>
              </w:rPr>
              <w:t>Weibull distribution</w:t>
            </w:r>
          </w:p>
        </w:tc>
        <w:tc>
          <w:tcPr>
            <w:tcW w:w="3248" w:type="dxa"/>
            <w:gridSpan w:val="4"/>
            <w:vAlign w:val="center"/>
          </w:tcPr>
          <w:p w:rsidR="002673C0" w:rsidRPr="00166C1C" w:rsidRDefault="00320934" w:rsidP="005660E8">
            <w:pPr>
              <w:contextualSpacing/>
              <w:rPr>
                <w:rFonts w:ascii="Arial Narrow" w:hAnsi="Arial Narrow" w:cs="Arial"/>
                <w:sz w:val="18"/>
                <w:szCs w:val="18"/>
                <w:lang w:val="en-GB"/>
              </w:rPr>
            </w:pPr>
            <w:r w:rsidRPr="00166C1C">
              <w:rPr>
                <w:rFonts w:ascii="Arial Narrow" w:hAnsi="Arial Narrow" w:cs="Arial"/>
                <w:sz w:val="18"/>
                <w:szCs w:val="18"/>
                <w:lang w:val="en-GB"/>
              </w:rPr>
              <w:t>Exponential of restricted spline with two knots at tertile of survival time in patients who died</w:t>
            </w:r>
          </w:p>
        </w:tc>
        <w:tc>
          <w:tcPr>
            <w:tcW w:w="3220" w:type="dxa"/>
            <w:gridSpan w:val="4"/>
            <w:vAlign w:val="center"/>
          </w:tcPr>
          <w:p w:rsidR="002673C0" w:rsidRPr="00166C1C" w:rsidRDefault="00121460" w:rsidP="005660E8">
            <w:pPr>
              <w:contextualSpacing/>
              <w:rPr>
                <w:rFonts w:ascii="Arial Narrow" w:hAnsi="Arial Narrow" w:cs="Arial"/>
                <w:sz w:val="18"/>
                <w:szCs w:val="18"/>
                <w:lang w:val="en-GB"/>
              </w:rPr>
            </w:pPr>
            <w:r w:rsidRPr="00166C1C">
              <w:rPr>
                <w:rFonts w:ascii="Arial Narrow" w:hAnsi="Arial Narrow" w:cs="Arial"/>
                <w:sz w:val="18"/>
                <w:szCs w:val="18"/>
                <w:lang w:val="en-GB"/>
              </w:rPr>
              <w:t>Exponential of cubic B-spline with two knots at tertile of survival time in patients who died</w:t>
            </w:r>
          </w:p>
        </w:tc>
        <w:tc>
          <w:tcPr>
            <w:tcW w:w="3220" w:type="dxa"/>
            <w:gridSpan w:val="4"/>
            <w:vAlign w:val="center"/>
          </w:tcPr>
          <w:p w:rsidR="002673C0" w:rsidRPr="00166C1C" w:rsidRDefault="002673C0" w:rsidP="005660E8">
            <w:pPr>
              <w:contextualSpacing/>
              <w:rPr>
                <w:rFonts w:ascii="Arial Narrow" w:hAnsi="Arial Narrow" w:cs="Arial"/>
                <w:sz w:val="18"/>
                <w:szCs w:val="18"/>
                <w:lang w:val="en-GB"/>
              </w:rPr>
            </w:pPr>
            <w:r w:rsidRPr="00166C1C">
              <w:rPr>
                <w:rFonts w:ascii="Arial Narrow" w:hAnsi="Arial Narrow" w:cs="Arial"/>
                <w:sz w:val="18"/>
                <w:szCs w:val="18"/>
                <w:lang w:val="en-GB"/>
              </w:rPr>
              <w:t>Exponential of cubic B-spline with two knots at tertile of survival time in patients who died</w:t>
            </w:r>
          </w:p>
        </w:tc>
      </w:tr>
      <w:tr w:rsidR="002673C0" w:rsidRPr="00166C1C" w:rsidTr="00EA2E68">
        <w:trPr>
          <w:trHeight w:val="595"/>
        </w:trPr>
        <w:tc>
          <w:tcPr>
            <w:tcW w:w="1599" w:type="dxa"/>
            <w:vAlign w:val="center"/>
          </w:tcPr>
          <w:p w:rsidR="002673C0" w:rsidRPr="00166C1C" w:rsidRDefault="002673C0" w:rsidP="005660E8">
            <w:pPr>
              <w:contextualSpacing/>
              <w:rPr>
                <w:rFonts w:ascii="Arial Narrow" w:hAnsi="Arial Narrow" w:cs="Arial"/>
                <w:sz w:val="18"/>
                <w:szCs w:val="18"/>
                <w:lang w:val="en-GB"/>
              </w:rPr>
            </w:pPr>
          </w:p>
        </w:tc>
        <w:tc>
          <w:tcPr>
            <w:tcW w:w="82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Main effect</w:t>
            </w:r>
          </w:p>
        </w:tc>
        <w:tc>
          <w:tcPr>
            <w:tcW w:w="806" w:type="dxa"/>
            <w:vAlign w:val="center"/>
          </w:tcPr>
          <w:p w:rsidR="002673C0" w:rsidRPr="00166C1C" w:rsidRDefault="002673C0" w:rsidP="005660E8">
            <w:pPr>
              <w:contextualSpacing/>
              <w:jc w:val="center"/>
              <w:rPr>
                <w:rFonts w:ascii="Arial Narrow" w:hAnsi="Arial Narrow" w:cs="Arial"/>
                <w:sz w:val="18"/>
                <w:szCs w:val="18"/>
                <w:lang w:val="en-GB"/>
              </w:rPr>
            </w:pPr>
            <w:proofErr w:type="gramStart"/>
            <w:r w:rsidRPr="00166C1C">
              <w:rPr>
                <w:rFonts w:ascii="Arial Narrow" w:hAnsi="Arial Narrow" w:cs="Arial"/>
                <w:sz w:val="18"/>
                <w:szCs w:val="18"/>
                <w:lang w:val="en-GB"/>
              </w:rPr>
              <w:t>Non linearity</w:t>
            </w:r>
            <w:proofErr w:type="gramEnd"/>
            <w:r w:rsidRPr="00166C1C">
              <w:rPr>
                <w:rFonts w:ascii="Arial Narrow" w:hAnsi="Arial Narrow" w:cs="Arial"/>
                <w:sz w:val="18"/>
                <w:szCs w:val="18"/>
                <w:vertAlign w:val="superscript"/>
                <w:lang w:val="en-GB"/>
              </w:rPr>
              <w:t>#</w:t>
            </w:r>
          </w:p>
        </w:tc>
        <w:tc>
          <w:tcPr>
            <w:tcW w:w="1042"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Time-dependent effect</w:t>
            </w:r>
          </w:p>
        </w:tc>
        <w:tc>
          <w:tcPr>
            <w:tcW w:w="778"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Modification effect by age</w:t>
            </w: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Main effect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roofErr w:type="gramStart"/>
            <w:r w:rsidRPr="00166C1C">
              <w:rPr>
                <w:rFonts w:ascii="Arial Narrow" w:hAnsi="Arial Narrow" w:cs="Arial"/>
                <w:sz w:val="18"/>
                <w:szCs w:val="18"/>
                <w:lang w:val="en-GB"/>
              </w:rPr>
              <w:t>Non linearity</w:t>
            </w:r>
            <w:proofErr w:type="gramEnd"/>
            <w:r w:rsidRPr="00166C1C">
              <w:rPr>
                <w:rFonts w:ascii="Arial Narrow" w:hAnsi="Arial Narrow" w:cs="Arial"/>
                <w:sz w:val="18"/>
                <w:szCs w:val="18"/>
                <w:vertAlign w:val="superscript"/>
                <w:lang w:val="en-GB"/>
              </w:rPr>
              <w: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Time-dependent effect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Modification effect by age</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Main effect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roofErr w:type="gramStart"/>
            <w:r w:rsidRPr="00166C1C">
              <w:rPr>
                <w:rFonts w:ascii="Arial Narrow" w:hAnsi="Arial Narrow" w:cs="Arial"/>
                <w:sz w:val="18"/>
                <w:szCs w:val="18"/>
                <w:lang w:val="en-GB"/>
              </w:rPr>
              <w:t>Non linearity</w:t>
            </w:r>
            <w:proofErr w:type="gramEnd"/>
            <w:r w:rsidRPr="00166C1C">
              <w:rPr>
                <w:rFonts w:ascii="Arial Narrow" w:hAnsi="Arial Narrow" w:cs="Arial"/>
                <w:sz w:val="18"/>
                <w:szCs w:val="18"/>
                <w:vertAlign w:val="superscript"/>
                <w:lang w:val="en-GB"/>
              </w:rPr>
              <w: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Time-dependent effect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Modification effect by age</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Main effect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roofErr w:type="gramStart"/>
            <w:r w:rsidRPr="00166C1C">
              <w:rPr>
                <w:rFonts w:ascii="Arial Narrow" w:hAnsi="Arial Narrow" w:cs="Arial"/>
                <w:sz w:val="18"/>
                <w:szCs w:val="18"/>
                <w:lang w:val="en-GB"/>
              </w:rPr>
              <w:t>Non linearity</w:t>
            </w:r>
            <w:proofErr w:type="gramEnd"/>
            <w:r w:rsidRPr="00166C1C">
              <w:rPr>
                <w:rFonts w:ascii="Arial Narrow" w:hAnsi="Arial Narrow" w:cs="Arial"/>
                <w:sz w:val="18"/>
                <w:szCs w:val="18"/>
                <w:vertAlign w:val="superscript"/>
                <w:lang w:val="en-GB"/>
              </w:rPr>
              <w: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Time-dependent effect</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Modification effect by age</w:t>
            </w:r>
          </w:p>
        </w:tc>
      </w:tr>
      <w:tr w:rsidR="002673C0" w:rsidRPr="00166C1C" w:rsidTr="00EA2E68">
        <w:trPr>
          <w:trHeight w:val="177"/>
        </w:trPr>
        <w:tc>
          <w:tcPr>
            <w:tcW w:w="1599" w:type="dxa"/>
            <w:vAlign w:val="center"/>
          </w:tcPr>
          <w:p w:rsidR="00E17DCA"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 xml:space="preserve">Age </w:t>
            </w:r>
          </w:p>
          <w:p w:rsidR="002673C0"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(continuous</w:t>
            </w:r>
            <w:r w:rsidR="00E17DCA" w:rsidRPr="00166C1C">
              <w:rPr>
                <w:rFonts w:ascii="Arial Narrow" w:hAnsi="Arial Narrow" w:cs="Arial"/>
                <w:sz w:val="18"/>
                <w:szCs w:val="18"/>
                <w:lang w:val="en-GB"/>
              </w:rPr>
              <w:t xml:space="preserve"> - forced</w:t>
            </w:r>
            <w:r w:rsidRPr="00166C1C">
              <w:rPr>
                <w:rFonts w:ascii="Arial Narrow" w:hAnsi="Arial Narrow" w:cs="Arial"/>
                <w:sz w:val="18"/>
                <w:szCs w:val="18"/>
                <w:lang w:val="en-GB"/>
              </w:rPr>
              <w:t>)</w:t>
            </w:r>
          </w:p>
        </w:tc>
        <w:tc>
          <w:tcPr>
            <w:tcW w:w="826" w:type="dxa"/>
            <w:vAlign w:val="center"/>
          </w:tcPr>
          <w:p w:rsidR="00B41F64" w:rsidRPr="00166C1C" w:rsidRDefault="00B41F64" w:rsidP="00B41F64">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B41F64" w:rsidP="00B41F64">
            <w:pPr>
              <w:contextualSpacing/>
              <w:jc w:val="center"/>
              <w:rPr>
                <w:rFonts w:ascii="Arial Narrow" w:hAnsi="Arial Narrow" w:cs="Arial"/>
                <w:color w:val="000000" w:themeColor="text1"/>
                <w:sz w:val="18"/>
                <w:szCs w:val="18"/>
                <w:highlight w:val="yellow"/>
                <w:lang w:val="en-GB"/>
              </w:rPr>
            </w:pPr>
            <w:r w:rsidRPr="00166C1C">
              <w:rPr>
                <w:rFonts w:ascii="Arial Narrow" w:hAnsi="Arial Narrow" w:cs="Arial"/>
                <w:sz w:val="18"/>
                <w:szCs w:val="18"/>
                <w:lang w:val="en-GB"/>
              </w:rPr>
              <w:t>p&lt;0.001</w:t>
            </w:r>
          </w:p>
        </w:tc>
        <w:tc>
          <w:tcPr>
            <w:tcW w:w="80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673C0"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p</w:t>
            </w:r>
            <w:r w:rsidR="0072408E" w:rsidRPr="00166C1C">
              <w:rPr>
                <w:rFonts w:ascii="Arial Narrow" w:hAnsi="Arial Narrow" w:cs="Arial"/>
                <w:sz w:val="18"/>
                <w:szCs w:val="18"/>
                <w:lang w:val="en-GB"/>
              </w:rPr>
              <w:t>&lt;0.001</w:t>
            </w:r>
          </w:p>
        </w:tc>
        <w:tc>
          <w:tcPr>
            <w:tcW w:w="1042" w:type="dxa"/>
            <w:vAlign w:val="center"/>
          </w:tcPr>
          <w:p w:rsidR="005660E8" w:rsidRPr="00166C1C" w:rsidRDefault="005660E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p&lt;0.001</w:t>
            </w:r>
          </w:p>
        </w:tc>
        <w:tc>
          <w:tcPr>
            <w:tcW w:w="778" w:type="dxa"/>
            <w:vAlign w:val="center"/>
          </w:tcPr>
          <w:p w:rsidR="002673C0" w:rsidRPr="00166C1C" w:rsidRDefault="002673C0"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N/A</w:t>
            </w: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E7CDC"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2093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p=0.003</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20934" w:rsidP="00320934">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E17DCA"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w:t>
            </w:r>
            <w:r w:rsidR="002F5348" w:rsidRPr="00166C1C">
              <w:rPr>
                <w:rFonts w:ascii="Arial Narrow" w:hAnsi="Arial Narrow" w:cs="Arial"/>
                <w:sz w:val="18"/>
                <w:szCs w:val="18"/>
                <w:lang w:val="en-GB"/>
              </w:rPr>
              <w:t>0.003</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AC3403"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r>
      <w:tr w:rsidR="002673C0" w:rsidRPr="00166C1C" w:rsidTr="00EA2E68">
        <w:trPr>
          <w:trHeight w:val="207"/>
        </w:trPr>
        <w:tc>
          <w:tcPr>
            <w:tcW w:w="1599" w:type="dxa"/>
            <w:vAlign w:val="center"/>
          </w:tcPr>
          <w:p w:rsidR="00E17DCA"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Year</w:t>
            </w:r>
          </w:p>
          <w:p w:rsidR="002673C0"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 xml:space="preserve"> (continuous</w:t>
            </w:r>
            <w:r w:rsidR="00E17DCA" w:rsidRPr="00166C1C">
              <w:rPr>
                <w:rFonts w:ascii="Arial Narrow" w:hAnsi="Arial Narrow" w:cs="Arial"/>
                <w:sz w:val="18"/>
                <w:szCs w:val="18"/>
                <w:lang w:val="en-GB"/>
              </w:rPr>
              <w:t xml:space="preserve"> -forced</w:t>
            </w:r>
            <w:r w:rsidRPr="00166C1C">
              <w:rPr>
                <w:rFonts w:ascii="Arial Narrow" w:hAnsi="Arial Narrow" w:cs="Arial"/>
                <w:sz w:val="18"/>
                <w:szCs w:val="18"/>
                <w:lang w:val="en-GB"/>
              </w:rPr>
              <w:t>)</w:t>
            </w:r>
          </w:p>
        </w:tc>
        <w:tc>
          <w:tcPr>
            <w:tcW w:w="826" w:type="dxa"/>
            <w:vAlign w:val="center"/>
          </w:tcPr>
          <w:p w:rsidR="002673C0" w:rsidRPr="00166C1C" w:rsidRDefault="002673C0" w:rsidP="005660E8">
            <w:pPr>
              <w:contextualSpacing/>
              <w:jc w:val="center"/>
              <w:rPr>
                <w:rFonts w:ascii="Arial Narrow" w:hAnsi="Arial Narrow" w:cs="Arial"/>
                <w:color w:val="000000" w:themeColor="text1"/>
                <w:sz w:val="18"/>
                <w:szCs w:val="18"/>
                <w:lang w:val="en-GB"/>
              </w:rPr>
            </w:pPr>
            <w:r w:rsidRPr="00166C1C">
              <w:rPr>
                <w:rFonts w:ascii="Arial Narrow" w:hAnsi="Arial Narrow" w:cs="Arial"/>
                <w:color w:val="000000" w:themeColor="text1"/>
                <w:sz w:val="18"/>
                <w:szCs w:val="18"/>
                <w:lang w:val="en-GB"/>
              </w:rPr>
              <w:t>X</w:t>
            </w:r>
          </w:p>
          <w:p w:rsidR="002673C0" w:rsidRPr="00166C1C" w:rsidRDefault="00475A5B" w:rsidP="005660E8">
            <w:pPr>
              <w:contextualSpacing/>
              <w:jc w:val="center"/>
              <w:rPr>
                <w:rFonts w:ascii="Arial Narrow" w:hAnsi="Arial Narrow" w:cs="Arial"/>
                <w:color w:val="000000" w:themeColor="text1"/>
                <w:sz w:val="18"/>
                <w:szCs w:val="18"/>
                <w:highlight w:val="yellow"/>
                <w:lang w:val="en-GB"/>
              </w:rPr>
            </w:pPr>
            <w:r w:rsidRPr="00166C1C">
              <w:rPr>
                <w:rFonts w:ascii="Arial Narrow" w:hAnsi="Arial Narrow" w:cs="Arial"/>
                <w:sz w:val="18"/>
                <w:szCs w:val="18"/>
                <w:lang w:val="en-GB"/>
              </w:rPr>
              <w:t>p&lt;0.001</w:t>
            </w:r>
          </w:p>
        </w:tc>
        <w:tc>
          <w:tcPr>
            <w:tcW w:w="806" w:type="dxa"/>
            <w:vAlign w:val="center"/>
          </w:tcPr>
          <w:p w:rsidR="002673C0"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Not tested</w:t>
            </w:r>
          </w:p>
        </w:tc>
        <w:tc>
          <w:tcPr>
            <w:tcW w:w="1042" w:type="dxa"/>
            <w:vAlign w:val="center"/>
          </w:tcPr>
          <w:p w:rsidR="002673C0"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Not tested</w:t>
            </w:r>
          </w:p>
        </w:tc>
        <w:tc>
          <w:tcPr>
            <w:tcW w:w="778" w:type="dxa"/>
            <w:vAlign w:val="center"/>
          </w:tcPr>
          <w:p w:rsidR="002673C0"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Not tested</w:t>
            </w: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E7CDC"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31041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320934" w:rsidRPr="00166C1C" w:rsidRDefault="0032093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31041E">
            <w:pPr>
              <w:contextualSpacing/>
              <w:rPr>
                <w:rFonts w:ascii="Arial Narrow" w:hAnsi="Arial Narrow" w:cs="Arial"/>
                <w:sz w:val="18"/>
                <w:szCs w:val="18"/>
                <w:lang w:val="en-GB"/>
              </w:rPr>
            </w:pPr>
          </w:p>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31041E">
            <w:pPr>
              <w:contextualSpacing/>
              <w:rPr>
                <w:rFonts w:ascii="Arial Narrow" w:hAnsi="Arial Narrow" w:cs="Arial"/>
                <w:sz w:val="18"/>
                <w:szCs w:val="18"/>
                <w:lang w:val="en-GB"/>
              </w:rPr>
            </w:pPr>
          </w:p>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CB6B4C" w:rsidRPr="00166C1C" w:rsidRDefault="002673C0" w:rsidP="00CB6B4C">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CB6B4C"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w:t>
            </w:r>
            <w:r w:rsidR="002F5348" w:rsidRPr="00166C1C">
              <w:rPr>
                <w:rFonts w:ascii="Arial Narrow" w:hAnsi="Arial Narrow" w:cs="Arial"/>
                <w:sz w:val="18"/>
                <w:szCs w:val="18"/>
                <w:lang w:val="en-GB"/>
              </w:rPr>
              <w:t>0.002</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8D202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r>
      <w:tr w:rsidR="002673C0" w:rsidRPr="00166C1C" w:rsidTr="00EA2E68">
        <w:trPr>
          <w:trHeight w:val="405"/>
        </w:trPr>
        <w:tc>
          <w:tcPr>
            <w:tcW w:w="1599" w:type="dxa"/>
            <w:vAlign w:val="center"/>
          </w:tcPr>
          <w:p w:rsidR="00E17DCA"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 xml:space="preserve">Sex </w:t>
            </w:r>
          </w:p>
          <w:p w:rsidR="002673C0"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(dichotomy</w:t>
            </w:r>
            <w:r w:rsidR="00E17DCA" w:rsidRPr="00166C1C">
              <w:rPr>
                <w:rFonts w:ascii="Arial Narrow" w:hAnsi="Arial Narrow" w:cs="Arial"/>
                <w:sz w:val="18"/>
                <w:szCs w:val="18"/>
                <w:lang w:val="en-GB"/>
              </w:rPr>
              <w:t>-forced</w:t>
            </w:r>
            <w:r w:rsidRPr="00166C1C">
              <w:rPr>
                <w:rFonts w:ascii="Arial Narrow" w:hAnsi="Arial Narrow" w:cs="Arial"/>
                <w:sz w:val="18"/>
                <w:szCs w:val="18"/>
                <w:lang w:val="en-GB"/>
              </w:rPr>
              <w:t>)</w:t>
            </w:r>
          </w:p>
        </w:tc>
        <w:tc>
          <w:tcPr>
            <w:tcW w:w="826" w:type="dxa"/>
            <w:vAlign w:val="center"/>
          </w:tcPr>
          <w:p w:rsidR="002673C0" w:rsidRPr="00166C1C" w:rsidRDefault="002673C0" w:rsidP="005660E8">
            <w:pPr>
              <w:contextualSpacing/>
              <w:jc w:val="center"/>
              <w:rPr>
                <w:rFonts w:ascii="Arial Narrow" w:hAnsi="Arial Narrow" w:cs="Arial"/>
                <w:color w:val="000000" w:themeColor="text1"/>
                <w:sz w:val="18"/>
                <w:szCs w:val="18"/>
                <w:lang w:val="en-GB"/>
              </w:rPr>
            </w:pPr>
            <w:r w:rsidRPr="00166C1C">
              <w:rPr>
                <w:rFonts w:ascii="Arial Narrow" w:hAnsi="Arial Narrow" w:cs="Arial"/>
                <w:color w:val="000000" w:themeColor="text1"/>
                <w:sz w:val="18"/>
                <w:szCs w:val="18"/>
                <w:lang w:val="en-GB"/>
              </w:rPr>
              <w:t>X</w:t>
            </w:r>
          </w:p>
          <w:p w:rsidR="002673C0" w:rsidRPr="00166C1C" w:rsidRDefault="00B41F64" w:rsidP="005660E8">
            <w:pPr>
              <w:contextualSpacing/>
              <w:jc w:val="center"/>
              <w:rPr>
                <w:rFonts w:ascii="Arial Narrow" w:hAnsi="Arial Narrow" w:cs="Arial"/>
                <w:color w:val="000000" w:themeColor="text1"/>
                <w:sz w:val="18"/>
                <w:szCs w:val="18"/>
                <w:lang w:val="en-GB"/>
              </w:rPr>
            </w:pPr>
            <w:r w:rsidRPr="00166C1C">
              <w:rPr>
                <w:rFonts w:ascii="Arial Narrow" w:hAnsi="Arial Narrow" w:cs="Arial"/>
                <w:color w:val="000000" w:themeColor="text1"/>
                <w:sz w:val="18"/>
                <w:szCs w:val="18"/>
                <w:lang w:val="en-GB"/>
              </w:rPr>
              <w:t>P&lt;</w:t>
            </w:r>
            <w:r w:rsidR="002B23B7" w:rsidRPr="00166C1C">
              <w:rPr>
                <w:rFonts w:ascii="Arial Narrow" w:hAnsi="Arial Narrow" w:cs="Arial"/>
                <w:color w:val="000000" w:themeColor="text1"/>
                <w:sz w:val="18"/>
                <w:szCs w:val="18"/>
                <w:lang w:val="en-GB"/>
              </w:rPr>
              <w:t>0.00</w:t>
            </w:r>
            <w:r w:rsidRPr="00166C1C">
              <w:rPr>
                <w:rFonts w:ascii="Arial Narrow" w:hAnsi="Arial Narrow" w:cs="Arial"/>
                <w:color w:val="000000" w:themeColor="text1"/>
                <w:sz w:val="18"/>
                <w:szCs w:val="18"/>
                <w:lang w:val="en-GB"/>
              </w:rPr>
              <w:t>1</w:t>
            </w:r>
          </w:p>
        </w:tc>
        <w:tc>
          <w:tcPr>
            <w:tcW w:w="80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1042" w:type="dxa"/>
            <w:vAlign w:val="center"/>
          </w:tcPr>
          <w:p w:rsidR="002673C0" w:rsidRPr="00166C1C" w:rsidRDefault="0031041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320934"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p=0.002</w:t>
            </w:r>
          </w:p>
        </w:tc>
        <w:tc>
          <w:tcPr>
            <w:tcW w:w="778" w:type="dxa"/>
            <w:vAlign w:val="center"/>
          </w:tcPr>
          <w:p w:rsidR="002673C0" w:rsidRPr="00166C1C" w:rsidRDefault="002673C0" w:rsidP="005660E8">
            <w:pPr>
              <w:contextualSpacing/>
              <w:jc w:val="center"/>
              <w:rPr>
                <w:rFonts w:ascii="Arial Narrow" w:hAnsi="Arial Narrow" w:cs="Arial"/>
                <w:sz w:val="18"/>
                <w:szCs w:val="18"/>
                <w:highlight w:val="yellow"/>
                <w:lang w:val="en-GB"/>
              </w:rPr>
            </w:pP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E7CDC"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31041E">
            <w:pPr>
              <w:contextualSpacing/>
              <w:rPr>
                <w:rFonts w:ascii="Arial Narrow" w:hAnsi="Arial Narrow" w:cs="Arial"/>
                <w:sz w:val="18"/>
                <w:szCs w:val="18"/>
                <w:lang w:val="en-GB"/>
              </w:rPr>
            </w:pPr>
          </w:p>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31041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320934" w:rsidRPr="00166C1C" w:rsidRDefault="0032093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E17DCA"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72408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F5348"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w:t>
            </w:r>
            <w:r w:rsidR="002F5348" w:rsidRPr="00166C1C">
              <w:rPr>
                <w:rFonts w:ascii="Arial Narrow" w:hAnsi="Arial Narrow" w:cs="Arial"/>
                <w:sz w:val="18"/>
                <w:szCs w:val="18"/>
                <w:lang w:val="en-GB"/>
              </w:rPr>
              <w:t>0.015</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AC3403"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72408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12146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p=0.020</w:t>
            </w:r>
          </w:p>
        </w:tc>
        <w:tc>
          <w:tcPr>
            <w:tcW w:w="805" w:type="dxa"/>
            <w:vAlign w:val="center"/>
          </w:tcPr>
          <w:p w:rsidR="002673C0" w:rsidRPr="00166C1C" w:rsidRDefault="0072408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F5747A" w:rsidRPr="00166C1C" w:rsidRDefault="00F5747A"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r>
      <w:tr w:rsidR="002673C0" w:rsidRPr="00166C1C" w:rsidTr="00EA2E68">
        <w:trPr>
          <w:trHeight w:val="207"/>
        </w:trPr>
        <w:tc>
          <w:tcPr>
            <w:tcW w:w="1599" w:type="dxa"/>
            <w:vAlign w:val="center"/>
          </w:tcPr>
          <w:p w:rsidR="00C37788"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 xml:space="preserve">Ethnicity </w:t>
            </w:r>
          </w:p>
          <w:p w:rsidR="002673C0"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(dichotomy</w:t>
            </w:r>
            <w:r w:rsidR="00E17DCA" w:rsidRPr="00166C1C">
              <w:rPr>
                <w:rFonts w:ascii="Arial Narrow" w:hAnsi="Arial Narrow" w:cs="Arial"/>
                <w:sz w:val="18"/>
                <w:szCs w:val="18"/>
                <w:lang w:val="en-GB"/>
              </w:rPr>
              <w:t>-forced</w:t>
            </w:r>
            <w:r w:rsidRPr="00166C1C">
              <w:rPr>
                <w:rFonts w:ascii="Arial Narrow" w:hAnsi="Arial Narrow" w:cs="Arial"/>
                <w:sz w:val="18"/>
                <w:szCs w:val="18"/>
                <w:lang w:val="en-GB"/>
              </w:rPr>
              <w:t>)</w:t>
            </w:r>
          </w:p>
        </w:tc>
        <w:tc>
          <w:tcPr>
            <w:tcW w:w="826" w:type="dxa"/>
            <w:vAlign w:val="center"/>
          </w:tcPr>
          <w:p w:rsidR="002673C0" w:rsidRPr="00166C1C" w:rsidRDefault="002673C0" w:rsidP="005660E8">
            <w:pPr>
              <w:contextualSpacing/>
              <w:jc w:val="center"/>
              <w:rPr>
                <w:rFonts w:ascii="Arial Narrow" w:hAnsi="Arial Narrow" w:cs="Arial"/>
                <w:color w:val="000000" w:themeColor="text1"/>
                <w:sz w:val="18"/>
                <w:szCs w:val="18"/>
                <w:lang w:val="en-GB"/>
              </w:rPr>
            </w:pPr>
            <w:r w:rsidRPr="00166C1C">
              <w:rPr>
                <w:rFonts w:ascii="Arial Narrow" w:hAnsi="Arial Narrow" w:cs="Arial"/>
                <w:color w:val="000000" w:themeColor="text1"/>
                <w:sz w:val="18"/>
                <w:szCs w:val="18"/>
                <w:lang w:val="en-GB"/>
              </w:rPr>
              <w:t>X</w:t>
            </w:r>
          </w:p>
          <w:p w:rsidR="002673C0" w:rsidRPr="00166C1C" w:rsidRDefault="002673C0" w:rsidP="005660E8">
            <w:pPr>
              <w:contextualSpacing/>
              <w:jc w:val="center"/>
              <w:rPr>
                <w:rFonts w:ascii="Arial Narrow" w:hAnsi="Arial Narrow" w:cs="Arial"/>
                <w:color w:val="000000" w:themeColor="text1"/>
                <w:sz w:val="18"/>
                <w:szCs w:val="18"/>
                <w:highlight w:val="yellow"/>
                <w:lang w:val="en-GB"/>
              </w:rPr>
            </w:pPr>
            <w:r w:rsidRPr="00166C1C">
              <w:rPr>
                <w:rFonts w:ascii="Arial Narrow" w:hAnsi="Arial Narrow" w:cs="Arial"/>
                <w:color w:val="000000" w:themeColor="text1"/>
                <w:sz w:val="18"/>
                <w:szCs w:val="18"/>
                <w:lang w:val="en-GB"/>
              </w:rPr>
              <w:t>p=</w:t>
            </w:r>
            <w:r w:rsidR="00475A5B" w:rsidRPr="00166C1C">
              <w:rPr>
                <w:rFonts w:ascii="Arial Narrow" w:hAnsi="Arial Narrow" w:cs="Arial"/>
                <w:color w:val="000000" w:themeColor="text1"/>
                <w:sz w:val="18"/>
                <w:szCs w:val="18"/>
                <w:lang w:val="en-GB"/>
              </w:rPr>
              <w:t>0.00</w:t>
            </w:r>
            <w:r w:rsidR="00B41F64" w:rsidRPr="00166C1C">
              <w:rPr>
                <w:rFonts w:ascii="Arial Narrow" w:hAnsi="Arial Narrow" w:cs="Arial"/>
                <w:color w:val="000000" w:themeColor="text1"/>
                <w:sz w:val="18"/>
                <w:szCs w:val="18"/>
                <w:lang w:val="en-GB"/>
              </w:rPr>
              <w:t>3</w:t>
            </w:r>
          </w:p>
        </w:tc>
        <w:tc>
          <w:tcPr>
            <w:tcW w:w="80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1042" w:type="dxa"/>
            <w:vAlign w:val="center"/>
          </w:tcPr>
          <w:p w:rsidR="00320934"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Not tested</w:t>
            </w:r>
          </w:p>
        </w:tc>
        <w:tc>
          <w:tcPr>
            <w:tcW w:w="778" w:type="dxa"/>
            <w:vAlign w:val="center"/>
          </w:tcPr>
          <w:p w:rsidR="00FD1473" w:rsidRPr="00166C1C" w:rsidRDefault="00FD1473" w:rsidP="005660E8">
            <w:pPr>
              <w:contextualSpacing/>
              <w:jc w:val="center"/>
              <w:rPr>
                <w:rFonts w:ascii="Arial Narrow" w:hAnsi="Arial Narrow" w:cs="Arial"/>
                <w:sz w:val="18"/>
                <w:szCs w:val="18"/>
                <w:highlight w:val="yellow"/>
                <w:lang w:val="en-GB"/>
              </w:rPr>
            </w:pP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E7CDC"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802B8" w:rsidP="003802B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72408E">
            <w:pPr>
              <w:contextualSpacing/>
              <w:rPr>
                <w:rFonts w:ascii="Arial Narrow" w:hAnsi="Arial Narrow" w:cs="Arial"/>
                <w:sz w:val="18"/>
                <w:szCs w:val="18"/>
                <w:lang w:val="en-GB"/>
              </w:rPr>
            </w:pPr>
          </w:p>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AC3403"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72408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12146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p=0.048</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r>
      <w:tr w:rsidR="002673C0" w:rsidRPr="00166C1C" w:rsidTr="00EA2E68">
        <w:trPr>
          <w:trHeight w:val="177"/>
        </w:trPr>
        <w:tc>
          <w:tcPr>
            <w:tcW w:w="1599" w:type="dxa"/>
            <w:vAlign w:val="center"/>
          </w:tcPr>
          <w:p w:rsidR="002673C0"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Deprivation (categorical)</w:t>
            </w:r>
          </w:p>
        </w:tc>
        <w:tc>
          <w:tcPr>
            <w:tcW w:w="826" w:type="dxa"/>
            <w:vAlign w:val="center"/>
          </w:tcPr>
          <w:p w:rsidR="002673C0" w:rsidRPr="00166C1C" w:rsidRDefault="0031041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31041E" w:rsidRPr="00166C1C" w:rsidRDefault="00B41F64"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p=0.008</w:t>
            </w:r>
          </w:p>
        </w:tc>
        <w:tc>
          <w:tcPr>
            <w:tcW w:w="80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1042" w:type="dxa"/>
            <w:vAlign w:val="center"/>
          </w:tcPr>
          <w:p w:rsidR="00320934"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Not tested</w:t>
            </w:r>
          </w:p>
        </w:tc>
        <w:tc>
          <w:tcPr>
            <w:tcW w:w="778" w:type="dxa"/>
            <w:vAlign w:val="center"/>
          </w:tcPr>
          <w:p w:rsidR="00FD1473" w:rsidRPr="00166C1C" w:rsidRDefault="00FD1473" w:rsidP="005660E8">
            <w:pPr>
              <w:contextualSpacing/>
              <w:jc w:val="center"/>
              <w:rPr>
                <w:rFonts w:ascii="Arial Narrow" w:hAnsi="Arial Narrow" w:cs="Arial"/>
                <w:sz w:val="18"/>
                <w:szCs w:val="18"/>
                <w:highlight w:val="yellow"/>
                <w:lang w:val="en-GB"/>
              </w:rPr>
            </w:pP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w:t>
            </w:r>
            <w:r w:rsidR="00320934" w:rsidRPr="00166C1C">
              <w:rPr>
                <w:rFonts w:ascii="Arial Narrow" w:hAnsi="Arial Narrow" w:cs="Arial"/>
                <w:sz w:val="18"/>
                <w:szCs w:val="18"/>
                <w:lang w:val="en-GB"/>
              </w:rPr>
              <w: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72408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F5348"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r>
      <w:tr w:rsidR="002673C0" w:rsidRPr="00166C1C" w:rsidTr="00EA2E68">
        <w:trPr>
          <w:trHeight w:val="207"/>
        </w:trPr>
        <w:tc>
          <w:tcPr>
            <w:tcW w:w="1599" w:type="dxa"/>
            <w:vAlign w:val="center"/>
          </w:tcPr>
          <w:p w:rsidR="002673C0"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Comorbidity (continuous)</w:t>
            </w:r>
          </w:p>
        </w:tc>
        <w:tc>
          <w:tcPr>
            <w:tcW w:w="82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72408E"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p&lt;0.001</w:t>
            </w:r>
          </w:p>
        </w:tc>
        <w:tc>
          <w:tcPr>
            <w:tcW w:w="806" w:type="dxa"/>
            <w:vAlign w:val="center"/>
          </w:tcPr>
          <w:p w:rsidR="002673C0" w:rsidRPr="00166C1C" w:rsidRDefault="005660E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Not tested</w:t>
            </w:r>
          </w:p>
        </w:tc>
        <w:tc>
          <w:tcPr>
            <w:tcW w:w="1042" w:type="dxa"/>
            <w:vAlign w:val="center"/>
          </w:tcPr>
          <w:p w:rsidR="00320934" w:rsidRPr="00166C1C" w:rsidRDefault="00EA2E68" w:rsidP="005660E8">
            <w:pPr>
              <w:contextualSpacing/>
              <w:jc w:val="center"/>
              <w:rPr>
                <w:rFonts w:ascii="Arial Narrow" w:hAnsi="Arial Narrow" w:cs="Arial"/>
                <w:sz w:val="18"/>
                <w:szCs w:val="18"/>
                <w:highlight w:val="yellow"/>
                <w:lang w:val="en-GB"/>
              </w:rPr>
            </w:pPr>
            <w:r w:rsidRPr="00EA2E68">
              <w:rPr>
                <w:rFonts w:ascii="Arial Narrow" w:hAnsi="Arial Narrow" w:cs="Arial"/>
                <w:sz w:val="18"/>
                <w:szCs w:val="18"/>
                <w:lang w:val="en-GB"/>
              </w:rPr>
              <w:t>Did not converge</w:t>
            </w:r>
          </w:p>
        </w:tc>
        <w:tc>
          <w:tcPr>
            <w:tcW w:w="778" w:type="dxa"/>
            <w:vAlign w:val="center"/>
          </w:tcPr>
          <w:p w:rsidR="002673C0" w:rsidRPr="00166C1C" w:rsidRDefault="002673C0" w:rsidP="005660E8">
            <w:pPr>
              <w:contextualSpacing/>
              <w:jc w:val="center"/>
              <w:rPr>
                <w:rFonts w:ascii="Arial Narrow" w:hAnsi="Arial Narrow" w:cs="Arial"/>
                <w:sz w:val="18"/>
                <w:szCs w:val="18"/>
                <w:highlight w:val="yellow"/>
                <w:lang w:val="en-GB"/>
              </w:rPr>
            </w:pP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2093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2093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p=0.018</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2093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72408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F5348"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p=0.045</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9A1F9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p>
        </w:tc>
      </w:tr>
      <w:tr w:rsidR="002673C0" w:rsidRPr="00166C1C" w:rsidTr="00EA2E68">
        <w:trPr>
          <w:trHeight w:val="207"/>
        </w:trPr>
        <w:tc>
          <w:tcPr>
            <w:tcW w:w="1599" w:type="dxa"/>
            <w:vAlign w:val="center"/>
          </w:tcPr>
          <w:p w:rsidR="002673C0" w:rsidRPr="00166C1C" w:rsidRDefault="002673C0" w:rsidP="00E17DCA">
            <w:pPr>
              <w:contextualSpacing/>
              <w:rPr>
                <w:rFonts w:ascii="Arial Narrow" w:hAnsi="Arial Narrow" w:cs="Arial"/>
                <w:sz w:val="18"/>
                <w:szCs w:val="18"/>
                <w:lang w:val="en-GB"/>
              </w:rPr>
            </w:pPr>
            <w:r w:rsidRPr="00166C1C">
              <w:rPr>
                <w:rFonts w:ascii="Arial Narrow" w:hAnsi="Arial Narrow" w:cs="Arial"/>
                <w:sz w:val="18"/>
                <w:szCs w:val="18"/>
                <w:lang w:val="en-GB"/>
              </w:rPr>
              <w:t>Emergency (dichotomy)</w:t>
            </w:r>
          </w:p>
        </w:tc>
        <w:tc>
          <w:tcPr>
            <w:tcW w:w="82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B41F64"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p=</w:t>
            </w:r>
            <w:r w:rsidR="0072408E" w:rsidRPr="00166C1C">
              <w:rPr>
                <w:rFonts w:ascii="Arial Narrow" w:hAnsi="Arial Narrow" w:cs="Arial"/>
                <w:sz w:val="18"/>
                <w:szCs w:val="18"/>
                <w:lang w:val="en-GB"/>
              </w:rPr>
              <w:t>0.00</w:t>
            </w:r>
            <w:r w:rsidRPr="00166C1C">
              <w:rPr>
                <w:rFonts w:ascii="Arial Narrow" w:hAnsi="Arial Narrow" w:cs="Arial"/>
                <w:sz w:val="18"/>
                <w:szCs w:val="18"/>
                <w:lang w:val="en-GB"/>
              </w:rPr>
              <w:t>2</w:t>
            </w:r>
          </w:p>
        </w:tc>
        <w:tc>
          <w:tcPr>
            <w:tcW w:w="806"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1042"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5660E8"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p=0.006</w:t>
            </w:r>
          </w:p>
        </w:tc>
        <w:tc>
          <w:tcPr>
            <w:tcW w:w="778" w:type="dxa"/>
            <w:vAlign w:val="center"/>
          </w:tcPr>
          <w:p w:rsidR="00FD1473" w:rsidRPr="00166C1C" w:rsidRDefault="00FD1473" w:rsidP="005660E8">
            <w:pPr>
              <w:contextualSpacing/>
              <w:jc w:val="center"/>
              <w:rPr>
                <w:rFonts w:ascii="Arial Narrow" w:hAnsi="Arial Narrow" w:cs="Arial"/>
                <w:sz w:val="18"/>
                <w:szCs w:val="18"/>
                <w:highlight w:val="yellow"/>
                <w:lang w:val="en-GB"/>
              </w:rPr>
            </w:pPr>
          </w:p>
        </w:tc>
        <w:tc>
          <w:tcPr>
            <w:tcW w:w="833"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2093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320934" w:rsidP="00320934">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31041E">
            <w:pPr>
              <w:contextualSpacing/>
              <w:rPr>
                <w:rFonts w:ascii="Arial Narrow" w:hAnsi="Arial Narrow" w:cs="Arial"/>
                <w:sz w:val="18"/>
                <w:szCs w:val="18"/>
                <w:lang w:val="en-GB"/>
              </w:rPr>
            </w:pPr>
          </w:p>
          <w:p w:rsidR="002673C0" w:rsidRPr="00166C1C" w:rsidRDefault="002673C0" w:rsidP="005660E8">
            <w:pPr>
              <w:contextualSpacing/>
              <w:jc w:val="center"/>
              <w:rPr>
                <w:rFonts w:ascii="Arial Narrow" w:hAnsi="Arial Narrow" w:cs="Arial"/>
                <w:sz w:val="18"/>
                <w:szCs w:val="18"/>
                <w:lang w:val="en-GB"/>
              </w:rPr>
            </w:pP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F5348" w:rsidRPr="00166C1C" w:rsidRDefault="002F534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p=0.011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9A1F94"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N/A</w:t>
            </w:r>
          </w:p>
        </w:tc>
        <w:tc>
          <w:tcPr>
            <w:tcW w:w="805" w:type="dxa"/>
            <w:vAlign w:val="center"/>
          </w:tcPr>
          <w:p w:rsidR="002673C0" w:rsidRPr="00166C1C" w:rsidRDefault="002673C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2673C0" w:rsidRPr="00166C1C" w:rsidRDefault="00121460"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p&lt;0.001</w:t>
            </w:r>
          </w:p>
        </w:tc>
        <w:tc>
          <w:tcPr>
            <w:tcW w:w="805" w:type="dxa"/>
            <w:vAlign w:val="center"/>
          </w:tcPr>
          <w:p w:rsidR="002673C0" w:rsidRPr="00166C1C" w:rsidRDefault="0072408E"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X</w:t>
            </w:r>
          </w:p>
          <w:p w:rsidR="00F5747A" w:rsidRPr="00166C1C" w:rsidRDefault="00F5747A"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p=0.004</w:t>
            </w:r>
          </w:p>
        </w:tc>
      </w:tr>
      <w:tr w:rsidR="00602D62" w:rsidRPr="00166C1C" w:rsidTr="00EA2E68">
        <w:trPr>
          <w:trHeight w:val="326"/>
        </w:trPr>
        <w:tc>
          <w:tcPr>
            <w:tcW w:w="1599" w:type="dxa"/>
            <w:vAlign w:val="center"/>
          </w:tcPr>
          <w:p w:rsidR="00602D62" w:rsidRPr="00166C1C" w:rsidRDefault="00602D62" w:rsidP="00E17DCA">
            <w:pPr>
              <w:rPr>
                <w:rFonts w:ascii="Arial Narrow" w:hAnsi="Arial Narrow" w:cs="Arial"/>
                <w:sz w:val="18"/>
                <w:szCs w:val="18"/>
                <w:lang w:val="en-GB"/>
              </w:rPr>
            </w:pPr>
            <w:r w:rsidRPr="00166C1C">
              <w:rPr>
                <w:rFonts w:ascii="Arial Narrow" w:hAnsi="Arial Narrow" w:cs="Arial"/>
                <w:sz w:val="18"/>
                <w:szCs w:val="18"/>
                <w:lang w:val="en-GB"/>
              </w:rPr>
              <w:t>Observations</w:t>
            </w:r>
          </w:p>
        </w:tc>
        <w:tc>
          <w:tcPr>
            <w:tcW w:w="3456" w:type="dxa"/>
            <w:gridSpan w:val="4"/>
            <w:vAlign w:val="center"/>
          </w:tcPr>
          <w:p w:rsidR="00602D62" w:rsidRPr="00166C1C" w:rsidRDefault="00602D62"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1360</w:t>
            </w:r>
          </w:p>
        </w:tc>
        <w:tc>
          <w:tcPr>
            <w:tcW w:w="3248" w:type="dxa"/>
            <w:gridSpan w:val="4"/>
            <w:vAlign w:val="center"/>
          </w:tcPr>
          <w:p w:rsidR="00602D62" w:rsidRPr="00166C1C" w:rsidRDefault="00602D62"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2789</w:t>
            </w:r>
          </w:p>
        </w:tc>
        <w:tc>
          <w:tcPr>
            <w:tcW w:w="3220" w:type="dxa"/>
            <w:gridSpan w:val="4"/>
            <w:vAlign w:val="center"/>
          </w:tcPr>
          <w:p w:rsidR="00602D62" w:rsidRPr="00166C1C" w:rsidRDefault="00602D62"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9994</w:t>
            </w:r>
          </w:p>
        </w:tc>
        <w:tc>
          <w:tcPr>
            <w:tcW w:w="3220" w:type="dxa"/>
            <w:gridSpan w:val="4"/>
            <w:vAlign w:val="center"/>
          </w:tcPr>
          <w:p w:rsidR="00602D62" w:rsidRPr="00166C1C" w:rsidRDefault="00602D62"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8344</w:t>
            </w:r>
          </w:p>
        </w:tc>
      </w:tr>
      <w:tr w:rsidR="00C37788" w:rsidRPr="00166C1C" w:rsidTr="00EA2E68">
        <w:trPr>
          <w:trHeight w:val="326"/>
        </w:trPr>
        <w:tc>
          <w:tcPr>
            <w:tcW w:w="1599" w:type="dxa"/>
            <w:vAlign w:val="center"/>
          </w:tcPr>
          <w:p w:rsidR="00C37788" w:rsidRPr="00166C1C" w:rsidRDefault="00C37788" w:rsidP="00E17DCA">
            <w:pPr>
              <w:rPr>
                <w:rFonts w:ascii="Arial Narrow" w:hAnsi="Arial Narrow" w:cs="Arial"/>
                <w:sz w:val="18"/>
                <w:szCs w:val="18"/>
                <w:lang w:val="en-GB"/>
              </w:rPr>
            </w:pPr>
            <w:r w:rsidRPr="00166C1C">
              <w:rPr>
                <w:rFonts w:ascii="Arial Narrow" w:hAnsi="Arial Narrow" w:cs="Arial"/>
                <w:sz w:val="18"/>
                <w:szCs w:val="18"/>
                <w:lang w:val="en-GB"/>
              </w:rPr>
              <w:t>Events</w:t>
            </w:r>
          </w:p>
        </w:tc>
        <w:tc>
          <w:tcPr>
            <w:tcW w:w="3456" w:type="dxa"/>
            <w:gridSpan w:val="4"/>
            <w:vAlign w:val="center"/>
          </w:tcPr>
          <w:p w:rsidR="00C37788" w:rsidRPr="00166C1C" w:rsidRDefault="00C37788"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548</w:t>
            </w:r>
          </w:p>
        </w:tc>
        <w:tc>
          <w:tcPr>
            <w:tcW w:w="3248" w:type="dxa"/>
            <w:gridSpan w:val="4"/>
            <w:vAlign w:val="center"/>
          </w:tcPr>
          <w:p w:rsidR="00C37788" w:rsidRPr="00166C1C" w:rsidRDefault="00C37788"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2229</w:t>
            </w:r>
          </w:p>
        </w:tc>
        <w:tc>
          <w:tcPr>
            <w:tcW w:w="3220" w:type="dxa"/>
            <w:gridSpan w:val="4"/>
            <w:vAlign w:val="center"/>
          </w:tcPr>
          <w:p w:rsidR="00C37788" w:rsidRPr="00166C1C" w:rsidRDefault="00C37788"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9755</w:t>
            </w:r>
          </w:p>
        </w:tc>
        <w:tc>
          <w:tcPr>
            <w:tcW w:w="3220" w:type="dxa"/>
            <w:gridSpan w:val="4"/>
            <w:vAlign w:val="center"/>
          </w:tcPr>
          <w:p w:rsidR="00C37788" w:rsidRPr="00166C1C" w:rsidRDefault="00C37788" w:rsidP="00602D62">
            <w:pPr>
              <w:contextualSpacing/>
              <w:jc w:val="center"/>
              <w:rPr>
                <w:rFonts w:ascii="Arial Narrow" w:hAnsi="Arial Narrow" w:cs="Arial"/>
                <w:sz w:val="18"/>
                <w:szCs w:val="18"/>
                <w:lang w:val="en-GB"/>
              </w:rPr>
            </w:pPr>
            <w:r w:rsidRPr="00166C1C">
              <w:rPr>
                <w:rFonts w:ascii="Arial Narrow" w:hAnsi="Arial Narrow" w:cs="Arial"/>
                <w:sz w:val="18"/>
                <w:szCs w:val="18"/>
                <w:lang w:val="en-GB"/>
              </w:rPr>
              <w:t>8252</w:t>
            </w:r>
          </w:p>
        </w:tc>
      </w:tr>
      <w:tr w:rsidR="00C37788" w:rsidRPr="00166C1C" w:rsidTr="00EA2E68">
        <w:trPr>
          <w:trHeight w:val="207"/>
        </w:trPr>
        <w:tc>
          <w:tcPr>
            <w:tcW w:w="1599" w:type="dxa"/>
            <w:vAlign w:val="center"/>
          </w:tcPr>
          <w:p w:rsidR="00C37788" w:rsidRPr="00166C1C" w:rsidRDefault="00C37788" w:rsidP="005660E8">
            <w:pPr>
              <w:rPr>
                <w:sz w:val="24"/>
                <w:szCs w:val="24"/>
                <w:lang w:val="en-GB"/>
              </w:rPr>
            </w:pPr>
            <w:r w:rsidRPr="00166C1C">
              <w:rPr>
                <w:rFonts w:ascii="Arial Narrow" w:hAnsi="Arial Narrow" w:cs="Arial"/>
                <w:sz w:val="18"/>
                <w:szCs w:val="18"/>
                <w:lang w:val="en-GB"/>
              </w:rPr>
              <w:t># events/ # parameters ratio</w:t>
            </w:r>
          </w:p>
        </w:tc>
        <w:tc>
          <w:tcPr>
            <w:tcW w:w="3456" w:type="dxa"/>
            <w:gridSpan w:val="4"/>
            <w:vAlign w:val="center"/>
          </w:tcPr>
          <w:p w:rsidR="00C37788" w:rsidRPr="00166C1C" w:rsidRDefault="00B41F64" w:rsidP="005660E8">
            <w:pPr>
              <w:contextualSpacing/>
              <w:jc w:val="center"/>
              <w:rPr>
                <w:rFonts w:ascii="Arial Narrow" w:hAnsi="Arial Narrow" w:cs="Arial"/>
                <w:sz w:val="18"/>
                <w:szCs w:val="18"/>
                <w:highlight w:val="yellow"/>
                <w:lang w:val="en-GB"/>
              </w:rPr>
            </w:pPr>
            <w:r w:rsidRPr="00166C1C">
              <w:rPr>
                <w:rFonts w:ascii="Arial Narrow" w:hAnsi="Arial Narrow" w:cs="Arial"/>
                <w:sz w:val="18"/>
                <w:szCs w:val="18"/>
                <w:lang w:val="en-GB"/>
              </w:rPr>
              <w:t>30</w:t>
            </w:r>
          </w:p>
        </w:tc>
        <w:tc>
          <w:tcPr>
            <w:tcW w:w="3248" w:type="dxa"/>
            <w:gridSpan w:val="4"/>
            <w:vAlign w:val="center"/>
          </w:tcPr>
          <w:p w:rsidR="00C37788" w:rsidRPr="00166C1C" w:rsidRDefault="00C3778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66</w:t>
            </w:r>
          </w:p>
        </w:tc>
        <w:tc>
          <w:tcPr>
            <w:tcW w:w="3220" w:type="dxa"/>
            <w:gridSpan w:val="4"/>
            <w:vAlign w:val="center"/>
          </w:tcPr>
          <w:p w:rsidR="00C37788" w:rsidRPr="00166C1C" w:rsidRDefault="00C3778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112</w:t>
            </w:r>
          </w:p>
        </w:tc>
        <w:tc>
          <w:tcPr>
            <w:tcW w:w="3220" w:type="dxa"/>
            <w:gridSpan w:val="4"/>
            <w:vAlign w:val="center"/>
          </w:tcPr>
          <w:p w:rsidR="00C37788" w:rsidRPr="00166C1C" w:rsidRDefault="00C37788" w:rsidP="005660E8">
            <w:pPr>
              <w:contextualSpacing/>
              <w:jc w:val="center"/>
              <w:rPr>
                <w:rFonts w:ascii="Arial Narrow" w:hAnsi="Arial Narrow" w:cs="Arial"/>
                <w:sz w:val="18"/>
                <w:szCs w:val="18"/>
                <w:lang w:val="en-GB"/>
              </w:rPr>
            </w:pPr>
            <w:r w:rsidRPr="00166C1C">
              <w:rPr>
                <w:rFonts w:ascii="Arial Narrow" w:hAnsi="Arial Narrow" w:cs="Arial"/>
                <w:sz w:val="18"/>
                <w:szCs w:val="18"/>
                <w:lang w:val="en-GB"/>
              </w:rPr>
              <w:t>142</w:t>
            </w:r>
          </w:p>
        </w:tc>
      </w:tr>
    </w:tbl>
    <w:p w:rsidR="002673C0" w:rsidRPr="00166C1C" w:rsidRDefault="002673C0" w:rsidP="00C37788">
      <w:pPr>
        <w:spacing w:line="276" w:lineRule="auto"/>
        <w:jc w:val="both"/>
        <w:rPr>
          <w:rFonts w:ascii="Arial Narrow" w:hAnsi="Arial Narrow" w:cs="Arial"/>
          <w:sz w:val="18"/>
          <w:szCs w:val="18"/>
          <w:lang w:val="en-GB"/>
        </w:rPr>
      </w:pPr>
      <w:r w:rsidRPr="00166C1C">
        <w:rPr>
          <w:rFonts w:ascii="Arial Narrow" w:hAnsi="Arial Narrow" w:cs="Arial"/>
          <w:sz w:val="18"/>
          <w:szCs w:val="18"/>
          <w:lang w:val="en-GB"/>
        </w:rPr>
        <w:t>X: term retained in the final models; N/A: Not applicable</w:t>
      </w:r>
    </w:p>
    <w:p w:rsidR="002673C0" w:rsidRPr="00166C1C" w:rsidRDefault="002673C0" w:rsidP="00C37788">
      <w:pPr>
        <w:spacing w:line="276" w:lineRule="auto"/>
        <w:jc w:val="both"/>
        <w:rPr>
          <w:rFonts w:ascii="Arial Narrow" w:hAnsi="Arial Narrow" w:cs="Arial"/>
          <w:sz w:val="18"/>
          <w:szCs w:val="18"/>
          <w:lang w:val="en-GB"/>
        </w:rPr>
      </w:pPr>
      <w:r w:rsidRPr="00166C1C">
        <w:rPr>
          <w:rFonts w:ascii="Arial Narrow" w:hAnsi="Arial Narrow" w:cs="Arial"/>
          <w:sz w:val="18"/>
          <w:szCs w:val="18"/>
          <w:vertAlign w:val="superscript"/>
          <w:lang w:val="en-GB"/>
        </w:rPr>
        <w:t xml:space="preserve"># </w:t>
      </w:r>
      <w:r w:rsidRPr="00166C1C">
        <w:rPr>
          <w:rFonts w:ascii="Arial Narrow" w:hAnsi="Arial Narrow" w:cs="Arial"/>
          <w:sz w:val="18"/>
          <w:szCs w:val="18"/>
          <w:lang w:val="en-GB"/>
        </w:rPr>
        <w:t xml:space="preserve">Non-linearity: Restricted cubic spline with one knot located at the median and boundaries </w:t>
      </w:r>
      <w:r w:rsidR="00121460" w:rsidRPr="00166C1C">
        <w:rPr>
          <w:rFonts w:ascii="Arial Narrow" w:hAnsi="Arial Narrow" w:cs="Arial"/>
          <w:sz w:val="18"/>
          <w:szCs w:val="18"/>
          <w:lang w:val="en-GB"/>
        </w:rPr>
        <w:t xml:space="preserve">knots </w:t>
      </w:r>
      <w:r w:rsidRPr="00166C1C">
        <w:rPr>
          <w:rFonts w:ascii="Arial Narrow" w:hAnsi="Arial Narrow" w:cs="Arial"/>
          <w:sz w:val="18"/>
          <w:szCs w:val="18"/>
          <w:lang w:val="en-GB"/>
        </w:rPr>
        <w:t>located at 10th and 90th percentile</w:t>
      </w:r>
    </w:p>
    <w:p w:rsidR="00871DFB" w:rsidRPr="00166C1C" w:rsidRDefault="002673C0" w:rsidP="00C37788">
      <w:pPr>
        <w:spacing w:line="276" w:lineRule="auto"/>
        <w:jc w:val="both"/>
        <w:rPr>
          <w:rFonts w:ascii="Arial Narrow" w:hAnsi="Arial Narrow" w:cs="Arial"/>
          <w:sz w:val="18"/>
          <w:szCs w:val="18"/>
          <w:lang w:val="en-GB"/>
        </w:rPr>
      </w:pPr>
      <w:r w:rsidRPr="00166C1C">
        <w:rPr>
          <w:rFonts w:ascii="Arial Narrow" w:hAnsi="Arial Narrow" w:cs="Arial"/>
          <w:sz w:val="18"/>
          <w:szCs w:val="18"/>
          <w:lang w:val="en-GB"/>
        </w:rPr>
        <w:t>p-values obtained using Log Likelihood ratio test</w:t>
      </w:r>
    </w:p>
    <w:sectPr w:rsidR="00871DFB" w:rsidRPr="00166C1C" w:rsidSect="001A21A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71DE" w:rsidRDefault="007671DE" w:rsidP="00D50864">
      <w:r>
        <w:separator/>
      </w:r>
    </w:p>
  </w:endnote>
  <w:endnote w:type="continuationSeparator" w:id="0">
    <w:p w:rsidR="007671DE" w:rsidRDefault="007671DE" w:rsidP="00D5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71DE" w:rsidRDefault="007671DE" w:rsidP="00D50864">
      <w:r>
        <w:separator/>
      </w:r>
    </w:p>
  </w:footnote>
  <w:footnote w:type="continuationSeparator" w:id="0">
    <w:p w:rsidR="007671DE" w:rsidRDefault="007671DE" w:rsidP="00D50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C0"/>
    <w:rsid w:val="00090C3D"/>
    <w:rsid w:val="000D69FE"/>
    <w:rsid w:val="00121460"/>
    <w:rsid w:val="00166C1C"/>
    <w:rsid w:val="001A21A8"/>
    <w:rsid w:val="002673C0"/>
    <w:rsid w:val="002759F5"/>
    <w:rsid w:val="002A38D3"/>
    <w:rsid w:val="002B23B7"/>
    <w:rsid w:val="002E4825"/>
    <w:rsid w:val="002E7CDC"/>
    <w:rsid w:val="002F5348"/>
    <w:rsid w:val="0031041E"/>
    <w:rsid w:val="00320934"/>
    <w:rsid w:val="00321653"/>
    <w:rsid w:val="003802B8"/>
    <w:rsid w:val="003F4026"/>
    <w:rsid w:val="00475A5B"/>
    <w:rsid w:val="005660E8"/>
    <w:rsid w:val="00602D62"/>
    <w:rsid w:val="00665159"/>
    <w:rsid w:val="006E5457"/>
    <w:rsid w:val="0072408E"/>
    <w:rsid w:val="007671DE"/>
    <w:rsid w:val="00871DFB"/>
    <w:rsid w:val="008D2024"/>
    <w:rsid w:val="009A1F94"/>
    <w:rsid w:val="00AC3403"/>
    <w:rsid w:val="00B41F64"/>
    <w:rsid w:val="00B973D2"/>
    <w:rsid w:val="00C37788"/>
    <w:rsid w:val="00C73BB4"/>
    <w:rsid w:val="00CB6B4C"/>
    <w:rsid w:val="00D50864"/>
    <w:rsid w:val="00E17DCA"/>
    <w:rsid w:val="00EA2E68"/>
    <w:rsid w:val="00F24C78"/>
    <w:rsid w:val="00F5747A"/>
    <w:rsid w:val="00FA6A8B"/>
    <w:rsid w:val="00FD1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F4CAEB"/>
  <w15:chartTrackingRefBased/>
  <w15:docId w15:val="{7070DD9F-9F57-7146-8E2C-81E4007B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B4"/>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73C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7DCA"/>
    <w:rPr>
      <w:sz w:val="18"/>
      <w:szCs w:val="18"/>
    </w:rPr>
  </w:style>
  <w:style w:type="character" w:customStyle="1" w:styleId="TextedebullesCar">
    <w:name w:val="Texte de bulles Car"/>
    <w:basedOn w:val="Policepardfaut"/>
    <w:link w:val="Textedebulles"/>
    <w:uiPriority w:val="99"/>
    <w:semiHidden/>
    <w:rsid w:val="00E17DCA"/>
    <w:rPr>
      <w:rFonts w:ascii="Times New Roman" w:hAnsi="Times New Roman" w:cs="Times New Roman"/>
      <w:sz w:val="18"/>
      <w:szCs w:val="18"/>
      <w:lang w:val="en-US"/>
    </w:rPr>
  </w:style>
  <w:style w:type="paragraph" w:styleId="Notedebasdepage">
    <w:name w:val="footnote text"/>
    <w:basedOn w:val="Normal"/>
    <w:link w:val="NotedebasdepageCar"/>
    <w:uiPriority w:val="99"/>
    <w:semiHidden/>
    <w:unhideWhenUsed/>
    <w:rsid w:val="00D50864"/>
    <w:rPr>
      <w:sz w:val="20"/>
      <w:szCs w:val="20"/>
    </w:rPr>
  </w:style>
  <w:style w:type="character" w:customStyle="1" w:styleId="NotedebasdepageCar">
    <w:name w:val="Note de bas de page Car"/>
    <w:basedOn w:val="Policepardfaut"/>
    <w:link w:val="Notedebasdepage"/>
    <w:uiPriority w:val="99"/>
    <w:semiHidden/>
    <w:rsid w:val="00D5086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50864"/>
    <w:rPr>
      <w:vertAlign w:val="superscript"/>
    </w:rPr>
  </w:style>
  <w:style w:type="paragraph" w:customStyle="1" w:styleId="Bibliography">
    <w:name w:val="Bibliography"/>
    <w:basedOn w:val="Normal"/>
    <w:link w:val="BibliographyCar"/>
    <w:rsid w:val="006E5457"/>
    <w:pPr>
      <w:tabs>
        <w:tab w:val="left" w:pos="380"/>
      </w:tabs>
      <w:spacing w:after="240"/>
      <w:ind w:left="384" w:hanging="384"/>
      <w:jc w:val="both"/>
    </w:pPr>
    <w:rPr>
      <w:rFonts w:ascii="Arial Narrow" w:hAnsi="Arial Narrow" w:cs="Arial"/>
      <w:b/>
      <w:bCs/>
      <w:lang w:val="en-GB"/>
    </w:rPr>
  </w:style>
  <w:style w:type="character" w:customStyle="1" w:styleId="BibliographyCar">
    <w:name w:val="Bibliography Car"/>
    <w:basedOn w:val="Policepardfaut"/>
    <w:link w:val="Bibliography"/>
    <w:rsid w:val="006E5457"/>
    <w:rPr>
      <w:rFonts w:ascii="Arial Narrow" w:eastAsia="Times New Roman" w:hAnsi="Arial Narrow" w:cs="Arial"/>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9030">
      <w:bodyDiv w:val="1"/>
      <w:marLeft w:val="0"/>
      <w:marRight w:val="0"/>
      <w:marTop w:val="0"/>
      <w:marBottom w:val="0"/>
      <w:divBdr>
        <w:top w:val="none" w:sz="0" w:space="0" w:color="auto"/>
        <w:left w:val="none" w:sz="0" w:space="0" w:color="auto"/>
        <w:bottom w:val="none" w:sz="0" w:space="0" w:color="auto"/>
        <w:right w:val="none" w:sz="0" w:space="0" w:color="auto"/>
      </w:divBdr>
    </w:div>
    <w:div w:id="483738614">
      <w:bodyDiv w:val="1"/>
      <w:marLeft w:val="0"/>
      <w:marRight w:val="0"/>
      <w:marTop w:val="0"/>
      <w:marBottom w:val="0"/>
      <w:divBdr>
        <w:top w:val="none" w:sz="0" w:space="0" w:color="auto"/>
        <w:left w:val="none" w:sz="0" w:space="0" w:color="auto"/>
        <w:bottom w:val="none" w:sz="0" w:space="0" w:color="auto"/>
        <w:right w:val="none" w:sz="0" w:space="0" w:color="auto"/>
      </w:divBdr>
    </w:div>
    <w:div w:id="20674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14100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Pilleron</dc:creator>
  <cp:keywords/>
  <dc:description/>
  <cp:lastModifiedBy>Sophie Pilleron</cp:lastModifiedBy>
  <cp:revision>2</cp:revision>
  <dcterms:created xsi:type="dcterms:W3CDTF">2020-10-05T10:35:00Z</dcterms:created>
  <dcterms:modified xsi:type="dcterms:W3CDTF">2020-10-05T10:35:00Z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zotero-version="5.0.91-beta.6+20c8cede4"&gt;&lt;session id="tsAi71dM"/&gt;&lt;style id="http://www.zotero.org/styles/american-medical-association" hasBibliography="1" bibliographyStyleHasBeenSet="1"/&gt;&lt;prefs&gt;&lt;pref name="fieldType" value="Field"/</vt:lpwstr>
  </property>
  <property fmtid="{D5CDD505-2E9C-101B-9397-08002B2CF9AE}" pid="3" name="ZOTERO_PREF_2">
    <vt:lpwstr>&gt;&lt;/prefs&gt;&lt;/data&gt;</vt:lpwstr>
  </property>
</Properties>
</file>