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F7398" w14:textId="011EFA39" w:rsidR="0080134D" w:rsidRPr="00B946E5" w:rsidRDefault="0080134D" w:rsidP="00931679">
      <w:pPr>
        <w:ind w:firstLine="720"/>
        <w:rPr>
          <w:rFonts w:ascii="Arial" w:hAnsi="Arial" w:cs="Arial"/>
          <w:b/>
          <w:bCs/>
          <w:color w:val="2F5496" w:themeColor="accent1" w:themeShade="BF"/>
        </w:rPr>
      </w:pPr>
      <w:r w:rsidRPr="0080134D">
        <w:rPr>
          <w:rFonts w:ascii="Arial" w:hAnsi="Arial" w:cs="Arial"/>
          <w:b/>
          <w:bCs/>
          <w:color w:val="2F5496" w:themeColor="accent1" w:themeShade="BF"/>
        </w:rPr>
        <w:t xml:space="preserve">Supplement </w:t>
      </w:r>
      <w:r w:rsidR="00B946E5">
        <w:rPr>
          <w:rFonts w:ascii="Arial" w:hAnsi="Arial" w:cs="Arial"/>
          <w:b/>
          <w:bCs/>
          <w:color w:val="2F5496" w:themeColor="accent1" w:themeShade="BF"/>
        </w:rPr>
        <w:t>3</w:t>
      </w:r>
      <w:r>
        <w:rPr>
          <w:rFonts w:ascii="Arial" w:hAnsi="Arial" w:cs="Arial"/>
        </w:rPr>
        <w:t>: Extended phenotypes definitions and MR results.</w:t>
      </w:r>
    </w:p>
    <w:tbl>
      <w:tblPr>
        <w:tblStyle w:val="TableGrid"/>
        <w:tblW w:w="0" w:type="auto"/>
        <w:tblLook w:val="04A0" w:firstRow="1" w:lastRow="0" w:firstColumn="1" w:lastColumn="0" w:noHBand="0" w:noVBand="1"/>
      </w:tblPr>
      <w:tblGrid>
        <w:gridCol w:w="1496"/>
        <w:gridCol w:w="3035"/>
        <w:gridCol w:w="9650"/>
      </w:tblGrid>
      <w:tr w:rsidR="0080134D" w:rsidRPr="0086274D" w14:paraId="39B16A34" w14:textId="77777777" w:rsidTr="003F281B">
        <w:tc>
          <w:tcPr>
            <w:tcW w:w="1496" w:type="dxa"/>
            <w:vMerge w:val="restart"/>
          </w:tcPr>
          <w:p w14:paraId="292062F8" w14:textId="77777777" w:rsidR="0080134D" w:rsidRPr="0086274D" w:rsidRDefault="0080134D" w:rsidP="003F281B">
            <w:pPr>
              <w:jc w:val="both"/>
              <w:rPr>
                <w:rFonts w:ascii="Arial" w:hAnsi="Arial" w:cs="Arial"/>
                <w:b/>
              </w:rPr>
            </w:pPr>
            <w:bookmarkStart w:id="0" w:name="_Hlk44935455"/>
            <w:r w:rsidRPr="0086274D">
              <w:rPr>
                <w:rFonts w:ascii="Arial" w:hAnsi="Arial" w:cs="Arial"/>
                <w:b/>
              </w:rPr>
              <w:t>Phenotype</w:t>
            </w:r>
          </w:p>
        </w:tc>
        <w:tc>
          <w:tcPr>
            <w:tcW w:w="12685" w:type="dxa"/>
            <w:gridSpan w:val="2"/>
          </w:tcPr>
          <w:p w14:paraId="5A819EAE" w14:textId="77777777" w:rsidR="0080134D" w:rsidRPr="0086274D" w:rsidRDefault="0080134D" w:rsidP="003F281B">
            <w:pPr>
              <w:jc w:val="both"/>
              <w:rPr>
                <w:rFonts w:ascii="Arial" w:hAnsi="Arial" w:cs="Arial"/>
                <w:b/>
              </w:rPr>
            </w:pPr>
            <w:r w:rsidRPr="0086274D">
              <w:rPr>
                <w:rFonts w:ascii="Arial" w:hAnsi="Arial" w:cs="Arial"/>
                <w:b/>
              </w:rPr>
              <w:t>Source of genetic variants</w:t>
            </w:r>
          </w:p>
        </w:tc>
      </w:tr>
      <w:tr w:rsidR="0080134D" w:rsidRPr="0086274D" w14:paraId="32C74C55" w14:textId="77777777" w:rsidTr="003F281B">
        <w:trPr>
          <w:trHeight w:val="63"/>
        </w:trPr>
        <w:tc>
          <w:tcPr>
            <w:tcW w:w="1496" w:type="dxa"/>
            <w:vMerge/>
          </w:tcPr>
          <w:p w14:paraId="6644236E" w14:textId="77777777" w:rsidR="0080134D" w:rsidRPr="0086274D" w:rsidRDefault="0080134D" w:rsidP="003F281B">
            <w:pPr>
              <w:jc w:val="both"/>
              <w:rPr>
                <w:rFonts w:ascii="Arial" w:hAnsi="Arial" w:cs="Arial"/>
                <w:b/>
              </w:rPr>
            </w:pPr>
          </w:p>
        </w:tc>
        <w:tc>
          <w:tcPr>
            <w:tcW w:w="3035" w:type="dxa"/>
          </w:tcPr>
          <w:p w14:paraId="5F102B4B" w14:textId="77777777" w:rsidR="0080134D" w:rsidRPr="0086274D" w:rsidRDefault="0080134D" w:rsidP="003F281B">
            <w:pPr>
              <w:jc w:val="both"/>
              <w:rPr>
                <w:rFonts w:ascii="Arial" w:hAnsi="Arial" w:cs="Arial"/>
                <w:b/>
              </w:rPr>
            </w:pPr>
            <w:r w:rsidRPr="0086274D">
              <w:rPr>
                <w:rFonts w:ascii="Arial" w:hAnsi="Arial" w:cs="Arial"/>
                <w:b/>
              </w:rPr>
              <w:t>Cohort</w:t>
            </w:r>
          </w:p>
        </w:tc>
        <w:tc>
          <w:tcPr>
            <w:tcW w:w="9650" w:type="dxa"/>
          </w:tcPr>
          <w:p w14:paraId="0A59D183" w14:textId="77777777" w:rsidR="0080134D" w:rsidRPr="0086274D" w:rsidRDefault="0080134D" w:rsidP="003F281B">
            <w:pPr>
              <w:jc w:val="both"/>
              <w:rPr>
                <w:rFonts w:ascii="Arial" w:hAnsi="Arial" w:cs="Arial"/>
                <w:b/>
              </w:rPr>
            </w:pPr>
            <w:r w:rsidRPr="0086274D">
              <w:rPr>
                <w:rFonts w:ascii="Arial" w:hAnsi="Arial" w:cs="Arial"/>
                <w:b/>
              </w:rPr>
              <w:t>Participants</w:t>
            </w:r>
          </w:p>
        </w:tc>
      </w:tr>
      <w:tr w:rsidR="0080134D" w:rsidRPr="0086274D" w14:paraId="322C8AF5" w14:textId="77777777" w:rsidTr="003F281B">
        <w:trPr>
          <w:trHeight w:val="742"/>
        </w:trPr>
        <w:tc>
          <w:tcPr>
            <w:tcW w:w="1496" w:type="dxa"/>
          </w:tcPr>
          <w:p w14:paraId="22C82622" w14:textId="77777777" w:rsidR="0080134D" w:rsidRPr="0086274D" w:rsidRDefault="0080134D" w:rsidP="003F281B">
            <w:pPr>
              <w:jc w:val="both"/>
              <w:rPr>
                <w:rFonts w:ascii="Arial" w:hAnsi="Arial" w:cs="Arial"/>
              </w:rPr>
            </w:pPr>
            <w:r w:rsidRPr="0086274D">
              <w:rPr>
                <w:rFonts w:ascii="Arial" w:hAnsi="Arial" w:cs="Arial"/>
              </w:rPr>
              <w:t>25OHD circulating levels</w:t>
            </w:r>
          </w:p>
        </w:tc>
        <w:tc>
          <w:tcPr>
            <w:tcW w:w="3035" w:type="dxa"/>
          </w:tcPr>
          <w:p w14:paraId="736BA43D" w14:textId="77777777" w:rsidR="0080134D" w:rsidRPr="0086274D" w:rsidRDefault="0080134D" w:rsidP="003F281B">
            <w:pPr>
              <w:jc w:val="both"/>
              <w:rPr>
                <w:rFonts w:ascii="Arial" w:hAnsi="Arial" w:cs="Arial"/>
              </w:rPr>
            </w:pPr>
            <w:proofErr w:type="spellStart"/>
            <w:r w:rsidRPr="0086274D">
              <w:rPr>
                <w:rFonts w:ascii="Arial" w:hAnsi="Arial" w:cs="Arial"/>
              </w:rPr>
              <w:t>Manousaki</w:t>
            </w:r>
            <w:proofErr w:type="spellEnd"/>
            <w:r w:rsidRPr="0086274D">
              <w:rPr>
                <w:rFonts w:ascii="Arial" w:hAnsi="Arial" w:cs="Arial"/>
              </w:rPr>
              <w:t xml:space="preserve"> </w:t>
            </w:r>
            <w:r w:rsidRPr="0086274D">
              <w:rPr>
                <w:rFonts w:ascii="Arial" w:hAnsi="Arial" w:cs="Arial"/>
                <w:i/>
                <w:iCs/>
              </w:rPr>
              <w:t>et al</w:t>
            </w:r>
            <w:r w:rsidRPr="0086274D">
              <w:rPr>
                <w:rFonts w:ascii="Arial" w:hAnsi="Arial" w:cs="Arial"/>
              </w:rPr>
              <w:fldChar w:fldCharType="begin" w:fldLock="1"/>
            </w:r>
            <w:r w:rsidRPr="0086274D">
              <w:rPr>
                <w:rFonts w:ascii="Arial" w:hAnsi="Arial" w:cs="Arial"/>
              </w:rPr>
              <w:instrText>ADDIN CSL_CITATION {"citationItems":[{"id":"ITEM-1","itemData":{"DOI":"https://doi.org/10.1016/j.ajhg.2020.01.017","ISSN":"0002-9297","abstract":"We aimed to increase our understanding of the genetic determinants of vitamin D levels by undertaking a large-scale genome-wide association study (GWAS) of serum 25 hydroxyvitamin D (25OHD). To do so, we used imputed genotypes from 401,460 white British UK Biobank participants with available 25OHD levels, retaining single-nucleotide polymorphisms (SNPs) with minor allele frequency (MAF) &gt; 0.1% and imputation quality score &gt; 0.3. We performed a linear mixed model GWAS on standardized log-transformed 25OHD, adjusting for age, sex, season of measurement, and vitamin D supplementation. These results were combined with those from a previous GWAS including 42,274 Europeans. In silico functional follow-up of the GWAS results was undertaken to identify enrichment in gene sets, pathways, and expression in tissues, and to investigate the partitioned heritability of 25OHD and its shared heritability with other traits. Using this approach, the SNP heritability of 25OHD was estimated to 16.1%. 138 conditionally independent SNPs were detected (p value &lt; 6.6 × 10−9) among which 53 had MAF &lt; 5%. Single variant association signals mapped to 69 distinct loci, among which 63 were previously unreported. We identified enrichment in hepatic and lipid metabolism gene pathways and enriched expression of the 25OHD genes in liver, skin, and gastrointestinal tissues. We observed partially shared heritability between 25OHD and socio-economic traits, a feature which may be mediated through time spent outdoors. Therefore, through a large 25OHD GWAS, we identified 63 loci that underline the contribution of genes outside the vitamin D canonical metabolic pathway to the genetic architecture of 25OHD.","author":[{"dropping-particle":"","family":"Manousaki","given":"Despoina","non-dropping-particle":"","parse-names":false,"suffix":""},{"dropping-particle":"","family":"Mitchell","given":"Ruth","non-dropping-particle":"","parse-names":false,"suffix":""},{"dropping-particle":"","family":"Dudding","given":"Tom","non-dropping-particle":"","parse-names":false,"suffix":""},{"dropping-particle":"","family":"Haworth","given":"Simon","non-dropping-particle":"","parse-names":false,"suffix":""},{"dropping-particle":"","family":"Harroud","given":"Adil","non-dropping-particle":"","parse-names":false,"suffix":""},{"dropping-particle":"","family":"Forgetta","given":"Vincenzo","non-dropping-particle":"","parse-names":false,"suffix":""},{"dropping-particle":"","family":"Shah","given":"Rupal L","non-dropping-particle":"","parse-names":false,"suffix":""},{"dropping-particle":"","family":"Luan","given":"Jian’an","non-dropping-particle":"","parse-names":false,"suffix":""},{"dropping-particle":"","family":"Langenberg","given":"Claudia","non-dropping-particle":"","parse-names":false,"suffix":""},{"dropping-particle":"","family":"Timpson","given":"Nicholas J","non-dropping-particle":"","parse-names":false,"suffix":""},{"dropping-particle":"","family":"Richards","given":"J Brent","non-dropping-particle":"","parse-names":false,"suffix":""}],"container-title":"The American Journal of Human Genetics","id":"ITEM-1","issue":"3","issued":{"date-parts":[["2020"]]},"page":"327-337","title":"Genome-wide Association Study for Vitamin D Levels Reveals 69 Independent Loci","type":"article-journal","volume":"106"},"uris":["http://www.mendeley.com/documents/?uuid=4b7c5ad3-c793-4d6a-b467-2efe8f66f373"]}],"mendeley":{"formattedCitation":"&lt;sup&gt;22&lt;/sup&gt;","plainTextFormattedCitation":"22","previouslyFormattedCitation":"&lt;sup&gt;22&lt;/sup&gt;"},"properties":{"noteIndex":0},"schema":"https://github.com/citation-style-language/schema/raw/master/csl-citation.json"}</w:instrText>
            </w:r>
            <w:r w:rsidRPr="0086274D">
              <w:rPr>
                <w:rFonts w:ascii="Arial" w:hAnsi="Arial" w:cs="Arial"/>
              </w:rPr>
              <w:fldChar w:fldCharType="separate"/>
            </w:r>
            <w:r w:rsidRPr="0086274D">
              <w:rPr>
                <w:rFonts w:ascii="Arial" w:hAnsi="Arial" w:cs="Arial"/>
                <w:noProof/>
                <w:vertAlign w:val="superscript"/>
              </w:rPr>
              <w:t>22</w:t>
            </w:r>
            <w:r w:rsidRPr="0086274D">
              <w:rPr>
                <w:rFonts w:ascii="Arial" w:hAnsi="Arial" w:cs="Arial"/>
              </w:rPr>
              <w:fldChar w:fldCharType="end"/>
            </w:r>
          </w:p>
        </w:tc>
        <w:tc>
          <w:tcPr>
            <w:tcW w:w="9650" w:type="dxa"/>
          </w:tcPr>
          <w:p w14:paraId="0388B9B7" w14:textId="77777777" w:rsidR="0080134D" w:rsidRPr="0086274D" w:rsidRDefault="0080134D" w:rsidP="003F281B">
            <w:pPr>
              <w:jc w:val="both"/>
              <w:rPr>
                <w:rFonts w:ascii="Arial" w:hAnsi="Arial" w:cs="Arial"/>
              </w:rPr>
            </w:pPr>
            <w:r w:rsidRPr="0086274D">
              <w:rPr>
                <w:rFonts w:ascii="Arial" w:hAnsi="Arial" w:cs="Arial"/>
              </w:rPr>
              <w:t>Meta-analysis of two 25OHD GWAS:</w:t>
            </w:r>
          </w:p>
          <w:p w14:paraId="2F495735" w14:textId="77777777" w:rsidR="0080134D" w:rsidRPr="0086274D" w:rsidRDefault="0080134D" w:rsidP="0080134D">
            <w:pPr>
              <w:pStyle w:val="ListParagraph"/>
              <w:numPr>
                <w:ilvl w:val="0"/>
                <w:numId w:val="1"/>
              </w:numPr>
              <w:jc w:val="both"/>
              <w:rPr>
                <w:rFonts w:ascii="Arial" w:hAnsi="Arial" w:cs="Arial"/>
              </w:rPr>
            </w:pPr>
            <w:r w:rsidRPr="0086274D">
              <w:rPr>
                <w:rFonts w:ascii="Arial" w:hAnsi="Arial" w:cs="Arial"/>
              </w:rPr>
              <w:t>401,460 adult white British participants form the UKB</w:t>
            </w:r>
            <w:r w:rsidRPr="0086274D">
              <w:rPr>
                <w:rFonts w:ascii="Arial" w:hAnsi="Arial" w:cs="Arial"/>
              </w:rPr>
              <w:fldChar w:fldCharType="begin" w:fldLock="1"/>
            </w:r>
            <w:r>
              <w:rPr>
                <w:rFonts w:ascii="Arial" w:hAnsi="Arial" w:cs="Arial"/>
              </w:rPr>
              <w:instrText>ADDIN CSL_CITATION {"citationItems":[{"id":"ITEM-1","itemData":{"DOI":"10.1038/s41586-018-0579-z","ISSN":"1476-4687 (Electronic)","PMID":"30305743","abstract":"The UK Biobank project is a prospective cohort study with deep genetic and  phenotypic data collected on approximately 500,000 individuals from across the United Kingdom, aged between 40 and 69 at recruitment. The open resource is unique in its size and scope. A rich variety of phenotypic and health-related information is available on each participant, including biological measurements, lifestyle indicators, biomarkers in blood and urine, and imaging of the body and brain. Follow-up information is provided by linking health and medical records. Genome-wide genotype data have been collected on all participants, providing many opportunities for the discovery of new genetic associations and the genetic bases of complex traits. Here we describe the centralized analysis of the genetic data, including genotype quality, properties of population structure and relatedness of the genetic data, and efficient phasing and genotype imputation that increases the number of testable variants to around 96 million. Classical allelic variation at 11 human leukocyte antigen genes was imputed, resulting in the recovery of signals with known associations between human leukocyte antigen alleles and many diseases.","author":[{"dropping-particle":"","family":"Bycroft","given":"Clare","non-dropping-particle":"","parse-names":false,"suffix":""},{"dropping-particle":"","family":"Freeman","given":"Colin","non-dropping-particle":"","parse-names":false,"suffix":""},{"dropping-particle":"","family":"Petkova","given":"Desislava","non-dropping-particle":"","parse-names":false,"suffix":""},{"dropping-particle":"","family":"Band","given":"Gavin","non-dropping-particle":"","parse-names":false,"suffix":""},{"dropping-particle":"","family":"Elliott","given":"Lloyd T","non-dropping-particle":"","parse-names":false,"suffix":""},{"dropping-particle":"","family":"Sharp","given":"Kevin","non-dropping-particle":"","parse-names":false,"suffix":""},{"dropping-particle":"","family":"Motyer","given":"Allan","non-dropping-particle":"","parse-names":false,"suffix":""},{"dropping-particle":"","family":"Vukcevic","given":"Damjan","non-dropping-particle":"","parse-names":false,"suffix":""},{"dropping-particle":"","family":"Delaneau","given":"Olivier","non-dropping-particle":"","parse-names":false,"suffix":""},{"dropping-particle":"","family":"O'Connell","given":"Jared","non-dropping-particle":"","parse-names":false,"suffix":""},{"dropping-particle":"","family":"Cortes","given":"Adrian","non-dropping-particle":"","parse-names":false,"suffix":""},{"dropping-particle":"","family":"Welsh","given":"Samantha","non-dropping-particle":"","parse-names":false,"suffix":""},{"dropping-particle":"","family":"Young","given":"Alan","non-dropping-particle":"","parse-names":false,"suffix":""},{"dropping-particle":"","family":"Effingham","given":"Mark","non-dropping-particle":"","parse-names":false,"suffix":""},{"dropping-particle":"","family":"McVean","given":"Gil","non-dropping-particle":"","parse-names":false,"suffix":""},{"dropping-particle":"","family":"Leslie","given":"Stephen","non-dropping-particle":"","parse-names":false,"suffix":""},{"dropping-particle":"","family":"Allen","given":"Naomi","non-dropping-particle":"","parse-names":false,"suffix":""},{"dropping-particle":"","family":"Donnelly","given":"Peter","non-dropping-particle":"","parse-names":false,"suffix":""},{"dropping-particle":"","family":"Marchini","given":"Jonathan","non-dropping-particle":"","parse-names":false,"suffix":""}],"container-title":"Nature","id":"ITEM-1","issue":"7726","issued":{"date-parts":[["2018","10"]]},"language":"eng","page":"203-209","title":"The UK Biobank resource with deep phenotyping and genomic data.","type":"article-journal","volume":"562"},"uris":["http://www.mendeley.com/documents/?uuid=66993ef9-3cac-4070-800f-061b6c953f16"]}],"mendeley":{"formattedCitation":"&lt;sup&gt;24&lt;/sup&gt;","plainTextFormattedCitation":"24","previouslyFormattedCitation":"&lt;sup&gt;23&lt;/sup&gt;"},"properties":{"noteIndex":0},"schema":"https://github.com/citation-style-language/schema/raw/master/csl-citation.json"}</w:instrText>
            </w:r>
            <w:r w:rsidRPr="0086274D">
              <w:rPr>
                <w:rFonts w:ascii="Arial" w:hAnsi="Arial" w:cs="Arial"/>
              </w:rPr>
              <w:fldChar w:fldCharType="separate"/>
            </w:r>
            <w:r w:rsidRPr="004C2669">
              <w:rPr>
                <w:rFonts w:ascii="Arial" w:hAnsi="Arial" w:cs="Arial"/>
                <w:noProof/>
                <w:vertAlign w:val="superscript"/>
              </w:rPr>
              <w:t>24</w:t>
            </w:r>
            <w:r w:rsidRPr="0086274D">
              <w:rPr>
                <w:rFonts w:ascii="Arial" w:hAnsi="Arial" w:cs="Arial"/>
              </w:rPr>
              <w:fldChar w:fldCharType="end"/>
            </w:r>
          </w:p>
          <w:p w14:paraId="2BA348CC" w14:textId="77777777" w:rsidR="0080134D" w:rsidRPr="0086274D" w:rsidRDefault="0080134D" w:rsidP="0080134D">
            <w:pPr>
              <w:pStyle w:val="ListParagraph"/>
              <w:numPr>
                <w:ilvl w:val="0"/>
                <w:numId w:val="1"/>
              </w:numPr>
              <w:jc w:val="both"/>
              <w:rPr>
                <w:rFonts w:ascii="Arial" w:hAnsi="Arial" w:cs="Arial"/>
              </w:rPr>
            </w:pPr>
            <w:r w:rsidRPr="0086274D">
              <w:rPr>
                <w:rFonts w:ascii="Arial" w:hAnsi="Arial" w:cs="Arial"/>
              </w:rPr>
              <w:t>42,274 from an international consortium of adult individuals of European ancestry</w:t>
            </w:r>
            <w:r w:rsidRPr="0086274D">
              <w:rPr>
                <w:rFonts w:ascii="Arial" w:hAnsi="Arial" w:cs="Arial"/>
              </w:rPr>
              <w:fldChar w:fldCharType="begin" w:fldLock="1"/>
            </w:r>
            <w:r>
              <w:rPr>
                <w:rFonts w:ascii="Arial" w:hAnsi="Arial" w:cs="Arial"/>
              </w:rPr>
              <w:instrText>ADDIN CSL_CITATION {"citationItems":[{"id":"ITEM-1","itemData":{"DOI":"https://doi.org/10.1016/j.ajhg.2017.06.014","ISSN":"0002-9297","abstract":"Vitamin D insufficiency is common, correctable, and influenced by genetic factors, and it has been associated with risk of several diseases. We sought to identify low-frequency genetic variants that strongly increase the risk of vitamin D insufficiency and tested their effect on risk of multiple sclerosis, a disease influenced by low vitamin D concentrations. We used whole-genome sequencing data from 2,619 individuals through the UK10K program and deep-imputation data from 39,655 individuals genotyped genome-wide. Meta-analysis of the summary statistics from 19 cohorts identified in CYP2R1 the low-frequency (minor allele frequency = 2.5%) synonymous coding variant g.14900931G&gt;A (p.Asp120Asp) (rs117913124[A]), which conferred a large effect on 25-hydroxyvitamin D (25OHD) levels (−0.43 SD of standardized natural log-transformed 25OHD per A allele; p value = 1.5 × 10−88). The effect on 25OHD was four times larger and independent of the effect of a previously described common variant near CYP2R1. By analyzing 8,711 individuals, we showed that heterozygote carriers of this low-frequency variant have an increased risk of vitamin D insufficiency (odds ratio [OR] = 2.2, 95% confidence interval [CI] = 1.78–2.78, p = 1.26 × 10−12). Individuals carrying one copy of this variant also had increased odds of multiple sclerosis (OR = 1.4, 95% CI = 1.19–1.64, p = 2.63 × 10−5) in a sample of 5,927 case and 5,599 control subjects. In conclusion, we describe a low-frequency CYP2R1 coding variant that exerts the largest effect upon 25OHD levels identified to date in the general European population and implicates vitamin D in the etiology of multiple sclerosis.","author":[{"dropping-particle":"","family":"Manousaki","given":"Despoina","non-dropping-particle":"","parse-names":false,"suffix":""},{"dropping-particle":"","family":"Dudding","given":"Tom","non-dropping-particle":"","parse-names":false,"suffix":""},{"dropping-particle":"","family":"Haworth","given":"Simon","non-dropping-particle":"","parse-names":false,"suffix":""},{"dropping-particle":"","family":"Hsu","given":"Yi-Hsiang","non-dropping-particle":"","parse-names":false,"suffix":""},{"dropping-particle":"","family":"Liu","given":"Ching-Ti","non-dropping-particle":"","parse-names":false,"suffix":""},{"dropping-particle":"","family":"Medina-Gómez","given":"Carolina","non-dropping-particle":"","parse-names":false,"suffix":""},{"dropping-particle":"","family":"Voortman","given":"Trudy","non-dropping-particle":"","parse-names":false,"suffix":""},{"dropping-particle":"","family":"Velde","given":"Nathalie","non-dropping-particle":"van der","parse-names":false,"suffix":""},{"dropping-particle":"","family":"Melhus","given":"Håkan","non-dropping-particle":"","parse-names":false,"suffix":""},{"dropping-particle":"","family":"Robinson-Cohen","given":"Cassianne","non-dropping-particle":"","parse-names":false,"suffix":""},{"dropping-particle":"","family":"Cousminer","given":"Diana L","non-dropping-particle":"","parse-names":false,"suffix":""},{"dropping-particle":"","family":"Nethander","given":"Maria","non-dropping-particle":"","parse-names":false,"suffix":""},{"dropping-particle":"","family":"Vandenput","given":"Liesbeth","non-dropping-particle":"","parse-names":false,"suffix":""},{"dropping-particle":"","family":"Noordam","given":"Raymond","non-dropping-particle":"","parse-names":false,"suffix":""},{"dropping-particle":"","family":"Forgetta","given":"Vincenzo","non-dropping-particle":"","parse-names":false,"suffix":""},{"dropping-particle":"","family":"Greenwood","given":"Celia M T","non-dropping-particle":"","parse-names":false,"suffix":""},{"dropping-particle":"","family":"Biggs","given":"Mary L","non-dropping-particle":"","parse-names":false,"suffix":""},{"dropping-particle":"","family":"Psaty","given":"Bruce M","non-dropping-particle":"","parse-names":false,"suffix":""},{"dropping-particle":"","family":"Rotter","given":"Jerome I","non-dropping-particle":"","parse-names":false,"suffix":""},{"dropping-particle":"","family":"Zemel","given":"Babette S","non-dropping-particle":"","parse-names":false,"suffix":""},{"dropping-particle":"","family":"Mitchell","given":"Jonathan A","non-dropping-particle":"","parse-names":false,"suffix":""},{"dropping-particle":"","family":"Taylor","given":"Bruce","non-dropping-particle":"","parse-names":false,"suffix":""},{"dropping-particle":"","family":"Lorentzon","given":"Mattias","non-dropping-particle":"","parse-names":false,"suffix":""},{"dropping-particle":"","family":"Karlsson","given":"Magnus","non-dropping-particle":"","parse-names":false,"suffix":""},{"dropping-particle":"","family":"Jaddoe","given":"Vincent V W","non-dropping-particle":"","parse-names":false,"suffix":""},{"dropping-particle":"","family":"Tiemeier","given":"Henning","non-dropping-particle":"","parse-names":false,"suffix":""},{"dropping-particle":"","family":"Campos-Obando","given":"Natalia","non-dropping-particle":"","parse-names":false,"suffix":""},{"dropping-particle":"","family":"Franco","given":"Oscar H","non-dropping-particle":"","parse-names":false,"suffix":""},{"dropping-particle":"","family":"Utterlinden","given":"Andre G","non-dropping-particle":"","parse-names":false,"suffix":""},{"dropping-particle":"","family":"Broer","given":"Linda","non-dropping-particle":"","parse-names":false,"suffix":""},{"dropping-particle":"","family":"Schoor","given":"Natasja M","non-dropping-particle":"van","parse-names":false,"suffix":""},{"dropping-particle":"","family":"Ham","given":"Annelies C","non-dropping-particle":"","parse-names":false,"suffix":""},{"dropping-particle":"","family":"Ikram","given":"M Arfan","non-dropping-particle":"","parse-names":false,"suffix":""},{"dropping-particle":"","family":"Karasik","given":"David","non-dropping-particle":"","parse-names":false,"suffix":""},{"dropping-particle":"","family":"Mutsert","given":"Renée","non-dropping-particle":"de","parse-names":false,"suffix":""},{"dropping-particle":"","family":"Rosendaal","given":"Frits R","non-dropping-particle":"","parse-names":false,"suffix":""},{"dropping-particle":"","family":"Heijer","given":"Martin","non-dropping-particle":"den","parse-names":false,"suffix":""},{"dropping-particle":"","family":"Wang","given":"Thomas J","non-dropping-particle":"","parse-names":false,"suffix":""},{"dropping-particle":"","family":"Lind","given":"Lars","non-dropping-particle":"","parse-names":false,"suffix":""},{"dropping-particle":"","family":"Orwoll","given":"Eric S","non-dropping-particle":"","parse-names":false,"suffix":""},{"dropping-particle":"","family":"Mook-Kanamori","given":"Dennis O","non-dropping-particle":"","parse-names":false,"suffix":""},{"dropping-particle":"","family":"Michaëlsson","given":"Karl","non-dropping-particle":"","parse-names":false,"suffix":""},{"dropping-particle":"","family":"Kestenbaum","given":"Bryan","non-dropping-particle":"","parse-names":false,"suffix":""},{"dropping-particle":"","family":"Ohlsson","given":"Claes","non-dropping-particle":"","parse-names":false,"suffix":""},{"dropping-particle":"","family":"Mellström","given":"Dan","non-dropping-particle":"","parse-names":false,"suffix":""},{"dropping-particle":"","family":"Groot","given":"Lisette C.P.G.M.","non-dropping-particle":"de","parse-names":false,"suffix":""},{"dropping-particle":"","family":"Grant","given":"Struan F A","non-dropping-particle":"","parse-names":false,"suffix":""},{"dropping-particle":"","family":"Kiel","given":"Douglas P","non-dropping-particle":"","parse-names":false,"suffix":""},{"dropping-particle":"","family":"Zillikens","given":"M Carola","non-dropping-particle":"","parse-names":false,"suffix":""},{"dropping-particle":"","family":"Rivadeneira","given":"Fernando","non-dropping-particle":"","parse-names":false,"suffix":""},{"dropping-particle":"","family":"Sawcer","given":"Stephen","non-dropping-particle":"","parse-names":false,"suffix":""},{"dropping-particle":"","family":"Timpson","given":"Nicholas J","non-dropping-particle":"","parse-names":false,"suffix":""},{"dropping-particle":"","family":"Richards","given":"J Brent","non-dropping-particle":"","parse-names":false,"suffix":""}],"container-title":"The American Journal of Human Genetics","id":"ITEM-1","issue":"2","issued":{"date-parts":[["2017"]]},"page":"227-238","title":"Low-Frequency Synonymous Coding Variation in CYP2R1 Has Large Effects on Vitamin D Levels and Risk of Multiple Sclerosis","type":"article-journal","volume":"101"},"uris":["http://www.mendeley.com/documents/?uuid=db0a7b71-1fcd-4822-9364-010f0ab7ecc2"]}],"mendeley":{"formattedCitation":"&lt;sup&gt;25&lt;/sup&gt;","plainTextFormattedCitation":"25","previouslyFormattedCitation":"&lt;sup&gt;24&lt;/sup&gt;"},"properties":{"noteIndex":0},"schema":"https://github.com/citation-style-language/schema/raw/master/csl-citation.json"}</w:instrText>
            </w:r>
            <w:r w:rsidRPr="0086274D">
              <w:rPr>
                <w:rFonts w:ascii="Arial" w:hAnsi="Arial" w:cs="Arial"/>
              </w:rPr>
              <w:fldChar w:fldCharType="separate"/>
            </w:r>
            <w:r w:rsidRPr="004C2669">
              <w:rPr>
                <w:rFonts w:ascii="Arial" w:hAnsi="Arial" w:cs="Arial"/>
                <w:noProof/>
                <w:vertAlign w:val="superscript"/>
              </w:rPr>
              <w:t>25</w:t>
            </w:r>
            <w:r w:rsidRPr="0086274D">
              <w:rPr>
                <w:rFonts w:ascii="Arial" w:hAnsi="Arial" w:cs="Arial"/>
              </w:rPr>
              <w:fldChar w:fldCharType="end"/>
            </w:r>
          </w:p>
        </w:tc>
      </w:tr>
      <w:tr w:rsidR="0080134D" w:rsidRPr="0086274D" w14:paraId="39A196B1" w14:textId="77777777" w:rsidTr="003F281B">
        <w:tc>
          <w:tcPr>
            <w:tcW w:w="1496" w:type="dxa"/>
          </w:tcPr>
          <w:p w14:paraId="1D3428A5" w14:textId="6E5E28B7" w:rsidR="0080134D" w:rsidRPr="0086274D" w:rsidRDefault="0080134D" w:rsidP="003F281B">
            <w:pPr>
              <w:jc w:val="both"/>
              <w:rPr>
                <w:rFonts w:ascii="Arial" w:hAnsi="Arial" w:cs="Arial"/>
              </w:rPr>
            </w:pPr>
            <w:bookmarkStart w:id="1" w:name="_Hlk45116564"/>
            <w:r w:rsidRPr="0086274D">
              <w:rPr>
                <w:rFonts w:ascii="Arial" w:hAnsi="Arial" w:cs="Arial"/>
              </w:rPr>
              <w:t>Covid-19 susceptibility</w:t>
            </w:r>
          </w:p>
        </w:tc>
        <w:tc>
          <w:tcPr>
            <w:tcW w:w="3035" w:type="dxa"/>
          </w:tcPr>
          <w:p w14:paraId="750815EF" w14:textId="77777777" w:rsidR="0080134D" w:rsidRPr="0086274D" w:rsidRDefault="0080134D" w:rsidP="003F281B">
            <w:pPr>
              <w:jc w:val="both"/>
              <w:rPr>
                <w:rFonts w:ascii="Arial" w:hAnsi="Arial" w:cs="Arial"/>
              </w:rPr>
            </w:pPr>
            <w:r w:rsidRPr="0086274D">
              <w:rPr>
                <w:rFonts w:ascii="Arial" w:hAnsi="Arial" w:cs="Arial"/>
              </w:rPr>
              <w:t>Extended Susceptibility</w:t>
            </w:r>
          </w:p>
        </w:tc>
        <w:tc>
          <w:tcPr>
            <w:tcW w:w="9650" w:type="dxa"/>
          </w:tcPr>
          <w:p w14:paraId="6F29F063" w14:textId="13637E5E" w:rsidR="00341BF3" w:rsidRPr="00765387" w:rsidRDefault="00341BF3" w:rsidP="00341BF3">
            <w:pPr>
              <w:jc w:val="both"/>
              <w:rPr>
                <w:rFonts w:ascii="Arial" w:hAnsi="Arial" w:cs="Arial"/>
              </w:rPr>
            </w:pPr>
            <w:r>
              <w:rPr>
                <w:rFonts w:ascii="Arial" w:hAnsi="Arial" w:cs="Arial"/>
              </w:rPr>
              <w:t>Meta-analysis of 13 GWAS performed in individuals of European ancestry from 8 countries:</w:t>
            </w:r>
          </w:p>
          <w:p w14:paraId="7080E8B8" w14:textId="1656CF4B" w:rsidR="00341BF3" w:rsidRDefault="0080134D" w:rsidP="00341BF3">
            <w:pPr>
              <w:pStyle w:val="ListParagraph"/>
              <w:numPr>
                <w:ilvl w:val="0"/>
                <w:numId w:val="1"/>
              </w:numPr>
              <w:jc w:val="both"/>
              <w:rPr>
                <w:rFonts w:ascii="Arial" w:hAnsi="Arial" w:cs="Arial"/>
              </w:rPr>
            </w:pPr>
            <w:r w:rsidRPr="00341BF3">
              <w:rPr>
                <w:rFonts w:ascii="Arial" w:hAnsi="Arial" w:cs="Arial"/>
                <w:b/>
                <w:bCs/>
              </w:rPr>
              <w:t>Cases:</w:t>
            </w:r>
            <w:r w:rsidRPr="00341BF3">
              <w:rPr>
                <w:rFonts w:ascii="Arial" w:hAnsi="Arial" w:cs="Arial"/>
              </w:rPr>
              <w:t xml:space="preserve"> 6,</w:t>
            </w:r>
            <w:r w:rsidR="006D7F20">
              <w:rPr>
                <w:rFonts w:ascii="Arial" w:hAnsi="Arial" w:cs="Arial"/>
              </w:rPr>
              <w:t>232</w:t>
            </w:r>
            <w:r w:rsidRPr="00341BF3">
              <w:rPr>
                <w:rFonts w:ascii="Arial" w:hAnsi="Arial" w:cs="Arial"/>
              </w:rPr>
              <w:t xml:space="preserve"> individuals with Covid-19 by laboratory confirmation, chart review, or self-report</w:t>
            </w:r>
          </w:p>
          <w:p w14:paraId="3E78C16F" w14:textId="2EECCDBC" w:rsidR="0080134D" w:rsidRPr="0086274D" w:rsidRDefault="0080134D" w:rsidP="00341BF3">
            <w:pPr>
              <w:pStyle w:val="ListParagraph"/>
              <w:numPr>
                <w:ilvl w:val="0"/>
                <w:numId w:val="1"/>
              </w:numPr>
              <w:jc w:val="both"/>
              <w:rPr>
                <w:rFonts w:ascii="Arial" w:hAnsi="Arial" w:cs="Arial"/>
              </w:rPr>
            </w:pPr>
            <w:r w:rsidRPr="0086274D">
              <w:rPr>
                <w:rFonts w:ascii="Arial" w:hAnsi="Arial" w:cs="Arial"/>
                <w:b/>
                <w:bCs/>
              </w:rPr>
              <w:t>Controls:</w:t>
            </w:r>
            <w:r w:rsidRPr="0086274D">
              <w:rPr>
                <w:rFonts w:ascii="Arial" w:hAnsi="Arial" w:cs="Arial"/>
              </w:rPr>
              <w:t xml:space="preserve"> 960,1</w:t>
            </w:r>
            <w:r w:rsidR="006D7F20">
              <w:rPr>
                <w:rFonts w:ascii="Arial" w:hAnsi="Arial" w:cs="Arial"/>
              </w:rPr>
              <w:t>63</w:t>
            </w:r>
            <w:r w:rsidRPr="0086274D">
              <w:rPr>
                <w:rFonts w:ascii="Arial" w:hAnsi="Arial" w:cs="Arial"/>
              </w:rPr>
              <w:t xml:space="preserve"> individuals enrolled in the cohorts and not included as cases</w:t>
            </w:r>
          </w:p>
        </w:tc>
      </w:tr>
      <w:tr w:rsidR="0080134D" w:rsidRPr="0086274D" w14:paraId="55D65A9B" w14:textId="77777777" w:rsidTr="003F281B">
        <w:tc>
          <w:tcPr>
            <w:tcW w:w="1496" w:type="dxa"/>
            <w:vMerge w:val="restart"/>
          </w:tcPr>
          <w:p w14:paraId="0E66C81F" w14:textId="77777777" w:rsidR="0080134D" w:rsidRPr="0086274D" w:rsidRDefault="0080134D" w:rsidP="0080134D">
            <w:pPr>
              <w:jc w:val="both"/>
              <w:rPr>
                <w:rFonts w:ascii="Arial" w:hAnsi="Arial" w:cs="Arial"/>
              </w:rPr>
            </w:pPr>
            <w:r w:rsidRPr="0086274D">
              <w:rPr>
                <w:rFonts w:ascii="Arial" w:hAnsi="Arial" w:cs="Arial"/>
              </w:rPr>
              <w:t>Covid-19 severity</w:t>
            </w:r>
          </w:p>
          <w:p w14:paraId="70FD48A2" w14:textId="77777777" w:rsidR="0080134D" w:rsidRPr="0086274D" w:rsidRDefault="0080134D" w:rsidP="003F281B">
            <w:pPr>
              <w:jc w:val="both"/>
              <w:rPr>
                <w:rFonts w:ascii="Arial" w:hAnsi="Arial" w:cs="Arial"/>
              </w:rPr>
            </w:pPr>
          </w:p>
        </w:tc>
        <w:tc>
          <w:tcPr>
            <w:tcW w:w="3035" w:type="dxa"/>
            <w:shd w:val="clear" w:color="auto" w:fill="auto"/>
          </w:tcPr>
          <w:p w14:paraId="3FD85521" w14:textId="77777777" w:rsidR="0080134D" w:rsidRPr="0086274D" w:rsidRDefault="0080134D" w:rsidP="003F281B">
            <w:pPr>
              <w:jc w:val="both"/>
              <w:rPr>
                <w:rFonts w:ascii="Arial" w:hAnsi="Arial" w:cs="Arial"/>
              </w:rPr>
            </w:pPr>
            <w:r w:rsidRPr="0086274D">
              <w:rPr>
                <w:rFonts w:ascii="Arial" w:hAnsi="Arial" w:cs="Arial"/>
              </w:rPr>
              <w:t>Extended Hospitalized</w:t>
            </w:r>
          </w:p>
        </w:tc>
        <w:tc>
          <w:tcPr>
            <w:tcW w:w="9650" w:type="dxa"/>
            <w:shd w:val="clear" w:color="auto" w:fill="auto"/>
          </w:tcPr>
          <w:p w14:paraId="151FD359" w14:textId="33F27377" w:rsidR="00341BF3" w:rsidRPr="00341BF3" w:rsidRDefault="00341BF3" w:rsidP="003F281B">
            <w:pPr>
              <w:jc w:val="both"/>
              <w:rPr>
                <w:rFonts w:ascii="Arial" w:hAnsi="Arial" w:cs="Arial"/>
              </w:rPr>
            </w:pPr>
            <w:r>
              <w:rPr>
                <w:rFonts w:ascii="Arial" w:hAnsi="Arial" w:cs="Arial"/>
              </w:rPr>
              <w:t>Meta-analysis of 6 GWAS performed in individuals of European ancestry from 6 countries:</w:t>
            </w:r>
          </w:p>
          <w:p w14:paraId="4F5CBC9D" w14:textId="6B204527" w:rsidR="00341BF3" w:rsidRDefault="0080134D" w:rsidP="00341BF3">
            <w:pPr>
              <w:pStyle w:val="ListParagraph"/>
              <w:numPr>
                <w:ilvl w:val="0"/>
                <w:numId w:val="1"/>
              </w:numPr>
              <w:jc w:val="both"/>
              <w:rPr>
                <w:rFonts w:ascii="Arial" w:hAnsi="Arial" w:cs="Arial"/>
              </w:rPr>
            </w:pPr>
            <w:r w:rsidRPr="00341BF3">
              <w:rPr>
                <w:rFonts w:ascii="Arial" w:hAnsi="Arial" w:cs="Arial"/>
                <w:b/>
                <w:bCs/>
              </w:rPr>
              <w:t>Cases:</w:t>
            </w:r>
            <w:r w:rsidRPr="00341BF3">
              <w:rPr>
                <w:rFonts w:ascii="Arial" w:hAnsi="Arial" w:cs="Arial"/>
              </w:rPr>
              <w:t xml:space="preserve"> 2,</w:t>
            </w:r>
            <w:r w:rsidR="006D7F20">
              <w:rPr>
                <w:rFonts w:ascii="Arial" w:hAnsi="Arial" w:cs="Arial"/>
              </w:rPr>
              <w:t>900</w:t>
            </w:r>
            <w:r w:rsidRPr="00341BF3">
              <w:rPr>
                <w:rFonts w:ascii="Arial" w:hAnsi="Arial" w:cs="Arial"/>
              </w:rPr>
              <w:t xml:space="preserve"> hospitalized individuals with Covid-19</w:t>
            </w:r>
          </w:p>
          <w:p w14:paraId="570AD691" w14:textId="07C5E93F" w:rsidR="0080134D" w:rsidRPr="0086274D" w:rsidRDefault="0080134D" w:rsidP="00341BF3">
            <w:pPr>
              <w:pStyle w:val="ListParagraph"/>
              <w:numPr>
                <w:ilvl w:val="0"/>
                <w:numId w:val="1"/>
              </w:numPr>
              <w:jc w:val="both"/>
              <w:rPr>
                <w:rFonts w:ascii="Arial" w:hAnsi="Arial" w:cs="Arial"/>
              </w:rPr>
            </w:pPr>
            <w:r w:rsidRPr="0086274D">
              <w:rPr>
                <w:rFonts w:ascii="Arial" w:hAnsi="Arial" w:cs="Arial"/>
                <w:b/>
                <w:bCs/>
              </w:rPr>
              <w:t>Controls:</w:t>
            </w:r>
            <w:r w:rsidRPr="0086274D">
              <w:rPr>
                <w:rFonts w:ascii="Arial" w:hAnsi="Arial" w:cs="Arial"/>
              </w:rPr>
              <w:t xml:space="preserve"> 813,</w:t>
            </w:r>
            <w:r w:rsidR="006D7F20">
              <w:rPr>
                <w:rFonts w:ascii="Arial" w:hAnsi="Arial" w:cs="Arial"/>
              </w:rPr>
              <w:t>214</w:t>
            </w:r>
            <w:r w:rsidRPr="0086274D">
              <w:rPr>
                <w:rFonts w:ascii="Arial" w:hAnsi="Arial" w:cs="Arial"/>
              </w:rPr>
              <w:t xml:space="preserve"> individuals enrolled in the cohorts and not included as cases</w:t>
            </w:r>
          </w:p>
        </w:tc>
      </w:tr>
      <w:tr w:rsidR="0080134D" w:rsidRPr="0086274D" w14:paraId="65E7FBA3" w14:textId="77777777" w:rsidTr="0080134D">
        <w:trPr>
          <w:trHeight w:val="809"/>
        </w:trPr>
        <w:tc>
          <w:tcPr>
            <w:tcW w:w="1496" w:type="dxa"/>
            <w:vMerge/>
          </w:tcPr>
          <w:p w14:paraId="2C2167D2" w14:textId="77777777" w:rsidR="0080134D" w:rsidRPr="0086274D" w:rsidRDefault="0080134D" w:rsidP="003F281B">
            <w:pPr>
              <w:jc w:val="both"/>
              <w:rPr>
                <w:rFonts w:ascii="Arial" w:hAnsi="Arial" w:cs="Arial"/>
              </w:rPr>
            </w:pPr>
          </w:p>
        </w:tc>
        <w:tc>
          <w:tcPr>
            <w:tcW w:w="3035" w:type="dxa"/>
            <w:shd w:val="clear" w:color="auto" w:fill="auto"/>
          </w:tcPr>
          <w:p w14:paraId="1898A1EF" w14:textId="77777777" w:rsidR="0080134D" w:rsidRPr="0086274D" w:rsidRDefault="0080134D" w:rsidP="003F281B">
            <w:pPr>
              <w:jc w:val="both"/>
              <w:rPr>
                <w:rFonts w:ascii="Arial" w:hAnsi="Arial" w:cs="Arial"/>
              </w:rPr>
            </w:pPr>
            <w:r w:rsidRPr="0086274D">
              <w:rPr>
                <w:rFonts w:ascii="Arial" w:hAnsi="Arial" w:cs="Arial"/>
              </w:rPr>
              <w:t>Extended Severe Disease</w:t>
            </w:r>
          </w:p>
        </w:tc>
        <w:tc>
          <w:tcPr>
            <w:tcW w:w="9650" w:type="dxa"/>
            <w:shd w:val="clear" w:color="auto" w:fill="auto"/>
          </w:tcPr>
          <w:p w14:paraId="58A11870" w14:textId="4FF2C617" w:rsidR="00341BF3" w:rsidRPr="00765387" w:rsidRDefault="00341BF3" w:rsidP="00341BF3">
            <w:pPr>
              <w:jc w:val="both"/>
              <w:rPr>
                <w:rFonts w:ascii="Arial" w:hAnsi="Arial" w:cs="Arial"/>
              </w:rPr>
            </w:pPr>
            <w:r>
              <w:rPr>
                <w:rFonts w:ascii="Arial" w:hAnsi="Arial" w:cs="Arial"/>
              </w:rPr>
              <w:t>Meta-analysis of 2 GWAS performed in individuals of European ancestry from 2 countries:</w:t>
            </w:r>
          </w:p>
          <w:p w14:paraId="74EACB96" w14:textId="52CB14BC" w:rsidR="00341BF3" w:rsidRPr="00341BF3" w:rsidRDefault="0080134D" w:rsidP="00341BF3">
            <w:pPr>
              <w:pStyle w:val="ListParagraph"/>
              <w:numPr>
                <w:ilvl w:val="0"/>
                <w:numId w:val="1"/>
              </w:numPr>
              <w:jc w:val="both"/>
              <w:rPr>
                <w:rFonts w:ascii="Arial" w:hAnsi="Arial" w:cs="Arial"/>
                <w:b/>
                <w:bCs/>
              </w:rPr>
            </w:pPr>
            <w:r w:rsidRPr="00341BF3">
              <w:rPr>
                <w:rFonts w:ascii="Arial" w:hAnsi="Arial" w:cs="Arial"/>
                <w:b/>
                <w:bCs/>
              </w:rPr>
              <w:t>Cases:</w:t>
            </w:r>
            <w:r w:rsidRPr="00341BF3">
              <w:rPr>
                <w:rFonts w:ascii="Arial" w:hAnsi="Arial" w:cs="Arial"/>
              </w:rPr>
              <w:t xml:space="preserve"> </w:t>
            </w:r>
            <w:r w:rsidR="006D7F20">
              <w:rPr>
                <w:rFonts w:ascii="Arial" w:hAnsi="Arial" w:cs="Arial"/>
              </w:rPr>
              <w:t>620</w:t>
            </w:r>
            <w:r w:rsidRPr="00341BF3">
              <w:rPr>
                <w:rFonts w:ascii="Arial" w:hAnsi="Arial" w:cs="Arial"/>
              </w:rPr>
              <w:t xml:space="preserve"> Covid-19 infected hospitalized individuals who died or required respiratory support (intubation, CPAP, BiPAP, continuous external negative pressure, high flow nasal cannula). </w:t>
            </w:r>
          </w:p>
          <w:p w14:paraId="4C294279" w14:textId="0E1D409C" w:rsidR="0080134D" w:rsidRPr="0086274D" w:rsidRDefault="0080134D" w:rsidP="00341BF3">
            <w:pPr>
              <w:pStyle w:val="ListParagraph"/>
              <w:numPr>
                <w:ilvl w:val="0"/>
                <w:numId w:val="1"/>
              </w:numPr>
              <w:jc w:val="both"/>
              <w:rPr>
                <w:rFonts w:ascii="Arial" w:hAnsi="Arial" w:cs="Arial"/>
                <w:b/>
                <w:bCs/>
              </w:rPr>
            </w:pPr>
            <w:r w:rsidRPr="0086274D">
              <w:rPr>
                <w:rFonts w:ascii="Arial" w:hAnsi="Arial" w:cs="Arial"/>
                <w:b/>
                <w:bCs/>
              </w:rPr>
              <w:t>Controls:</w:t>
            </w:r>
            <w:r w:rsidRPr="0086274D">
              <w:rPr>
                <w:rFonts w:ascii="Arial" w:hAnsi="Arial" w:cs="Arial"/>
              </w:rPr>
              <w:t xml:space="preserve"> 366,8</w:t>
            </w:r>
            <w:r w:rsidR="006D7F20">
              <w:rPr>
                <w:rFonts w:ascii="Arial" w:hAnsi="Arial" w:cs="Arial"/>
              </w:rPr>
              <w:t>20</w:t>
            </w:r>
            <w:r w:rsidRPr="0086274D">
              <w:rPr>
                <w:rFonts w:ascii="Arial" w:hAnsi="Arial" w:cs="Arial"/>
              </w:rPr>
              <w:t xml:space="preserve"> individuals enrolled in the cohorts and not included as cases</w:t>
            </w:r>
          </w:p>
        </w:tc>
      </w:tr>
    </w:tbl>
    <w:bookmarkEnd w:id="0"/>
    <w:bookmarkEnd w:id="1"/>
    <w:p w14:paraId="0FAD9AB2" w14:textId="358DA2FC" w:rsidR="0080134D" w:rsidRPr="0086274D" w:rsidRDefault="0080134D" w:rsidP="0080134D">
      <w:pPr>
        <w:spacing w:after="0" w:line="240" w:lineRule="auto"/>
        <w:rPr>
          <w:rFonts w:ascii="Arial" w:hAnsi="Arial" w:cs="Arial"/>
        </w:rPr>
      </w:pPr>
      <w:r w:rsidRPr="0080134D">
        <w:rPr>
          <w:rFonts w:ascii="Arial" w:hAnsi="Arial" w:cs="Arial"/>
          <w:b/>
          <w:bCs/>
          <w:color w:val="2F5496" w:themeColor="accent1" w:themeShade="BF"/>
        </w:rPr>
        <w:t xml:space="preserve">Table </w:t>
      </w:r>
      <w:r w:rsidR="00063A71">
        <w:rPr>
          <w:rFonts w:ascii="Arial" w:hAnsi="Arial" w:cs="Arial"/>
          <w:b/>
          <w:bCs/>
          <w:color w:val="2F5496" w:themeColor="accent1" w:themeShade="BF"/>
        </w:rPr>
        <w:t>2.1</w:t>
      </w:r>
      <w:r w:rsidRPr="0080134D">
        <w:rPr>
          <w:rFonts w:ascii="Arial" w:hAnsi="Arial" w:cs="Arial"/>
          <w:b/>
          <w:bCs/>
          <w:color w:val="2F5496" w:themeColor="accent1" w:themeShade="BF"/>
        </w:rPr>
        <w:t>:</w:t>
      </w:r>
      <w:r w:rsidRPr="0080134D">
        <w:rPr>
          <w:rFonts w:ascii="Arial" w:hAnsi="Arial" w:cs="Arial"/>
          <w:color w:val="2F5496" w:themeColor="accent1" w:themeShade="BF"/>
        </w:rPr>
        <w:t xml:space="preserve"> </w:t>
      </w:r>
      <w:r w:rsidRPr="0086274D">
        <w:rPr>
          <w:rFonts w:ascii="Arial" w:hAnsi="Arial" w:cs="Arial"/>
        </w:rPr>
        <w:t>Sources of data for the analysis. Covid-19 susceptibility and severity outcomes are taken from the Covid-19 HGI</w:t>
      </w:r>
      <w:r w:rsidRPr="0086274D">
        <w:rPr>
          <w:rFonts w:ascii="Arial" w:hAnsi="Arial" w:cs="Arial"/>
        </w:rPr>
        <w:fldChar w:fldCharType="begin" w:fldLock="1"/>
      </w:r>
      <w:r>
        <w:rPr>
          <w:rFonts w:ascii="Arial" w:hAnsi="Arial" w:cs="Arial"/>
        </w:rPr>
        <w:instrText>ADDIN CSL_CITATION {"citationItems":[{"id":"ITEM-1","itemData":{"DOI":"10.1038/s41431-020-0636-6","ISSN":"1476-5438","author":[{"dropping-particle":"","family":"Initiative","given":"The COVID-19 Host Genetics","non-dropping-particle":"","parse-names":false,"suffix":""}],"container-title":"European Journal of Human Genetics","id":"ITEM-1","issue":"6","issued":{"date-parts":[["2020"]]},"page":"715-718","title":"The COVID-19 Host Genetics Initiative, a global initiative to elucidate the role of host genetic factors in susceptibility and severity of the SARS-CoV-2 virus pandemic","type":"article-journal","volume":"28"},"uris":["http://www.mendeley.com/documents/?uuid=09971e2c-437a-49d9-834d-d1e58b104473"]}],"mendeley":{"formattedCitation":"&lt;sup&gt;36&lt;/sup&gt;","plainTextFormattedCitation":"36","previouslyFormattedCitation":"&lt;sup&gt;35&lt;/sup&gt;"},"properties":{"noteIndex":0},"schema":"https://github.com/citation-style-language/schema/raw/master/csl-citation.json"}</w:instrText>
      </w:r>
      <w:r w:rsidRPr="0086274D">
        <w:rPr>
          <w:rFonts w:ascii="Arial" w:hAnsi="Arial" w:cs="Arial"/>
        </w:rPr>
        <w:fldChar w:fldCharType="separate"/>
      </w:r>
      <w:r w:rsidRPr="004C2669">
        <w:rPr>
          <w:rFonts w:ascii="Arial" w:hAnsi="Arial" w:cs="Arial"/>
          <w:noProof/>
          <w:vertAlign w:val="superscript"/>
        </w:rPr>
        <w:t>36</w:t>
      </w:r>
      <w:r w:rsidRPr="0086274D">
        <w:rPr>
          <w:rFonts w:ascii="Arial" w:hAnsi="Arial" w:cs="Arial"/>
        </w:rPr>
        <w:fldChar w:fldCharType="end"/>
      </w:r>
      <w:r w:rsidRPr="0086274D">
        <w:rPr>
          <w:rFonts w:ascii="Arial" w:hAnsi="Arial" w:cs="Arial"/>
        </w:rPr>
        <w:t xml:space="preserve">. See </w:t>
      </w:r>
      <w:r w:rsidRPr="0086274D">
        <w:rPr>
          <w:rFonts w:ascii="Arial" w:hAnsi="Arial" w:cs="Arial"/>
          <w:b/>
          <w:bCs/>
          <w:color w:val="2F5496" w:themeColor="accent1" w:themeShade="BF"/>
        </w:rPr>
        <w:t>Supplement 1</w:t>
      </w:r>
      <w:r w:rsidRPr="0086274D">
        <w:rPr>
          <w:rFonts w:ascii="Arial" w:hAnsi="Arial" w:cs="Arial"/>
        </w:rPr>
        <w:t xml:space="preserve"> for details on cohorts of Covid-19 susceptibility and severity phenotypes. </w:t>
      </w:r>
    </w:p>
    <w:p w14:paraId="1F193D27" w14:textId="5B3E9424" w:rsidR="00AA362C" w:rsidRDefault="00305969"/>
    <w:tbl>
      <w:tblPr>
        <w:tblStyle w:val="TableGrid"/>
        <w:tblW w:w="0" w:type="auto"/>
        <w:tblLook w:val="04A0" w:firstRow="1" w:lastRow="0" w:firstColumn="1" w:lastColumn="0" w:noHBand="0" w:noVBand="1"/>
      </w:tblPr>
      <w:tblGrid>
        <w:gridCol w:w="2462"/>
        <w:gridCol w:w="861"/>
        <w:gridCol w:w="1794"/>
        <w:gridCol w:w="1350"/>
        <w:gridCol w:w="2084"/>
        <w:gridCol w:w="1528"/>
        <w:gridCol w:w="1983"/>
        <w:gridCol w:w="1539"/>
      </w:tblGrid>
      <w:tr w:rsidR="00CB5128" w:rsidRPr="0086274D" w14:paraId="29353972" w14:textId="77777777" w:rsidTr="003F281B">
        <w:trPr>
          <w:trHeight w:val="227"/>
        </w:trPr>
        <w:tc>
          <w:tcPr>
            <w:tcW w:w="0" w:type="auto"/>
            <w:shd w:val="clear" w:color="auto" w:fill="D9D9D9" w:themeFill="background1" w:themeFillShade="D9"/>
          </w:tcPr>
          <w:p w14:paraId="6B4DAD50" w14:textId="77777777" w:rsidR="00CB5128" w:rsidRPr="00607507" w:rsidRDefault="00CB5128" w:rsidP="003F281B">
            <w:pPr>
              <w:rPr>
                <w:rFonts w:ascii="Arial" w:hAnsi="Arial" w:cs="Arial"/>
                <w:b/>
                <w:bCs/>
                <w:sz w:val="20"/>
                <w:szCs w:val="20"/>
                <w:lang w:val="fr-CA"/>
              </w:rPr>
            </w:pPr>
            <w:proofErr w:type="spellStart"/>
            <w:r w:rsidRPr="00607507">
              <w:rPr>
                <w:rFonts w:ascii="Arial" w:hAnsi="Arial" w:cs="Arial"/>
                <w:b/>
                <w:bCs/>
                <w:sz w:val="20"/>
                <w:szCs w:val="20"/>
                <w:lang w:val="fr-CA"/>
              </w:rPr>
              <w:t>Outcome</w:t>
            </w:r>
            <w:proofErr w:type="spellEnd"/>
          </w:p>
        </w:tc>
        <w:tc>
          <w:tcPr>
            <w:tcW w:w="0" w:type="auto"/>
            <w:shd w:val="clear" w:color="auto" w:fill="D9D9D9" w:themeFill="background1" w:themeFillShade="D9"/>
          </w:tcPr>
          <w:p w14:paraId="1DFED405" w14:textId="77777777" w:rsidR="00CB5128" w:rsidRPr="00607507" w:rsidRDefault="00CB5128" w:rsidP="003F281B">
            <w:pPr>
              <w:rPr>
                <w:rFonts w:ascii="Arial" w:hAnsi="Arial" w:cs="Arial"/>
                <w:b/>
                <w:bCs/>
                <w:sz w:val="20"/>
                <w:szCs w:val="20"/>
                <w:lang w:val="fr-CA"/>
              </w:rPr>
            </w:pPr>
            <w:proofErr w:type="spellStart"/>
            <w:proofErr w:type="gramStart"/>
            <w:r w:rsidRPr="00607507">
              <w:rPr>
                <w:rFonts w:ascii="Arial" w:hAnsi="Arial" w:cs="Arial"/>
                <w:b/>
                <w:bCs/>
                <w:sz w:val="20"/>
                <w:szCs w:val="20"/>
                <w:lang w:val="fr-CA"/>
              </w:rPr>
              <w:t>nSNPs</w:t>
            </w:r>
            <w:proofErr w:type="spellEnd"/>
            <w:proofErr w:type="gramEnd"/>
          </w:p>
        </w:tc>
        <w:tc>
          <w:tcPr>
            <w:tcW w:w="0" w:type="auto"/>
            <w:shd w:val="clear" w:color="auto" w:fill="D9D9D9" w:themeFill="background1" w:themeFillShade="D9"/>
          </w:tcPr>
          <w:p w14:paraId="54188454" w14:textId="77777777" w:rsidR="00CB5128" w:rsidRPr="00607507" w:rsidRDefault="00CB5128" w:rsidP="003F281B">
            <w:pPr>
              <w:rPr>
                <w:rFonts w:ascii="Arial" w:hAnsi="Arial" w:cs="Arial"/>
                <w:b/>
                <w:bCs/>
                <w:sz w:val="20"/>
                <w:szCs w:val="20"/>
                <w:lang w:val="fr-CA"/>
              </w:rPr>
            </w:pPr>
            <w:r w:rsidRPr="00607507">
              <w:rPr>
                <w:rFonts w:ascii="Arial" w:hAnsi="Arial" w:cs="Arial"/>
                <w:b/>
                <w:bCs/>
                <w:sz w:val="20"/>
                <w:szCs w:val="20"/>
                <w:lang w:val="fr-CA"/>
              </w:rPr>
              <w:t>IVW OR (95% CI)</w:t>
            </w:r>
          </w:p>
        </w:tc>
        <w:tc>
          <w:tcPr>
            <w:tcW w:w="0" w:type="auto"/>
            <w:shd w:val="clear" w:color="auto" w:fill="D9D9D9" w:themeFill="background1" w:themeFillShade="D9"/>
          </w:tcPr>
          <w:p w14:paraId="4B99736A" w14:textId="77777777" w:rsidR="00CB5128" w:rsidRPr="00607507" w:rsidRDefault="00CB5128" w:rsidP="003F281B">
            <w:pPr>
              <w:rPr>
                <w:rFonts w:ascii="Arial" w:hAnsi="Arial" w:cs="Arial"/>
                <w:b/>
                <w:bCs/>
                <w:sz w:val="20"/>
                <w:szCs w:val="20"/>
                <w:lang w:val="fr-CA"/>
              </w:rPr>
            </w:pPr>
            <w:r w:rsidRPr="00607507">
              <w:rPr>
                <w:rFonts w:ascii="Arial" w:hAnsi="Arial" w:cs="Arial"/>
                <w:b/>
                <w:bCs/>
                <w:sz w:val="20"/>
                <w:szCs w:val="20"/>
                <w:lang w:val="fr-CA"/>
              </w:rPr>
              <w:t>IVW p-value</w:t>
            </w:r>
          </w:p>
        </w:tc>
        <w:tc>
          <w:tcPr>
            <w:tcW w:w="0" w:type="auto"/>
            <w:shd w:val="clear" w:color="auto" w:fill="D9D9D9" w:themeFill="background1" w:themeFillShade="D9"/>
          </w:tcPr>
          <w:p w14:paraId="58ED8EBC" w14:textId="77777777" w:rsidR="00CB5128" w:rsidRPr="00607507" w:rsidRDefault="00CB5128" w:rsidP="003F281B">
            <w:pPr>
              <w:rPr>
                <w:rFonts w:ascii="Arial" w:hAnsi="Arial" w:cs="Arial"/>
                <w:b/>
                <w:bCs/>
                <w:sz w:val="20"/>
                <w:szCs w:val="20"/>
                <w:lang w:val="fr-CA"/>
              </w:rPr>
            </w:pPr>
            <w:proofErr w:type="spellStart"/>
            <w:r w:rsidRPr="00607507">
              <w:rPr>
                <w:rFonts w:ascii="Arial" w:hAnsi="Arial" w:cs="Arial"/>
                <w:b/>
                <w:bCs/>
                <w:sz w:val="20"/>
                <w:szCs w:val="20"/>
                <w:lang w:val="fr-CA"/>
              </w:rPr>
              <w:t>Egger</w:t>
            </w:r>
            <w:proofErr w:type="spellEnd"/>
            <w:r w:rsidRPr="00607507">
              <w:rPr>
                <w:rFonts w:ascii="Arial" w:hAnsi="Arial" w:cs="Arial"/>
                <w:b/>
                <w:bCs/>
                <w:sz w:val="20"/>
                <w:szCs w:val="20"/>
                <w:lang w:val="fr-CA"/>
              </w:rPr>
              <w:t xml:space="preserve"> alpha</w:t>
            </w:r>
          </w:p>
        </w:tc>
        <w:tc>
          <w:tcPr>
            <w:tcW w:w="0" w:type="auto"/>
            <w:shd w:val="clear" w:color="auto" w:fill="D9D9D9" w:themeFill="background1" w:themeFillShade="D9"/>
          </w:tcPr>
          <w:p w14:paraId="2C89AB59" w14:textId="77777777" w:rsidR="00CB5128" w:rsidRPr="00607507" w:rsidRDefault="00CB5128" w:rsidP="003F281B">
            <w:pPr>
              <w:rPr>
                <w:rFonts w:ascii="Arial" w:hAnsi="Arial" w:cs="Arial"/>
                <w:b/>
                <w:bCs/>
                <w:sz w:val="20"/>
                <w:szCs w:val="20"/>
                <w:lang w:val="fr-CA"/>
              </w:rPr>
            </w:pPr>
            <w:r w:rsidRPr="00607507">
              <w:rPr>
                <w:rFonts w:ascii="Arial" w:hAnsi="Arial" w:cs="Arial"/>
                <w:b/>
                <w:bCs/>
                <w:sz w:val="20"/>
                <w:szCs w:val="20"/>
                <w:lang w:val="fr-CA"/>
              </w:rPr>
              <w:t>Alpha p-value</w:t>
            </w:r>
          </w:p>
        </w:tc>
        <w:tc>
          <w:tcPr>
            <w:tcW w:w="0" w:type="auto"/>
            <w:shd w:val="clear" w:color="auto" w:fill="D9D9D9" w:themeFill="background1" w:themeFillShade="D9"/>
          </w:tcPr>
          <w:p w14:paraId="387F4222" w14:textId="77777777" w:rsidR="00CB5128" w:rsidRPr="00607507" w:rsidRDefault="00CB5128" w:rsidP="003F281B">
            <w:pPr>
              <w:rPr>
                <w:rFonts w:ascii="Arial" w:hAnsi="Arial" w:cs="Arial"/>
                <w:b/>
                <w:bCs/>
                <w:sz w:val="20"/>
                <w:szCs w:val="20"/>
                <w:lang w:val="fr-CA"/>
              </w:rPr>
            </w:pPr>
            <w:proofErr w:type="spellStart"/>
            <w:r w:rsidRPr="00607507">
              <w:rPr>
                <w:rFonts w:ascii="Arial" w:hAnsi="Arial" w:cs="Arial"/>
                <w:b/>
                <w:bCs/>
                <w:sz w:val="20"/>
                <w:szCs w:val="20"/>
                <w:lang w:val="fr-CA"/>
              </w:rPr>
              <w:t>Egger</w:t>
            </w:r>
            <w:proofErr w:type="spellEnd"/>
            <w:r w:rsidRPr="00607507">
              <w:rPr>
                <w:rFonts w:ascii="Arial" w:hAnsi="Arial" w:cs="Arial"/>
                <w:b/>
                <w:bCs/>
                <w:sz w:val="20"/>
                <w:szCs w:val="20"/>
                <w:lang w:val="fr-CA"/>
              </w:rPr>
              <w:t xml:space="preserve"> OR (95% CI)</w:t>
            </w:r>
          </w:p>
        </w:tc>
        <w:tc>
          <w:tcPr>
            <w:tcW w:w="0" w:type="auto"/>
            <w:shd w:val="clear" w:color="auto" w:fill="D9D9D9" w:themeFill="background1" w:themeFillShade="D9"/>
          </w:tcPr>
          <w:p w14:paraId="0518F32A" w14:textId="77777777" w:rsidR="00CB5128" w:rsidRPr="00607507" w:rsidRDefault="00CB5128" w:rsidP="003F281B">
            <w:pPr>
              <w:rPr>
                <w:rFonts w:ascii="Arial" w:hAnsi="Arial" w:cs="Arial"/>
                <w:b/>
                <w:bCs/>
                <w:sz w:val="20"/>
                <w:szCs w:val="20"/>
                <w:lang w:val="fr-CA"/>
              </w:rPr>
            </w:pPr>
            <w:proofErr w:type="spellStart"/>
            <w:r w:rsidRPr="00607507">
              <w:rPr>
                <w:rFonts w:ascii="Arial" w:hAnsi="Arial" w:cs="Arial"/>
                <w:b/>
                <w:bCs/>
                <w:sz w:val="20"/>
                <w:szCs w:val="20"/>
                <w:lang w:val="fr-CA"/>
              </w:rPr>
              <w:t>Egger</w:t>
            </w:r>
            <w:proofErr w:type="spellEnd"/>
            <w:r w:rsidRPr="00607507">
              <w:rPr>
                <w:rFonts w:ascii="Arial" w:hAnsi="Arial" w:cs="Arial"/>
                <w:b/>
                <w:bCs/>
                <w:sz w:val="20"/>
                <w:szCs w:val="20"/>
                <w:lang w:val="fr-CA"/>
              </w:rPr>
              <w:t xml:space="preserve"> p-value</w:t>
            </w:r>
          </w:p>
        </w:tc>
      </w:tr>
      <w:tr w:rsidR="00CB5128" w:rsidRPr="0086274D" w14:paraId="134C436B" w14:textId="77777777" w:rsidTr="003F281B">
        <w:trPr>
          <w:trHeight w:val="227"/>
        </w:trPr>
        <w:tc>
          <w:tcPr>
            <w:tcW w:w="0" w:type="auto"/>
            <w:gridSpan w:val="8"/>
          </w:tcPr>
          <w:p w14:paraId="79E9A42D" w14:textId="77777777" w:rsidR="00CB5128" w:rsidRPr="00607507" w:rsidRDefault="00CB5128" w:rsidP="003F281B">
            <w:pPr>
              <w:rPr>
                <w:rFonts w:ascii="Arial" w:hAnsi="Arial" w:cs="Arial"/>
                <w:b/>
                <w:bCs/>
                <w:i/>
                <w:iCs/>
                <w:sz w:val="20"/>
                <w:szCs w:val="20"/>
                <w:lang w:val="fr-CA"/>
              </w:rPr>
            </w:pPr>
            <w:r w:rsidRPr="00607507">
              <w:rPr>
                <w:rFonts w:ascii="Arial" w:hAnsi="Arial" w:cs="Arial"/>
                <w:b/>
                <w:bCs/>
                <w:i/>
                <w:iCs/>
                <w:sz w:val="20"/>
                <w:szCs w:val="20"/>
                <w:lang w:val="fr-CA"/>
              </w:rPr>
              <w:t xml:space="preserve">25OHD </w:t>
            </w:r>
            <w:proofErr w:type="spellStart"/>
            <w:r w:rsidRPr="00607507">
              <w:rPr>
                <w:rFonts w:ascii="Arial" w:hAnsi="Arial" w:cs="Arial"/>
                <w:b/>
                <w:bCs/>
                <w:i/>
                <w:iCs/>
                <w:sz w:val="20"/>
                <w:szCs w:val="20"/>
                <w:lang w:val="fr-CA"/>
              </w:rPr>
              <w:t>primary</w:t>
            </w:r>
            <w:proofErr w:type="spellEnd"/>
            <w:r w:rsidRPr="00607507">
              <w:rPr>
                <w:rFonts w:ascii="Arial" w:hAnsi="Arial" w:cs="Arial"/>
                <w:b/>
                <w:bCs/>
                <w:i/>
                <w:iCs/>
                <w:sz w:val="20"/>
                <w:szCs w:val="20"/>
                <w:lang w:val="fr-CA"/>
              </w:rPr>
              <w:t xml:space="preserve"> </w:t>
            </w:r>
            <w:proofErr w:type="spellStart"/>
            <w:r w:rsidRPr="00607507">
              <w:rPr>
                <w:rFonts w:ascii="Arial" w:hAnsi="Arial" w:cs="Arial"/>
                <w:b/>
                <w:bCs/>
                <w:i/>
                <w:iCs/>
                <w:sz w:val="20"/>
                <w:szCs w:val="20"/>
                <w:lang w:val="fr-CA"/>
              </w:rPr>
              <w:t>analysis</w:t>
            </w:r>
            <w:proofErr w:type="spellEnd"/>
          </w:p>
        </w:tc>
      </w:tr>
      <w:tr w:rsidR="00607507" w:rsidRPr="0086274D" w14:paraId="161A8F20" w14:textId="77777777" w:rsidTr="003F281B">
        <w:trPr>
          <w:trHeight w:val="227"/>
        </w:trPr>
        <w:tc>
          <w:tcPr>
            <w:tcW w:w="0" w:type="auto"/>
            <w:hideMark/>
          </w:tcPr>
          <w:p w14:paraId="2BA2F8CC" w14:textId="77777777"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sz w:val="20"/>
                <w:szCs w:val="20"/>
              </w:rPr>
              <w:t>Extended susceptibility</w:t>
            </w:r>
          </w:p>
        </w:tc>
        <w:tc>
          <w:tcPr>
            <w:tcW w:w="0" w:type="auto"/>
            <w:vAlign w:val="center"/>
          </w:tcPr>
          <w:p w14:paraId="262F67DA" w14:textId="2FCC74E8"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color w:val="000000"/>
                <w:sz w:val="20"/>
                <w:szCs w:val="20"/>
              </w:rPr>
              <w:t>94</w:t>
            </w:r>
          </w:p>
        </w:tc>
        <w:tc>
          <w:tcPr>
            <w:tcW w:w="0" w:type="auto"/>
            <w:vAlign w:val="center"/>
            <w:hideMark/>
          </w:tcPr>
          <w:p w14:paraId="03AFE373" w14:textId="5CCDF51F"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color w:val="000000"/>
                <w:sz w:val="20"/>
                <w:szCs w:val="20"/>
              </w:rPr>
              <w:t>0.8</w:t>
            </w:r>
            <w:r w:rsidR="001D5280">
              <w:rPr>
                <w:rFonts w:ascii="Arial" w:hAnsi="Arial" w:cs="Arial"/>
                <w:color w:val="000000"/>
                <w:sz w:val="20"/>
                <w:szCs w:val="20"/>
              </w:rPr>
              <w:t>9</w:t>
            </w:r>
            <w:r w:rsidRPr="00607507">
              <w:rPr>
                <w:rFonts w:ascii="Arial" w:hAnsi="Arial" w:cs="Arial"/>
                <w:color w:val="000000"/>
                <w:sz w:val="20"/>
                <w:szCs w:val="20"/>
              </w:rPr>
              <w:t> (0.7</w:t>
            </w:r>
            <w:r w:rsidR="001D5280">
              <w:rPr>
                <w:rFonts w:ascii="Arial" w:hAnsi="Arial" w:cs="Arial"/>
                <w:color w:val="000000"/>
                <w:sz w:val="20"/>
                <w:szCs w:val="20"/>
              </w:rPr>
              <w:t>2</w:t>
            </w:r>
            <w:r w:rsidRPr="00607507">
              <w:rPr>
                <w:rFonts w:ascii="Arial" w:hAnsi="Arial" w:cs="Arial"/>
                <w:color w:val="000000"/>
                <w:sz w:val="20"/>
                <w:szCs w:val="20"/>
              </w:rPr>
              <w:t>, 1.09)</w:t>
            </w:r>
          </w:p>
        </w:tc>
        <w:tc>
          <w:tcPr>
            <w:tcW w:w="0" w:type="auto"/>
            <w:vAlign w:val="center"/>
            <w:hideMark/>
          </w:tcPr>
          <w:p w14:paraId="0DB570AC" w14:textId="28CD9B56" w:rsidR="00607507" w:rsidRPr="00607507" w:rsidRDefault="00607507" w:rsidP="00607507">
            <w:pPr>
              <w:jc w:val="right"/>
              <w:rPr>
                <w:rFonts w:ascii="Arial" w:eastAsia="Times New Roman" w:hAnsi="Arial" w:cs="Arial"/>
                <w:color w:val="000000"/>
                <w:sz w:val="20"/>
                <w:szCs w:val="20"/>
                <w:lang w:eastAsia="en-CA"/>
              </w:rPr>
            </w:pPr>
            <w:r w:rsidRPr="00607507">
              <w:rPr>
                <w:rFonts w:ascii="Arial" w:hAnsi="Arial" w:cs="Arial"/>
                <w:color w:val="000000"/>
                <w:sz w:val="20"/>
                <w:szCs w:val="20"/>
              </w:rPr>
              <w:t>0.2</w:t>
            </w:r>
            <w:r w:rsidR="001D5280">
              <w:rPr>
                <w:rFonts w:ascii="Arial" w:hAnsi="Arial" w:cs="Arial"/>
                <w:color w:val="000000"/>
                <w:sz w:val="20"/>
                <w:szCs w:val="20"/>
              </w:rPr>
              <w:t>6</w:t>
            </w:r>
          </w:p>
        </w:tc>
        <w:tc>
          <w:tcPr>
            <w:tcW w:w="0" w:type="auto"/>
            <w:vAlign w:val="center"/>
            <w:hideMark/>
          </w:tcPr>
          <w:p w14:paraId="04B02B50" w14:textId="44BD303F"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color w:val="000000"/>
                <w:sz w:val="20"/>
                <w:szCs w:val="20"/>
              </w:rPr>
              <w:t>0.01 (0.00</w:t>
            </w:r>
            <w:r w:rsidR="001D5280">
              <w:rPr>
                <w:rFonts w:ascii="Arial" w:hAnsi="Arial" w:cs="Arial"/>
                <w:color w:val="000000"/>
                <w:sz w:val="20"/>
                <w:szCs w:val="20"/>
              </w:rPr>
              <w:t>2</w:t>
            </w:r>
            <w:r w:rsidRPr="00607507">
              <w:rPr>
                <w:rFonts w:ascii="Arial" w:hAnsi="Arial" w:cs="Arial"/>
                <w:color w:val="000000"/>
                <w:sz w:val="20"/>
                <w:szCs w:val="20"/>
              </w:rPr>
              <w:t>, 0.02)</w:t>
            </w:r>
          </w:p>
        </w:tc>
        <w:tc>
          <w:tcPr>
            <w:tcW w:w="0" w:type="auto"/>
            <w:vAlign w:val="center"/>
            <w:hideMark/>
          </w:tcPr>
          <w:p w14:paraId="757A51B5" w14:textId="67E46CFD" w:rsidR="00607507" w:rsidRPr="00607507" w:rsidRDefault="00607507" w:rsidP="00607507">
            <w:pPr>
              <w:jc w:val="right"/>
              <w:rPr>
                <w:rFonts w:ascii="Arial" w:eastAsia="Times New Roman" w:hAnsi="Arial" w:cs="Arial"/>
                <w:color w:val="000000"/>
                <w:sz w:val="20"/>
                <w:szCs w:val="20"/>
                <w:lang w:eastAsia="en-CA"/>
              </w:rPr>
            </w:pPr>
            <w:r w:rsidRPr="00607507">
              <w:rPr>
                <w:rFonts w:ascii="Arial" w:hAnsi="Arial" w:cs="Arial"/>
                <w:color w:val="000000"/>
                <w:sz w:val="20"/>
                <w:szCs w:val="20"/>
              </w:rPr>
              <w:t>0.02</w:t>
            </w:r>
          </w:p>
        </w:tc>
        <w:tc>
          <w:tcPr>
            <w:tcW w:w="0" w:type="auto"/>
            <w:vAlign w:val="center"/>
            <w:hideMark/>
          </w:tcPr>
          <w:p w14:paraId="709D8F0D" w14:textId="56C7959F"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color w:val="000000"/>
                <w:sz w:val="20"/>
                <w:szCs w:val="20"/>
              </w:rPr>
              <w:t>0.69 (0.5</w:t>
            </w:r>
            <w:r w:rsidR="001D5280">
              <w:rPr>
                <w:rFonts w:ascii="Arial" w:hAnsi="Arial" w:cs="Arial"/>
                <w:color w:val="000000"/>
                <w:sz w:val="20"/>
                <w:szCs w:val="20"/>
              </w:rPr>
              <w:t>2</w:t>
            </w:r>
            <w:r w:rsidRPr="00607507">
              <w:rPr>
                <w:rFonts w:ascii="Arial" w:hAnsi="Arial" w:cs="Arial"/>
                <w:color w:val="000000"/>
                <w:sz w:val="20"/>
                <w:szCs w:val="20"/>
              </w:rPr>
              <w:t>, 0.9</w:t>
            </w:r>
            <w:r w:rsidR="001D5280">
              <w:rPr>
                <w:rFonts w:ascii="Arial" w:hAnsi="Arial" w:cs="Arial"/>
                <w:color w:val="000000"/>
                <w:sz w:val="20"/>
                <w:szCs w:val="20"/>
              </w:rPr>
              <w:t>3</w:t>
            </w:r>
            <w:r w:rsidRPr="00607507">
              <w:rPr>
                <w:rFonts w:ascii="Arial" w:hAnsi="Arial" w:cs="Arial"/>
                <w:color w:val="000000"/>
                <w:sz w:val="20"/>
                <w:szCs w:val="20"/>
              </w:rPr>
              <w:t>)</w:t>
            </w:r>
          </w:p>
        </w:tc>
        <w:tc>
          <w:tcPr>
            <w:tcW w:w="0" w:type="auto"/>
            <w:vAlign w:val="center"/>
            <w:hideMark/>
          </w:tcPr>
          <w:p w14:paraId="6785E121" w14:textId="3EFE2567" w:rsidR="00607507" w:rsidRPr="00607507" w:rsidRDefault="00607507" w:rsidP="00607507">
            <w:pPr>
              <w:jc w:val="right"/>
              <w:rPr>
                <w:rFonts w:ascii="Arial" w:eastAsia="Times New Roman" w:hAnsi="Arial" w:cs="Arial"/>
                <w:color w:val="000000"/>
                <w:sz w:val="20"/>
                <w:szCs w:val="20"/>
                <w:lang w:eastAsia="en-CA"/>
              </w:rPr>
            </w:pPr>
            <w:r w:rsidRPr="00607507">
              <w:rPr>
                <w:rFonts w:ascii="Arial" w:hAnsi="Arial" w:cs="Arial"/>
                <w:color w:val="000000"/>
                <w:sz w:val="20"/>
                <w:szCs w:val="20"/>
              </w:rPr>
              <w:t>0.0</w:t>
            </w:r>
            <w:r w:rsidR="001D5280">
              <w:rPr>
                <w:rFonts w:ascii="Arial" w:hAnsi="Arial" w:cs="Arial"/>
                <w:color w:val="000000"/>
                <w:sz w:val="20"/>
                <w:szCs w:val="20"/>
              </w:rPr>
              <w:t>2</w:t>
            </w:r>
          </w:p>
        </w:tc>
      </w:tr>
      <w:tr w:rsidR="00607507" w:rsidRPr="0086274D" w14:paraId="45B4A001" w14:textId="77777777" w:rsidTr="003F281B">
        <w:trPr>
          <w:trHeight w:val="227"/>
        </w:trPr>
        <w:tc>
          <w:tcPr>
            <w:tcW w:w="0" w:type="auto"/>
            <w:hideMark/>
          </w:tcPr>
          <w:p w14:paraId="441FDA75" w14:textId="77777777"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sz w:val="20"/>
                <w:szCs w:val="20"/>
              </w:rPr>
              <w:t>Extended hospitalization</w:t>
            </w:r>
          </w:p>
        </w:tc>
        <w:tc>
          <w:tcPr>
            <w:tcW w:w="0" w:type="auto"/>
            <w:vAlign w:val="center"/>
          </w:tcPr>
          <w:p w14:paraId="150C8463" w14:textId="25CA2CD1"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color w:val="000000"/>
                <w:sz w:val="20"/>
                <w:szCs w:val="20"/>
              </w:rPr>
              <w:t>93</w:t>
            </w:r>
          </w:p>
        </w:tc>
        <w:tc>
          <w:tcPr>
            <w:tcW w:w="0" w:type="auto"/>
            <w:vAlign w:val="center"/>
            <w:hideMark/>
          </w:tcPr>
          <w:p w14:paraId="1C3F8131" w14:textId="7E532D48"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color w:val="000000"/>
                <w:sz w:val="20"/>
                <w:szCs w:val="20"/>
              </w:rPr>
              <w:t>1.14 (0.8</w:t>
            </w:r>
            <w:r w:rsidR="001D5280">
              <w:rPr>
                <w:rFonts w:ascii="Arial" w:hAnsi="Arial" w:cs="Arial"/>
                <w:color w:val="000000"/>
                <w:sz w:val="20"/>
                <w:szCs w:val="20"/>
              </w:rPr>
              <w:t>2</w:t>
            </w:r>
            <w:r w:rsidRPr="00607507">
              <w:rPr>
                <w:rFonts w:ascii="Arial" w:hAnsi="Arial" w:cs="Arial"/>
                <w:color w:val="000000"/>
                <w:sz w:val="20"/>
                <w:szCs w:val="20"/>
              </w:rPr>
              <w:t>, 1.59)</w:t>
            </w:r>
          </w:p>
        </w:tc>
        <w:tc>
          <w:tcPr>
            <w:tcW w:w="0" w:type="auto"/>
            <w:vAlign w:val="center"/>
            <w:hideMark/>
          </w:tcPr>
          <w:p w14:paraId="4B4BE342" w14:textId="72CCFD9E" w:rsidR="00607507" w:rsidRPr="00607507" w:rsidRDefault="00607507" w:rsidP="00607507">
            <w:pPr>
              <w:jc w:val="right"/>
              <w:rPr>
                <w:rFonts w:ascii="Arial" w:eastAsia="Times New Roman" w:hAnsi="Arial" w:cs="Arial"/>
                <w:color w:val="000000"/>
                <w:sz w:val="20"/>
                <w:szCs w:val="20"/>
                <w:lang w:eastAsia="en-CA"/>
              </w:rPr>
            </w:pPr>
            <w:r w:rsidRPr="00607507">
              <w:rPr>
                <w:rFonts w:ascii="Arial" w:hAnsi="Arial" w:cs="Arial"/>
                <w:color w:val="000000"/>
                <w:sz w:val="20"/>
                <w:szCs w:val="20"/>
              </w:rPr>
              <w:t>0.44</w:t>
            </w:r>
          </w:p>
        </w:tc>
        <w:tc>
          <w:tcPr>
            <w:tcW w:w="0" w:type="auto"/>
            <w:vAlign w:val="center"/>
            <w:hideMark/>
          </w:tcPr>
          <w:p w14:paraId="395A2621" w14:textId="24C426C4"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color w:val="000000"/>
                <w:sz w:val="20"/>
                <w:szCs w:val="20"/>
              </w:rPr>
              <w:t>0.00</w:t>
            </w:r>
            <w:r w:rsidR="001D5280">
              <w:rPr>
                <w:rFonts w:ascii="Arial" w:hAnsi="Arial" w:cs="Arial"/>
                <w:color w:val="000000"/>
                <w:sz w:val="20"/>
                <w:szCs w:val="20"/>
              </w:rPr>
              <w:t>8</w:t>
            </w:r>
            <w:r w:rsidRPr="00607507">
              <w:rPr>
                <w:rFonts w:ascii="Arial" w:hAnsi="Arial" w:cs="Arial"/>
                <w:color w:val="000000"/>
                <w:sz w:val="20"/>
                <w:szCs w:val="20"/>
              </w:rPr>
              <w:t> (-0.008, 0.02)</w:t>
            </w:r>
          </w:p>
        </w:tc>
        <w:tc>
          <w:tcPr>
            <w:tcW w:w="0" w:type="auto"/>
            <w:vAlign w:val="center"/>
            <w:hideMark/>
          </w:tcPr>
          <w:p w14:paraId="5275A0F2" w14:textId="240BA19F" w:rsidR="00607507" w:rsidRPr="00607507" w:rsidRDefault="00607507" w:rsidP="00607507">
            <w:pPr>
              <w:jc w:val="right"/>
              <w:rPr>
                <w:rFonts w:ascii="Arial" w:eastAsia="Times New Roman" w:hAnsi="Arial" w:cs="Arial"/>
                <w:color w:val="000000"/>
                <w:sz w:val="20"/>
                <w:szCs w:val="20"/>
                <w:lang w:eastAsia="en-CA"/>
              </w:rPr>
            </w:pPr>
            <w:r w:rsidRPr="00607507">
              <w:rPr>
                <w:rFonts w:ascii="Arial" w:hAnsi="Arial" w:cs="Arial"/>
                <w:color w:val="000000"/>
                <w:sz w:val="20"/>
                <w:szCs w:val="20"/>
              </w:rPr>
              <w:t>0.3</w:t>
            </w:r>
            <w:r w:rsidR="001D5280">
              <w:rPr>
                <w:rFonts w:ascii="Arial" w:hAnsi="Arial" w:cs="Arial"/>
                <w:color w:val="000000"/>
                <w:sz w:val="20"/>
                <w:szCs w:val="20"/>
              </w:rPr>
              <w:t>4</w:t>
            </w:r>
          </w:p>
        </w:tc>
        <w:tc>
          <w:tcPr>
            <w:tcW w:w="0" w:type="auto"/>
            <w:vAlign w:val="center"/>
            <w:hideMark/>
          </w:tcPr>
          <w:p w14:paraId="05AC3F68" w14:textId="3B9551A4"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color w:val="000000"/>
                <w:sz w:val="20"/>
                <w:szCs w:val="20"/>
              </w:rPr>
              <w:t>0.97 (0.60, 1.55)</w:t>
            </w:r>
          </w:p>
        </w:tc>
        <w:tc>
          <w:tcPr>
            <w:tcW w:w="0" w:type="auto"/>
            <w:vAlign w:val="center"/>
            <w:hideMark/>
          </w:tcPr>
          <w:p w14:paraId="3C0923F1" w14:textId="639D4186" w:rsidR="00607507" w:rsidRPr="00607507" w:rsidRDefault="00607507" w:rsidP="00607507">
            <w:pPr>
              <w:jc w:val="right"/>
              <w:rPr>
                <w:rFonts w:ascii="Arial" w:eastAsia="Times New Roman" w:hAnsi="Arial" w:cs="Arial"/>
                <w:color w:val="000000"/>
                <w:sz w:val="20"/>
                <w:szCs w:val="20"/>
                <w:lang w:eastAsia="en-CA"/>
              </w:rPr>
            </w:pPr>
            <w:r w:rsidRPr="00607507">
              <w:rPr>
                <w:rFonts w:ascii="Arial" w:hAnsi="Arial" w:cs="Arial"/>
                <w:color w:val="000000"/>
                <w:sz w:val="20"/>
                <w:szCs w:val="20"/>
              </w:rPr>
              <w:t>0.8</w:t>
            </w:r>
            <w:r w:rsidR="001D5280">
              <w:rPr>
                <w:rFonts w:ascii="Arial" w:hAnsi="Arial" w:cs="Arial"/>
                <w:color w:val="000000"/>
                <w:sz w:val="20"/>
                <w:szCs w:val="20"/>
              </w:rPr>
              <w:t>9</w:t>
            </w:r>
          </w:p>
        </w:tc>
      </w:tr>
      <w:tr w:rsidR="00607507" w:rsidRPr="0086274D" w14:paraId="0999AB87" w14:textId="77777777" w:rsidTr="003F281B">
        <w:trPr>
          <w:trHeight w:val="227"/>
        </w:trPr>
        <w:tc>
          <w:tcPr>
            <w:tcW w:w="0" w:type="auto"/>
            <w:hideMark/>
          </w:tcPr>
          <w:p w14:paraId="1624FCAD" w14:textId="77777777"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sz w:val="20"/>
                <w:szCs w:val="20"/>
              </w:rPr>
              <w:t>Extended severe disease</w:t>
            </w:r>
          </w:p>
        </w:tc>
        <w:tc>
          <w:tcPr>
            <w:tcW w:w="0" w:type="auto"/>
            <w:vAlign w:val="center"/>
          </w:tcPr>
          <w:p w14:paraId="23FE36E4" w14:textId="34562F88"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color w:val="000000"/>
                <w:sz w:val="20"/>
                <w:szCs w:val="20"/>
              </w:rPr>
              <w:t>95</w:t>
            </w:r>
          </w:p>
        </w:tc>
        <w:tc>
          <w:tcPr>
            <w:tcW w:w="0" w:type="auto"/>
            <w:vAlign w:val="center"/>
            <w:hideMark/>
          </w:tcPr>
          <w:p w14:paraId="6A8C8B96" w14:textId="2E735DB8"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color w:val="000000"/>
                <w:sz w:val="20"/>
                <w:szCs w:val="20"/>
              </w:rPr>
              <w:t>1.8</w:t>
            </w:r>
            <w:r w:rsidR="001D5280">
              <w:rPr>
                <w:rFonts w:ascii="Arial" w:hAnsi="Arial" w:cs="Arial"/>
                <w:color w:val="000000"/>
                <w:sz w:val="20"/>
                <w:szCs w:val="20"/>
              </w:rPr>
              <w:t>0</w:t>
            </w:r>
            <w:r w:rsidRPr="00607507">
              <w:rPr>
                <w:rFonts w:ascii="Arial" w:hAnsi="Arial" w:cs="Arial"/>
                <w:color w:val="000000"/>
                <w:sz w:val="20"/>
                <w:szCs w:val="20"/>
              </w:rPr>
              <w:t> (1.07, 3.04)</w:t>
            </w:r>
          </w:p>
        </w:tc>
        <w:tc>
          <w:tcPr>
            <w:tcW w:w="0" w:type="auto"/>
            <w:vAlign w:val="center"/>
            <w:hideMark/>
          </w:tcPr>
          <w:p w14:paraId="2CD3F3A0" w14:textId="4DBBAA84" w:rsidR="00607507" w:rsidRPr="00607507" w:rsidRDefault="00607507" w:rsidP="00607507">
            <w:pPr>
              <w:jc w:val="right"/>
              <w:rPr>
                <w:rFonts w:ascii="Arial" w:eastAsia="Times New Roman" w:hAnsi="Arial" w:cs="Arial"/>
                <w:color w:val="000000"/>
                <w:sz w:val="20"/>
                <w:szCs w:val="20"/>
                <w:lang w:eastAsia="en-CA"/>
              </w:rPr>
            </w:pPr>
            <w:r w:rsidRPr="00607507">
              <w:rPr>
                <w:rFonts w:ascii="Arial" w:hAnsi="Arial" w:cs="Arial"/>
                <w:color w:val="000000"/>
                <w:sz w:val="20"/>
                <w:szCs w:val="20"/>
              </w:rPr>
              <w:t>0.0</w:t>
            </w:r>
            <w:r w:rsidR="001D5280">
              <w:rPr>
                <w:rFonts w:ascii="Arial" w:hAnsi="Arial" w:cs="Arial"/>
                <w:color w:val="000000"/>
                <w:sz w:val="20"/>
                <w:szCs w:val="20"/>
              </w:rPr>
              <w:t>3</w:t>
            </w:r>
          </w:p>
        </w:tc>
        <w:tc>
          <w:tcPr>
            <w:tcW w:w="0" w:type="auto"/>
            <w:vAlign w:val="center"/>
            <w:hideMark/>
          </w:tcPr>
          <w:p w14:paraId="5A361DCF" w14:textId="51B78DDB"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color w:val="000000"/>
                <w:sz w:val="20"/>
                <w:szCs w:val="20"/>
              </w:rPr>
              <w:t>-0.01 (-0.0</w:t>
            </w:r>
            <w:r w:rsidR="001D5280">
              <w:rPr>
                <w:rFonts w:ascii="Arial" w:hAnsi="Arial" w:cs="Arial"/>
                <w:color w:val="000000"/>
                <w:sz w:val="20"/>
                <w:szCs w:val="20"/>
              </w:rPr>
              <w:t>4</w:t>
            </w:r>
            <w:r w:rsidRPr="00607507">
              <w:rPr>
                <w:rFonts w:ascii="Arial" w:hAnsi="Arial" w:cs="Arial"/>
                <w:color w:val="000000"/>
                <w:sz w:val="20"/>
                <w:szCs w:val="20"/>
              </w:rPr>
              <w:t>, 0.01</w:t>
            </w:r>
            <w:r w:rsidR="001E4178">
              <w:rPr>
                <w:rFonts w:ascii="Arial" w:hAnsi="Arial" w:cs="Arial"/>
                <w:color w:val="000000"/>
                <w:sz w:val="20"/>
                <w:szCs w:val="20"/>
              </w:rPr>
              <w:t>)</w:t>
            </w:r>
          </w:p>
        </w:tc>
        <w:tc>
          <w:tcPr>
            <w:tcW w:w="0" w:type="auto"/>
            <w:vAlign w:val="center"/>
            <w:hideMark/>
          </w:tcPr>
          <w:p w14:paraId="6922827C" w14:textId="7C6300F5" w:rsidR="00607507" w:rsidRPr="00607507" w:rsidRDefault="00607507" w:rsidP="00607507">
            <w:pPr>
              <w:jc w:val="right"/>
              <w:rPr>
                <w:rFonts w:ascii="Arial" w:eastAsia="Times New Roman" w:hAnsi="Arial" w:cs="Arial"/>
                <w:color w:val="000000"/>
                <w:sz w:val="20"/>
                <w:szCs w:val="20"/>
                <w:lang w:eastAsia="en-CA"/>
              </w:rPr>
            </w:pPr>
            <w:r w:rsidRPr="00607507">
              <w:rPr>
                <w:rFonts w:ascii="Arial" w:hAnsi="Arial" w:cs="Arial"/>
                <w:color w:val="000000"/>
                <w:sz w:val="20"/>
                <w:szCs w:val="20"/>
              </w:rPr>
              <w:t>0.37</w:t>
            </w:r>
          </w:p>
        </w:tc>
        <w:tc>
          <w:tcPr>
            <w:tcW w:w="0" w:type="auto"/>
            <w:vAlign w:val="center"/>
            <w:hideMark/>
          </w:tcPr>
          <w:p w14:paraId="6BF4CBA6" w14:textId="451254AD"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color w:val="000000"/>
                <w:sz w:val="20"/>
                <w:szCs w:val="20"/>
              </w:rPr>
              <w:t>2.3</w:t>
            </w:r>
            <w:r w:rsidR="001D5280">
              <w:rPr>
                <w:rFonts w:ascii="Arial" w:hAnsi="Arial" w:cs="Arial"/>
                <w:color w:val="000000"/>
                <w:sz w:val="20"/>
                <w:szCs w:val="20"/>
              </w:rPr>
              <w:t>0</w:t>
            </w:r>
            <w:r w:rsidRPr="00607507">
              <w:rPr>
                <w:rFonts w:ascii="Arial" w:hAnsi="Arial" w:cs="Arial"/>
                <w:color w:val="000000"/>
                <w:sz w:val="20"/>
                <w:szCs w:val="20"/>
              </w:rPr>
              <w:t> (1.09, 4.85)</w:t>
            </w:r>
          </w:p>
        </w:tc>
        <w:tc>
          <w:tcPr>
            <w:tcW w:w="0" w:type="auto"/>
            <w:vAlign w:val="center"/>
            <w:hideMark/>
          </w:tcPr>
          <w:p w14:paraId="2935A222" w14:textId="2C404CA4" w:rsidR="00607507" w:rsidRPr="00607507" w:rsidRDefault="00607507" w:rsidP="00607507">
            <w:pPr>
              <w:jc w:val="right"/>
              <w:rPr>
                <w:rFonts w:ascii="Arial" w:eastAsia="Times New Roman" w:hAnsi="Arial" w:cs="Arial"/>
                <w:color w:val="000000"/>
                <w:sz w:val="20"/>
                <w:szCs w:val="20"/>
                <w:lang w:eastAsia="en-CA"/>
              </w:rPr>
            </w:pPr>
            <w:r w:rsidRPr="00607507">
              <w:rPr>
                <w:rFonts w:ascii="Arial" w:hAnsi="Arial" w:cs="Arial"/>
                <w:color w:val="000000"/>
                <w:sz w:val="20"/>
                <w:szCs w:val="20"/>
              </w:rPr>
              <w:t>0.03</w:t>
            </w:r>
          </w:p>
        </w:tc>
      </w:tr>
      <w:tr w:rsidR="00CB5128" w:rsidRPr="0086274D" w14:paraId="68F8B404" w14:textId="77777777" w:rsidTr="003F281B">
        <w:trPr>
          <w:trHeight w:val="227"/>
        </w:trPr>
        <w:tc>
          <w:tcPr>
            <w:tcW w:w="0" w:type="auto"/>
            <w:gridSpan w:val="8"/>
          </w:tcPr>
          <w:p w14:paraId="6755FDDB" w14:textId="77777777" w:rsidR="00CB5128" w:rsidRPr="00607507" w:rsidRDefault="00CB5128" w:rsidP="003F281B">
            <w:pPr>
              <w:rPr>
                <w:rFonts w:ascii="Arial" w:hAnsi="Arial" w:cs="Arial"/>
                <w:b/>
                <w:bCs/>
                <w:i/>
                <w:iCs/>
                <w:sz w:val="20"/>
                <w:szCs w:val="20"/>
              </w:rPr>
            </w:pPr>
            <w:r w:rsidRPr="00607507">
              <w:rPr>
                <w:rFonts w:ascii="Arial" w:hAnsi="Arial" w:cs="Arial"/>
                <w:b/>
                <w:bCs/>
                <w:i/>
                <w:iCs/>
                <w:sz w:val="20"/>
                <w:szCs w:val="20"/>
              </w:rPr>
              <w:t>25OHD sensitivity analysis restricted to genes in the vitamin D pathway</w:t>
            </w:r>
          </w:p>
        </w:tc>
      </w:tr>
      <w:tr w:rsidR="00607507" w:rsidRPr="0086274D" w14:paraId="27C89C50" w14:textId="77777777" w:rsidTr="003F281B">
        <w:trPr>
          <w:trHeight w:val="227"/>
        </w:trPr>
        <w:tc>
          <w:tcPr>
            <w:tcW w:w="0" w:type="auto"/>
            <w:hideMark/>
          </w:tcPr>
          <w:p w14:paraId="04AC9324" w14:textId="77777777"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sz w:val="20"/>
                <w:szCs w:val="20"/>
              </w:rPr>
              <w:t>Extended susceptibility</w:t>
            </w:r>
          </w:p>
        </w:tc>
        <w:tc>
          <w:tcPr>
            <w:tcW w:w="0" w:type="auto"/>
            <w:vAlign w:val="center"/>
          </w:tcPr>
          <w:p w14:paraId="6B956DDE" w14:textId="09B9F247"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color w:val="000000"/>
                <w:sz w:val="20"/>
                <w:szCs w:val="20"/>
              </w:rPr>
              <w:t>20</w:t>
            </w:r>
          </w:p>
        </w:tc>
        <w:tc>
          <w:tcPr>
            <w:tcW w:w="0" w:type="auto"/>
            <w:vAlign w:val="center"/>
            <w:hideMark/>
          </w:tcPr>
          <w:p w14:paraId="5EA4DAC7" w14:textId="5D1AD35B"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color w:val="000000"/>
                <w:sz w:val="20"/>
                <w:szCs w:val="20"/>
              </w:rPr>
              <w:t>0.</w:t>
            </w:r>
            <w:r w:rsidR="001D5280">
              <w:rPr>
                <w:rFonts w:ascii="Arial" w:hAnsi="Arial" w:cs="Arial"/>
                <w:color w:val="000000"/>
                <w:sz w:val="20"/>
                <w:szCs w:val="20"/>
              </w:rPr>
              <w:t>80</w:t>
            </w:r>
            <w:r w:rsidRPr="00607507">
              <w:rPr>
                <w:rFonts w:ascii="Arial" w:hAnsi="Arial" w:cs="Arial"/>
                <w:color w:val="000000"/>
                <w:sz w:val="20"/>
                <w:szCs w:val="20"/>
              </w:rPr>
              <w:t> (0.6</w:t>
            </w:r>
            <w:r w:rsidR="001D5280">
              <w:rPr>
                <w:rFonts w:ascii="Arial" w:hAnsi="Arial" w:cs="Arial"/>
                <w:color w:val="000000"/>
                <w:sz w:val="20"/>
                <w:szCs w:val="20"/>
              </w:rPr>
              <w:t>1</w:t>
            </w:r>
            <w:r w:rsidRPr="00607507">
              <w:rPr>
                <w:rFonts w:ascii="Arial" w:hAnsi="Arial" w:cs="Arial"/>
                <w:color w:val="000000"/>
                <w:sz w:val="20"/>
                <w:szCs w:val="20"/>
              </w:rPr>
              <w:t>, 1.05)</w:t>
            </w:r>
          </w:p>
        </w:tc>
        <w:tc>
          <w:tcPr>
            <w:tcW w:w="0" w:type="auto"/>
            <w:vAlign w:val="center"/>
            <w:hideMark/>
          </w:tcPr>
          <w:p w14:paraId="7569EB51" w14:textId="33896FB5" w:rsidR="00607507" w:rsidRPr="00607507" w:rsidRDefault="00607507" w:rsidP="00607507">
            <w:pPr>
              <w:jc w:val="right"/>
              <w:rPr>
                <w:rFonts w:ascii="Arial" w:eastAsia="Times New Roman" w:hAnsi="Arial" w:cs="Arial"/>
                <w:color w:val="000000"/>
                <w:sz w:val="20"/>
                <w:szCs w:val="20"/>
                <w:lang w:eastAsia="en-CA"/>
              </w:rPr>
            </w:pPr>
            <w:r w:rsidRPr="00607507">
              <w:rPr>
                <w:rFonts w:ascii="Arial" w:hAnsi="Arial" w:cs="Arial"/>
                <w:color w:val="000000"/>
                <w:sz w:val="20"/>
                <w:szCs w:val="20"/>
              </w:rPr>
              <w:t>0.10</w:t>
            </w:r>
          </w:p>
        </w:tc>
        <w:tc>
          <w:tcPr>
            <w:tcW w:w="0" w:type="auto"/>
            <w:vAlign w:val="center"/>
            <w:hideMark/>
          </w:tcPr>
          <w:p w14:paraId="7B757942" w14:textId="7D43010E"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color w:val="000000"/>
                <w:sz w:val="20"/>
                <w:szCs w:val="20"/>
              </w:rPr>
              <w:t>0.02 (-0.008, 0.05)</w:t>
            </w:r>
          </w:p>
        </w:tc>
        <w:tc>
          <w:tcPr>
            <w:tcW w:w="0" w:type="auto"/>
            <w:vAlign w:val="center"/>
            <w:hideMark/>
          </w:tcPr>
          <w:p w14:paraId="64B9DC79" w14:textId="0D21FF39" w:rsidR="00607507" w:rsidRPr="00607507" w:rsidRDefault="00607507" w:rsidP="00607507">
            <w:pPr>
              <w:jc w:val="right"/>
              <w:rPr>
                <w:rFonts w:ascii="Arial" w:eastAsia="Times New Roman" w:hAnsi="Arial" w:cs="Arial"/>
                <w:color w:val="000000"/>
                <w:sz w:val="20"/>
                <w:szCs w:val="20"/>
                <w:lang w:eastAsia="en-CA"/>
              </w:rPr>
            </w:pPr>
            <w:r w:rsidRPr="00607507">
              <w:rPr>
                <w:rFonts w:ascii="Arial" w:hAnsi="Arial" w:cs="Arial"/>
                <w:color w:val="000000"/>
                <w:sz w:val="20"/>
                <w:szCs w:val="20"/>
              </w:rPr>
              <w:t>0.17</w:t>
            </w:r>
          </w:p>
        </w:tc>
        <w:tc>
          <w:tcPr>
            <w:tcW w:w="0" w:type="auto"/>
            <w:vAlign w:val="center"/>
            <w:hideMark/>
          </w:tcPr>
          <w:p w14:paraId="494C05C4" w14:textId="24C252D4"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color w:val="000000"/>
                <w:sz w:val="20"/>
                <w:szCs w:val="20"/>
              </w:rPr>
              <w:t>0.64 (0.43, 0.9</w:t>
            </w:r>
            <w:r w:rsidR="001D5280">
              <w:rPr>
                <w:rFonts w:ascii="Arial" w:hAnsi="Arial" w:cs="Arial"/>
                <w:color w:val="000000"/>
                <w:sz w:val="20"/>
                <w:szCs w:val="20"/>
              </w:rPr>
              <w:t>6</w:t>
            </w:r>
            <w:r w:rsidRPr="00607507">
              <w:rPr>
                <w:rFonts w:ascii="Arial" w:hAnsi="Arial" w:cs="Arial"/>
                <w:color w:val="000000"/>
                <w:sz w:val="20"/>
                <w:szCs w:val="20"/>
              </w:rPr>
              <w:t>)</w:t>
            </w:r>
          </w:p>
        </w:tc>
        <w:tc>
          <w:tcPr>
            <w:tcW w:w="0" w:type="auto"/>
            <w:vAlign w:val="center"/>
            <w:hideMark/>
          </w:tcPr>
          <w:p w14:paraId="04861B0E" w14:textId="5B9DC103" w:rsidR="00607507" w:rsidRPr="00607507" w:rsidRDefault="00607507" w:rsidP="00607507">
            <w:pPr>
              <w:jc w:val="right"/>
              <w:rPr>
                <w:rFonts w:ascii="Arial" w:eastAsia="Times New Roman" w:hAnsi="Arial" w:cs="Arial"/>
                <w:color w:val="000000"/>
                <w:sz w:val="20"/>
                <w:szCs w:val="20"/>
                <w:lang w:eastAsia="en-CA"/>
              </w:rPr>
            </w:pPr>
            <w:r w:rsidRPr="00607507">
              <w:rPr>
                <w:rFonts w:ascii="Arial" w:hAnsi="Arial" w:cs="Arial"/>
                <w:color w:val="000000"/>
                <w:sz w:val="20"/>
                <w:szCs w:val="20"/>
              </w:rPr>
              <w:t>0.04</w:t>
            </w:r>
          </w:p>
        </w:tc>
      </w:tr>
      <w:tr w:rsidR="00607507" w:rsidRPr="0086274D" w14:paraId="363589F2" w14:textId="77777777" w:rsidTr="003F281B">
        <w:trPr>
          <w:trHeight w:val="227"/>
        </w:trPr>
        <w:tc>
          <w:tcPr>
            <w:tcW w:w="0" w:type="auto"/>
            <w:hideMark/>
          </w:tcPr>
          <w:p w14:paraId="25C2EFC2" w14:textId="77777777"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sz w:val="20"/>
                <w:szCs w:val="20"/>
              </w:rPr>
              <w:t>Extended hospitalization</w:t>
            </w:r>
          </w:p>
        </w:tc>
        <w:tc>
          <w:tcPr>
            <w:tcW w:w="0" w:type="auto"/>
            <w:vAlign w:val="center"/>
          </w:tcPr>
          <w:p w14:paraId="4274BCB1" w14:textId="3776505A"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color w:val="000000"/>
                <w:sz w:val="20"/>
                <w:szCs w:val="20"/>
              </w:rPr>
              <w:t>20</w:t>
            </w:r>
          </w:p>
        </w:tc>
        <w:tc>
          <w:tcPr>
            <w:tcW w:w="0" w:type="auto"/>
            <w:vAlign w:val="center"/>
            <w:hideMark/>
          </w:tcPr>
          <w:p w14:paraId="1377BCA1" w14:textId="706D2B91"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color w:val="000000"/>
                <w:sz w:val="20"/>
                <w:szCs w:val="20"/>
              </w:rPr>
              <w:t>1.08 (0.6</w:t>
            </w:r>
            <w:r w:rsidR="001D5280">
              <w:rPr>
                <w:rFonts w:ascii="Arial" w:hAnsi="Arial" w:cs="Arial"/>
                <w:color w:val="000000"/>
                <w:sz w:val="20"/>
                <w:szCs w:val="20"/>
              </w:rPr>
              <w:t>9</w:t>
            </w:r>
            <w:r w:rsidRPr="00607507">
              <w:rPr>
                <w:rFonts w:ascii="Arial" w:hAnsi="Arial" w:cs="Arial"/>
                <w:color w:val="000000"/>
                <w:sz w:val="20"/>
                <w:szCs w:val="20"/>
              </w:rPr>
              <w:t>, 1.69)</w:t>
            </w:r>
          </w:p>
        </w:tc>
        <w:tc>
          <w:tcPr>
            <w:tcW w:w="0" w:type="auto"/>
            <w:vAlign w:val="center"/>
            <w:hideMark/>
          </w:tcPr>
          <w:p w14:paraId="738C164C" w14:textId="79A7A30A" w:rsidR="00607507" w:rsidRPr="00607507" w:rsidRDefault="00607507" w:rsidP="00607507">
            <w:pPr>
              <w:jc w:val="right"/>
              <w:rPr>
                <w:rFonts w:ascii="Arial" w:eastAsia="Times New Roman" w:hAnsi="Arial" w:cs="Arial"/>
                <w:color w:val="000000"/>
                <w:sz w:val="20"/>
                <w:szCs w:val="20"/>
                <w:lang w:eastAsia="en-CA"/>
              </w:rPr>
            </w:pPr>
            <w:r w:rsidRPr="00607507">
              <w:rPr>
                <w:rFonts w:ascii="Arial" w:hAnsi="Arial" w:cs="Arial"/>
                <w:color w:val="000000"/>
                <w:sz w:val="20"/>
                <w:szCs w:val="20"/>
              </w:rPr>
              <w:t>0.74</w:t>
            </w:r>
          </w:p>
        </w:tc>
        <w:tc>
          <w:tcPr>
            <w:tcW w:w="0" w:type="auto"/>
            <w:vAlign w:val="center"/>
            <w:hideMark/>
          </w:tcPr>
          <w:p w14:paraId="60404915" w14:textId="1A2BC042"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color w:val="000000"/>
                <w:sz w:val="20"/>
                <w:szCs w:val="20"/>
              </w:rPr>
              <w:t>0.0</w:t>
            </w:r>
            <w:r w:rsidR="001D5280">
              <w:rPr>
                <w:rFonts w:ascii="Arial" w:hAnsi="Arial" w:cs="Arial"/>
                <w:color w:val="000000"/>
                <w:sz w:val="20"/>
                <w:szCs w:val="20"/>
              </w:rPr>
              <w:t>5</w:t>
            </w:r>
            <w:r w:rsidRPr="00607507">
              <w:rPr>
                <w:rFonts w:ascii="Arial" w:hAnsi="Arial" w:cs="Arial"/>
                <w:color w:val="000000"/>
                <w:sz w:val="20"/>
                <w:szCs w:val="20"/>
              </w:rPr>
              <w:t> (-</w:t>
            </w:r>
            <w:r w:rsidR="001D5280">
              <w:rPr>
                <w:rFonts w:ascii="Arial" w:hAnsi="Arial" w:cs="Arial"/>
                <w:color w:val="000000"/>
                <w:sz w:val="20"/>
                <w:szCs w:val="20"/>
              </w:rPr>
              <w:t>0.0000</w:t>
            </w:r>
            <w:r w:rsidRPr="00607507">
              <w:rPr>
                <w:rFonts w:ascii="Arial" w:hAnsi="Arial" w:cs="Arial"/>
                <w:color w:val="000000"/>
                <w:sz w:val="20"/>
                <w:szCs w:val="20"/>
              </w:rPr>
              <w:t>9, 0.</w:t>
            </w:r>
            <w:r w:rsidR="001D5280">
              <w:rPr>
                <w:rFonts w:ascii="Arial" w:hAnsi="Arial" w:cs="Arial"/>
                <w:color w:val="000000"/>
                <w:sz w:val="20"/>
                <w:szCs w:val="20"/>
              </w:rPr>
              <w:t>10</w:t>
            </w:r>
            <w:r w:rsidRPr="00607507">
              <w:rPr>
                <w:rFonts w:ascii="Arial" w:hAnsi="Arial" w:cs="Arial"/>
                <w:color w:val="000000"/>
                <w:sz w:val="20"/>
                <w:szCs w:val="20"/>
              </w:rPr>
              <w:t>)</w:t>
            </w:r>
          </w:p>
        </w:tc>
        <w:tc>
          <w:tcPr>
            <w:tcW w:w="0" w:type="auto"/>
            <w:vAlign w:val="center"/>
            <w:hideMark/>
          </w:tcPr>
          <w:p w14:paraId="1D40A4FD" w14:textId="09F4BDCC" w:rsidR="00607507" w:rsidRPr="00607507" w:rsidRDefault="00607507" w:rsidP="00607507">
            <w:pPr>
              <w:jc w:val="right"/>
              <w:rPr>
                <w:rFonts w:ascii="Arial" w:eastAsia="Times New Roman" w:hAnsi="Arial" w:cs="Arial"/>
                <w:color w:val="000000"/>
                <w:sz w:val="20"/>
                <w:szCs w:val="20"/>
                <w:lang w:eastAsia="en-CA"/>
              </w:rPr>
            </w:pPr>
            <w:r w:rsidRPr="00607507">
              <w:rPr>
                <w:rFonts w:ascii="Arial" w:hAnsi="Arial" w:cs="Arial"/>
                <w:color w:val="000000"/>
                <w:sz w:val="20"/>
                <w:szCs w:val="20"/>
              </w:rPr>
              <w:t>0.06</w:t>
            </w:r>
          </w:p>
        </w:tc>
        <w:tc>
          <w:tcPr>
            <w:tcW w:w="0" w:type="auto"/>
            <w:vAlign w:val="center"/>
            <w:hideMark/>
          </w:tcPr>
          <w:p w14:paraId="54064923" w14:textId="199DB3BB"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color w:val="000000"/>
                <w:sz w:val="20"/>
                <w:szCs w:val="20"/>
              </w:rPr>
              <w:t>0.6</w:t>
            </w:r>
            <w:r w:rsidR="001D5280">
              <w:rPr>
                <w:rFonts w:ascii="Arial" w:hAnsi="Arial" w:cs="Arial"/>
                <w:color w:val="000000"/>
                <w:sz w:val="20"/>
                <w:szCs w:val="20"/>
              </w:rPr>
              <w:t>7</w:t>
            </w:r>
            <w:r w:rsidRPr="00607507">
              <w:rPr>
                <w:rFonts w:ascii="Arial" w:hAnsi="Arial" w:cs="Arial"/>
                <w:color w:val="000000"/>
                <w:sz w:val="20"/>
                <w:szCs w:val="20"/>
              </w:rPr>
              <w:t> (0.35, 1.26)</w:t>
            </w:r>
          </w:p>
        </w:tc>
        <w:tc>
          <w:tcPr>
            <w:tcW w:w="0" w:type="auto"/>
            <w:vAlign w:val="center"/>
            <w:hideMark/>
          </w:tcPr>
          <w:p w14:paraId="1030ABA5" w14:textId="33D3E6BF" w:rsidR="00607507" w:rsidRPr="00607507" w:rsidRDefault="00607507" w:rsidP="00607507">
            <w:pPr>
              <w:jc w:val="right"/>
              <w:rPr>
                <w:rFonts w:ascii="Arial" w:eastAsia="Times New Roman" w:hAnsi="Arial" w:cs="Arial"/>
                <w:color w:val="000000"/>
                <w:sz w:val="20"/>
                <w:szCs w:val="20"/>
                <w:lang w:eastAsia="en-CA"/>
              </w:rPr>
            </w:pPr>
            <w:r w:rsidRPr="00607507">
              <w:rPr>
                <w:rFonts w:ascii="Arial" w:hAnsi="Arial" w:cs="Arial"/>
                <w:color w:val="000000"/>
                <w:sz w:val="20"/>
                <w:szCs w:val="20"/>
              </w:rPr>
              <w:t>0.2</w:t>
            </w:r>
            <w:r w:rsidR="001D5280">
              <w:rPr>
                <w:rFonts w:ascii="Arial" w:hAnsi="Arial" w:cs="Arial"/>
                <w:color w:val="000000"/>
                <w:sz w:val="20"/>
                <w:szCs w:val="20"/>
              </w:rPr>
              <w:t>3</w:t>
            </w:r>
          </w:p>
        </w:tc>
      </w:tr>
      <w:tr w:rsidR="00607507" w:rsidRPr="0086274D" w14:paraId="6468FB06" w14:textId="77777777" w:rsidTr="003F281B">
        <w:trPr>
          <w:trHeight w:val="227"/>
        </w:trPr>
        <w:tc>
          <w:tcPr>
            <w:tcW w:w="0" w:type="auto"/>
            <w:hideMark/>
          </w:tcPr>
          <w:p w14:paraId="3BD2BA43" w14:textId="77777777"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sz w:val="20"/>
                <w:szCs w:val="20"/>
              </w:rPr>
              <w:t>Extended severe disease</w:t>
            </w:r>
          </w:p>
        </w:tc>
        <w:tc>
          <w:tcPr>
            <w:tcW w:w="0" w:type="auto"/>
            <w:vAlign w:val="center"/>
          </w:tcPr>
          <w:p w14:paraId="1E407847" w14:textId="0E1CD5BE"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color w:val="000000"/>
                <w:sz w:val="20"/>
                <w:szCs w:val="20"/>
              </w:rPr>
              <w:t>20</w:t>
            </w:r>
          </w:p>
        </w:tc>
        <w:tc>
          <w:tcPr>
            <w:tcW w:w="0" w:type="auto"/>
            <w:vAlign w:val="center"/>
            <w:hideMark/>
          </w:tcPr>
          <w:p w14:paraId="2A5310C3" w14:textId="5D75E533"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color w:val="000000"/>
                <w:sz w:val="20"/>
                <w:szCs w:val="20"/>
              </w:rPr>
              <w:t>2.39 (1.15, 4.96)</w:t>
            </w:r>
          </w:p>
        </w:tc>
        <w:tc>
          <w:tcPr>
            <w:tcW w:w="0" w:type="auto"/>
            <w:vAlign w:val="center"/>
            <w:hideMark/>
          </w:tcPr>
          <w:p w14:paraId="4FB6E1EE" w14:textId="7F6B3818" w:rsidR="00607507" w:rsidRPr="00607507" w:rsidRDefault="00607507" w:rsidP="00607507">
            <w:pPr>
              <w:jc w:val="right"/>
              <w:rPr>
                <w:rFonts w:ascii="Arial" w:eastAsia="Times New Roman" w:hAnsi="Arial" w:cs="Arial"/>
                <w:color w:val="000000"/>
                <w:sz w:val="20"/>
                <w:szCs w:val="20"/>
                <w:lang w:eastAsia="en-CA"/>
              </w:rPr>
            </w:pPr>
            <w:r w:rsidRPr="00607507">
              <w:rPr>
                <w:rFonts w:ascii="Arial" w:hAnsi="Arial" w:cs="Arial"/>
                <w:color w:val="000000"/>
                <w:sz w:val="20"/>
                <w:szCs w:val="20"/>
              </w:rPr>
              <w:t>0.0</w:t>
            </w:r>
            <w:r w:rsidR="001D5280">
              <w:rPr>
                <w:rFonts w:ascii="Arial" w:hAnsi="Arial" w:cs="Arial"/>
                <w:color w:val="000000"/>
                <w:sz w:val="20"/>
                <w:szCs w:val="20"/>
              </w:rPr>
              <w:t>2</w:t>
            </w:r>
          </w:p>
        </w:tc>
        <w:tc>
          <w:tcPr>
            <w:tcW w:w="0" w:type="auto"/>
            <w:vAlign w:val="center"/>
            <w:hideMark/>
          </w:tcPr>
          <w:p w14:paraId="3606402D" w14:textId="66DC630B"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color w:val="000000"/>
                <w:sz w:val="20"/>
                <w:szCs w:val="20"/>
              </w:rPr>
              <w:t>0.01 (-0.07, 0.1)</w:t>
            </w:r>
          </w:p>
        </w:tc>
        <w:tc>
          <w:tcPr>
            <w:tcW w:w="0" w:type="auto"/>
            <w:vAlign w:val="center"/>
            <w:hideMark/>
          </w:tcPr>
          <w:p w14:paraId="28D8DA96" w14:textId="5FC91631" w:rsidR="00607507" w:rsidRPr="00607507" w:rsidRDefault="00607507" w:rsidP="00607507">
            <w:pPr>
              <w:jc w:val="right"/>
              <w:rPr>
                <w:rFonts w:ascii="Arial" w:eastAsia="Times New Roman" w:hAnsi="Arial" w:cs="Arial"/>
                <w:color w:val="000000"/>
                <w:sz w:val="20"/>
                <w:szCs w:val="20"/>
                <w:lang w:eastAsia="en-CA"/>
              </w:rPr>
            </w:pPr>
            <w:r w:rsidRPr="00607507">
              <w:rPr>
                <w:rFonts w:ascii="Arial" w:hAnsi="Arial" w:cs="Arial"/>
                <w:color w:val="000000"/>
                <w:sz w:val="20"/>
                <w:szCs w:val="20"/>
              </w:rPr>
              <w:t>0.7</w:t>
            </w:r>
            <w:r w:rsidR="001D5280">
              <w:rPr>
                <w:rFonts w:ascii="Arial" w:hAnsi="Arial" w:cs="Arial"/>
                <w:color w:val="000000"/>
                <w:sz w:val="20"/>
                <w:szCs w:val="20"/>
              </w:rPr>
              <w:t>6</w:t>
            </w:r>
          </w:p>
        </w:tc>
        <w:tc>
          <w:tcPr>
            <w:tcW w:w="0" w:type="auto"/>
            <w:vAlign w:val="center"/>
            <w:hideMark/>
          </w:tcPr>
          <w:p w14:paraId="224676F9" w14:textId="1C567363"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color w:val="000000"/>
                <w:sz w:val="20"/>
                <w:szCs w:val="20"/>
              </w:rPr>
              <w:t>2.08 (0.6</w:t>
            </w:r>
            <w:r w:rsidR="001D5280">
              <w:rPr>
                <w:rFonts w:ascii="Arial" w:hAnsi="Arial" w:cs="Arial"/>
                <w:color w:val="000000"/>
                <w:sz w:val="20"/>
                <w:szCs w:val="20"/>
              </w:rPr>
              <w:t>6</w:t>
            </w:r>
            <w:r w:rsidRPr="00607507">
              <w:rPr>
                <w:rFonts w:ascii="Arial" w:hAnsi="Arial" w:cs="Arial"/>
                <w:color w:val="000000"/>
                <w:sz w:val="20"/>
                <w:szCs w:val="20"/>
              </w:rPr>
              <w:t>, 6.57)</w:t>
            </w:r>
          </w:p>
        </w:tc>
        <w:tc>
          <w:tcPr>
            <w:tcW w:w="0" w:type="auto"/>
            <w:vAlign w:val="center"/>
            <w:hideMark/>
          </w:tcPr>
          <w:p w14:paraId="044EF711" w14:textId="092B631F" w:rsidR="00607507" w:rsidRPr="00607507" w:rsidRDefault="00607507" w:rsidP="00607507">
            <w:pPr>
              <w:jc w:val="right"/>
              <w:rPr>
                <w:rFonts w:ascii="Arial" w:eastAsia="Times New Roman" w:hAnsi="Arial" w:cs="Arial"/>
                <w:color w:val="000000"/>
                <w:sz w:val="20"/>
                <w:szCs w:val="20"/>
                <w:lang w:eastAsia="en-CA"/>
              </w:rPr>
            </w:pPr>
            <w:r w:rsidRPr="00607507">
              <w:rPr>
                <w:rFonts w:ascii="Arial" w:hAnsi="Arial" w:cs="Arial"/>
                <w:color w:val="000000"/>
                <w:sz w:val="20"/>
                <w:szCs w:val="20"/>
              </w:rPr>
              <w:t>0.2</w:t>
            </w:r>
            <w:r w:rsidR="001D5280">
              <w:rPr>
                <w:rFonts w:ascii="Arial" w:hAnsi="Arial" w:cs="Arial"/>
                <w:color w:val="000000"/>
                <w:sz w:val="20"/>
                <w:szCs w:val="20"/>
              </w:rPr>
              <w:t>3</w:t>
            </w:r>
          </w:p>
        </w:tc>
      </w:tr>
      <w:tr w:rsidR="00CB5128" w:rsidRPr="0086274D" w14:paraId="1A47B673" w14:textId="77777777" w:rsidTr="003F281B">
        <w:trPr>
          <w:trHeight w:val="227"/>
        </w:trPr>
        <w:tc>
          <w:tcPr>
            <w:tcW w:w="0" w:type="auto"/>
            <w:gridSpan w:val="8"/>
            <w:vAlign w:val="center"/>
          </w:tcPr>
          <w:p w14:paraId="2A7309B2" w14:textId="77777777" w:rsidR="00CB5128" w:rsidRPr="00607507" w:rsidRDefault="00CB5128" w:rsidP="003F281B">
            <w:pPr>
              <w:rPr>
                <w:rFonts w:ascii="Arial" w:hAnsi="Arial" w:cs="Arial"/>
                <w:b/>
                <w:bCs/>
                <w:i/>
                <w:iCs/>
                <w:sz w:val="20"/>
                <w:szCs w:val="20"/>
              </w:rPr>
            </w:pPr>
            <w:r w:rsidRPr="00607507">
              <w:rPr>
                <w:rFonts w:ascii="Arial" w:hAnsi="Arial" w:cs="Arial"/>
                <w:b/>
                <w:bCs/>
                <w:i/>
                <w:iCs/>
                <w:sz w:val="20"/>
                <w:szCs w:val="20"/>
              </w:rPr>
              <w:t xml:space="preserve">25OHD sensitivity analysis after removal of SNPs identified by </w:t>
            </w:r>
            <w:proofErr w:type="spellStart"/>
            <w:r w:rsidRPr="00607507">
              <w:rPr>
                <w:rFonts w:ascii="Arial" w:hAnsi="Arial" w:cs="Arial"/>
                <w:b/>
                <w:bCs/>
                <w:i/>
                <w:iCs/>
                <w:sz w:val="20"/>
                <w:szCs w:val="20"/>
              </w:rPr>
              <w:t>Phenoscanner</w:t>
            </w:r>
            <w:proofErr w:type="spellEnd"/>
          </w:p>
        </w:tc>
      </w:tr>
      <w:tr w:rsidR="00607507" w:rsidRPr="0086274D" w14:paraId="22B878A4" w14:textId="77777777" w:rsidTr="003F281B">
        <w:trPr>
          <w:trHeight w:val="227"/>
        </w:trPr>
        <w:tc>
          <w:tcPr>
            <w:tcW w:w="0" w:type="auto"/>
            <w:hideMark/>
          </w:tcPr>
          <w:p w14:paraId="551D5A64" w14:textId="77777777"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sz w:val="20"/>
                <w:szCs w:val="20"/>
              </w:rPr>
              <w:t>Extended susceptibility</w:t>
            </w:r>
          </w:p>
        </w:tc>
        <w:tc>
          <w:tcPr>
            <w:tcW w:w="0" w:type="auto"/>
            <w:vAlign w:val="center"/>
          </w:tcPr>
          <w:p w14:paraId="622180BF" w14:textId="4B50173E" w:rsidR="00607507" w:rsidRPr="00607507" w:rsidRDefault="00607507" w:rsidP="00607507">
            <w:pPr>
              <w:rPr>
                <w:rFonts w:ascii="Arial" w:hAnsi="Arial" w:cs="Arial"/>
                <w:color w:val="000000"/>
                <w:sz w:val="20"/>
                <w:szCs w:val="20"/>
              </w:rPr>
            </w:pPr>
            <w:r w:rsidRPr="00607507">
              <w:rPr>
                <w:rFonts w:ascii="Arial" w:hAnsi="Arial" w:cs="Arial"/>
                <w:color w:val="000000"/>
                <w:sz w:val="20"/>
                <w:szCs w:val="20"/>
              </w:rPr>
              <w:t>18</w:t>
            </w:r>
          </w:p>
        </w:tc>
        <w:tc>
          <w:tcPr>
            <w:tcW w:w="0" w:type="auto"/>
            <w:vAlign w:val="center"/>
            <w:hideMark/>
          </w:tcPr>
          <w:p w14:paraId="3A551819" w14:textId="43E76B74"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color w:val="000000"/>
                <w:sz w:val="20"/>
                <w:szCs w:val="20"/>
              </w:rPr>
              <w:t>0.6</w:t>
            </w:r>
            <w:r w:rsidR="001D5280">
              <w:rPr>
                <w:rFonts w:ascii="Arial" w:hAnsi="Arial" w:cs="Arial"/>
                <w:color w:val="000000"/>
                <w:sz w:val="20"/>
                <w:szCs w:val="20"/>
              </w:rPr>
              <w:t>9</w:t>
            </w:r>
            <w:r w:rsidRPr="00607507">
              <w:rPr>
                <w:rFonts w:ascii="Arial" w:hAnsi="Arial" w:cs="Arial"/>
                <w:color w:val="000000"/>
                <w:sz w:val="20"/>
                <w:szCs w:val="20"/>
              </w:rPr>
              <w:t> (0.46, 1.02)</w:t>
            </w:r>
          </w:p>
        </w:tc>
        <w:tc>
          <w:tcPr>
            <w:tcW w:w="0" w:type="auto"/>
            <w:vAlign w:val="center"/>
            <w:hideMark/>
          </w:tcPr>
          <w:p w14:paraId="6D8A4275" w14:textId="4F53FA36" w:rsidR="00607507" w:rsidRPr="00607507" w:rsidRDefault="00607507" w:rsidP="00607507">
            <w:pPr>
              <w:jc w:val="right"/>
              <w:rPr>
                <w:rFonts w:ascii="Arial" w:eastAsia="Times New Roman" w:hAnsi="Arial" w:cs="Arial"/>
                <w:color w:val="000000"/>
                <w:sz w:val="20"/>
                <w:szCs w:val="20"/>
                <w:lang w:eastAsia="en-CA"/>
              </w:rPr>
            </w:pPr>
            <w:r w:rsidRPr="00607507">
              <w:rPr>
                <w:rFonts w:ascii="Arial" w:hAnsi="Arial" w:cs="Arial"/>
                <w:color w:val="000000"/>
                <w:sz w:val="20"/>
                <w:szCs w:val="20"/>
              </w:rPr>
              <w:t>0.06</w:t>
            </w:r>
          </w:p>
        </w:tc>
        <w:tc>
          <w:tcPr>
            <w:tcW w:w="0" w:type="auto"/>
            <w:vAlign w:val="center"/>
            <w:hideMark/>
          </w:tcPr>
          <w:p w14:paraId="6C24785D" w14:textId="5D9500B0"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color w:val="000000"/>
                <w:sz w:val="20"/>
                <w:szCs w:val="20"/>
              </w:rPr>
              <w:t>0.0</w:t>
            </w:r>
            <w:r w:rsidR="001D5280">
              <w:rPr>
                <w:rFonts w:ascii="Arial" w:hAnsi="Arial" w:cs="Arial"/>
                <w:color w:val="000000"/>
                <w:sz w:val="20"/>
                <w:szCs w:val="20"/>
              </w:rPr>
              <w:t>3</w:t>
            </w:r>
            <w:r w:rsidRPr="00607507">
              <w:rPr>
                <w:rFonts w:ascii="Arial" w:hAnsi="Arial" w:cs="Arial"/>
                <w:color w:val="000000"/>
                <w:sz w:val="20"/>
                <w:szCs w:val="20"/>
              </w:rPr>
              <w:t> (-0.00</w:t>
            </w:r>
            <w:r w:rsidR="001D5280">
              <w:rPr>
                <w:rFonts w:ascii="Arial" w:hAnsi="Arial" w:cs="Arial"/>
                <w:color w:val="000000"/>
                <w:sz w:val="20"/>
                <w:szCs w:val="20"/>
              </w:rPr>
              <w:t>8</w:t>
            </w:r>
            <w:r w:rsidRPr="00607507">
              <w:rPr>
                <w:rFonts w:ascii="Arial" w:hAnsi="Arial" w:cs="Arial"/>
                <w:color w:val="000000"/>
                <w:sz w:val="20"/>
                <w:szCs w:val="20"/>
              </w:rPr>
              <w:t>, 0.06)</w:t>
            </w:r>
          </w:p>
        </w:tc>
        <w:tc>
          <w:tcPr>
            <w:tcW w:w="0" w:type="auto"/>
            <w:vAlign w:val="center"/>
            <w:hideMark/>
          </w:tcPr>
          <w:p w14:paraId="4E2A7D59" w14:textId="41C61F90" w:rsidR="00607507" w:rsidRPr="00607507" w:rsidRDefault="00607507" w:rsidP="00607507">
            <w:pPr>
              <w:jc w:val="right"/>
              <w:rPr>
                <w:rFonts w:ascii="Arial" w:eastAsia="Times New Roman" w:hAnsi="Arial" w:cs="Arial"/>
                <w:color w:val="000000"/>
                <w:sz w:val="20"/>
                <w:szCs w:val="20"/>
                <w:lang w:eastAsia="en-CA"/>
              </w:rPr>
            </w:pPr>
            <w:r w:rsidRPr="00607507">
              <w:rPr>
                <w:rFonts w:ascii="Arial" w:hAnsi="Arial" w:cs="Arial"/>
                <w:color w:val="000000"/>
                <w:sz w:val="20"/>
                <w:szCs w:val="20"/>
              </w:rPr>
              <w:t>0.1</w:t>
            </w:r>
            <w:r w:rsidR="001D5280">
              <w:rPr>
                <w:rFonts w:ascii="Arial" w:hAnsi="Arial" w:cs="Arial"/>
                <w:color w:val="000000"/>
                <w:sz w:val="20"/>
                <w:szCs w:val="20"/>
              </w:rPr>
              <w:t>5</w:t>
            </w:r>
          </w:p>
        </w:tc>
        <w:tc>
          <w:tcPr>
            <w:tcW w:w="0" w:type="auto"/>
            <w:vAlign w:val="center"/>
            <w:hideMark/>
          </w:tcPr>
          <w:p w14:paraId="4F179905" w14:textId="4DF05F30"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color w:val="000000"/>
                <w:sz w:val="20"/>
                <w:szCs w:val="20"/>
              </w:rPr>
              <w:t>0.48 (0.2</w:t>
            </w:r>
            <w:r w:rsidR="001D5280">
              <w:rPr>
                <w:rFonts w:ascii="Arial" w:hAnsi="Arial" w:cs="Arial"/>
                <w:color w:val="000000"/>
                <w:sz w:val="20"/>
                <w:szCs w:val="20"/>
              </w:rPr>
              <w:t>7</w:t>
            </w:r>
            <w:r w:rsidRPr="00607507">
              <w:rPr>
                <w:rFonts w:ascii="Arial" w:hAnsi="Arial" w:cs="Arial"/>
                <w:color w:val="000000"/>
                <w:sz w:val="20"/>
                <w:szCs w:val="20"/>
              </w:rPr>
              <w:t>, 0.87)</w:t>
            </w:r>
          </w:p>
        </w:tc>
        <w:tc>
          <w:tcPr>
            <w:tcW w:w="0" w:type="auto"/>
            <w:vAlign w:val="center"/>
            <w:hideMark/>
          </w:tcPr>
          <w:p w14:paraId="57563EEA" w14:textId="6E756F47" w:rsidR="00607507" w:rsidRPr="00607507" w:rsidRDefault="00607507" w:rsidP="00607507">
            <w:pPr>
              <w:jc w:val="right"/>
              <w:rPr>
                <w:rFonts w:ascii="Arial" w:eastAsia="Times New Roman" w:hAnsi="Arial" w:cs="Arial"/>
                <w:color w:val="000000"/>
                <w:sz w:val="20"/>
                <w:szCs w:val="20"/>
                <w:lang w:eastAsia="en-CA"/>
              </w:rPr>
            </w:pPr>
            <w:r w:rsidRPr="00607507">
              <w:rPr>
                <w:rFonts w:ascii="Arial" w:hAnsi="Arial" w:cs="Arial"/>
                <w:color w:val="000000"/>
                <w:sz w:val="20"/>
                <w:szCs w:val="20"/>
              </w:rPr>
              <w:t>0.0</w:t>
            </w:r>
            <w:r w:rsidR="001D5280">
              <w:rPr>
                <w:rFonts w:ascii="Arial" w:hAnsi="Arial" w:cs="Arial"/>
                <w:color w:val="000000"/>
                <w:sz w:val="20"/>
                <w:szCs w:val="20"/>
              </w:rPr>
              <w:t>3</w:t>
            </w:r>
          </w:p>
        </w:tc>
      </w:tr>
      <w:tr w:rsidR="00607507" w:rsidRPr="0086274D" w14:paraId="5D400F8C" w14:textId="77777777" w:rsidTr="003F281B">
        <w:trPr>
          <w:trHeight w:val="227"/>
        </w:trPr>
        <w:tc>
          <w:tcPr>
            <w:tcW w:w="0" w:type="auto"/>
            <w:hideMark/>
          </w:tcPr>
          <w:p w14:paraId="3A1BB77B" w14:textId="77777777"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sz w:val="20"/>
                <w:szCs w:val="20"/>
              </w:rPr>
              <w:t>Extended hospitalization</w:t>
            </w:r>
          </w:p>
        </w:tc>
        <w:tc>
          <w:tcPr>
            <w:tcW w:w="0" w:type="auto"/>
            <w:vAlign w:val="center"/>
          </w:tcPr>
          <w:p w14:paraId="545AB6B5" w14:textId="29217ACA" w:rsidR="00607507" w:rsidRPr="00607507" w:rsidRDefault="00607507" w:rsidP="00607507">
            <w:pPr>
              <w:rPr>
                <w:rFonts w:ascii="Arial" w:hAnsi="Arial" w:cs="Arial"/>
                <w:color w:val="000000"/>
                <w:sz w:val="20"/>
                <w:szCs w:val="20"/>
              </w:rPr>
            </w:pPr>
            <w:r w:rsidRPr="00607507">
              <w:rPr>
                <w:rFonts w:ascii="Arial" w:hAnsi="Arial" w:cs="Arial"/>
                <w:color w:val="000000"/>
                <w:sz w:val="20"/>
                <w:szCs w:val="20"/>
              </w:rPr>
              <w:t>18</w:t>
            </w:r>
          </w:p>
        </w:tc>
        <w:tc>
          <w:tcPr>
            <w:tcW w:w="0" w:type="auto"/>
            <w:vAlign w:val="center"/>
            <w:hideMark/>
          </w:tcPr>
          <w:p w14:paraId="37203378" w14:textId="7C7F8A3E"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color w:val="000000"/>
                <w:sz w:val="20"/>
                <w:szCs w:val="20"/>
              </w:rPr>
              <w:t>1.13 (0.62, 2.05)</w:t>
            </w:r>
          </w:p>
        </w:tc>
        <w:tc>
          <w:tcPr>
            <w:tcW w:w="0" w:type="auto"/>
            <w:vAlign w:val="center"/>
            <w:hideMark/>
          </w:tcPr>
          <w:p w14:paraId="696343C7" w14:textId="63B2CF71" w:rsidR="00607507" w:rsidRPr="00607507" w:rsidRDefault="00607507" w:rsidP="00607507">
            <w:pPr>
              <w:jc w:val="right"/>
              <w:rPr>
                <w:rFonts w:ascii="Arial" w:eastAsia="Times New Roman" w:hAnsi="Arial" w:cs="Arial"/>
                <w:color w:val="000000"/>
                <w:sz w:val="20"/>
                <w:szCs w:val="20"/>
                <w:lang w:eastAsia="en-CA"/>
              </w:rPr>
            </w:pPr>
            <w:r w:rsidRPr="00607507">
              <w:rPr>
                <w:rFonts w:ascii="Arial" w:hAnsi="Arial" w:cs="Arial"/>
                <w:color w:val="000000"/>
                <w:sz w:val="20"/>
                <w:szCs w:val="20"/>
              </w:rPr>
              <w:t>0.69</w:t>
            </w:r>
          </w:p>
        </w:tc>
        <w:tc>
          <w:tcPr>
            <w:tcW w:w="0" w:type="auto"/>
            <w:vAlign w:val="center"/>
            <w:hideMark/>
          </w:tcPr>
          <w:p w14:paraId="202C2A8C" w14:textId="1C59A92C"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color w:val="000000"/>
                <w:sz w:val="20"/>
                <w:szCs w:val="20"/>
              </w:rPr>
              <w:t>0.0</w:t>
            </w:r>
            <w:r w:rsidR="001D5280">
              <w:rPr>
                <w:rFonts w:ascii="Arial" w:hAnsi="Arial" w:cs="Arial"/>
                <w:color w:val="000000"/>
                <w:sz w:val="20"/>
                <w:szCs w:val="20"/>
              </w:rPr>
              <w:t>3</w:t>
            </w:r>
            <w:r w:rsidRPr="00607507">
              <w:rPr>
                <w:rFonts w:ascii="Arial" w:hAnsi="Arial" w:cs="Arial"/>
                <w:color w:val="000000"/>
                <w:sz w:val="20"/>
                <w:szCs w:val="20"/>
              </w:rPr>
              <w:t> (-0.0</w:t>
            </w:r>
            <w:r w:rsidR="001D5280">
              <w:rPr>
                <w:rFonts w:ascii="Arial" w:hAnsi="Arial" w:cs="Arial"/>
                <w:color w:val="000000"/>
                <w:sz w:val="20"/>
                <w:szCs w:val="20"/>
              </w:rPr>
              <w:t>3</w:t>
            </w:r>
            <w:r w:rsidRPr="00607507">
              <w:rPr>
                <w:rFonts w:ascii="Arial" w:hAnsi="Arial" w:cs="Arial"/>
                <w:color w:val="000000"/>
                <w:sz w:val="20"/>
                <w:szCs w:val="20"/>
              </w:rPr>
              <w:t>, 0.0</w:t>
            </w:r>
            <w:r w:rsidR="001D5280">
              <w:rPr>
                <w:rFonts w:ascii="Arial" w:hAnsi="Arial" w:cs="Arial"/>
                <w:color w:val="000000"/>
                <w:sz w:val="20"/>
                <w:szCs w:val="20"/>
              </w:rPr>
              <w:t>9</w:t>
            </w:r>
            <w:r w:rsidRPr="00607507">
              <w:rPr>
                <w:rFonts w:ascii="Arial" w:hAnsi="Arial" w:cs="Arial"/>
                <w:color w:val="000000"/>
                <w:sz w:val="20"/>
                <w:szCs w:val="20"/>
              </w:rPr>
              <w:t>)</w:t>
            </w:r>
          </w:p>
        </w:tc>
        <w:tc>
          <w:tcPr>
            <w:tcW w:w="0" w:type="auto"/>
            <w:vAlign w:val="center"/>
            <w:hideMark/>
          </w:tcPr>
          <w:p w14:paraId="5968FCFF" w14:textId="68B5ADA1" w:rsidR="00607507" w:rsidRPr="00607507" w:rsidRDefault="00607507" w:rsidP="00607507">
            <w:pPr>
              <w:jc w:val="right"/>
              <w:rPr>
                <w:rFonts w:ascii="Arial" w:eastAsia="Times New Roman" w:hAnsi="Arial" w:cs="Arial"/>
                <w:color w:val="000000"/>
                <w:sz w:val="20"/>
                <w:szCs w:val="20"/>
                <w:lang w:eastAsia="en-CA"/>
              </w:rPr>
            </w:pPr>
            <w:r w:rsidRPr="00607507">
              <w:rPr>
                <w:rFonts w:ascii="Arial" w:hAnsi="Arial" w:cs="Arial"/>
                <w:color w:val="000000"/>
                <w:sz w:val="20"/>
                <w:szCs w:val="20"/>
              </w:rPr>
              <w:t>0.32</w:t>
            </w:r>
          </w:p>
        </w:tc>
        <w:tc>
          <w:tcPr>
            <w:tcW w:w="0" w:type="auto"/>
            <w:vAlign w:val="center"/>
            <w:hideMark/>
          </w:tcPr>
          <w:p w14:paraId="2BBEAF0F" w14:textId="664460C3"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color w:val="000000"/>
                <w:sz w:val="20"/>
                <w:szCs w:val="20"/>
              </w:rPr>
              <w:t>0.77 (0.30, 1.98)</w:t>
            </w:r>
          </w:p>
        </w:tc>
        <w:tc>
          <w:tcPr>
            <w:tcW w:w="0" w:type="auto"/>
            <w:vAlign w:val="center"/>
            <w:hideMark/>
          </w:tcPr>
          <w:p w14:paraId="4D4EA5EB" w14:textId="08573315" w:rsidR="00607507" w:rsidRPr="00607507" w:rsidRDefault="00607507" w:rsidP="00607507">
            <w:pPr>
              <w:jc w:val="right"/>
              <w:rPr>
                <w:rFonts w:ascii="Arial" w:eastAsia="Times New Roman" w:hAnsi="Arial" w:cs="Arial"/>
                <w:color w:val="000000"/>
                <w:sz w:val="20"/>
                <w:szCs w:val="20"/>
                <w:lang w:eastAsia="en-CA"/>
              </w:rPr>
            </w:pPr>
            <w:r w:rsidRPr="00607507">
              <w:rPr>
                <w:rFonts w:ascii="Arial" w:hAnsi="Arial" w:cs="Arial"/>
                <w:color w:val="000000"/>
                <w:sz w:val="20"/>
                <w:szCs w:val="20"/>
              </w:rPr>
              <w:t>0.</w:t>
            </w:r>
            <w:r w:rsidR="001D5280">
              <w:rPr>
                <w:rFonts w:ascii="Arial" w:hAnsi="Arial" w:cs="Arial"/>
                <w:color w:val="000000"/>
                <w:sz w:val="20"/>
                <w:szCs w:val="20"/>
              </w:rPr>
              <w:t>60</w:t>
            </w:r>
          </w:p>
        </w:tc>
      </w:tr>
      <w:tr w:rsidR="00607507" w:rsidRPr="0086274D" w14:paraId="2E1A624F" w14:textId="77777777" w:rsidTr="003F281B">
        <w:trPr>
          <w:trHeight w:val="227"/>
        </w:trPr>
        <w:tc>
          <w:tcPr>
            <w:tcW w:w="0" w:type="auto"/>
            <w:hideMark/>
          </w:tcPr>
          <w:p w14:paraId="54D10500" w14:textId="77777777"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sz w:val="20"/>
                <w:szCs w:val="20"/>
              </w:rPr>
              <w:t>Extended severe disease</w:t>
            </w:r>
          </w:p>
        </w:tc>
        <w:tc>
          <w:tcPr>
            <w:tcW w:w="0" w:type="auto"/>
            <w:vAlign w:val="center"/>
          </w:tcPr>
          <w:p w14:paraId="71B9B76D" w14:textId="04975153" w:rsidR="00607507" w:rsidRPr="00607507" w:rsidRDefault="00607507" w:rsidP="00607507">
            <w:pPr>
              <w:rPr>
                <w:rFonts w:ascii="Arial" w:hAnsi="Arial" w:cs="Arial"/>
                <w:color w:val="000000"/>
                <w:sz w:val="20"/>
                <w:szCs w:val="20"/>
              </w:rPr>
            </w:pPr>
            <w:r w:rsidRPr="00607507">
              <w:rPr>
                <w:rFonts w:ascii="Arial" w:hAnsi="Arial" w:cs="Arial"/>
                <w:color w:val="000000"/>
                <w:sz w:val="20"/>
                <w:szCs w:val="20"/>
              </w:rPr>
              <w:t>18</w:t>
            </w:r>
          </w:p>
        </w:tc>
        <w:tc>
          <w:tcPr>
            <w:tcW w:w="0" w:type="auto"/>
            <w:vAlign w:val="center"/>
            <w:hideMark/>
          </w:tcPr>
          <w:p w14:paraId="7CBEB60C" w14:textId="7178869C"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color w:val="000000"/>
                <w:sz w:val="20"/>
                <w:szCs w:val="20"/>
              </w:rPr>
              <w:t>3.07 (1.17, 8.04)</w:t>
            </w:r>
          </w:p>
        </w:tc>
        <w:tc>
          <w:tcPr>
            <w:tcW w:w="0" w:type="auto"/>
            <w:vAlign w:val="center"/>
            <w:hideMark/>
          </w:tcPr>
          <w:p w14:paraId="3B5AE877" w14:textId="20CA933F" w:rsidR="00607507" w:rsidRPr="00607507" w:rsidRDefault="00607507" w:rsidP="00607507">
            <w:pPr>
              <w:jc w:val="right"/>
              <w:rPr>
                <w:rFonts w:ascii="Arial" w:eastAsia="Times New Roman" w:hAnsi="Arial" w:cs="Arial"/>
                <w:color w:val="000000"/>
                <w:sz w:val="20"/>
                <w:szCs w:val="20"/>
                <w:lang w:eastAsia="en-CA"/>
              </w:rPr>
            </w:pPr>
            <w:r w:rsidRPr="00607507">
              <w:rPr>
                <w:rFonts w:ascii="Arial" w:hAnsi="Arial" w:cs="Arial"/>
                <w:color w:val="000000"/>
                <w:sz w:val="20"/>
                <w:szCs w:val="20"/>
              </w:rPr>
              <w:t>0.02</w:t>
            </w:r>
          </w:p>
        </w:tc>
        <w:tc>
          <w:tcPr>
            <w:tcW w:w="0" w:type="auto"/>
            <w:vAlign w:val="center"/>
            <w:hideMark/>
          </w:tcPr>
          <w:p w14:paraId="2994EBAF" w14:textId="1843D405"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color w:val="000000"/>
                <w:sz w:val="20"/>
                <w:szCs w:val="20"/>
              </w:rPr>
              <w:t>-0.05 (-0.14, 0.04)</w:t>
            </w:r>
          </w:p>
        </w:tc>
        <w:tc>
          <w:tcPr>
            <w:tcW w:w="0" w:type="auto"/>
            <w:vAlign w:val="center"/>
            <w:hideMark/>
          </w:tcPr>
          <w:p w14:paraId="512252DE" w14:textId="1CD2DCEC" w:rsidR="00607507" w:rsidRPr="00607507" w:rsidRDefault="00607507" w:rsidP="00607507">
            <w:pPr>
              <w:jc w:val="right"/>
              <w:rPr>
                <w:rFonts w:ascii="Arial" w:eastAsia="Times New Roman" w:hAnsi="Arial" w:cs="Arial"/>
                <w:color w:val="000000"/>
                <w:sz w:val="20"/>
                <w:szCs w:val="20"/>
                <w:lang w:eastAsia="en-CA"/>
              </w:rPr>
            </w:pPr>
            <w:r w:rsidRPr="00607507">
              <w:rPr>
                <w:rFonts w:ascii="Arial" w:hAnsi="Arial" w:cs="Arial"/>
                <w:color w:val="000000"/>
                <w:sz w:val="20"/>
                <w:szCs w:val="20"/>
              </w:rPr>
              <w:t>0.29</w:t>
            </w:r>
          </w:p>
        </w:tc>
        <w:tc>
          <w:tcPr>
            <w:tcW w:w="0" w:type="auto"/>
            <w:vAlign w:val="center"/>
            <w:hideMark/>
          </w:tcPr>
          <w:p w14:paraId="2CD1F4A1" w14:textId="6576DB99" w:rsidR="00607507" w:rsidRPr="00607507" w:rsidRDefault="00607507" w:rsidP="00607507">
            <w:pPr>
              <w:rPr>
                <w:rFonts w:ascii="Arial" w:eastAsia="Times New Roman" w:hAnsi="Arial" w:cs="Arial"/>
                <w:color w:val="000000"/>
                <w:sz w:val="20"/>
                <w:szCs w:val="20"/>
                <w:lang w:eastAsia="en-CA"/>
              </w:rPr>
            </w:pPr>
            <w:r w:rsidRPr="00607507">
              <w:rPr>
                <w:rFonts w:ascii="Arial" w:hAnsi="Arial" w:cs="Arial"/>
                <w:color w:val="000000"/>
                <w:sz w:val="20"/>
                <w:szCs w:val="20"/>
              </w:rPr>
              <w:t>6.03 (1.28, 28.4)</w:t>
            </w:r>
          </w:p>
        </w:tc>
        <w:tc>
          <w:tcPr>
            <w:tcW w:w="0" w:type="auto"/>
            <w:vAlign w:val="center"/>
            <w:hideMark/>
          </w:tcPr>
          <w:p w14:paraId="0DA28022" w14:textId="359D7FF7" w:rsidR="00607507" w:rsidRPr="00607507" w:rsidRDefault="00607507" w:rsidP="00607507">
            <w:pPr>
              <w:jc w:val="right"/>
              <w:rPr>
                <w:rFonts w:ascii="Arial" w:eastAsia="Times New Roman" w:hAnsi="Arial" w:cs="Arial"/>
                <w:color w:val="000000"/>
                <w:sz w:val="20"/>
                <w:szCs w:val="20"/>
                <w:lang w:eastAsia="en-CA"/>
              </w:rPr>
            </w:pPr>
            <w:r w:rsidRPr="00607507">
              <w:rPr>
                <w:rFonts w:ascii="Arial" w:hAnsi="Arial" w:cs="Arial"/>
                <w:color w:val="000000"/>
                <w:sz w:val="20"/>
                <w:szCs w:val="20"/>
              </w:rPr>
              <w:t>0.0</w:t>
            </w:r>
            <w:r w:rsidR="001D5280">
              <w:rPr>
                <w:rFonts w:ascii="Arial" w:hAnsi="Arial" w:cs="Arial"/>
                <w:color w:val="000000"/>
                <w:sz w:val="20"/>
                <w:szCs w:val="20"/>
              </w:rPr>
              <w:t>4</w:t>
            </w:r>
          </w:p>
        </w:tc>
      </w:tr>
    </w:tbl>
    <w:p w14:paraId="453A2EE4" w14:textId="41E882D8" w:rsidR="00CB5128" w:rsidRPr="0086274D" w:rsidRDefault="00CB5128" w:rsidP="00CB5128">
      <w:pPr>
        <w:spacing w:after="0" w:line="240" w:lineRule="auto"/>
        <w:rPr>
          <w:rFonts w:ascii="Arial" w:hAnsi="Arial" w:cs="Arial"/>
        </w:rPr>
      </w:pPr>
      <w:r w:rsidRPr="0086274D">
        <w:rPr>
          <w:rFonts w:ascii="Arial" w:hAnsi="Arial" w:cs="Arial"/>
          <w:b/>
          <w:bCs/>
          <w:color w:val="2F5496" w:themeColor="accent1" w:themeShade="BF"/>
        </w:rPr>
        <w:t xml:space="preserve">Table </w:t>
      </w:r>
      <w:r>
        <w:rPr>
          <w:rFonts w:ascii="Arial" w:hAnsi="Arial" w:cs="Arial"/>
          <w:b/>
          <w:bCs/>
          <w:color w:val="2F5496" w:themeColor="accent1" w:themeShade="BF"/>
        </w:rPr>
        <w:t>2.2</w:t>
      </w:r>
      <w:r w:rsidRPr="0086274D">
        <w:rPr>
          <w:rFonts w:ascii="Arial" w:hAnsi="Arial" w:cs="Arial"/>
        </w:rPr>
        <w:t>: MR results</w:t>
      </w:r>
      <w:r>
        <w:rPr>
          <w:rFonts w:ascii="Arial" w:hAnsi="Arial" w:cs="Arial"/>
        </w:rPr>
        <w:t xml:space="preserve"> for the extended phenotypes</w:t>
      </w:r>
      <w:r w:rsidRPr="0086274D">
        <w:rPr>
          <w:rFonts w:ascii="Arial" w:hAnsi="Arial" w:cs="Arial"/>
        </w:rPr>
        <w:t xml:space="preserve">. </w:t>
      </w:r>
      <w:proofErr w:type="spellStart"/>
      <w:r w:rsidRPr="0086274D">
        <w:rPr>
          <w:rFonts w:ascii="Arial" w:hAnsi="Arial" w:cs="Arial"/>
        </w:rPr>
        <w:t>nSNPs</w:t>
      </w:r>
      <w:proofErr w:type="spellEnd"/>
      <w:r w:rsidRPr="0086274D">
        <w:rPr>
          <w:rFonts w:ascii="Arial" w:hAnsi="Arial" w:cs="Arial"/>
        </w:rPr>
        <w:t>: number of SNPs retained for this analysis. CI: confidence interval.</w:t>
      </w:r>
    </w:p>
    <w:p w14:paraId="6425B186" w14:textId="77777777" w:rsidR="00CB5128" w:rsidRPr="0086274D" w:rsidRDefault="00CB5128" w:rsidP="00CB5128">
      <w:pPr>
        <w:spacing w:after="0" w:line="240" w:lineRule="auto"/>
        <w:rPr>
          <w:rFonts w:ascii="Arial" w:hAnsi="Arial" w:cs="Arial"/>
        </w:rPr>
      </w:pPr>
      <w:r w:rsidRPr="0086274D">
        <w:rPr>
          <w:rFonts w:ascii="Arial" w:hAnsi="Arial" w:cs="Arial"/>
        </w:rPr>
        <w:br w:type="page"/>
      </w:r>
    </w:p>
    <w:p w14:paraId="0AC60F82" w14:textId="5C7BA2B9" w:rsidR="00CB5128" w:rsidRDefault="00305969">
      <w:bookmarkStart w:id="2" w:name="_GoBack"/>
      <w:r w:rsidRPr="00305969">
        <w:lastRenderedPageBreak/>
        <w:drawing>
          <wp:anchor distT="0" distB="0" distL="114300" distR="114300" simplePos="0" relativeHeight="251659264" behindDoc="0" locked="0" layoutInCell="1" allowOverlap="1" wp14:anchorId="0E1E6957" wp14:editId="3FBBED65">
            <wp:simplePos x="0" y="0"/>
            <wp:positionH relativeFrom="column">
              <wp:posOffset>5394960</wp:posOffset>
            </wp:positionH>
            <wp:positionV relativeFrom="paragraph">
              <wp:posOffset>281940</wp:posOffset>
            </wp:positionV>
            <wp:extent cx="1905000" cy="2743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7709" r="26249"/>
                    <a:stretch/>
                  </pic:blipFill>
                  <pic:spPr bwMode="auto">
                    <a:xfrm>
                      <a:off x="0" y="0"/>
                      <a:ext cx="1905000" cy="274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05969">
        <w:drawing>
          <wp:anchor distT="0" distB="0" distL="114300" distR="114300" simplePos="0" relativeHeight="251660288" behindDoc="0" locked="0" layoutInCell="1" allowOverlap="1" wp14:anchorId="278F1DC6" wp14:editId="387605DA">
            <wp:simplePos x="0" y="0"/>
            <wp:positionH relativeFrom="column">
              <wp:posOffset>3489960</wp:posOffset>
            </wp:positionH>
            <wp:positionV relativeFrom="paragraph">
              <wp:posOffset>281940</wp:posOffset>
            </wp:positionV>
            <wp:extent cx="1905000" cy="2743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7709" r="26249"/>
                    <a:stretch/>
                  </pic:blipFill>
                  <pic:spPr bwMode="auto">
                    <a:xfrm>
                      <a:off x="0" y="0"/>
                      <a:ext cx="1905000" cy="274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05969">
        <w:drawing>
          <wp:anchor distT="0" distB="0" distL="114300" distR="114300" simplePos="0" relativeHeight="251661312" behindDoc="0" locked="0" layoutInCell="1" allowOverlap="1" wp14:anchorId="22CB5CA1" wp14:editId="6EAD5D8F">
            <wp:simplePos x="0" y="0"/>
            <wp:positionH relativeFrom="column">
              <wp:posOffset>0</wp:posOffset>
            </wp:positionH>
            <wp:positionV relativeFrom="paragraph">
              <wp:posOffset>281940</wp:posOffset>
            </wp:positionV>
            <wp:extent cx="3489960" cy="2743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2291"/>
                    <a:stretch/>
                  </pic:blipFill>
                  <pic:spPr bwMode="auto">
                    <a:xfrm>
                      <a:off x="0" y="0"/>
                      <a:ext cx="3489960" cy="274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2"/>
    </w:p>
    <w:p w14:paraId="5D2EBFA7" w14:textId="77777777" w:rsidR="00B777E3" w:rsidRDefault="00B777E3">
      <w:pPr>
        <w:rPr>
          <w:rFonts w:ascii="Arial" w:hAnsi="Arial" w:cs="Arial"/>
          <w:b/>
          <w:bCs/>
          <w:color w:val="2F5496" w:themeColor="accent1" w:themeShade="BF"/>
        </w:rPr>
      </w:pPr>
    </w:p>
    <w:p w14:paraId="44E80340" w14:textId="77777777" w:rsidR="00B777E3" w:rsidRDefault="00B777E3">
      <w:pPr>
        <w:rPr>
          <w:rFonts w:ascii="Arial" w:hAnsi="Arial" w:cs="Arial"/>
          <w:b/>
          <w:bCs/>
          <w:color w:val="2F5496" w:themeColor="accent1" w:themeShade="BF"/>
        </w:rPr>
      </w:pPr>
    </w:p>
    <w:p w14:paraId="6AF6AE27" w14:textId="77777777" w:rsidR="00B777E3" w:rsidRDefault="00B777E3">
      <w:pPr>
        <w:rPr>
          <w:rFonts w:ascii="Arial" w:hAnsi="Arial" w:cs="Arial"/>
          <w:b/>
          <w:bCs/>
          <w:color w:val="2F5496" w:themeColor="accent1" w:themeShade="BF"/>
        </w:rPr>
      </w:pPr>
    </w:p>
    <w:p w14:paraId="24683AE4" w14:textId="77777777" w:rsidR="00B777E3" w:rsidRDefault="00B777E3">
      <w:pPr>
        <w:rPr>
          <w:rFonts w:ascii="Arial" w:hAnsi="Arial" w:cs="Arial"/>
          <w:b/>
          <w:bCs/>
          <w:color w:val="2F5496" w:themeColor="accent1" w:themeShade="BF"/>
        </w:rPr>
      </w:pPr>
    </w:p>
    <w:p w14:paraId="413035B0" w14:textId="77777777" w:rsidR="00B777E3" w:rsidRDefault="00B777E3">
      <w:pPr>
        <w:rPr>
          <w:rFonts w:ascii="Arial" w:hAnsi="Arial" w:cs="Arial"/>
          <w:b/>
          <w:bCs/>
          <w:color w:val="2F5496" w:themeColor="accent1" w:themeShade="BF"/>
        </w:rPr>
      </w:pPr>
    </w:p>
    <w:p w14:paraId="18C47988" w14:textId="77777777" w:rsidR="00B777E3" w:rsidRDefault="00B777E3">
      <w:pPr>
        <w:rPr>
          <w:rFonts w:ascii="Arial" w:hAnsi="Arial" w:cs="Arial"/>
          <w:b/>
          <w:bCs/>
          <w:color w:val="2F5496" w:themeColor="accent1" w:themeShade="BF"/>
        </w:rPr>
      </w:pPr>
    </w:p>
    <w:p w14:paraId="28D0D199" w14:textId="77777777" w:rsidR="00B777E3" w:rsidRDefault="00B777E3">
      <w:pPr>
        <w:rPr>
          <w:rFonts w:ascii="Arial" w:hAnsi="Arial" w:cs="Arial"/>
          <w:b/>
          <w:bCs/>
          <w:color w:val="2F5496" w:themeColor="accent1" w:themeShade="BF"/>
        </w:rPr>
      </w:pPr>
    </w:p>
    <w:p w14:paraId="6A94342A" w14:textId="77777777" w:rsidR="00B777E3" w:rsidRDefault="00B777E3">
      <w:pPr>
        <w:rPr>
          <w:rFonts w:ascii="Arial" w:hAnsi="Arial" w:cs="Arial"/>
          <w:b/>
          <w:bCs/>
          <w:color w:val="2F5496" w:themeColor="accent1" w:themeShade="BF"/>
        </w:rPr>
      </w:pPr>
    </w:p>
    <w:p w14:paraId="311529C9" w14:textId="77777777" w:rsidR="00B777E3" w:rsidRDefault="00B777E3">
      <w:pPr>
        <w:rPr>
          <w:rFonts w:ascii="Arial" w:hAnsi="Arial" w:cs="Arial"/>
          <w:b/>
          <w:bCs/>
          <w:color w:val="2F5496" w:themeColor="accent1" w:themeShade="BF"/>
        </w:rPr>
      </w:pPr>
    </w:p>
    <w:p w14:paraId="17687608" w14:textId="77777777" w:rsidR="00B777E3" w:rsidRDefault="00B777E3" w:rsidP="009A4D37">
      <w:pPr>
        <w:jc w:val="both"/>
        <w:rPr>
          <w:rFonts w:ascii="Arial" w:hAnsi="Arial" w:cs="Arial"/>
          <w:b/>
          <w:bCs/>
          <w:color w:val="2F5496" w:themeColor="accent1" w:themeShade="BF"/>
        </w:rPr>
      </w:pPr>
    </w:p>
    <w:p w14:paraId="07C5E3AC" w14:textId="77777777" w:rsidR="009A4D37" w:rsidRPr="0086274D" w:rsidRDefault="009561E9" w:rsidP="009A4D37">
      <w:pPr>
        <w:spacing w:after="0" w:line="240" w:lineRule="auto"/>
        <w:jc w:val="both"/>
        <w:rPr>
          <w:rFonts w:ascii="Arial" w:hAnsi="Arial" w:cs="Arial"/>
        </w:rPr>
      </w:pPr>
      <w:r w:rsidRPr="009561E9">
        <w:rPr>
          <w:rFonts w:ascii="Arial" w:hAnsi="Arial" w:cs="Arial"/>
          <w:b/>
          <w:bCs/>
          <w:color w:val="2F5496" w:themeColor="accent1" w:themeShade="BF"/>
        </w:rPr>
        <w:t>Figure 2.1</w:t>
      </w:r>
      <w:r w:rsidRPr="009561E9">
        <w:rPr>
          <w:rFonts w:ascii="Arial" w:hAnsi="Arial" w:cs="Arial"/>
        </w:rPr>
        <w:t xml:space="preserve">: </w:t>
      </w:r>
      <w:r w:rsidR="009A4D37" w:rsidRPr="0086274D">
        <w:rPr>
          <w:rFonts w:ascii="Arial" w:hAnsi="Arial" w:cs="Arial"/>
        </w:rPr>
        <w:t>Odds ratio point estimate</w:t>
      </w:r>
      <w:r w:rsidR="009A4D37">
        <w:rPr>
          <w:rFonts w:ascii="Arial" w:hAnsi="Arial" w:cs="Arial"/>
        </w:rPr>
        <w:t>s</w:t>
      </w:r>
      <w:r w:rsidR="009A4D37" w:rsidRPr="0086274D">
        <w:rPr>
          <w:rFonts w:ascii="Arial" w:hAnsi="Arial" w:cs="Arial"/>
        </w:rPr>
        <w:t xml:space="preserve"> and 95% confidence interval</w:t>
      </w:r>
      <w:r w:rsidR="009A4D37">
        <w:rPr>
          <w:rFonts w:ascii="Arial" w:hAnsi="Arial" w:cs="Arial"/>
        </w:rPr>
        <w:t>s</w:t>
      </w:r>
      <w:r w:rsidR="009A4D37" w:rsidRPr="0086274D">
        <w:rPr>
          <w:rFonts w:ascii="Arial" w:hAnsi="Arial" w:cs="Arial"/>
        </w:rPr>
        <w:t xml:space="preserve"> </w:t>
      </w:r>
      <w:r w:rsidR="009A4D37">
        <w:rPr>
          <w:rFonts w:ascii="Arial" w:hAnsi="Arial" w:cs="Arial"/>
        </w:rPr>
        <w:t>for</w:t>
      </w:r>
      <w:r w:rsidR="009A4D37" w:rsidRPr="0086274D">
        <w:rPr>
          <w:rFonts w:ascii="Arial" w:hAnsi="Arial" w:cs="Arial"/>
        </w:rPr>
        <w:t xml:space="preserve"> a one standard deviation increase in 25OHD level</w:t>
      </w:r>
      <w:r w:rsidR="009A4D37">
        <w:rPr>
          <w:rFonts w:ascii="Arial" w:hAnsi="Arial" w:cs="Arial"/>
        </w:rPr>
        <w:t>s</w:t>
      </w:r>
      <w:r w:rsidR="009A4D37" w:rsidRPr="0086274D">
        <w:rPr>
          <w:rFonts w:ascii="Arial" w:hAnsi="Arial" w:cs="Arial"/>
        </w:rPr>
        <w:t xml:space="preserve"> on Covid-19 susceptibility and severity</w:t>
      </w:r>
      <w:r w:rsidR="009A4D37">
        <w:rPr>
          <w:rFonts w:ascii="Arial" w:hAnsi="Arial" w:cs="Arial"/>
        </w:rPr>
        <w:t>. Restricted: analysis restricted to SNPs near the 4 genes involved in known vitamin D metabolic pathways. Restricted-</w:t>
      </w:r>
      <w:proofErr w:type="spellStart"/>
      <w:r w:rsidR="009A4D37">
        <w:rPr>
          <w:rFonts w:ascii="Arial" w:hAnsi="Arial" w:cs="Arial"/>
        </w:rPr>
        <w:t>Phenoscanner</w:t>
      </w:r>
      <w:proofErr w:type="spellEnd"/>
      <w:r w:rsidR="009A4D37">
        <w:rPr>
          <w:rFonts w:ascii="Arial" w:hAnsi="Arial" w:cs="Arial"/>
        </w:rPr>
        <w:t xml:space="preserve">: restricted analysis, with SNPs identified to have other associations in </w:t>
      </w:r>
      <w:proofErr w:type="spellStart"/>
      <w:r w:rsidR="009A4D37">
        <w:rPr>
          <w:rFonts w:ascii="Arial" w:hAnsi="Arial" w:cs="Arial"/>
        </w:rPr>
        <w:t>Phenoscanner</w:t>
      </w:r>
      <w:proofErr w:type="spellEnd"/>
      <w:r w:rsidR="009A4D37">
        <w:rPr>
          <w:rFonts w:ascii="Arial" w:hAnsi="Arial" w:cs="Arial"/>
        </w:rPr>
        <w:t xml:space="preserve"> removed.</w:t>
      </w:r>
    </w:p>
    <w:p w14:paraId="4F8A88B1" w14:textId="4DBC038B" w:rsidR="00CB5128" w:rsidRDefault="00CB5128"/>
    <w:sectPr w:rsidR="00CB5128" w:rsidSect="0080134D">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F6A55"/>
    <w:multiLevelType w:val="hybridMultilevel"/>
    <w:tmpl w:val="3BD4AC32"/>
    <w:lvl w:ilvl="0" w:tplc="8AA2D43A">
      <w:start w:val="1"/>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42C"/>
    <w:rsid w:val="00063A71"/>
    <w:rsid w:val="000B073A"/>
    <w:rsid w:val="000B72E5"/>
    <w:rsid w:val="001D5280"/>
    <w:rsid w:val="001E4178"/>
    <w:rsid w:val="002D755F"/>
    <w:rsid w:val="00305969"/>
    <w:rsid w:val="00341BF3"/>
    <w:rsid w:val="004B3AEF"/>
    <w:rsid w:val="004B442C"/>
    <w:rsid w:val="004D1623"/>
    <w:rsid w:val="00607507"/>
    <w:rsid w:val="006B3137"/>
    <w:rsid w:val="006D7F20"/>
    <w:rsid w:val="007B29C6"/>
    <w:rsid w:val="0080134D"/>
    <w:rsid w:val="00931679"/>
    <w:rsid w:val="0093320F"/>
    <w:rsid w:val="00950972"/>
    <w:rsid w:val="009561E9"/>
    <w:rsid w:val="009A4D37"/>
    <w:rsid w:val="00A55D07"/>
    <w:rsid w:val="00AE7EF8"/>
    <w:rsid w:val="00B777E3"/>
    <w:rsid w:val="00B946E5"/>
    <w:rsid w:val="00CB5128"/>
    <w:rsid w:val="00EE40E7"/>
    <w:rsid w:val="00EF4EF6"/>
    <w:rsid w:val="00FD3D3C"/>
    <w:rsid w:val="00FF2382"/>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2A7B"/>
  <w15:chartTrackingRefBased/>
  <w15:docId w15:val="{4061CE14-E866-40E9-ADFE-9058B5D4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34D"/>
    <w:pPr>
      <w:ind w:left="720"/>
      <w:contextualSpacing/>
    </w:pPr>
    <w:rPr>
      <w:rFonts w:eastAsiaTheme="minorEastAsia"/>
    </w:rPr>
  </w:style>
  <w:style w:type="table" w:styleId="TableGrid">
    <w:name w:val="Table Grid"/>
    <w:basedOn w:val="TableNormal"/>
    <w:uiPriority w:val="39"/>
    <w:rsid w:val="0080134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1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34D"/>
    <w:rPr>
      <w:rFonts w:ascii="Segoe UI" w:hAnsi="Segoe UI" w:cs="Segoe UI"/>
      <w:sz w:val="18"/>
      <w:szCs w:val="18"/>
    </w:rPr>
  </w:style>
  <w:style w:type="character" w:styleId="CommentReference">
    <w:name w:val="annotation reference"/>
    <w:basedOn w:val="DefaultParagraphFont"/>
    <w:uiPriority w:val="99"/>
    <w:semiHidden/>
    <w:unhideWhenUsed/>
    <w:rsid w:val="009561E9"/>
    <w:rPr>
      <w:sz w:val="16"/>
      <w:szCs w:val="16"/>
    </w:rPr>
  </w:style>
  <w:style w:type="paragraph" w:styleId="CommentText">
    <w:name w:val="annotation text"/>
    <w:basedOn w:val="Normal"/>
    <w:link w:val="CommentTextChar"/>
    <w:uiPriority w:val="99"/>
    <w:semiHidden/>
    <w:unhideWhenUsed/>
    <w:rsid w:val="009561E9"/>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9561E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07507"/>
    <w:rPr>
      <w:rFonts w:eastAsiaTheme="minorHAnsi"/>
      <w:b/>
      <w:bCs/>
    </w:rPr>
  </w:style>
  <w:style w:type="character" w:customStyle="1" w:styleId="CommentSubjectChar">
    <w:name w:val="Comment Subject Char"/>
    <w:basedOn w:val="CommentTextChar"/>
    <w:link w:val="CommentSubject"/>
    <w:uiPriority w:val="99"/>
    <w:semiHidden/>
    <w:rsid w:val="00607507"/>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3154</Words>
  <Characters>17981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Butler-Laporte</dc:creator>
  <cp:keywords/>
  <dc:description/>
  <cp:lastModifiedBy>Guillaume Butler-Laporte</cp:lastModifiedBy>
  <cp:revision>21</cp:revision>
  <dcterms:created xsi:type="dcterms:W3CDTF">2020-08-11T16:48:00Z</dcterms:created>
  <dcterms:modified xsi:type="dcterms:W3CDTF">2020-08-22T03:29:00Z</dcterms:modified>
</cp:coreProperties>
</file>